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705" w:rsidRPr="005916F2" w:rsidRDefault="002D5705" w:rsidP="002D5705">
      <w:pPr>
        <w:jc w:val="center"/>
        <w:rPr>
          <w:b/>
          <w:i/>
          <w:sz w:val="24"/>
          <w:szCs w:val="24"/>
        </w:rPr>
      </w:pPr>
      <w:r w:rsidRPr="005916F2">
        <w:rPr>
          <w:b/>
          <w:sz w:val="24"/>
          <w:szCs w:val="24"/>
        </w:rPr>
        <w:t xml:space="preserve">Anselm of Canterbury: Sin and the Necessity of the Incarnation in </w:t>
      </w:r>
      <w:r w:rsidRPr="005916F2">
        <w:rPr>
          <w:b/>
          <w:i/>
          <w:sz w:val="24"/>
          <w:szCs w:val="24"/>
        </w:rPr>
        <w:t>Cur Deus Homo</w:t>
      </w:r>
    </w:p>
    <w:p w:rsidR="002D5705" w:rsidRPr="005916F2" w:rsidRDefault="002D5705">
      <w:pPr>
        <w:rPr>
          <w:b/>
          <w:sz w:val="24"/>
          <w:szCs w:val="24"/>
        </w:rPr>
      </w:pPr>
      <w:r w:rsidRPr="005916F2">
        <w:rPr>
          <w:b/>
          <w:sz w:val="24"/>
          <w:szCs w:val="24"/>
        </w:rPr>
        <w:t>Word Count:</w:t>
      </w:r>
      <w:r w:rsidR="00FD0C0E" w:rsidRPr="005916F2">
        <w:rPr>
          <w:b/>
          <w:sz w:val="24"/>
          <w:szCs w:val="24"/>
        </w:rPr>
        <w:t xml:space="preserve"> 2289</w:t>
      </w:r>
    </w:p>
    <w:p w:rsidR="00633CF6" w:rsidRPr="005916F2" w:rsidRDefault="00633CF6">
      <w:pPr>
        <w:rPr>
          <w:sz w:val="24"/>
          <w:szCs w:val="24"/>
        </w:rPr>
      </w:pPr>
      <w:r w:rsidRPr="005916F2">
        <w:rPr>
          <w:sz w:val="24"/>
          <w:szCs w:val="24"/>
        </w:rPr>
        <w:t>Anselm of Canterbury was teaching and writing at a period of emerging scholasticism and his work exhibits features which are representative of scholasticism at its best. He writes with the appeal to reason, he marshals his arguments logically and relentlessly explores the implications of his ideas</w:t>
      </w:r>
      <w:r w:rsidRPr="005916F2">
        <w:rPr>
          <w:rStyle w:val="FootnoteReference"/>
          <w:sz w:val="24"/>
          <w:szCs w:val="24"/>
        </w:rPr>
        <w:footnoteReference w:id="1"/>
      </w:r>
      <w:r w:rsidRPr="005916F2">
        <w:rPr>
          <w:sz w:val="24"/>
          <w:szCs w:val="24"/>
        </w:rPr>
        <w:t xml:space="preserve">. His work </w:t>
      </w:r>
      <w:r w:rsidRPr="005916F2">
        <w:rPr>
          <w:i/>
          <w:sz w:val="24"/>
          <w:szCs w:val="24"/>
        </w:rPr>
        <w:t>Cur Deus Homo</w:t>
      </w:r>
      <w:r w:rsidRPr="005916F2">
        <w:rPr>
          <w:sz w:val="24"/>
          <w:szCs w:val="24"/>
        </w:rPr>
        <w:t xml:space="preserve"> (CDH) is written in the form of a dialogue, having stated that the method of question and answer would prove effective even for slower minds. This is intriguing as this contrasts with the Rule of St Benedict which advocated teaching by words only for receptive monks and by example for the duller ones</w:t>
      </w:r>
      <w:r w:rsidRPr="005916F2">
        <w:rPr>
          <w:rStyle w:val="FootnoteReference"/>
          <w:sz w:val="24"/>
          <w:szCs w:val="24"/>
        </w:rPr>
        <w:footnoteReference w:id="2"/>
      </w:r>
      <w:r w:rsidRPr="005916F2">
        <w:rPr>
          <w:sz w:val="24"/>
          <w:szCs w:val="24"/>
        </w:rPr>
        <w:t>. Fundamental for Anselm in his teaching was the conviction that the Christian gospel, at its heart is rational and can be shown to be as such</w:t>
      </w:r>
      <w:r w:rsidRPr="005916F2">
        <w:rPr>
          <w:rStyle w:val="FootnoteReference"/>
          <w:sz w:val="24"/>
          <w:szCs w:val="24"/>
        </w:rPr>
        <w:footnoteReference w:id="3"/>
      </w:r>
      <w:r w:rsidRPr="005916F2">
        <w:rPr>
          <w:sz w:val="24"/>
          <w:szCs w:val="24"/>
        </w:rPr>
        <w:t>. In CDH, Anselm proposed a rational demonstration of the necessity of God becoming man; he sought to analyse the benefits that are gained by humanity as a result of the Incarnation and the obedience of the Son of God</w:t>
      </w:r>
      <w:r w:rsidRPr="005916F2">
        <w:rPr>
          <w:rStyle w:val="FootnoteReference"/>
          <w:sz w:val="24"/>
          <w:szCs w:val="24"/>
        </w:rPr>
        <w:footnoteReference w:id="4"/>
      </w:r>
      <w:r w:rsidRPr="005916F2">
        <w:rPr>
          <w:sz w:val="24"/>
          <w:szCs w:val="24"/>
        </w:rPr>
        <w:t>. CDH is foundationally important in any discussion which seeks to understand the meaning of the death and resurrection of Christ and their significance for humanity. The work has not been without critics due to several issues that Anselm does not navigate. Anselm’s dialogue is concerned only with God the Father and God the Son; there is no intervention or role for the Holy Spirit; it has also been argued that Anselm fails to articulate the divine continuity between Father and Son</w:t>
      </w:r>
      <w:r w:rsidRPr="005916F2">
        <w:rPr>
          <w:rStyle w:val="FootnoteReference"/>
          <w:sz w:val="24"/>
          <w:szCs w:val="24"/>
        </w:rPr>
        <w:footnoteReference w:id="5"/>
      </w:r>
      <w:r w:rsidRPr="005916F2">
        <w:rPr>
          <w:sz w:val="24"/>
          <w:szCs w:val="24"/>
        </w:rPr>
        <w:t>. Similarly, Anselm’s approach is focused solely on the death of Christ; neither the resurrection, nor the life of Christ figure in his treatment. In this piece of writing I would like to present Anselm’s approach to sin and the necessity of the Incarnation. Before so doing, I would like to place CDH in its context by outlining the background to the work as well as considering an oft imputed criticism that the work was marred by the influence of feudalism.</w:t>
      </w:r>
    </w:p>
    <w:p w:rsidR="00EC2A61" w:rsidRPr="005916F2" w:rsidRDefault="00B349B8">
      <w:pPr>
        <w:rPr>
          <w:sz w:val="24"/>
          <w:szCs w:val="24"/>
        </w:rPr>
      </w:pPr>
      <w:r w:rsidRPr="005916F2">
        <w:rPr>
          <w:b/>
          <w:sz w:val="24"/>
          <w:szCs w:val="24"/>
        </w:rPr>
        <w:t>Background</w:t>
      </w:r>
    </w:p>
    <w:p w:rsidR="00947FC8" w:rsidRPr="005916F2" w:rsidRDefault="00B349B8" w:rsidP="00947FC8">
      <w:pPr>
        <w:rPr>
          <w:sz w:val="24"/>
          <w:szCs w:val="24"/>
        </w:rPr>
      </w:pPr>
      <w:r w:rsidRPr="005916F2">
        <w:rPr>
          <w:sz w:val="24"/>
          <w:szCs w:val="24"/>
        </w:rPr>
        <w:t>CDH has be</w:t>
      </w:r>
      <w:r w:rsidR="00921504" w:rsidRPr="005916F2">
        <w:rPr>
          <w:sz w:val="24"/>
          <w:szCs w:val="24"/>
        </w:rPr>
        <w:t>en</w:t>
      </w:r>
      <w:r w:rsidRPr="005916F2">
        <w:rPr>
          <w:sz w:val="24"/>
          <w:szCs w:val="24"/>
        </w:rPr>
        <w:t xml:space="preserve"> purported to be the first sustained treatment of the subject of the atonement and an early attempt to describe the work of Christ rationally and comprehensively</w:t>
      </w:r>
      <w:r w:rsidR="002C3C0B" w:rsidRPr="005916F2">
        <w:rPr>
          <w:rStyle w:val="FootnoteReference"/>
          <w:sz w:val="24"/>
          <w:szCs w:val="24"/>
        </w:rPr>
        <w:footnoteReference w:id="6"/>
      </w:r>
      <w:r w:rsidRPr="005916F2">
        <w:rPr>
          <w:sz w:val="24"/>
          <w:szCs w:val="24"/>
        </w:rPr>
        <w:t>. Anselm’s theory of satisfaction grew out of the patristic w</w:t>
      </w:r>
      <w:r w:rsidR="00921504" w:rsidRPr="005916F2">
        <w:rPr>
          <w:sz w:val="24"/>
          <w:szCs w:val="24"/>
        </w:rPr>
        <w:t>ritings, a development of earlier thought, although the treatment is novel</w:t>
      </w:r>
      <w:r w:rsidR="00253B4F" w:rsidRPr="005916F2">
        <w:rPr>
          <w:rStyle w:val="FootnoteReference"/>
          <w:sz w:val="24"/>
          <w:szCs w:val="24"/>
        </w:rPr>
        <w:footnoteReference w:id="7"/>
      </w:r>
      <w:r w:rsidR="00921504" w:rsidRPr="005916F2">
        <w:rPr>
          <w:sz w:val="24"/>
          <w:szCs w:val="24"/>
        </w:rPr>
        <w:t>. In the early Jesus movement, the battle between good and evil played a significant role</w:t>
      </w:r>
      <w:r w:rsidR="00253B4F" w:rsidRPr="005916F2">
        <w:rPr>
          <w:rStyle w:val="FootnoteReference"/>
          <w:sz w:val="24"/>
          <w:szCs w:val="24"/>
        </w:rPr>
        <w:footnoteReference w:id="8"/>
      </w:r>
      <w:r w:rsidR="00921504" w:rsidRPr="005916F2">
        <w:rPr>
          <w:sz w:val="24"/>
          <w:szCs w:val="24"/>
        </w:rPr>
        <w:t>. The numerous exorcisms of Jesus described in the synoptic gospels evidence a power over the diabolic which appears to be both a messianic manifestation of the Kingdom of God as well as serving witness to his divine nature</w:t>
      </w:r>
      <w:r w:rsidR="00253B4F" w:rsidRPr="005916F2">
        <w:rPr>
          <w:rStyle w:val="FootnoteReference"/>
          <w:sz w:val="24"/>
          <w:szCs w:val="24"/>
        </w:rPr>
        <w:footnoteReference w:id="9"/>
      </w:r>
      <w:r w:rsidR="00921504" w:rsidRPr="005916F2">
        <w:rPr>
          <w:sz w:val="24"/>
          <w:szCs w:val="24"/>
        </w:rPr>
        <w:t>.</w:t>
      </w:r>
      <w:r w:rsidR="000A2BD9" w:rsidRPr="005916F2">
        <w:rPr>
          <w:sz w:val="24"/>
          <w:szCs w:val="24"/>
        </w:rPr>
        <w:t xml:space="preserve"> Figures such as Irenaeus, Origen and Gregory of Nyssa developed theories that the devil has </w:t>
      </w:r>
      <w:r w:rsidR="000A2BD9" w:rsidRPr="005916F2">
        <w:rPr>
          <w:sz w:val="24"/>
          <w:szCs w:val="24"/>
        </w:rPr>
        <w:lastRenderedPageBreak/>
        <w:t>acquired rights over fallen</w:t>
      </w:r>
      <w:r w:rsidR="00253B4F" w:rsidRPr="005916F2">
        <w:rPr>
          <w:rStyle w:val="FootnoteReference"/>
          <w:sz w:val="24"/>
          <w:szCs w:val="24"/>
        </w:rPr>
        <w:footnoteReference w:id="10"/>
      </w:r>
      <w:r w:rsidR="00D1226A" w:rsidRPr="005916F2">
        <w:rPr>
          <w:sz w:val="24"/>
          <w:szCs w:val="24"/>
        </w:rPr>
        <w:t>; the devil became man’s legitimate owner as he had sold himself voluntarily</w:t>
      </w:r>
      <w:r w:rsidR="00253B4F" w:rsidRPr="005916F2">
        <w:rPr>
          <w:rStyle w:val="FootnoteReference"/>
          <w:sz w:val="24"/>
          <w:szCs w:val="24"/>
        </w:rPr>
        <w:footnoteReference w:id="11"/>
      </w:r>
      <w:r w:rsidR="00D1226A" w:rsidRPr="005916F2">
        <w:rPr>
          <w:sz w:val="24"/>
          <w:szCs w:val="24"/>
        </w:rPr>
        <w:t>. These rights</w:t>
      </w:r>
      <w:r w:rsidR="000A2BD9" w:rsidRPr="005916F2">
        <w:rPr>
          <w:sz w:val="24"/>
          <w:szCs w:val="24"/>
        </w:rPr>
        <w:t xml:space="preserve"> could only be satisfied by the cross, the necessary ransom, with Christ as bait</w:t>
      </w:r>
      <w:r w:rsidR="00394903" w:rsidRPr="005916F2">
        <w:rPr>
          <w:sz w:val="24"/>
          <w:szCs w:val="24"/>
        </w:rPr>
        <w:t>, using his humanity</w:t>
      </w:r>
      <w:r w:rsidR="000A2BD9" w:rsidRPr="005916F2">
        <w:rPr>
          <w:sz w:val="24"/>
          <w:szCs w:val="24"/>
        </w:rPr>
        <w:t xml:space="preserve"> to fool the devil</w:t>
      </w:r>
      <w:r w:rsidR="00253B4F" w:rsidRPr="005916F2">
        <w:rPr>
          <w:rStyle w:val="FootnoteReference"/>
          <w:sz w:val="24"/>
          <w:szCs w:val="24"/>
        </w:rPr>
        <w:footnoteReference w:id="12"/>
      </w:r>
      <w:r w:rsidR="000A2BD9" w:rsidRPr="005916F2">
        <w:rPr>
          <w:sz w:val="24"/>
          <w:szCs w:val="24"/>
        </w:rPr>
        <w:t>. The soteriological language introduced, based on the scriptures, showed Christ destroying the tyranny of sin, death and the devil</w:t>
      </w:r>
      <w:r w:rsidR="00253B4F" w:rsidRPr="005916F2">
        <w:rPr>
          <w:rStyle w:val="FootnoteReference"/>
          <w:sz w:val="24"/>
          <w:szCs w:val="24"/>
        </w:rPr>
        <w:footnoteReference w:id="13"/>
      </w:r>
      <w:r w:rsidR="000A2BD9" w:rsidRPr="005916F2">
        <w:rPr>
          <w:sz w:val="24"/>
          <w:szCs w:val="24"/>
        </w:rPr>
        <w:t xml:space="preserve">. </w:t>
      </w:r>
      <w:r w:rsidR="00394903" w:rsidRPr="005916F2">
        <w:rPr>
          <w:sz w:val="24"/>
          <w:szCs w:val="24"/>
        </w:rPr>
        <w:t>Even though Gregory of Nazianzus contested the idea of divine redemption as a ransom paid to the devil (</w:t>
      </w:r>
      <w:proofErr w:type="spellStart"/>
      <w:r w:rsidR="00394903" w:rsidRPr="005916F2">
        <w:rPr>
          <w:i/>
          <w:sz w:val="24"/>
          <w:szCs w:val="24"/>
        </w:rPr>
        <w:t>Oratio</w:t>
      </w:r>
      <w:proofErr w:type="spellEnd"/>
      <w:r w:rsidR="00394903" w:rsidRPr="005916F2">
        <w:rPr>
          <w:i/>
          <w:sz w:val="24"/>
          <w:szCs w:val="24"/>
        </w:rPr>
        <w:t>, 45.22</w:t>
      </w:r>
      <w:r w:rsidR="00394903" w:rsidRPr="005916F2">
        <w:rPr>
          <w:sz w:val="24"/>
          <w:szCs w:val="24"/>
        </w:rPr>
        <w:t>), other fathers developed previous theories of the devil’s rights by adding that he had abused said rights in bringing the innocent Christ to his death</w:t>
      </w:r>
      <w:r w:rsidR="00253B4F" w:rsidRPr="005916F2">
        <w:rPr>
          <w:rStyle w:val="FootnoteReference"/>
          <w:sz w:val="24"/>
          <w:szCs w:val="24"/>
        </w:rPr>
        <w:footnoteReference w:id="14"/>
      </w:r>
      <w:r w:rsidR="00394903" w:rsidRPr="005916F2">
        <w:rPr>
          <w:sz w:val="24"/>
          <w:szCs w:val="24"/>
        </w:rPr>
        <w:t>.</w:t>
      </w:r>
      <w:r w:rsidR="00C13FA9" w:rsidRPr="005916F2">
        <w:rPr>
          <w:sz w:val="24"/>
          <w:szCs w:val="24"/>
        </w:rPr>
        <w:t xml:space="preserve"> Anselm’s distaste for such talk of devil’s rights brought him to seek a more reasonable version of salvation.</w:t>
      </w:r>
    </w:p>
    <w:p w:rsidR="00947FC8" w:rsidRPr="005916F2" w:rsidRDefault="00947FC8" w:rsidP="00947FC8">
      <w:pPr>
        <w:pStyle w:val="NoSpacing"/>
        <w:rPr>
          <w:sz w:val="24"/>
          <w:szCs w:val="24"/>
        </w:rPr>
      </w:pPr>
      <w:r w:rsidRPr="005916F2">
        <w:rPr>
          <w:b/>
          <w:sz w:val="24"/>
          <w:szCs w:val="24"/>
        </w:rPr>
        <w:t>Feudalism</w:t>
      </w:r>
    </w:p>
    <w:p w:rsidR="00947FC8" w:rsidRPr="005916F2" w:rsidRDefault="00947FC8" w:rsidP="00947FC8">
      <w:pPr>
        <w:pStyle w:val="NoSpacing"/>
        <w:rPr>
          <w:sz w:val="24"/>
          <w:szCs w:val="24"/>
        </w:rPr>
      </w:pPr>
    </w:p>
    <w:p w:rsidR="00947FC8" w:rsidRPr="005916F2" w:rsidRDefault="00947FC8" w:rsidP="00947FC8">
      <w:pPr>
        <w:pStyle w:val="NoSpacing"/>
        <w:rPr>
          <w:sz w:val="24"/>
          <w:szCs w:val="24"/>
        </w:rPr>
      </w:pPr>
      <w:r w:rsidRPr="005916F2">
        <w:rPr>
          <w:sz w:val="24"/>
          <w:szCs w:val="24"/>
        </w:rPr>
        <w:t>Many scholars have discussed how deeply Anselm was influenced by the feudal assumptions of his age, whereby one could argue that God was regarded as the equivalent of the over-lord</w:t>
      </w:r>
      <w:r w:rsidR="00253B4F" w:rsidRPr="005916F2">
        <w:rPr>
          <w:rStyle w:val="FootnoteReference"/>
          <w:sz w:val="24"/>
          <w:szCs w:val="24"/>
        </w:rPr>
        <w:footnoteReference w:id="15"/>
      </w:r>
      <w:r w:rsidRPr="005916F2">
        <w:rPr>
          <w:sz w:val="24"/>
          <w:szCs w:val="24"/>
        </w:rPr>
        <w:t>. The world had changed since the patristic and Carolingian periods whereby moral order was maintained by a remote imperial sovereign; Anselm’s world was one in which over-lords or vassals reigned who themselves owed allegiance to a sovereign landowner</w:t>
      </w:r>
      <w:r w:rsidR="00253B4F" w:rsidRPr="005916F2">
        <w:rPr>
          <w:rStyle w:val="FootnoteReference"/>
          <w:sz w:val="24"/>
          <w:szCs w:val="24"/>
        </w:rPr>
        <w:footnoteReference w:id="16"/>
      </w:r>
      <w:r w:rsidRPr="005916F2">
        <w:rPr>
          <w:sz w:val="24"/>
          <w:szCs w:val="24"/>
        </w:rPr>
        <w:t>. An infringement in this relationship was considered personal rather than criminal and reparation was made in relation to whose personal honour and dignity had been offended rather than following a legal code. In short, the higher the ranking of the person offended, the higher the price to appease their wrath; this was the age of chivalry</w:t>
      </w:r>
      <w:r w:rsidR="00253B4F" w:rsidRPr="005916F2">
        <w:rPr>
          <w:rStyle w:val="FootnoteReference"/>
          <w:sz w:val="24"/>
          <w:szCs w:val="24"/>
        </w:rPr>
        <w:footnoteReference w:id="17"/>
      </w:r>
      <w:r w:rsidRPr="005916F2">
        <w:rPr>
          <w:sz w:val="24"/>
          <w:szCs w:val="24"/>
        </w:rPr>
        <w:t>. This view, that medieval feudalism influenced Anselm, was first popularised by Foley</w:t>
      </w:r>
      <w:r w:rsidR="00253B4F" w:rsidRPr="005916F2">
        <w:rPr>
          <w:rStyle w:val="FootnoteReference"/>
          <w:sz w:val="24"/>
          <w:szCs w:val="24"/>
        </w:rPr>
        <w:footnoteReference w:id="18"/>
      </w:r>
      <w:r w:rsidRPr="005916F2">
        <w:rPr>
          <w:sz w:val="24"/>
          <w:szCs w:val="24"/>
        </w:rPr>
        <w:t>. He stated that German law included principles, derived from feudalism, which were accountable for formulating the premises of Anslem’s theory an example of which being that the feudal notion of compensation for injury honour</w:t>
      </w:r>
      <w:r w:rsidR="00253B4F" w:rsidRPr="005916F2">
        <w:rPr>
          <w:rStyle w:val="FootnoteReference"/>
          <w:sz w:val="24"/>
          <w:szCs w:val="24"/>
        </w:rPr>
        <w:footnoteReference w:id="19"/>
      </w:r>
      <w:r w:rsidRPr="005916F2">
        <w:rPr>
          <w:sz w:val="24"/>
          <w:szCs w:val="24"/>
        </w:rPr>
        <w:t>. This view was further propagated by Hopkins who described that in the attempt to make the doctrines of incarnation and atonement plausible, Anselm’s thinking reflected marks of feudal imagery</w:t>
      </w:r>
      <w:r w:rsidR="00253B4F" w:rsidRPr="005916F2">
        <w:rPr>
          <w:rStyle w:val="FootnoteReference"/>
          <w:sz w:val="24"/>
          <w:szCs w:val="24"/>
        </w:rPr>
        <w:footnoteReference w:id="20"/>
      </w:r>
      <w:r w:rsidRPr="005916F2">
        <w:rPr>
          <w:sz w:val="24"/>
          <w:szCs w:val="24"/>
        </w:rPr>
        <w:t>. To Hopkins, trying to restate his theory independently of feudal imagery would nullify its fundamental argument</w:t>
      </w:r>
      <w:r w:rsidR="00253B4F" w:rsidRPr="005916F2">
        <w:rPr>
          <w:rStyle w:val="FootnoteReference"/>
          <w:sz w:val="24"/>
          <w:szCs w:val="24"/>
        </w:rPr>
        <w:footnoteReference w:id="21"/>
      </w:r>
      <w:r w:rsidRPr="005916F2">
        <w:rPr>
          <w:sz w:val="24"/>
          <w:szCs w:val="24"/>
        </w:rPr>
        <w:t>. Despite this claim, Hopkins acknowledges that the exemplary nature of Christ’s death is never eclipsed by the parallels which can be drawn with feudal honour, vassal service and commercial transaction</w:t>
      </w:r>
      <w:r w:rsidR="00152D82" w:rsidRPr="005916F2">
        <w:rPr>
          <w:rStyle w:val="FootnoteReference"/>
          <w:sz w:val="24"/>
          <w:szCs w:val="24"/>
        </w:rPr>
        <w:footnoteReference w:id="22"/>
      </w:r>
      <w:r w:rsidRPr="005916F2">
        <w:rPr>
          <w:sz w:val="24"/>
          <w:szCs w:val="24"/>
        </w:rPr>
        <w:t xml:space="preserve">. </w:t>
      </w:r>
    </w:p>
    <w:p w:rsidR="00947FC8" w:rsidRPr="005916F2" w:rsidRDefault="00947FC8" w:rsidP="00633CF6">
      <w:pPr>
        <w:pStyle w:val="NoSpacing"/>
        <w:rPr>
          <w:sz w:val="24"/>
          <w:szCs w:val="24"/>
        </w:rPr>
      </w:pPr>
      <w:r w:rsidRPr="005916F2">
        <w:rPr>
          <w:sz w:val="24"/>
          <w:szCs w:val="24"/>
        </w:rPr>
        <w:t>Whilst Hopkins has added to the general understanding of CDH, this view is seen by many to diminish the significance of Anselm’s theology of the atonement</w:t>
      </w:r>
      <w:r w:rsidR="00152D82" w:rsidRPr="005916F2">
        <w:rPr>
          <w:rStyle w:val="FootnoteReference"/>
          <w:sz w:val="24"/>
          <w:szCs w:val="24"/>
        </w:rPr>
        <w:footnoteReference w:id="23"/>
      </w:r>
      <w:r w:rsidRPr="005916F2">
        <w:rPr>
          <w:sz w:val="24"/>
          <w:szCs w:val="24"/>
        </w:rPr>
        <w:t xml:space="preserve">. McGrath states that, </w:t>
      </w:r>
      <w:r w:rsidRPr="005916F2">
        <w:rPr>
          <w:sz w:val="24"/>
          <w:szCs w:val="24"/>
        </w:rPr>
        <w:lastRenderedPageBreak/>
        <w:t>rather than using an overtly feudal model, Anselm was thinking using analogies familiar to his age; Christian tradition underlies his fundamental line of thought</w:t>
      </w:r>
      <w:r w:rsidR="00152D82" w:rsidRPr="005916F2">
        <w:rPr>
          <w:rStyle w:val="FootnoteReference"/>
          <w:sz w:val="24"/>
          <w:szCs w:val="24"/>
        </w:rPr>
        <w:footnoteReference w:id="24"/>
      </w:r>
      <w:r w:rsidRPr="005916F2">
        <w:rPr>
          <w:sz w:val="24"/>
          <w:szCs w:val="24"/>
        </w:rPr>
        <w:t>. More than anything, Anselm would have considered himself a monk rather than a feudal lord</w:t>
      </w:r>
      <w:r w:rsidR="00152D82" w:rsidRPr="005916F2">
        <w:rPr>
          <w:rStyle w:val="FootnoteReference"/>
          <w:sz w:val="24"/>
          <w:szCs w:val="24"/>
        </w:rPr>
        <w:footnoteReference w:id="25"/>
      </w:r>
      <w:r w:rsidRPr="005916F2">
        <w:rPr>
          <w:sz w:val="24"/>
          <w:szCs w:val="24"/>
        </w:rPr>
        <w:t>. Further to this, it has been argued that rather than feudal, acting on another’s behalf is biblical or Platonist</w:t>
      </w:r>
      <w:r w:rsidR="00152D82" w:rsidRPr="005916F2">
        <w:rPr>
          <w:rStyle w:val="FootnoteReference"/>
          <w:sz w:val="24"/>
          <w:szCs w:val="24"/>
        </w:rPr>
        <w:footnoteReference w:id="26"/>
      </w:r>
      <w:r w:rsidRPr="005916F2">
        <w:rPr>
          <w:sz w:val="24"/>
          <w:szCs w:val="24"/>
        </w:rPr>
        <w:t>. This is largely due to the fact that the act is voluntary rather tha</w:t>
      </w:r>
      <w:r w:rsidR="002D5705" w:rsidRPr="005916F2">
        <w:rPr>
          <w:sz w:val="24"/>
          <w:szCs w:val="24"/>
        </w:rPr>
        <w:t>n</w:t>
      </w:r>
      <w:r w:rsidRPr="005916F2">
        <w:rPr>
          <w:sz w:val="24"/>
          <w:szCs w:val="24"/>
        </w:rPr>
        <w:t xml:space="preserve"> required. The person receiving the satisfaction gains nothing; God does not benefit due to his divine impassibility; God cannot be hurt or harmed by human sin ‘the majesty of God required that nothing by outside His power (1.1-15)</w:t>
      </w:r>
      <w:r w:rsidR="00152D82" w:rsidRPr="005916F2">
        <w:rPr>
          <w:rStyle w:val="FootnoteReference"/>
          <w:sz w:val="24"/>
          <w:szCs w:val="24"/>
        </w:rPr>
        <w:footnoteReference w:id="27"/>
      </w:r>
      <w:r w:rsidRPr="005916F2">
        <w:rPr>
          <w:sz w:val="24"/>
          <w:szCs w:val="24"/>
        </w:rPr>
        <w:t xml:space="preserve">. </w:t>
      </w:r>
      <w:proofErr w:type="spellStart"/>
      <w:r w:rsidRPr="005916F2">
        <w:rPr>
          <w:sz w:val="24"/>
          <w:szCs w:val="24"/>
        </w:rPr>
        <w:t>Whidden</w:t>
      </w:r>
      <w:proofErr w:type="spellEnd"/>
      <w:r w:rsidRPr="005916F2">
        <w:rPr>
          <w:sz w:val="24"/>
          <w:szCs w:val="24"/>
        </w:rPr>
        <w:t xml:space="preserve"> has highlighted that a contention may be that theologians have not consulted historians in proposing their arguments as he states that the latter have been querying for some time whether feudalism ever existed</w:t>
      </w:r>
      <w:r w:rsidR="00152D82" w:rsidRPr="005916F2">
        <w:rPr>
          <w:rStyle w:val="FootnoteReference"/>
          <w:sz w:val="24"/>
          <w:szCs w:val="24"/>
        </w:rPr>
        <w:footnoteReference w:id="28"/>
      </w:r>
      <w:r w:rsidRPr="005916F2">
        <w:rPr>
          <w:sz w:val="24"/>
          <w:szCs w:val="24"/>
        </w:rPr>
        <w:t xml:space="preserve">. </w:t>
      </w:r>
      <w:proofErr w:type="spellStart"/>
      <w:r w:rsidRPr="005916F2">
        <w:rPr>
          <w:sz w:val="24"/>
          <w:szCs w:val="24"/>
        </w:rPr>
        <w:t>Whidden</w:t>
      </w:r>
      <w:proofErr w:type="spellEnd"/>
      <w:r w:rsidRPr="005916F2">
        <w:rPr>
          <w:sz w:val="24"/>
          <w:szCs w:val="24"/>
        </w:rPr>
        <w:t xml:space="preserve"> would agree with Hogg in his suspicion that ‘the real function of the feudal charge may somehow be to delegitimize Anselm’s argument</w:t>
      </w:r>
      <w:r w:rsidR="00152D82" w:rsidRPr="005916F2">
        <w:rPr>
          <w:rStyle w:val="FootnoteReference"/>
          <w:sz w:val="24"/>
          <w:szCs w:val="24"/>
        </w:rPr>
        <w:footnoteReference w:id="29"/>
      </w:r>
      <w:r w:rsidRPr="005916F2">
        <w:rPr>
          <w:sz w:val="24"/>
          <w:szCs w:val="24"/>
        </w:rPr>
        <w:t>. Although Foley states that the personal circumstances in which Anselm found himself may have given special point and vividness to his conception</w:t>
      </w:r>
      <w:r w:rsidR="00926464" w:rsidRPr="005916F2">
        <w:rPr>
          <w:rStyle w:val="FootnoteReference"/>
          <w:sz w:val="24"/>
          <w:szCs w:val="24"/>
        </w:rPr>
        <w:footnoteReference w:id="30"/>
      </w:r>
      <w:r w:rsidRPr="005916F2">
        <w:rPr>
          <w:sz w:val="24"/>
          <w:szCs w:val="24"/>
        </w:rPr>
        <w:t>.</w:t>
      </w:r>
    </w:p>
    <w:p w:rsidR="00633CF6" w:rsidRPr="005916F2" w:rsidRDefault="00633CF6" w:rsidP="00633CF6">
      <w:pPr>
        <w:pStyle w:val="NoSpacing"/>
        <w:rPr>
          <w:sz w:val="24"/>
          <w:szCs w:val="24"/>
        </w:rPr>
      </w:pPr>
    </w:p>
    <w:p w:rsidR="00246AAE" w:rsidRPr="005916F2" w:rsidRDefault="00246AAE" w:rsidP="00246AAE">
      <w:pPr>
        <w:rPr>
          <w:sz w:val="24"/>
          <w:szCs w:val="24"/>
        </w:rPr>
      </w:pPr>
      <w:r w:rsidRPr="005916F2">
        <w:rPr>
          <w:b/>
          <w:sz w:val="24"/>
          <w:szCs w:val="24"/>
        </w:rPr>
        <w:t>Sin and the necessity of the Incarnation</w:t>
      </w:r>
    </w:p>
    <w:p w:rsidR="00246AAE" w:rsidRPr="005916F2" w:rsidRDefault="00246AAE" w:rsidP="00246AAE">
      <w:pPr>
        <w:rPr>
          <w:sz w:val="24"/>
          <w:szCs w:val="24"/>
        </w:rPr>
      </w:pPr>
      <w:r w:rsidRPr="005916F2">
        <w:rPr>
          <w:sz w:val="24"/>
          <w:szCs w:val="24"/>
        </w:rPr>
        <w:t>In CDH, sin is portrayed as an offense against God; the weight of the offense is proportional to the status of the offended party</w:t>
      </w:r>
      <w:r w:rsidR="0069448D" w:rsidRPr="005916F2">
        <w:rPr>
          <w:rStyle w:val="FootnoteReference"/>
          <w:sz w:val="24"/>
          <w:szCs w:val="24"/>
        </w:rPr>
        <w:footnoteReference w:id="31"/>
      </w:r>
      <w:r w:rsidRPr="005916F2">
        <w:rPr>
          <w:sz w:val="24"/>
          <w:szCs w:val="24"/>
        </w:rPr>
        <w:t>.</w:t>
      </w:r>
    </w:p>
    <w:p w:rsidR="00246AAE" w:rsidRPr="005916F2" w:rsidRDefault="00246AAE" w:rsidP="00246AAE">
      <w:pPr>
        <w:rPr>
          <w:sz w:val="24"/>
          <w:szCs w:val="24"/>
        </w:rPr>
      </w:pPr>
      <w:r w:rsidRPr="005916F2">
        <w:rPr>
          <w:i/>
          <w:sz w:val="24"/>
          <w:szCs w:val="24"/>
        </w:rPr>
        <w:t xml:space="preserve">To sin is to fail to render to God what God is entitled to. What is God entitled to? Righteousness or rectitude of will. Anyone who fails to render this honour to God robs God of that which belongs to God, and thus dishonours God. (CDH </w:t>
      </w:r>
      <w:proofErr w:type="gramStart"/>
      <w:r w:rsidRPr="005916F2">
        <w:rPr>
          <w:i/>
          <w:sz w:val="24"/>
          <w:szCs w:val="24"/>
        </w:rPr>
        <w:t>I.11)…</w:t>
      </w:r>
      <w:proofErr w:type="gramEnd"/>
      <w:r w:rsidRPr="005916F2">
        <w:rPr>
          <w:i/>
          <w:sz w:val="24"/>
          <w:szCs w:val="24"/>
        </w:rPr>
        <w:t xml:space="preserve"> It is not enough simply to restore what has been taken away; but, in consideration of the insult offered, more than what was taken away must be rendered back. (CDH I.11)</w:t>
      </w:r>
      <w:r w:rsidR="0069448D" w:rsidRPr="005916F2">
        <w:rPr>
          <w:rStyle w:val="FootnoteReference"/>
          <w:i/>
          <w:sz w:val="24"/>
          <w:szCs w:val="24"/>
        </w:rPr>
        <w:footnoteReference w:id="32"/>
      </w:r>
      <w:r w:rsidRPr="005916F2">
        <w:rPr>
          <w:sz w:val="24"/>
          <w:szCs w:val="24"/>
        </w:rPr>
        <w:t xml:space="preserve"> </w:t>
      </w:r>
    </w:p>
    <w:p w:rsidR="00246AAE" w:rsidRPr="005916F2" w:rsidRDefault="00246AAE" w:rsidP="00246AAE">
      <w:pPr>
        <w:rPr>
          <w:sz w:val="24"/>
          <w:szCs w:val="24"/>
        </w:rPr>
      </w:pPr>
      <w:r w:rsidRPr="005916F2">
        <w:rPr>
          <w:sz w:val="24"/>
          <w:szCs w:val="24"/>
        </w:rPr>
        <w:t>For Anselm, it is not seemly for man to be forgiven without atonement as this would mean that sinner and non-sinner were equal; also, that the sinner were not subject to law (CDH I.12)</w:t>
      </w:r>
      <w:r w:rsidR="0069448D" w:rsidRPr="005916F2">
        <w:rPr>
          <w:rStyle w:val="FootnoteReference"/>
          <w:sz w:val="24"/>
          <w:szCs w:val="24"/>
        </w:rPr>
        <w:footnoteReference w:id="33"/>
      </w:r>
      <w:r w:rsidRPr="005916F2">
        <w:rPr>
          <w:sz w:val="24"/>
          <w:szCs w:val="24"/>
        </w:rPr>
        <w:t>. Earlier teachings proclaim that human nature is intended for eternal life and death occurs as a result of the Fall</w:t>
      </w:r>
      <w:r w:rsidR="0069448D" w:rsidRPr="005916F2">
        <w:rPr>
          <w:rStyle w:val="FootnoteReference"/>
          <w:sz w:val="24"/>
          <w:szCs w:val="24"/>
        </w:rPr>
        <w:footnoteReference w:id="34"/>
      </w:r>
      <w:r w:rsidRPr="005916F2">
        <w:rPr>
          <w:sz w:val="24"/>
          <w:szCs w:val="24"/>
        </w:rPr>
        <w:t>. The only thing able to restore harmony is the God-Man; the perfect obedience of the human being allowing restoration, whilst as God, owing nothing</w:t>
      </w:r>
      <w:r w:rsidR="0069448D" w:rsidRPr="005916F2">
        <w:rPr>
          <w:rStyle w:val="FootnoteReference"/>
          <w:sz w:val="24"/>
          <w:szCs w:val="24"/>
        </w:rPr>
        <w:footnoteReference w:id="35"/>
      </w:r>
      <w:r w:rsidRPr="005916F2">
        <w:rPr>
          <w:sz w:val="24"/>
          <w:szCs w:val="24"/>
        </w:rPr>
        <w:t>. This gratuitous act, a life voluntarily surrendered to death, is an offer of infinite worth</w:t>
      </w:r>
      <w:r w:rsidR="0069448D" w:rsidRPr="005916F2">
        <w:rPr>
          <w:rStyle w:val="FootnoteReference"/>
          <w:sz w:val="24"/>
          <w:szCs w:val="24"/>
        </w:rPr>
        <w:footnoteReference w:id="36"/>
      </w:r>
      <w:r w:rsidRPr="005916F2">
        <w:rPr>
          <w:sz w:val="24"/>
          <w:szCs w:val="24"/>
        </w:rPr>
        <w:t>.</w:t>
      </w:r>
    </w:p>
    <w:p w:rsidR="00246AAE" w:rsidRPr="005916F2" w:rsidRDefault="00246AAE" w:rsidP="00246AAE">
      <w:pPr>
        <w:rPr>
          <w:sz w:val="24"/>
          <w:szCs w:val="24"/>
        </w:rPr>
      </w:pPr>
      <w:r w:rsidRPr="005916F2">
        <w:rPr>
          <w:sz w:val="24"/>
          <w:szCs w:val="24"/>
        </w:rPr>
        <w:lastRenderedPageBreak/>
        <w:t>Of intrinsic importance for Anselm is his conception of Christ as the Chalcedonian Christ, the God-Man, and the necessity for this to be explained in a way that shows that God is free to act as he chooses, rather than in the way implied by the ransom theory</w:t>
      </w:r>
      <w:r w:rsidR="0069448D" w:rsidRPr="005916F2">
        <w:rPr>
          <w:rStyle w:val="FootnoteReference"/>
          <w:sz w:val="24"/>
          <w:szCs w:val="24"/>
        </w:rPr>
        <w:footnoteReference w:id="37"/>
      </w:r>
      <w:r w:rsidRPr="005916F2">
        <w:rPr>
          <w:sz w:val="24"/>
          <w:szCs w:val="24"/>
        </w:rPr>
        <w:t>. Anselm’s Christology is so defined in that God really did become man, and in such a way that neither God nor what God becomes is subject to change. An explanation of what this theory implies is best left to Anselm</w:t>
      </w:r>
      <w:r w:rsidR="0069448D" w:rsidRPr="005916F2">
        <w:rPr>
          <w:rStyle w:val="FootnoteReference"/>
          <w:sz w:val="24"/>
          <w:szCs w:val="24"/>
        </w:rPr>
        <w:footnoteReference w:id="38"/>
      </w:r>
      <w:r w:rsidRPr="005916F2">
        <w:rPr>
          <w:sz w:val="24"/>
          <w:szCs w:val="24"/>
        </w:rPr>
        <w:t xml:space="preserve">: </w:t>
      </w:r>
    </w:p>
    <w:p w:rsidR="00246AAE" w:rsidRPr="005916F2" w:rsidRDefault="00246AAE" w:rsidP="00246AAE">
      <w:pPr>
        <w:rPr>
          <w:sz w:val="24"/>
          <w:szCs w:val="24"/>
        </w:rPr>
      </w:pPr>
      <w:r w:rsidRPr="005916F2">
        <w:rPr>
          <w:i/>
          <w:sz w:val="24"/>
          <w:szCs w:val="24"/>
        </w:rPr>
        <w:t xml:space="preserve">The divine and human natures cannot alternate, so that the divine should become human or the human divine; nor can they be so commingled ass that a third should be produced from the two which is neither wholly divine nor wholly human. For, granting that it </w:t>
      </w:r>
      <w:proofErr w:type="gramStart"/>
      <w:r w:rsidRPr="005916F2">
        <w:rPr>
          <w:i/>
          <w:sz w:val="24"/>
          <w:szCs w:val="24"/>
        </w:rPr>
        <w:t>were</w:t>
      </w:r>
      <w:proofErr w:type="gramEnd"/>
      <w:r w:rsidRPr="005916F2">
        <w:rPr>
          <w:i/>
          <w:sz w:val="24"/>
          <w:szCs w:val="24"/>
        </w:rPr>
        <w:t xml:space="preserve"> possible for either to be changed into the other, it would in that case be only God and not man, nor man only and not God. Or if they were so commingled that a third nature sprung from the combination of the two…, it would neither be God nor man. </w:t>
      </w:r>
      <w:proofErr w:type="gramStart"/>
      <w:r w:rsidRPr="005916F2">
        <w:rPr>
          <w:i/>
          <w:sz w:val="24"/>
          <w:szCs w:val="24"/>
        </w:rPr>
        <w:t>Therefore</w:t>
      </w:r>
      <w:proofErr w:type="gramEnd"/>
      <w:r w:rsidRPr="005916F2">
        <w:rPr>
          <w:i/>
          <w:sz w:val="24"/>
          <w:szCs w:val="24"/>
        </w:rPr>
        <w:t xml:space="preserve"> the God-man, whom we require to be of a nature both human and divine, cannot be produced by a change from one to the other, nor by an imperfect commingling of both into a third; since these things cannot be, or if they could be, would avail nothing to our purpose.</w:t>
      </w:r>
      <w:r w:rsidRPr="005916F2">
        <w:rPr>
          <w:sz w:val="24"/>
          <w:szCs w:val="24"/>
        </w:rPr>
        <w:t xml:space="preserve"> (CDH II.7)</w:t>
      </w:r>
      <w:r w:rsidR="0069448D" w:rsidRPr="005916F2">
        <w:rPr>
          <w:rStyle w:val="FootnoteReference"/>
          <w:sz w:val="24"/>
          <w:szCs w:val="24"/>
        </w:rPr>
        <w:footnoteReference w:id="39"/>
      </w:r>
      <w:r w:rsidRPr="005916F2">
        <w:rPr>
          <w:sz w:val="24"/>
          <w:szCs w:val="24"/>
        </w:rPr>
        <w:t>.</w:t>
      </w:r>
    </w:p>
    <w:p w:rsidR="00246AAE" w:rsidRPr="005916F2" w:rsidRDefault="00246AAE" w:rsidP="00246AAE">
      <w:pPr>
        <w:rPr>
          <w:sz w:val="24"/>
          <w:szCs w:val="24"/>
        </w:rPr>
      </w:pPr>
      <w:r w:rsidRPr="005916F2">
        <w:rPr>
          <w:sz w:val="24"/>
          <w:szCs w:val="24"/>
        </w:rPr>
        <w:t>Thus, Anselm explains that the two natures remain distinct; were this not to be the case, then it would serve no soteriological purpose</w:t>
      </w:r>
      <w:r w:rsidR="0069448D" w:rsidRPr="005916F2">
        <w:rPr>
          <w:rStyle w:val="FootnoteReference"/>
          <w:sz w:val="24"/>
          <w:szCs w:val="24"/>
        </w:rPr>
        <w:footnoteReference w:id="40"/>
      </w:r>
      <w:r w:rsidRPr="005916F2">
        <w:rPr>
          <w:sz w:val="24"/>
          <w:szCs w:val="24"/>
        </w:rPr>
        <w:t>. If man is to be saved, the Incarnation cannot be changed or mutated. The importance of the definitional name for Christ ‘Deus-Homo’ is here advocating the soteriological aspect of his Christology; the only being able to bring about salvation is one which is fully God and fully man (CDH II.6 &amp; II.7)</w:t>
      </w:r>
      <w:r w:rsidR="0069448D" w:rsidRPr="005916F2">
        <w:rPr>
          <w:rStyle w:val="FootnoteReference"/>
          <w:sz w:val="24"/>
          <w:szCs w:val="24"/>
        </w:rPr>
        <w:footnoteReference w:id="41"/>
      </w:r>
      <w:r w:rsidRPr="005916F2">
        <w:rPr>
          <w:sz w:val="24"/>
          <w:szCs w:val="24"/>
        </w:rPr>
        <w:t>. The God-Man Christ is not able to compensate for human misdemeanours by leading a perfect life. For Anselm, this perfect life is fulfilling the destiny of human nature made possible by God by way of its creation. The only way that recompense can be made, therefore, is in the death of the God-Man</w:t>
      </w:r>
      <w:r w:rsidR="0069448D" w:rsidRPr="005916F2">
        <w:rPr>
          <w:rStyle w:val="FootnoteReference"/>
          <w:sz w:val="24"/>
          <w:szCs w:val="24"/>
        </w:rPr>
        <w:footnoteReference w:id="42"/>
      </w:r>
      <w:r w:rsidRPr="005916F2">
        <w:rPr>
          <w:sz w:val="24"/>
          <w:szCs w:val="24"/>
        </w:rPr>
        <w:t>. The sin of the world is surpassed by the abundance of grace forthcoming from this sacrifice</w:t>
      </w:r>
      <w:r w:rsidR="0069448D" w:rsidRPr="005916F2">
        <w:rPr>
          <w:rStyle w:val="FootnoteReference"/>
          <w:sz w:val="24"/>
          <w:szCs w:val="24"/>
        </w:rPr>
        <w:footnoteReference w:id="43"/>
      </w:r>
      <w:r w:rsidRPr="005916F2">
        <w:rPr>
          <w:sz w:val="24"/>
          <w:szCs w:val="24"/>
        </w:rPr>
        <w:t xml:space="preserve">. </w:t>
      </w:r>
    </w:p>
    <w:p w:rsidR="00246AAE" w:rsidRPr="005916F2" w:rsidRDefault="00246AAE" w:rsidP="00246AAE">
      <w:pPr>
        <w:rPr>
          <w:sz w:val="24"/>
          <w:szCs w:val="24"/>
        </w:rPr>
      </w:pPr>
      <w:r w:rsidRPr="005916F2">
        <w:rPr>
          <w:sz w:val="24"/>
          <w:szCs w:val="24"/>
        </w:rPr>
        <w:t>‘Satisfaction’ was the usual term to indicate recompense and this seems to have influenced Anselm’s way of thinking</w:t>
      </w:r>
      <w:r w:rsidR="0069448D" w:rsidRPr="005916F2">
        <w:rPr>
          <w:rStyle w:val="FootnoteReference"/>
          <w:sz w:val="24"/>
          <w:szCs w:val="24"/>
        </w:rPr>
        <w:footnoteReference w:id="44"/>
      </w:r>
      <w:r w:rsidRPr="005916F2">
        <w:rPr>
          <w:sz w:val="24"/>
          <w:szCs w:val="24"/>
        </w:rPr>
        <w:t>. ‘Every sin must be followed by either satisfaction or punishment (CDH I.15). ‘God does not wish to punish but to see the good project of creation ‘completed’ (CDH II.5). Satisfaction requires that not only should human beings stop sinning but they should perform an act of supererogation. However, given that all sin offends the honour of the infinite God, the reparation must have infinite value; this is beyond the finite ability of man. Added to this, there is nothing for man to give which he does not already owe. Thus</w:t>
      </w:r>
      <w:r w:rsidR="0069448D" w:rsidRPr="005916F2">
        <w:rPr>
          <w:sz w:val="24"/>
          <w:szCs w:val="24"/>
        </w:rPr>
        <w:t>,</w:t>
      </w:r>
      <w:r w:rsidRPr="005916F2">
        <w:rPr>
          <w:sz w:val="24"/>
          <w:szCs w:val="24"/>
        </w:rPr>
        <w:t xml:space="preserve"> reparation necessitates the God-Man who is able to offer something of infinite value; value is conferred on the human acts of Christ by way of the hypostatic union</w:t>
      </w:r>
      <w:r w:rsidR="0069448D" w:rsidRPr="005916F2">
        <w:rPr>
          <w:rStyle w:val="FootnoteReference"/>
          <w:sz w:val="24"/>
          <w:szCs w:val="24"/>
        </w:rPr>
        <w:footnoteReference w:id="45"/>
      </w:r>
      <w:r w:rsidRPr="005916F2">
        <w:rPr>
          <w:sz w:val="24"/>
          <w:szCs w:val="24"/>
        </w:rPr>
        <w:t>.</w:t>
      </w:r>
    </w:p>
    <w:p w:rsidR="00246AAE" w:rsidRPr="005916F2" w:rsidRDefault="00246AAE" w:rsidP="00246AAE">
      <w:pPr>
        <w:rPr>
          <w:sz w:val="24"/>
          <w:szCs w:val="24"/>
        </w:rPr>
      </w:pPr>
      <w:r w:rsidRPr="005916F2">
        <w:rPr>
          <w:sz w:val="24"/>
          <w:szCs w:val="24"/>
        </w:rPr>
        <w:lastRenderedPageBreak/>
        <w:t>It is important to Anselm to make clear that the Incarnation does not debase God whilst exalting man</w:t>
      </w:r>
      <w:r w:rsidR="0069448D" w:rsidRPr="005916F2">
        <w:rPr>
          <w:rStyle w:val="FootnoteReference"/>
          <w:sz w:val="24"/>
          <w:szCs w:val="24"/>
        </w:rPr>
        <w:footnoteReference w:id="46"/>
      </w:r>
      <w:r w:rsidRPr="005916F2">
        <w:rPr>
          <w:sz w:val="24"/>
          <w:szCs w:val="24"/>
        </w:rPr>
        <w:t xml:space="preserve">: </w:t>
      </w:r>
    </w:p>
    <w:p w:rsidR="00246AAE" w:rsidRPr="005916F2" w:rsidRDefault="00246AAE" w:rsidP="00246AAE">
      <w:pPr>
        <w:rPr>
          <w:sz w:val="24"/>
          <w:szCs w:val="24"/>
        </w:rPr>
      </w:pPr>
      <w:r w:rsidRPr="005916F2">
        <w:rPr>
          <w:i/>
          <w:sz w:val="24"/>
          <w:szCs w:val="24"/>
        </w:rPr>
        <w:t>... When we say that God experiences weakness or lowliness, we do not understand this in accordance with the sublimity of His impassible nature but in accordance with the weakness of the human substance which he bore. ... We show that the person of God and of man was one. Therefore, we do not understand the incarnation of God to have involved any abasement; instead, we believe that the nature of man was therein exalted. (CDH I.8)</w:t>
      </w:r>
      <w:r w:rsidR="0069448D" w:rsidRPr="005916F2">
        <w:rPr>
          <w:rStyle w:val="FootnoteReference"/>
          <w:i/>
          <w:sz w:val="24"/>
          <w:szCs w:val="24"/>
        </w:rPr>
        <w:footnoteReference w:id="47"/>
      </w:r>
    </w:p>
    <w:p w:rsidR="00246AAE" w:rsidRPr="005916F2" w:rsidRDefault="00246AAE" w:rsidP="00246AAE">
      <w:pPr>
        <w:rPr>
          <w:sz w:val="24"/>
          <w:szCs w:val="24"/>
        </w:rPr>
      </w:pPr>
      <w:r w:rsidRPr="005916F2">
        <w:rPr>
          <w:sz w:val="24"/>
          <w:szCs w:val="24"/>
        </w:rPr>
        <w:t>This is of great importance in defending the faith to non-believers. Anselm does not acknowledge that sin may be a continuous problem for man, which is curious given the penitential practice observed in the rule of St Benedict; he conceives of sin as a debt that can be deleted through Christ’s death. An economic conundrum whereby the quantity of the offense needs to be offset by an equally large merit</w:t>
      </w:r>
      <w:r w:rsidR="0069448D" w:rsidRPr="005916F2">
        <w:rPr>
          <w:rStyle w:val="FootnoteReference"/>
          <w:sz w:val="24"/>
          <w:szCs w:val="24"/>
        </w:rPr>
        <w:footnoteReference w:id="48"/>
      </w:r>
      <w:r w:rsidRPr="005916F2">
        <w:rPr>
          <w:sz w:val="24"/>
          <w:szCs w:val="24"/>
        </w:rPr>
        <w:t>. The punishment of the sinner is able to restore honour to God because his rule over creation is restored. The Incarnation is a necessity given that it is man who has sinned, it is God only who can make recompense, because it is man who is owing, salvation requires the sacrifice of the God-Man. As Jesus is God, his voluntary sacrifice for man’s sins means that his death cannot debase God (CDH I.8 and I.14; II.6 and II.12)</w:t>
      </w:r>
      <w:r w:rsidR="0069448D" w:rsidRPr="005916F2">
        <w:rPr>
          <w:rStyle w:val="FootnoteReference"/>
          <w:sz w:val="24"/>
          <w:szCs w:val="24"/>
        </w:rPr>
        <w:footnoteReference w:id="49"/>
      </w:r>
      <w:r w:rsidRPr="005916F2">
        <w:rPr>
          <w:sz w:val="24"/>
          <w:szCs w:val="24"/>
        </w:rPr>
        <w:t>.</w:t>
      </w:r>
    </w:p>
    <w:p w:rsidR="005D3451" w:rsidRPr="005916F2" w:rsidRDefault="005D3451" w:rsidP="00246AAE">
      <w:pPr>
        <w:rPr>
          <w:b/>
          <w:sz w:val="24"/>
          <w:szCs w:val="24"/>
        </w:rPr>
      </w:pPr>
      <w:r w:rsidRPr="005916F2">
        <w:rPr>
          <w:b/>
          <w:sz w:val="24"/>
          <w:szCs w:val="24"/>
        </w:rPr>
        <w:t>Final words</w:t>
      </w:r>
    </w:p>
    <w:p w:rsidR="005D3451" w:rsidRPr="005916F2" w:rsidRDefault="005D3451" w:rsidP="005D3451">
      <w:pPr>
        <w:rPr>
          <w:sz w:val="24"/>
          <w:szCs w:val="24"/>
        </w:rPr>
      </w:pPr>
      <w:r w:rsidRPr="005916F2">
        <w:rPr>
          <w:sz w:val="24"/>
          <w:szCs w:val="24"/>
        </w:rPr>
        <w:t xml:space="preserve">In considering sin and the necessity of the Incarnation in </w:t>
      </w:r>
      <w:r w:rsidRPr="005916F2">
        <w:rPr>
          <w:i/>
          <w:sz w:val="24"/>
          <w:szCs w:val="24"/>
        </w:rPr>
        <w:t>Cur Deus Homo,</w:t>
      </w:r>
      <w:r w:rsidRPr="005916F2">
        <w:rPr>
          <w:sz w:val="24"/>
          <w:szCs w:val="24"/>
        </w:rPr>
        <w:t xml:space="preserve"> it should be remembered that Anselm was a monk who believed God was supreme goodness and beauty and was that than which nothing greater can be conceived</w:t>
      </w:r>
      <w:r w:rsidR="006B5537" w:rsidRPr="005916F2">
        <w:rPr>
          <w:rStyle w:val="FootnoteReference"/>
          <w:sz w:val="24"/>
          <w:szCs w:val="24"/>
        </w:rPr>
        <w:footnoteReference w:id="50"/>
      </w:r>
      <w:r w:rsidRPr="005916F2">
        <w:rPr>
          <w:sz w:val="24"/>
          <w:szCs w:val="24"/>
        </w:rPr>
        <w:t>. The problem with sin for Anselm, was that it disordered not just the mind of humanity but the entire order of creation</w:t>
      </w:r>
      <w:r w:rsidR="006B5537" w:rsidRPr="005916F2">
        <w:rPr>
          <w:rStyle w:val="FootnoteReference"/>
          <w:sz w:val="24"/>
          <w:szCs w:val="24"/>
        </w:rPr>
        <w:footnoteReference w:id="51"/>
      </w:r>
      <w:r w:rsidRPr="005916F2">
        <w:rPr>
          <w:sz w:val="24"/>
          <w:szCs w:val="24"/>
        </w:rPr>
        <w:t>. The sinner is like a spoiled work of art, where the beauty that it has received from its creator should be reflected, instead it mutes the praise which should be the creator’s due</w:t>
      </w:r>
      <w:r w:rsidR="006B5537" w:rsidRPr="005916F2">
        <w:rPr>
          <w:rStyle w:val="FootnoteReference"/>
          <w:sz w:val="24"/>
          <w:szCs w:val="24"/>
        </w:rPr>
        <w:footnoteReference w:id="52"/>
      </w:r>
      <w:r w:rsidRPr="005916F2">
        <w:rPr>
          <w:sz w:val="24"/>
          <w:szCs w:val="24"/>
        </w:rPr>
        <w:t xml:space="preserve">. Anselm was writing for a Christian audience who has appealed for a written record of his wisdom that they might come to a greater understanding of their faith. Anselm presents his argument in </w:t>
      </w:r>
      <w:proofErr w:type="spellStart"/>
      <w:r w:rsidRPr="005916F2">
        <w:rPr>
          <w:i/>
          <w:sz w:val="24"/>
          <w:szCs w:val="24"/>
        </w:rPr>
        <w:t>remoto</w:t>
      </w:r>
      <w:proofErr w:type="spellEnd"/>
      <w:r w:rsidRPr="005916F2">
        <w:rPr>
          <w:i/>
          <w:sz w:val="24"/>
          <w:szCs w:val="24"/>
        </w:rPr>
        <w:t xml:space="preserve"> Christo</w:t>
      </w:r>
      <w:r w:rsidRPr="005916F2">
        <w:rPr>
          <w:sz w:val="24"/>
          <w:szCs w:val="24"/>
        </w:rPr>
        <w:t>; in the preface he states that he is presenting his argument as if Christ had never existed to show that ‘it is impossible that, without him, any member of the human race could be saved’ (CDH preface). His argument, however, relies on the faith of his audience. It has been argued that although Anselm used impeccable logic in his argument, he was making ‘God’ think and reason like a human being</w:t>
      </w:r>
      <w:r w:rsidR="006B5537" w:rsidRPr="005916F2">
        <w:rPr>
          <w:rStyle w:val="FootnoteReference"/>
          <w:sz w:val="24"/>
          <w:szCs w:val="24"/>
        </w:rPr>
        <w:footnoteReference w:id="53"/>
      </w:r>
      <w:r w:rsidRPr="005916F2">
        <w:rPr>
          <w:sz w:val="24"/>
          <w:szCs w:val="24"/>
        </w:rPr>
        <w:t xml:space="preserve">. However, as Hogg states: ‘In </w:t>
      </w:r>
      <w:r w:rsidRPr="005916F2">
        <w:rPr>
          <w:i/>
          <w:sz w:val="24"/>
          <w:szCs w:val="24"/>
        </w:rPr>
        <w:t>Cur Deus Homo</w:t>
      </w:r>
      <w:r w:rsidRPr="005916F2">
        <w:rPr>
          <w:sz w:val="24"/>
          <w:szCs w:val="24"/>
        </w:rPr>
        <w:t xml:space="preserve"> we see the plan of redemption unfold in all its beauty, </w:t>
      </w:r>
      <w:r w:rsidRPr="005916F2">
        <w:rPr>
          <w:sz w:val="24"/>
          <w:szCs w:val="24"/>
        </w:rPr>
        <w:lastRenderedPageBreak/>
        <w:t>harmony and fittingness as the transcendent God recreates and reorders sinful humanity through the immanence of the incarnation’</w:t>
      </w:r>
      <w:r w:rsidR="006B5537" w:rsidRPr="005916F2">
        <w:rPr>
          <w:rStyle w:val="FootnoteReference"/>
          <w:sz w:val="24"/>
          <w:szCs w:val="24"/>
        </w:rPr>
        <w:footnoteReference w:id="54"/>
      </w:r>
      <w:r w:rsidRPr="005916F2">
        <w:rPr>
          <w:sz w:val="24"/>
          <w:szCs w:val="24"/>
        </w:rPr>
        <w:t xml:space="preserve">. </w:t>
      </w:r>
    </w:p>
    <w:p w:rsidR="005D3451" w:rsidRPr="005916F2" w:rsidRDefault="005D3451" w:rsidP="00246AAE">
      <w:pPr>
        <w:rPr>
          <w:sz w:val="24"/>
          <w:szCs w:val="24"/>
        </w:rPr>
      </w:pPr>
    </w:p>
    <w:p w:rsidR="005916F2" w:rsidRDefault="005916F2" w:rsidP="00246AAE">
      <w:pPr>
        <w:rPr>
          <w:sz w:val="24"/>
          <w:szCs w:val="24"/>
        </w:rPr>
      </w:pPr>
    </w:p>
    <w:p w:rsidR="005916F2" w:rsidRDefault="005916F2" w:rsidP="00246AAE">
      <w:pPr>
        <w:rPr>
          <w:b/>
          <w:sz w:val="24"/>
          <w:szCs w:val="24"/>
        </w:rPr>
      </w:pPr>
    </w:p>
    <w:p w:rsidR="005E6620" w:rsidRPr="005916F2" w:rsidRDefault="005E6620" w:rsidP="00246AAE">
      <w:pPr>
        <w:rPr>
          <w:b/>
          <w:sz w:val="24"/>
          <w:szCs w:val="24"/>
        </w:rPr>
      </w:pPr>
      <w:bookmarkStart w:id="0" w:name="_GoBack"/>
      <w:bookmarkEnd w:id="0"/>
      <w:r w:rsidRPr="005916F2">
        <w:rPr>
          <w:b/>
          <w:sz w:val="24"/>
          <w:szCs w:val="24"/>
        </w:rPr>
        <w:t>Bibliography</w:t>
      </w:r>
    </w:p>
    <w:p w:rsidR="0045582F" w:rsidRPr="005916F2" w:rsidRDefault="00ED3148" w:rsidP="0045582F">
      <w:pPr>
        <w:pStyle w:val="NoSpacing"/>
        <w:rPr>
          <w:rFonts w:cstheme="majorHAnsi"/>
          <w:sz w:val="24"/>
          <w:szCs w:val="24"/>
        </w:rPr>
      </w:pPr>
      <w:r w:rsidRPr="005916F2">
        <w:rPr>
          <w:rFonts w:cstheme="majorHAnsi"/>
          <w:sz w:val="24"/>
          <w:szCs w:val="24"/>
        </w:rPr>
        <w:t>Anselm of Cante</w:t>
      </w:r>
      <w:r w:rsidRPr="005916F2">
        <w:rPr>
          <w:rFonts w:cstheme="majorHAnsi"/>
          <w:sz w:val="24"/>
          <w:szCs w:val="24"/>
        </w:rPr>
        <w:t>r</w:t>
      </w:r>
      <w:r w:rsidRPr="005916F2">
        <w:rPr>
          <w:rFonts w:cstheme="majorHAnsi"/>
          <w:sz w:val="24"/>
          <w:szCs w:val="24"/>
        </w:rPr>
        <w:t>bury (2008). </w:t>
      </w:r>
      <w:r w:rsidRPr="005916F2">
        <w:rPr>
          <w:rFonts w:cstheme="majorHAnsi"/>
          <w:i/>
          <w:iCs/>
          <w:sz w:val="24"/>
          <w:szCs w:val="24"/>
        </w:rPr>
        <w:t>The Major Works</w:t>
      </w:r>
      <w:r w:rsidRPr="005916F2">
        <w:rPr>
          <w:rFonts w:cstheme="majorHAnsi"/>
          <w:sz w:val="24"/>
          <w:szCs w:val="24"/>
        </w:rPr>
        <w:t>. Oxford: Oxford University Press.</w:t>
      </w:r>
    </w:p>
    <w:p w:rsidR="00491FAC" w:rsidRPr="005916F2" w:rsidRDefault="00491FAC" w:rsidP="0045582F">
      <w:pPr>
        <w:pStyle w:val="NoSpacing"/>
        <w:rPr>
          <w:rFonts w:cstheme="majorHAnsi"/>
          <w:sz w:val="24"/>
          <w:szCs w:val="24"/>
        </w:rPr>
      </w:pPr>
      <w:r w:rsidRPr="005916F2">
        <w:rPr>
          <w:sz w:val="24"/>
          <w:szCs w:val="24"/>
        </w:rPr>
        <w:t>Armstrong, K (2019). </w:t>
      </w:r>
      <w:r w:rsidRPr="005916F2">
        <w:rPr>
          <w:i/>
          <w:iCs/>
          <w:sz w:val="24"/>
          <w:szCs w:val="24"/>
        </w:rPr>
        <w:t>The Lost Art of Scripture</w:t>
      </w:r>
      <w:r w:rsidRPr="005916F2">
        <w:rPr>
          <w:sz w:val="24"/>
          <w:szCs w:val="24"/>
        </w:rPr>
        <w:t xml:space="preserve">. London: The </w:t>
      </w:r>
      <w:proofErr w:type="spellStart"/>
      <w:r w:rsidRPr="005916F2">
        <w:rPr>
          <w:sz w:val="24"/>
          <w:szCs w:val="24"/>
        </w:rPr>
        <w:t>Bodely</w:t>
      </w:r>
      <w:proofErr w:type="spellEnd"/>
      <w:r w:rsidRPr="005916F2">
        <w:rPr>
          <w:sz w:val="24"/>
          <w:szCs w:val="24"/>
        </w:rPr>
        <w:t xml:space="preserve"> Head.</w:t>
      </w:r>
    </w:p>
    <w:p w:rsidR="00742BBD" w:rsidRPr="005916F2" w:rsidRDefault="00742BBD" w:rsidP="0045582F">
      <w:pPr>
        <w:pStyle w:val="NoSpacing"/>
        <w:rPr>
          <w:rFonts w:cstheme="majorHAnsi"/>
          <w:sz w:val="24"/>
          <w:szCs w:val="24"/>
        </w:rPr>
      </w:pPr>
      <w:r w:rsidRPr="005916F2">
        <w:rPr>
          <w:rFonts w:cstheme="majorHAnsi"/>
          <w:sz w:val="24"/>
          <w:szCs w:val="24"/>
        </w:rPr>
        <w:t xml:space="preserve">Brown, D. (2004). Anselm on atonement. In: Davies, B. and </w:t>
      </w:r>
      <w:proofErr w:type="spellStart"/>
      <w:r w:rsidRPr="005916F2">
        <w:rPr>
          <w:rFonts w:cstheme="majorHAnsi"/>
          <w:sz w:val="24"/>
          <w:szCs w:val="24"/>
        </w:rPr>
        <w:t>Leftow</w:t>
      </w:r>
      <w:proofErr w:type="spellEnd"/>
      <w:r w:rsidRPr="005916F2">
        <w:rPr>
          <w:rFonts w:cstheme="majorHAnsi"/>
          <w:sz w:val="24"/>
          <w:szCs w:val="24"/>
        </w:rPr>
        <w:t>, B </w:t>
      </w:r>
      <w:proofErr w:type="gramStart"/>
      <w:r w:rsidRPr="005916F2">
        <w:rPr>
          <w:rFonts w:cstheme="majorHAnsi"/>
          <w:i/>
          <w:iCs/>
          <w:sz w:val="24"/>
          <w:szCs w:val="24"/>
        </w:rPr>
        <w:t>The</w:t>
      </w:r>
      <w:proofErr w:type="gramEnd"/>
      <w:r w:rsidRPr="005916F2">
        <w:rPr>
          <w:rFonts w:cstheme="majorHAnsi"/>
          <w:i/>
          <w:iCs/>
          <w:sz w:val="24"/>
          <w:szCs w:val="24"/>
        </w:rPr>
        <w:t xml:space="preserve"> Cambridge Companion to Anselm</w:t>
      </w:r>
      <w:r w:rsidRPr="005916F2">
        <w:rPr>
          <w:rFonts w:cstheme="majorHAnsi"/>
          <w:sz w:val="24"/>
          <w:szCs w:val="24"/>
        </w:rPr>
        <w:t>. Cambridge: Cambridge University Press.</w:t>
      </w:r>
    </w:p>
    <w:p w:rsidR="0045582F" w:rsidRPr="005916F2" w:rsidRDefault="0045582F" w:rsidP="0045582F">
      <w:pPr>
        <w:pStyle w:val="NoSpacing"/>
        <w:rPr>
          <w:rFonts w:cstheme="majorHAnsi"/>
          <w:sz w:val="24"/>
          <w:szCs w:val="24"/>
        </w:rPr>
      </w:pPr>
      <w:r w:rsidRPr="005916F2">
        <w:rPr>
          <w:rFonts w:cstheme="majorHAnsi"/>
          <w:sz w:val="24"/>
          <w:szCs w:val="24"/>
        </w:rPr>
        <w:t xml:space="preserve">Foley, G (1909). </w:t>
      </w:r>
      <w:r w:rsidRPr="005916F2">
        <w:rPr>
          <w:rFonts w:cstheme="majorHAnsi"/>
          <w:i/>
          <w:sz w:val="24"/>
          <w:szCs w:val="24"/>
        </w:rPr>
        <w:t>Anselm’s theory of the atonement</w:t>
      </w:r>
      <w:r w:rsidRPr="005916F2">
        <w:rPr>
          <w:rFonts w:cstheme="majorHAnsi"/>
          <w:sz w:val="24"/>
          <w:szCs w:val="24"/>
        </w:rPr>
        <w:t xml:space="preserve"> </w:t>
      </w:r>
      <w:hyperlink r:id="rId7" w:history="1">
        <w:r w:rsidRPr="005916F2">
          <w:rPr>
            <w:rStyle w:val="Hyperlink"/>
            <w:rFonts w:cstheme="majorHAnsi"/>
            <w:color w:val="auto"/>
            <w:sz w:val="24"/>
            <w:szCs w:val="24"/>
          </w:rPr>
          <w:t>https://archive.org/details/anselmstheory00foleuoft</w:t>
        </w:r>
      </w:hyperlink>
    </w:p>
    <w:p w:rsidR="00491FAC" w:rsidRPr="005916F2" w:rsidRDefault="00491FAC" w:rsidP="0045582F">
      <w:pPr>
        <w:pStyle w:val="NoSpacing"/>
        <w:rPr>
          <w:rFonts w:cstheme="majorHAnsi"/>
          <w:sz w:val="24"/>
          <w:szCs w:val="24"/>
        </w:rPr>
      </w:pPr>
      <w:r w:rsidRPr="005916F2">
        <w:rPr>
          <w:sz w:val="24"/>
          <w:szCs w:val="24"/>
        </w:rPr>
        <w:t>Hogg, D (2016). </w:t>
      </w:r>
      <w:r w:rsidRPr="005916F2">
        <w:rPr>
          <w:i/>
          <w:iCs/>
          <w:sz w:val="24"/>
          <w:szCs w:val="24"/>
        </w:rPr>
        <w:t>Anselm of Canterbury</w:t>
      </w:r>
      <w:r w:rsidRPr="005916F2">
        <w:rPr>
          <w:sz w:val="24"/>
          <w:szCs w:val="24"/>
        </w:rPr>
        <w:t>. Abingdon: Routledge.</w:t>
      </w:r>
      <w:r w:rsidRPr="005916F2">
        <w:rPr>
          <w:sz w:val="24"/>
          <w:szCs w:val="24"/>
        </w:rPr>
        <w:t xml:space="preserve"> www.amazon.co.uk/kindlestore</w:t>
      </w:r>
    </w:p>
    <w:p w:rsidR="000107A9" w:rsidRPr="005916F2" w:rsidRDefault="000107A9" w:rsidP="0045582F">
      <w:pPr>
        <w:pStyle w:val="NoSpacing"/>
        <w:rPr>
          <w:rFonts w:cstheme="majorHAnsi"/>
          <w:sz w:val="24"/>
          <w:szCs w:val="24"/>
        </w:rPr>
      </w:pPr>
      <w:r w:rsidRPr="005916F2">
        <w:rPr>
          <w:rFonts w:cstheme="majorHAnsi"/>
          <w:sz w:val="24"/>
          <w:szCs w:val="24"/>
        </w:rPr>
        <w:t xml:space="preserve">Hogg, D. (2018). Christology: The </w:t>
      </w:r>
      <w:r w:rsidRPr="005916F2">
        <w:rPr>
          <w:rFonts w:cstheme="majorHAnsi"/>
          <w:i/>
          <w:sz w:val="24"/>
          <w:szCs w:val="24"/>
        </w:rPr>
        <w:t>Cur Deus Homo</w:t>
      </w:r>
      <w:r w:rsidRPr="005916F2">
        <w:rPr>
          <w:rFonts w:cstheme="majorHAnsi"/>
          <w:sz w:val="24"/>
          <w:szCs w:val="24"/>
        </w:rPr>
        <w:t>. In: Murphy, F. A. </w:t>
      </w:r>
      <w:r w:rsidRPr="005916F2">
        <w:rPr>
          <w:rFonts w:cstheme="majorHAnsi"/>
          <w:i/>
          <w:iCs/>
          <w:sz w:val="24"/>
          <w:szCs w:val="24"/>
        </w:rPr>
        <w:t>The Oxford Handbook of Christology</w:t>
      </w:r>
      <w:r w:rsidRPr="005916F2">
        <w:rPr>
          <w:rFonts w:cstheme="majorHAnsi"/>
          <w:sz w:val="24"/>
          <w:szCs w:val="24"/>
        </w:rPr>
        <w:t>. Oxford: Oxford University Press.</w:t>
      </w:r>
    </w:p>
    <w:p w:rsidR="000107A9" w:rsidRPr="005916F2" w:rsidRDefault="000107A9" w:rsidP="0045582F">
      <w:pPr>
        <w:pStyle w:val="NoSpacing"/>
        <w:rPr>
          <w:rFonts w:cstheme="majorHAnsi"/>
          <w:sz w:val="24"/>
          <w:szCs w:val="24"/>
        </w:rPr>
      </w:pPr>
      <w:r w:rsidRPr="005916F2">
        <w:rPr>
          <w:rFonts w:cstheme="majorHAnsi"/>
          <w:sz w:val="24"/>
          <w:szCs w:val="24"/>
        </w:rPr>
        <w:t>Hopkins, J (1972). </w:t>
      </w:r>
      <w:r w:rsidRPr="005916F2">
        <w:rPr>
          <w:rFonts w:cstheme="majorHAnsi"/>
          <w:i/>
          <w:iCs/>
          <w:sz w:val="24"/>
          <w:szCs w:val="24"/>
        </w:rPr>
        <w:t>A Companion to the Study of St Anselm</w:t>
      </w:r>
      <w:r w:rsidRPr="005916F2">
        <w:rPr>
          <w:rFonts w:cstheme="majorHAnsi"/>
          <w:sz w:val="24"/>
          <w:szCs w:val="24"/>
        </w:rPr>
        <w:t>. Minneapolis, Minnesota, USA: University of Minnesota Press</w:t>
      </w:r>
    </w:p>
    <w:p w:rsidR="004A59B9" w:rsidRPr="005916F2" w:rsidRDefault="00923AB3" w:rsidP="0045582F">
      <w:pPr>
        <w:pStyle w:val="NoSpacing"/>
        <w:rPr>
          <w:rFonts w:cstheme="majorHAnsi"/>
          <w:sz w:val="24"/>
          <w:szCs w:val="24"/>
        </w:rPr>
      </w:pPr>
      <w:proofErr w:type="spellStart"/>
      <w:r w:rsidRPr="005916F2">
        <w:rPr>
          <w:sz w:val="24"/>
          <w:szCs w:val="24"/>
        </w:rPr>
        <w:t>Novikoff</w:t>
      </w:r>
      <w:proofErr w:type="spellEnd"/>
      <w:r w:rsidRPr="005916F2">
        <w:rPr>
          <w:sz w:val="24"/>
          <w:szCs w:val="24"/>
        </w:rPr>
        <w:t>, A. (2011). Dialogue, and the Rise of Scholastic Disputation. </w:t>
      </w:r>
      <w:r w:rsidRPr="005916F2">
        <w:rPr>
          <w:i/>
          <w:iCs/>
          <w:sz w:val="24"/>
          <w:szCs w:val="24"/>
        </w:rPr>
        <w:t>Speculum</w:t>
      </w:r>
      <w:r w:rsidRPr="005916F2">
        <w:rPr>
          <w:sz w:val="24"/>
          <w:szCs w:val="24"/>
        </w:rPr>
        <w:t>. 86 (2), 387-418.</w:t>
      </w:r>
    </w:p>
    <w:p w:rsidR="00BF46A4" w:rsidRPr="005916F2" w:rsidRDefault="00BF46A4" w:rsidP="00BF46A4">
      <w:pPr>
        <w:pStyle w:val="NoSpacing"/>
        <w:rPr>
          <w:rFonts w:cstheme="majorHAnsi"/>
          <w:sz w:val="24"/>
          <w:szCs w:val="24"/>
        </w:rPr>
      </w:pPr>
      <w:r w:rsidRPr="005916F2">
        <w:rPr>
          <w:rFonts w:cstheme="majorHAnsi"/>
          <w:sz w:val="24"/>
          <w:szCs w:val="24"/>
        </w:rPr>
        <w:t xml:space="preserve">Olsen, G. (1981). Hans </w:t>
      </w:r>
      <w:proofErr w:type="spellStart"/>
      <w:r w:rsidRPr="005916F2">
        <w:rPr>
          <w:rFonts w:cstheme="majorHAnsi"/>
          <w:sz w:val="24"/>
          <w:szCs w:val="24"/>
        </w:rPr>
        <w:t>Urs</w:t>
      </w:r>
      <w:proofErr w:type="spellEnd"/>
      <w:r w:rsidRPr="005916F2">
        <w:rPr>
          <w:rFonts w:cstheme="majorHAnsi"/>
          <w:sz w:val="24"/>
          <w:szCs w:val="24"/>
        </w:rPr>
        <w:t xml:space="preserve"> von Balthasar and the Rehabilitation of St. Anselm's Doctrine of the Atonement. </w:t>
      </w:r>
      <w:r w:rsidRPr="005916F2">
        <w:rPr>
          <w:rFonts w:cstheme="majorHAnsi"/>
          <w:i/>
          <w:iCs/>
          <w:sz w:val="24"/>
          <w:szCs w:val="24"/>
        </w:rPr>
        <w:t>Scottish Journal of Theology</w:t>
      </w:r>
      <w:r w:rsidRPr="005916F2">
        <w:rPr>
          <w:rFonts w:cstheme="majorHAnsi"/>
          <w:sz w:val="24"/>
          <w:szCs w:val="24"/>
        </w:rPr>
        <w:t>. 34 (1), 49-61.</w:t>
      </w:r>
      <w:r w:rsidRPr="005916F2">
        <w:rPr>
          <w:rFonts w:cstheme="majorHAnsi"/>
          <w:sz w:val="24"/>
          <w:szCs w:val="24"/>
        </w:rPr>
        <w:t xml:space="preserve"> (</w:t>
      </w:r>
      <w:r w:rsidRPr="005916F2">
        <w:rPr>
          <w:rFonts w:cstheme="majorHAnsi"/>
          <w:sz w:val="24"/>
          <w:szCs w:val="24"/>
        </w:rPr>
        <w:t>Downloaded from https://www.cambridge.org/core. Swansea Metropolitan University, on 10 Jun 2020 at 08:59:20, subject to</w:t>
      </w:r>
      <w:r w:rsidRPr="005916F2">
        <w:rPr>
          <w:rFonts w:cstheme="majorHAnsi"/>
          <w:sz w:val="24"/>
          <w:szCs w:val="24"/>
        </w:rPr>
        <w:t xml:space="preserve"> </w:t>
      </w:r>
      <w:r w:rsidRPr="005916F2">
        <w:rPr>
          <w:rFonts w:cstheme="majorHAnsi"/>
          <w:sz w:val="24"/>
          <w:szCs w:val="24"/>
        </w:rPr>
        <w:t xml:space="preserve">the Cambridge Core terms of use, available at </w:t>
      </w:r>
      <w:hyperlink r:id="rId8" w:history="1">
        <w:r w:rsidRPr="005916F2">
          <w:rPr>
            <w:rStyle w:val="Hyperlink"/>
            <w:rFonts w:cstheme="majorHAnsi"/>
            <w:color w:val="auto"/>
            <w:sz w:val="24"/>
            <w:szCs w:val="24"/>
          </w:rPr>
          <w:t>https://www.cambridge.org/core/terms</w:t>
        </w:r>
      </w:hyperlink>
      <w:r w:rsidRPr="005916F2">
        <w:rPr>
          <w:rFonts w:cstheme="majorHAnsi"/>
          <w:sz w:val="24"/>
          <w:szCs w:val="24"/>
        </w:rPr>
        <w:t>.</w:t>
      </w:r>
      <w:r w:rsidRPr="005916F2">
        <w:rPr>
          <w:rFonts w:cstheme="majorHAnsi"/>
          <w:sz w:val="24"/>
          <w:szCs w:val="24"/>
        </w:rPr>
        <w:t xml:space="preserve"> </w:t>
      </w:r>
      <w:r w:rsidRPr="005916F2">
        <w:rPr>
          <w:rFonts w:cstheme="majorHAnsi"/>
          <w:sz w:val="24"/>
          <w:szCs w:val="24"/>
        </w:rPr>
        <w:t>https://doi.org/10.1017/S0036930600013302</w:t>
      </w:r>
      <w:r w:rsidRPr="005916F2">
        <w:rPr>
          <w:rFonts w:cstheme="majorHAnsi"/>
          <w:sz w:val="24"/>
          <w:szCs w:val="24"/>
        </w:rPr>
        <w:t>)</w:t>
      </w:r>
    </w:p>
    <w:p w:rsidR="000107A9" w:rsidRPr="005916F2" w:rsidRDefault="000107A9" w:rsidP="0045582F">
      <w:pPr>
        <w:pStyle w:val="NoSpacing"/>
        <w:rPr>
          <w:rFonts w:cstheme="majorHAnsi"/>
          <w:sz w:val="24"/>
          <w:szCs w:val="24"/>
        </w:rPr>
      </w:pPr>
      <w:r w:rsidRPr="005916F2">
        <w:rPr>
          <w:rFonts w:cstheme="majorHAnsi"/>
          <w:sz w:val="24"/>
          <w:szCs w:val="24"/>
        </w:rPr>
        <w:t>Pugh, B (2014). </w:t>
      </w:r>
      <w:r w:rsidRPr="005916F2">
        <w:rPr>
          <w:rFonts w:cstheme="majorHAnsi"/>
          <w:i/>
          <w:iCs/>
          <w:sz w:val="24"/>
          <w:szCs w:val="24"/>
        </w:rPr>
        <w:t>Atonement Theories A Way through the Maze</w:t>
      </w:r>
      <w:r w:rsidRPr="005916F2">
        <w:rPr>
          <w:rFonts w:cstheme="majorHAnsi"/>
          <w:sz w:val="24"/>
          <w:szCs w:val="24"/>
        </w:rPr>
        <w:t>. Oregon, USA: Cascade Books</w:t>
      </w:r>
      <w:r w:rsidR="0045582F" w:rsidRPr="005916F2">
        <w:rPr>
          <w:rFonts w:cstheme="majorHAnsi"/>
          <w:sz w:val="24"/>
          <w:szCs w:val="24"/>
        </w:rPr>
        <w:t xml:space="preserve"> (available at www.amazon.co.uk/kindlestore)</w:t>
      </w:r>
    </w:p>
    <w:p w:rsidR="00742BBD" w:rsidRPr="005916F2" w:rsidRDefault="00742BBD" w:rsidP="0045582F">
      <w:pPr>
        <w:pStyle w:val="NoSpacing"/>
        <w:rPr>
          <w:rFonts w:cstheme="majorHAnsi"/>
          <w:sz w:val="24"/>
          <w:szCs w:val="24"/>
        </w:rPr>
      </w:pPr>
      <w:r w:rsidRPr="005916F2">
        <w:rPr>
          <w:rFonts w:cstheme="majorHAnsi"/>
          <w:sz w:val="24"/>
          <w:szCs w:val="24"/>
        </w:rPr>
        <w:t>McGrath, A (2017). </w:t>
      </w:r>
      <w:r w:rsidRPr="005916F2">
        <w:rPr>
          <w:rFonts w:cstheme="majorHAnsi"/>
          <w:i/>
          <w:iCs/>
          <w:sz w:val="24"/>
          <w:szCs w:val="24"/>
        </w:rPr>
        <w:t xml:space="preserve">Christian Theology </w:t>
      </w:r>
      <w:proofErr w:type="gramStart"/>
      <w:r w:rsidRPr="005916F2">
        <w:rPr>
          <w:rFonts w:cstheme="majorHAnsi"/>
          <w:i/>
          <w:iCs/>
          <w:sz w:val="24"/>
          <w:szCs w:val="24"/>
        </w:rPr>
        <w:t>An</w:t>
      </w:r>
      <w:proofErr w:type="gramEnd"/>
      <w:r w:rsidRPr="005916F2">
        <w:rPr>
          <w:rFonts w:cstheme="majorHAnsi"/>
          <w:i/>
          <w:iCs/>
          <w:sz w:val="24"/>
          <w:szCs w:val="24"/>
        </w:rPr>
        <w:t xml:space="preserve"> Introduct</w:t>
      </w:r>
      <w:r w:rsidRPr="005916F2">
        <w:rPr>
          <w:rFonts w:cstheme="majorHAnsi"/>
          <w:i/>
          <w:iCs/>
          <w:sz w:val="24"/>
          <w:szCs w:val="24"/>
        </w:rPr>
        <w:t>i</w:t>
      </w:r>
      <w:r w:rsidRPr="005916F2">
        <w:rPr>
          <w:rFonts w:cstheme="majorHAnsi"/>
          <w:i/>
          <w:iCs/>
          <w:sz w:val="24"/>
          <w:szCs w:val="24"/>
        </w:rPr>
        <w:t>on</w:t>
      </w:r>
      <w:r w:rsidRPr="005916F2">
        <w:rPr>
          <w:rFonts w:cstheme="majorHAnsi"/>
          <w:sz w:val="24"/>
          <w:szCs w:val="24"/>
        </w:rPr>
        <w:t>. Chichester, West Sussex: John Wiley &amp; Sons Ltd. 1-11.</w:t>
      </w:r>
    </w:p>
    <w:p w:rsidR="0045582F" w:rsidRPr="005916F2" w:rsidRDefault="00742BBD" w:rsidP="0045582F">
      <w:pPr>
        <w:pStyle w:val="NoSpacing"/>
        <w:rPr>
          <w:rFonts w:cstheme="majorHAnsi"/>
          <w:sz w:val="24"/>
          <w:szCs w:val="24"/>
        </w:rPr>
      </w:pPr>
      <w:r w:rsidRPr="005916F2">
        <w:rPr>
          <w:rFonts w:cstheme="majorHAnsi"/>
          <w:sz w:val="24"/>
          <w:szCs w:val="24"/>
        </w:rPr>
        <w:t>McGrath, A. (2017). The Person of Christ. In: McGrath, A </w:t>
      </w:r>
      <w:proofErr w:type="gramStart"/>
      <w:r w:rsidRPr="005916F2">
        <w:rPr>
          <w:rFonts w:cstheme="majorHAnsi"/>
          <w:i/>
          <w:iCs/>
          <w:sz w:val="24"/>
          <w:szCs w:val="24"/>
        </w:rPr>
        <w:t>The</w:t>
      </w:r>
      <w:proofErr w:type="gramEnd"/>
      <w:r w:rsidRPr="005916F2">
        <w:rPr>
          <w:rFonts w:cstheme="majorHAnsi"/>
          <w:i/>
          <w:iCs/>
          <w:sz w:val="24"/>
          <w:szCs w:val="24"/>
        </w:rPr>
        <w:t xml:space="preserve"> Christian Theology Reader</w:t>
      </w:r>
      <w:r w:rsidRPr="005916F2">
        <w:rPr>
          <w:rFonts w:cstheme="majorHAnsi"/>
          <w:sz w:val="24"/>
          <w:szCs w:val="24"/>
        </w:rPr>
        <w:t>. 5th ed. Chichester, West Sussex: John Wiley &amp; Sons Ltd. </w:t>
      </w:r>
    </w:p>
    <w:p w:rsidR="005E6620" w:rsidRPr="005916F2" w:rsidRDefault="005E6620" w:rsidP="0045582F">
      <w:pPr>
        <w:pStyle w:val="NoSpacing"/>
        <w:rPr>
          <w:rFonts w:cstheme="majorHAnsi"/>
          <w:sz w:val="24"/>
          <w:szCs w:val="24"/>
        </w:rPr>
      </w:pPr>
      <w:proofErr w:type="spellStart"/>
      <w:r w:rsidRPr="005916F2">
        <w:rPr>
          <w:rFonts w:cstheme="majorHAnsi"/>
          <w:sz w:val="24"/>
          <w:szCs w:val="24"/>
        </w:rPr>
        <w:t>O'Collins</w:t>
      </w:r>
      <w:proofErr w:type="spellEnd"/>
      <w:r w:rsidRPr="005916F2">
        <w:rPr>
          <w:rFonts w:cstheme="majorHAnsi"/>
          <w:sz w:val="24"/>
          <w:szCs w:val="24"/>
        </w:rPr>
        <w:t>, G (1995). </w:t>
      </w:r>
      <w:r w:rsidRPr="005916F2">
        <w:rPr>
          <w:rFonts w:cstheme="majorHAnsi"/>
          <w:i/>
          <w:iCs/>
          <w:sz w:val="24"/>
          <w:szCs w:val="24"/>
        </w:rPr>
        <w:t>Christology A Biblical, Historical, and Systematic Study of Jesus</w:t>
      </w:r>
      <w:r w:rsidRPr="005916F2">
        <w:rPr>
          <w:rFonts w:cstheme="majorHAnsi"/>
          <w:sz w:val="24"/>
          <w:szCs w:val="24"/>
        </w:rPr>
        <w:t>. Oxford: Oxford University Press.</w:t>
      </w:r>
    </w:p>
    <w:p w:rsidR="00505313" w:rsidRPr="005916F2" w:rsidRDefault="00505313" w:rsidP="0045582F">
      <w:pPr>
        <w:pStyle w:val="NoSpacing"/>
        <w:rPr>
          <w:rFonts w:cstheme="majorHAnsi"/>
          <w:sz w:val="24"/>
          <w:szCs w:val="24"/>
        </w:rPr>
      </w:pPr>
      <w:proofErr w:type="spellStart"/>
      <w:r w:rsidRPr="005916F2">
        <w:rPr>
          <w:rFonts w:cstheme="majorHAnsi"/>
          <w:sz w:val="24"/>
          <w:szCs w:val="24"/>
        </w:rPr>
        <w:t>Towey</w:t>
      </w:r>
      <w:proofErr w:type="spellEnd"/>
      <w:r w:rsidRPr="005916F2">
        <w:rPr>
          <w:rFonts w:cstheme="majorHAnsi"/>
          <w:sz w:val="24"/>
          <w:szCs w:val="24"/>
        </w:rPr>
        <w:t>, A (2013). </w:t>
      </w:r>
      <w:r w:rsidRPr="005916F2">
        <w:rPr>
          <w:rFonts w:cstheme="majorHAnsi"/>
          <w:i/>
          <w:iCs/>
          <w:sz w:val="24"/>
          <w:szCs w:val="24"/>
        </w:rPr>
        <w:t>An Introduction to Christian Theology</w:t>
      </w:r>
      <w:r w:rsidRPr="005916F2">
        <w:rPr>
          <w:rFonts w:cstheme="majorHAnsi"/>
          <w:sz w:val="24"/>
          <w:szCs w:val="24"/>
        </w:rPr>
        <w:t>. 4th ed. London: Bloomsbury T&amp;T Clark.</w:t>
      </w:r>
    </w:p>
    <w:p w:rsidR="005E6620" w:rsidRPr="005916F2" w:rsidRDefault="005E6620" w:rsidP="0045582F">
      <w:pPr>
        <w:pStyle w:val="NoSpacing"/>
        <w:rPr>
          <w:rFonts w:cstheme="majorHAnsi"/>
          <w:sz w:val="24"/>
          <w:szCs w:val="24"/>
        </w:rPr>
      </w:pPr>
      <w:r w:rsidRPr="005916F2">
        <w:rPr>
          <w:rFonts w:cstheme="majorHAnsi"/>
          <w:sz w:val="24"/>
          <w:szCs w:val="24"/>
        </w:rPr>
        <w:t>Weinandy, T. G., (1985). </w:t>
      </w:r>
      <w:r w:rsidRPr="005916F2">
        <w:rPr>
          <w:rFonts w:cstheme="majorHAnsi"/>
          <w:i/>
          <w:iCs/>
          <w:sz w:val="24"/>
          <w:szCs w:val="24"/>
        </w:rPr>
        <w:t>Does God Change?</w:t>
      </w:r>
      <w:r w:rsidRPr="005916F2">
        <w:rPr>
          <w:rFonts w:cstheme="majorHAnsi"/>
          <w:sz w:val="24"/>
          <w:szCs w:val="24"/>
        </w:rPr>
        <w:t xml:space="preserve"> Massachusetts, USA: St Bede's Publications.</w:t>
      </w:r>
    </w:p>
    <w:p w:rsidR="00926464" w:rsidRPr="005916F2" w:rsidRDefault="00926464" w:rsidP="0045582F">
      <w:pPr>
        <w:pStyle w:val="NoSpacing"/>
        <w:rPr>
          <w:rFonts w:cstheme="majorHAnsi"/>
          <w:sz w:val="24"/>
          <w:szCs w:val="24"/>
        </w:rPr>
      </w:pPr>
      <w:proofErr w:type="spellStart"/>
      <w:r w:rsidRPr="005916F2">
        <w:rPr>
          <w:sz w:val="24"/>
          <w:szCs w:val="24"/>
        </w:rPr>
        <w:t>Whidden</w:t>
      </w:r>
      <w:proofErr w:type="spellEnd"/>
      <w:r w:rsidRPr="005916F2">
        <w:rPr>
          <w:sz w:val="24"/>
          <w:szCs w:val="24"/>
        </w:rPr>
        <w:t xml:space="preserve">, D. (2011). The Alleged Feudalism of </w:t>
      </w:r>
      <w:r w:rsidRPr="005916F2">
        <w:rPr>
          <w:i/>
          <w:sz w:val="24"/>
          <w:szCs w:val="24"/>
        </w:rPr>
        <w:t>Anselm's Cur Deus Homo</w:t>
      </w:r>
      <w:r w:rsidRPr="005916F2">
        <w:rPr>
          <w:sz w:val="24"/>
          <w:szCs w:val="24"/>
        </w:rPr>
        <w:t xml:space="preserve"> and t</w:t>
      </w:r>
      <w:r w:rsidRPr="005916F2">
        <w:rPr>
          <w:sz w:val="24"/>
          <w:szCs w:val="24"/>
        </w:rPr>
        <w:t>he</w:t>
      </w:r>
      <w:r w:rsidRPr="005916F2">
        <w:rPr>
          <w:sz w:val="24"/>
          <w:szCs w:val="24"/>
        </w:rPr>
        <w:t xml:space="preserve"> Benedictine Concepts of Obedience, </w:t>
      </w:r>
      <w:proofErr w:type="spellStart"/>
      <w:r w:rsidRPr="005916F2">
        <w:rPr>
          <w:sz w:val="24"/>
          <w:szCs w:val="24"/>
        </w:rPr>
        <w:t>Honor</w:t>
      </w:r>
      <w:proofErr w:type="spellEnd"/>
      <w:r w:rsidRPr="005916F2">
        <w:rPr>
          <w:sz w:val="24"/>
          <w:szCs w:val="24"/>
        </w:rPr>
        <w:t>, and Order. </w:t>
      </w:r>
      <w:r w:rsidRPr="005916F2">
        <w:rPr>
          <w:i/>
          <w:iCs/>
          <w:sz w:val="24"/>
          <w:szCs w:val="24"/>
        </w:rPr>
        <w:t xml:space="preserve">Nova et </w:t>
      </w:r>
      <w:proofErr w:type="spellStart"/>
      <w:r w:rsidRPr="005916F2">
        <w:rPr>
          <w:i/>
          <w:iCs/>
          <w:sz w:val="24"/>
          <w:szCs w:val="24"/>
        </w:rPr>
        <w:t>Vetera</w:t>
      </w:r>
      <w:proofErr w:type="spellEnd"/>
      <w:r w:rsidRPr="005916F2">
        <w:rPr>
          <w:sz w:val="24"/>
          <w:szCs w:val="24"/>
        </w:rPr>
        <w:t>. 9 (4), 1055-87.</w:t>
      </w:r>
    </w:p>
    <w:p w:rsidR="005E6620" w:rsidRPr="005916F2" w:rsidRDefault="005E6620" w:rsidP="0045582F">
      <w:pPr>
        <w:pStyle w:val="NoSpacing"/>
        <w:rPr>
          <w:rFonts w:cstheme="majorHAnsi"/>
          <w:sz w:val="18"/>
          <w:szCs w:val="18"/>
        </w:rPr>
      </w:pPr>
    </w:p>
    <w:p w:rsidR="00246AAE" w:rsidRPr="005916F2" w:rsidRDefault="00246AAE" w:rsidP="00246AAE">
      <w:pPr>
        <w:rPr>
          <w:sz w:val="24"/>
          <w:szCs w:val="24"/>
        </w:rPr>
      </w:pPr>
    </w:p>
    <w:p w:rsidR="00246AAE" w:rsidRPr="005916F2" w:rsidRDefault="00246AAE">
      <w:pPr>
        <w:rPr>
          <w:sz w:val="24"/>
          <w:szCs w:val="24"/>
        </w:rPr>
      </w:pPr>
    </w:p>
    <w:sectPr w:rsidR="00246AAE" w:rsidRPr="005916F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1DD" w:rsidRDefault="002501DD" w:rsidP="00D1226A">
      <w:pPr>
        <w:spacing w:after="0" w:line="240" w:lineRule="auto"/>
      </w:pPr>
      <w:r>
        <w:separator/>
      </w:r>
    </w:p>
  </w:endnote>
  <w:endnote w:type="continuationSeparator" w:id="0">
    <w:p w:rsidR="002501DD" w:rsidRDefault="002501DD" w:rsidP="00D12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1DD" w:rsidRDefault="002501DD" w:rsidP="00D1226A">
      <w:pPr>
        <w:spacing w:after="0" w:line="240" w:lineRule="auto"/>
      </w:pPr>
      <w:r>
        <w:separator/>
      </w:r>
    </w:p>
  </w:footnote>
  <w:footnote w:type="continuationSeparator" w:id="0">
    <w:p w:rsidR="002501DD" w:rsidRDefault="002501DD" w:rsidP="00D1226A">
      <w:pPr>
        <w:spacing w:after="0" w:line="240" w:lineRule="auto"/>
      </w:pPr>
      <w:r>
        <w:continuationSeparator/>
      </w:r>
    </w:p>
  </w:footnote>
  <w:footnote w:id="1">
    <w:p w:rsidR="00633CF6" w:rsidRDefault="00633CF6">
      <w:pPr>
        <w:pStyle w:val="FootnoteText"/>
      </w:pPr>
      <w:r>
        <w:rPr>
          <w:rStyle w:val="FootnoteReference"/>
        </w:rPr>
        <w:footnoteRef/>
      </w:r>
      <w:r>
        <w:t xml:space="preserve"> </w:t>
      </w:r>
      <w:r w:rsidRPr="00253B4F">
        <w:rPr>
          <w:rFonts w:cstheme="majorHAnsi"/>
        </w:rPr>
        <w:t>McGrath, A (2017). </w:t>
      </w:r>
      <w:r w:rsidRPr="00253B4F">
        <w:rPr>
          <w:rFonts w:cstheme="majorHAnsi"/>
          <w:i/>
          <w:iCs/>
        </w:rPr>
        <w:t xml:space="preserve">Christian Theology </w:t>
      </w:r>
      <w:proofErr w:type="gramStart"/>
      <w:r w:rsidRPr="00253B4F">
        <w:rPr>
          <w:rFonts w:cstheme="majorHAnsi"/>
          <w:i/>
          <w:iCs/>
        </w:rPr>
        <w:t>An</w:t>
      </w:r>
      <w:proofErr w:type="gramEnd"/>
      <w:r w:rsidRPr="00253B4F">
        <w:rPr>
          <w:rFonts w:cstheme="majorHAnsi"/>
          <w:i/>
          <w:iCs/>
        </w:rPr>
        <w:t xml:space="preserve"> Introduction</w:t>
      </w:r>
      <w:r w:rsidRPr="00253B4F">
        <w:rPr>
          <w:rFonts w:cstheme="majorHAnsi"/>
        </w:rPr>
        <w:t xml:space="preserve">. </w:t>
      </w:r>
      <w:r>
        <w:rPr>
          <w:rFonts w:cstheme="majorHAnsi"/>
        </w:rPr>
        <w:t>p.</w:t>
      </w:r>
      <w:r>
        <w:rPr>
          <w:rFonts w:cstheme="majorHAnsi"/>
        </w:rPr>
        <w:t>61</w:t>
      </w:r>
    </w:p>
  </w:footnote>
  <w:footnote w:id="2">
    <w:p w:rsidR="00633CF6" w:rsidRDefault="00633CF6">
      <w:pPr>
        <w:pStyle w:val="FootnoteText"/>
      </w:pPr>
      <w:r>
        <w:rPr>
          <w:rStyle w:val="FootnoteReference"/>
        </w:rPr>
        <w:footnoteRef/>
      </w:r>
      <w:r>
        <w:t xml:space="preserve"> </w:t>
      </w:r>
      <w:proofErr w:type="spellStart"/>
      <w:r w:rsidRPr="00923AB3">
        <w:rPr>
          <w:color w:val="000000"/>
        </w:rPr>
        <w:t>Novikoff</w:t>
      </w:r>
      <w:proofErr w:type="spellEnd"/>
      <w:r w:rsidRPr="00923AB3">
        <w:rPr>
          <w:color w:val="000000"/>
        </w:rPr>
        <w:t>, A. (2011). Dialogue, and the Rise of Scholastic Disputation</w:t>
      </w:r>
      <w:r>
        <w:rPr>
          <w:color w:val="000000"/>
        </w:rPr>
        <w:t xml:space="preserve"> p.403</w:t>
      </w:r>
    </w:p>
  </w:footnote>
  <w:footnote w:id="3">
    <w:p w:rsidR="00633CF6" w:rsidRDefault="00633CF6">
      <w:pPr>
        <w:pStyle w:val="FootnoteText"/>
      </w:pPr>
      <w:r>
        <w:rPr>
          <w:rStyle w:val="FootnoteReference"/>
        </w:rPr>
        <w:footnoteRef/>
      </w:r>
      <w:r>
        <w:t xml:space="preserve"> McGrath p.61</w:t>
      </w:r>
    </w:p>
  </w:footnote>
  <w:footnote w:id="4">
    <w:p w:rsidR="00633CF6" w:rsidRDefault="00633CF6">
      <w:pPr>
        <w:pStyle w:val="FootnoteText"/>
      </w:pPr>
      <w:r>
        <w:rPr>
          <w:rStyle w:val="FootnoteReference"/>
        </w:rPr>
        <w:footnoteRef/>
      </w:r>
      <w:r>
        <w:t xml:space="preserve"> ibid p. 31</w:t>
      </w:r>
    </w:p>
  </w:footnote>
  <w:footnote w:id="5">
    <w:p w:rsidR="00633CF6" w:rsidRDefault="00633CF6">
      <w:pPr>
        <w:pStyle w:val="FootnoteText"/>
      </w:pPr>
      <w:r>
        <w:rPr>
          <w:rStyle w:val="FootnoteReference"/>
        </w:rPr>
        <w:footnoteRef/>
      </w:r>
      <w:r>
        <w:t xml:space="preserve"> ibid p. 260</w:t>
      </w:r>
    </w:p>
  </w:footnote>
  <w:footnote w:id="6">
    <w:p w:rsidR="002C3C0B" w:rsidRPr="00253B4F" w:rsidRDefault="002C3C0B">
      <w:pPr>
        <w:pStyle w:val="FootnoteText"/>
      </w:pPr>
      <w:r w:rsidRPr="00253B4F">
        <w:rPr>
          <w:rStyle w:val="FootnoteReference"/>
        </w:rPr>
        <w:footnoteRef/>
      </w:r>
      <w:r w:rsidRPr="00253B4F">
        <w:t xml:space="preserve"> </w:t>
      </w:r>
      <w:r w:rsidR="00253B4F" w:rsidRPr="00253B4F">
        <w:rPr>
          <w:rFonts w:cstheme="majorHAnsi"/>
        </w:rPr>
        <w:t>Pugh, B (2014). </w:t>
      </w:r>
      <w:r w:rsidR="00253B4F" w:rsidRPr="00253B4F">
        <w:rPr>
          <w:rFonts w:cstheme="majorHAnsi"/>
          <w:i/>
          <w:iCs/>
        </w:rPr>
        <w:t>Atonement Theories A Way through the Maze</w:t>
      </w:r>
      <w:r w:rsidR="00253B4F" w:rsidRPr="00253B4F">
        <w:rPr>
          <w:rFonts w:cstheme="majorHAnsi"/>
        </w:rPr>
        <w:t>.</w:t>
      </w:r>
      <w:r w:rsidR="00253B4F" w:rsidRPr="00253B4F">
        <w:rPr>
          <w:rFonts w:cstheme="majorHAnsi"/>
        </w:rPr>
        <w:t xml:space="preserve"> </w:t>
      </w:r>
      <w:proofErr w:type="spellStart"/>
      <w:r w:rsidR="00253B4F" w:rsidRPr="00253B4F">
        <w:rPr>
          <w:rFonts w:cstheme="majorHAnsi"/>
        </w:rPr>
        <w:t>loc</w:t>
      </w:r>
      <w:proofErr w:type="spellEnd"/>
      <w:r w:rsidR="00253B4F" w:rsidRPr="00253B4F">
        <w:rPr>
          <w:rFonts w:cstheme="majorHAnsi"/>
        </w:rPr>
        <w:t xml:space="preserve"> 23%</w:t>
      </w:r>
    </w:p>
  </w:footnote>
  <w:footnote w:id="7">
    <w:p w:rsidR="00253B4F" w:rsidRDefault="00253B4F" w:rsidP="00253B4F">
      <w:pPr>
        <w:pStyle w:val="FootnoteText"/>
      </w:pPr>
      <w:r>
        <w:rPr>
          <w:rStyle w:val="FootnoteReference"/>
        </w:rPr>
        <w:footnoteRef/>
      </w:r>
      <w:r>
        <w:t xml:space="preserve"> ibid </w:t>
      </w:r>
      <w:proofErr w:type="spellStart"/>
      <w:r>
        <w:t>loc</w:t>
      </w:r>
      <w:proofErr w:type="spellEnd"/>
      <w:r>
        <w:t xml:space="preserve"> 24%</w:t>
      </w:r>
    </w:p>
  </w:footnote>
  <w:footnote w:id="8">
    <w:p w:rsidR="00253B4F" w:rsidRPr="00253B4F" w:rsidRDefault="00253B4F">
      <w:pPr>
        <w:pStyle w:val="FootnoteText"/>
      </w:pPr>
      <w:r>
        <w:rPr>
          <w:rStyle w:val="FootnoteReference"/>
        </w:rPr>
        <w:footnoteRef/>
      </w:r>
      <w:r>
        <w:t xml:space="preserve"> </w:t>
      </w:r>
      <w:proofErr w:type="spellStart"/>
      <w:r w:rsidRPr="00253B4F">
        <w:rPr>
          <w:rFonts w:cstheme="majorHAnsi"/>
          <w:color w:val="000000"/>
        </w:rPr>
        <w:t>Towey</w:t>
      </w:r>
      <w:proofErr w:type="spellEnd"/>
      <w:r w:rsidRPr="00253B4F">
        <w:rPr>
          <w:rFonts w:cstheme="majorHAnsi"/>
          <w:color w:val="000000"/>
        </w:rPr>
        <w:t>, A (2013). </w:t>
      </w:r>
      <w:r w:rsidRPr="00253B4F">
        <w:rPr>
          <w:rFonts w:cstheme="majorHAnsi"/>
          <w:i/>
          <w:iCs/>
          <w:color w:val="000000"/>
        </w:rPr>
        <w:t>An Introduction to Christian Theology</w:t>
      </w:r>
      <w:r>
        <w:rPr>
          <w:rFonts w:cstheme="majorHAnsi"/>
          <w:i/>
          <w:iCs/>
          <w:color w:val="000000"/>
        </w:rPr>
        <w:t xml:space="preserve"> </w:t>
      </w:r>
      <w:r>
        <w:rPr>
          <w:rFonts w:cstheme="majorHAnsi"/>
          <w:iCs/>
          <w:color w:val="000000"/>
        </w:rPr>
        <w:t>p.253</w:t>
      </w:r>
    </w:p>
  </w:footnote>
  <w:footnote w:id="9">
    <w:p w:rsidR="00253B4F" w:rsidRDefault="00253B4F">
      <w:pPr>
        <w:pStyle w:val="FootnoteText"/>
      </w:pPr>
      <w:r>
        <w:rPr>
          <w:rStyle w:val="FootnoteReference"/>
        </w:rPr>
        <w:footnoteRef/>
      </w:r>
      <w:r>
        <w:t xml:space="preserve"> ibid p.253</w:t>
      </w:r>
    </w:p>
  </w:footnote>
  <w:footnote w:id="10">
    <w:p w:rsidR="00253B4F" w:rsidRDefault="00253B4F">
      <w:pPr>
        <w:pStyle w:val="FootnoteText"/>
      </w:pPr>
      <w:r>
        <w:rPr>
          <w:rStyle w:val="FootnoteReference"/>
        </w:rPr>
        <w:footnoteRef/>
      </w:r>
      <w:r>
        <w:t xml:space="preserve"> ibid p.253</w:t>
      </w:r>
    </w:p>
  </w:footnote>
  <w:footnote w:id="11">
    <w:p w:rsidR="00253B4F" w:rsidRDefault="00253B4F">
      <w:pPr>
        <w:pStyle w:val="FootnoteText"/>
      </w:pPr>
      <w:r>
        <w:rPr>
          <w:rStyle w:val="FootnoteReference"/>
        </w:rPr>
        <w:footnoteRef/>
      </w:r>
      <w:r>
        <w:t xml:space="preserve"> </w:t>
      </w:r>
      <w:proofErr w:type="spellStart"/>
      <w:r w:rsidRPr="00253B4F">
        <w:rPr>
          <w:rFonts w:cstheme="majorHAnsi"/>
        </w:rPr>
        <w:t>O'Collins</w:t>
      </w:r>
      <w:proofErr w:type="spellEnd"/>
      <w:r w:rsidRPr="00253B4F">
        <w:rPr>
          <w:rFonts w:cstheme="majorHAnsi"/>
        </w:rPr>
        <w:t>, G (1995). </w:t>
      </w:r>
      <w:r w:rsidRPr="00253B4F">
        <w:rPr>
          <w:rFonts w:cstheme="majorHAnsi"/>
          <w:i/>
          <w:iCs/>
        </w:rPr>
        <w:t>Christology A Biblical, Historical, and Systematic Study of Jesus</w:t>
      </w:r>
      <w:r w:rsidRPr="00253B4F">
        <w:rPr>
          <w:rFonts w:cstheme="majorHAnsi"/>
        </w:rPr>
        <w:t>.</w:t>
      </w:r>
      <w:r>
        <w:rPr>
          <w:rFonts w:cstheme="majorHAnsi"/>
        </w:rPr>
        <w:t xml:space="preserve"> p.199</w:t>
      </w:r>
    </w:p>
  </w:footnote>
  <w:footnote w:id="12">
    <w:p w:rsidR="00253B4F" w:rsidRDefault="00253B4F">
      <w:pPr>
        <w:pStyle w:val="FootnoteText"/>
      </w:pPr>
      <w:r>
        <w:rPr>
          <w:rStyle w:val="FootnoteReference"/>
        </w:rPr>
        <w:footnoteRef/>
      </w:r>
      <w:r>
        <w:t xml:space="preserve"> </w:t>
      </w:r>
      <w:proofErr w:type="spellStart"/>
      <w:r>
        <w:t>Towey</w:t>
      </w:r>
      <w:proofErr w:type="spellEnd"/>
      <w:r>
        <w:t xml:space="preserve"> p.253</w:t>
      </w:r>
    </w:p>
  </w:footnote>
  <w:footnote w:id="13">
    <w:p w:rsidR="00253B4F" w:rsidRDefault="00253B4F">
      <w:pPr>
        <w:pStyle w:val="FootnoteText"/>
      </w:pPr>
      <w:r>
        <w:rPr>
          <w:rStyle w:val="FootnoteReference"/>
        </w:rPr>
        <w:footnoteRef/>
      </w:r>
      <w:r>
        <w:t xml:space="preserve"> </w:t>
      </w:r>
      <w:proofErr w:type="spellStart"/>
      <w:r>
        <w:t>O’Collins</w:t>
      </w:r>
      <w:proofErr w:type="spellEnd"/>
      <w:r>
        <w:t xml:space="preserve"> p.198</w:t>
      </w:r>
    </w:p>
  </w:footnote>
  <w:footnote w:id="14">
    <w:p w:rsidR="00253B4F" w:rsidRDefault="00253B4F">
      <w:pPr>
        <w:pStyle w:val="FootnoteText"/>
      </w:pPr>
      <w:r>
        <w:rPr>
          <w:rStyle w:val="FootnoteReference"/>
        </w:rPr>
        <w:footnoteRef/>
      </w:r>
      <w:r>
        <w:t xml:space="preserve"> ibid p.199</w:t>
      </w:r>
    </w:p>
  </w:footnote>
  <w:footnote w:id="15">
    <w:p w:rsidR="00253B4F" w:rsidRPr="00253B4F" w:rsidRDefault="00253B4F">
      <w:pPr>
        <w:pStyle w:val="FootnoteText"/>
      </w:pPr>
      <w:r>
        <w:rPr>
          <w:rStyle w:val="FootnoteReference"/>
        </w:rPr>
        <w:footnoteRef/>
      </w:r>
      <w:r>
        <w:t xml:space="preserve"> </w:t>
      </w:r>
      <w:r w:rsidRPr="00253B4F">
        <w:rPr>
          <w:rFonts w:cstheme="majorHAnsi"/>
        </w:rPr>
        <w:t>McGrath, A (2017). </w:t>
      </w:r>
      <w:r w:rsidRPr="00253B4F">
        <w:rPr>
          <w:rFonts w:cstheme="majorHAnsi"/>
          <w:i/>
          <w:iCs/>
        </w:rPr>
        <w:t xml:space="preserve">Christian Theology </w:t>
      </w:r>
      <w:proofErr w:type="gramStart"/>
      <w:r w:rsidRPr="00253B4F">
        <w:rPr>
          <w:rFonts w:cstheme="majorHAnsi"/>
          <w:i/>
          <w:iCs/>
        </w:rPr>
        <w:t>An</w:t>
      </w:r>
      <w:proofErr w:type="gramEnd"/>
      <w:r w:rsidRPr="00253B4F">
        <w:rPr>
          <w:rFonts w:cstheme="majorHAnsi"/>
          <w:i/>
          <w:iCs/>
        </w:rPr>
        <w:t xml:space="preserve"> Introduction</w:t>
      </w:r>
      <w:r>
        <w:rPr>
          <w:rFonts w:cstheme="majorHAnsi"/>
          <w:iCs/>
        </w:rPr>
        <w:t xml:space="preserve"> p.260</w:t>
      </w:r>
    </w:p>
  </w:footnote>
  <w:footnote w:id="16">
    <w:p w:rsidR="00253B4F" w:rsidRDefault="00253B4F">
      <w:pPr>
        <w:pStyle w:val="FootnoteText"/>
      </w:pPr>
      <w:r>
        <w:rPr>
          <w:rStyle w:val="FootnoteReference"/>
        </w:rPr>
        <w:footnoteRef/>
      </w:r>
      <w:r>
        <w:t xml:space="preserve"> Pugh </w:t>
      </w:r>
      <w:proofErr w:type="spellStart"/>
      <w:r>
        <w:t>loc</w:t>
      </w:r>
      <w:proofErr w:type="spellEnd"/>
      <w:r>
        <w:t xml:space="preserve"> 26%</w:t>
      </w:r>
    </w:p>
  </w:footnote>
  <w:footnote w:id="17">
    <w:p w:rsidR="00253B4F" w:rsidRDefault="00253B4F">
      <w:pPr>
        <w:pStyle w:val="FootnoteText"/>
      </w:pPr>
      <w:r>
        <w:rPr>
          <w:rStyle w:val="FootnoteReference"/>
        </w:rPr>
        <w:footnoteRef/>
      </w:r>
      <w:r>
        <w:t xml:space="preserve"> Pugh </w:t>
      </w:r>
      <w:proofErr w:type="spellStart"/>
      <w:r>
        <w:t>loc</w:t>
      </w:r>
      <w:proofErr w:type="spellEnd"/>
      <w:r>
        <w:t xml:space="preserve"> 26%</w:t>
      </w:r>
    </w:p>
  </w:footnote>
  <w:footnote w:id="18">
    <w:p w:rsidR="00253B4F" w:rsidRDefault="00253B4F">
      <w:pPr>
        <w:pStyle w:val="FootnoteText"/>
      </w:pPr>
      <w:r>
        <w:rPr>
          <w:rStyle w:val="FootnoteReference"/>
        </w:rPr>
        <w:footnoteRef/>
      </w:r>
      <w:r>
        <w:t xml:space="preserve"> ibid </w:t>
      </w:r>
      <w:proofErr w:type="spellStart"/>
      <w:r>
        <w:t>loc</w:t>
      </w:r>
      <w:proofErr w:type="spellEnd"/>
      <w:r>
        <w:t xml:space="preserve"> 24%</w:t>
      </w:r>
    </w:p>
  </w:footnote>
  <w:footnote w:id="19">
    <w:p w:rsidR="00253B4F" w:rsidRPr="00253B4F" w:rsidRDefault="00253B4F">
      <w:pPr>
        <w:pStyle w:val="FootnoteText"/>
      </w:pPr>
      <w:r>
        <w:rPr>
          <w:rStyle w:val="FootnoteReference"/>
        </w:rPr>
        <w:footnoteRef/>
      </w:r>
      <w:r>
        <w:t xml:space="preserve"> </w:t>
      </w:r>
      <w:r w:rsidRPr="00253B4F">
        <w:rPr>
          <w:rFonts w:cstheme="majorHAnsi"/>
        </w:rPr>
        <w:t xml:space="preserve">Foley, G (1909). </w:t>
      </w:r>
      <w:r w:rsidRPr="00253B4F">
        <w:rPr>
          <w:rFonts w:cstheme="majorHAnsi"/>
          <w:i/>
        </w:rPr>
        <w:t>Anselm’s theory of the atonement</w:t>
      </w:r>
      <w:r>
        <w:rPr>
          <w:rFonts w:cstheme="majorHAnsi"/>
        </w:rPr>
        <w:t xml:space="preserve"> p.113</w:t>
      </w:r>
    </w:p>
  </w:footnote>
  <w:footnote w:id="20">
    <w:p w:rsidR="00253B4F" w:rsidRDefault="00253B4F">
      <w:pPr>
        <w:pStyle w:val="FootnoteText"/>
      </w:pPr>
      <w:r>
        <w:rPr>
          <w:rStyle w:val="FootnoteReference"/>
        </w:rPr>
        <w:footnoteRef/>
      </w:r>
      <w:r>
        <w:t xml:space="preserve"> </w:t>
      </w:r>
      <w:r w:rsidRPr="00253B4F">
        <w:rPr>
          <w:rFonts w:cstheme="majorHAnsi"/>
        </w:rPr>
        <w:t>Hopkins, J (1972). </w:t>
      </w:r>
      <w:r w:rsidRPr="00253B4F">
        <w:rPr>
          <w:rFonts w:cstheme="majorHAnsi"/>
          <w:i/>
          <w:iCs/>
        </w:rPr>
        <w:t>A Companion to the Study of St Anselm</w:t>
      </w:r>
      <w:r w:rsidRPr="00253B4F">
        <w:rPr>
          <w:rFonts w:cstheme="majorHAnsi"/>
        </w:rPr>
        <w:t>.</w:t>
      </w:r>
      <w:r>
        <w:rPr>
          <w:rFonts w:cstheme="majorHAnsi"/>
        </w:rPr>
        <w:t xml:space="preserve"> p.197</w:t>
      </w:r>
    </w:p>
  </w:footnote>
  <w:footnote w:id="21">
    <w:p w:rsidR="00253B4F" w:rsidRDefault="00253B4F">
      <w:pPr>
        <w:pStyle w:val="FootnoteText"/>
      </w:pPr>
      <w:r>
        <w:rPr>
          <w:rStyle w:val="FootnoteReference"/>
        </w:rPr>
        <w:footnoteRef/>
      </w:r>
      <w:r>
        <w:t xml:space="preserve"> ibid p.198</w:t>
      </w:r>
    </w:p>
  </w:footnote>
  <w:footnote w:id="22">
    <w:p w:rsidR="00152D82" w:rsidRDefault="00152D82">
      <w:pPr>
        <w:pStyle w:val="FootnoteText"/>
      </w:pPr>
      <w:r>
        <w:rPr>
          <w:rStyle w:val="FootnoteReference"/>
        </w:rPr>
        <w:footnoteRef/>
      </w:r>
      <w:r>
        <w:t xml:space="preserve"> ibid p.198</w:t>
      </w:r>
    </w:p>
  </w:footnote>
  <w:footnote w:id="23">
    <w:p w:rsidR="00152D82" w:rsidRDefault="00152D82">
      <w:pPr>
        <w:pStyle w:val="FootnoteText"/>
      </w:pPr>
      <w:r>
        <w:rPr>
          <w:rStyle w:val="FootnoteReference"/>
        </w:rPr>
        <w:footnoteRef/>
      </w:r>
      <w:r>
        <w:t xml:space="preserve"> </w:t>
      </w:r>
      <w:r w:rsidRPr="00253B4F">
        <w:rPr>
          <w:rFonts w:cstheme="majorHAnsi"/>
        </w:rPr>
        <w:t xml:space="preserve">Hogg, D. (2018). Christology: The </w:t>
      </w:r>
      <w:r w:rsidRPr="00253B4F">
        <w:rPr>
          <w:rFonts w:cstheme="majorHAnsi"/>
          <w:i/>
        </w:rPr>
        <w:t>Cur Deus Homo</w:t>
      </w:r>
      <w:r w:rsidRPr="00253B4F">
        <w:rPr>
          <w:rFonts w:cstheme="majorHAnsi"/>
        </w:rPr>
        <w:t>. In: Murphy, F. A. </w:t>
      </w:r>
      <w:r w:rsidRPr="00253B4F">
        <w:rPr>
          <w:rFonts w:cstheme="majorHAnsi"/>
          <w:i/>
          <w:iCs/>
        </w:rPr>
        <w:t>The Oxford Handbook of Christology</w:t>
      </w:r>
      <w:r w:rsidRPr="00253B4F">
        <w:rPr>
          <w:rFonts w:cstheme="majorHAnsi"/>
        </w:rPr>
        <w:t>.</w:t>
      </w:r>
      <w:r>
        <w:rPr>
          <w:rFonts w:cstheme="majorHAnsi"/>
        </w:rPr>
        <w:t xml:space="preserve"> p.199</w:t>
      </w:r>
    </w:p>
  </w:footnote>
  <w:footnote w:id="24">
    <w:p w:rsidR="00152D82" w:rsidRDefault="00152D82">
      <w:pPr>
        <w:pStyle w:val="FootnoteText"/>
      </w:pPr>
      <w:r>
        <w:rPr>
          <w:rStyle w:val="FootnoteReference"/>
        </w:rPr>
        <w:footnoteRef/>
      </w:r>
      <w:r>
        <w:t xml:space="preserve"> McGrath p.260</w:t>
      </w:r>
    </w:p>
  </w:footnote>
  <w:footnote w:id="25">
    <w:p w:rsidR="00152D82" w:rsidRDefault="00152D82">
      <w:pPr>
        <w:pStyle w:val="FootnoteText"/>
      </w:pPr>
      <w:r>
        <w:rPr>
          <w:rStyle w:val="FootnoteReference"/>
        </w:rPr>
        <w:footnoteRef/>
      </w:r>
      <w:r>
        <w:t xml:space="preserve"> </w:t>
      </w:r>
      <w:r w:rsidRPr="00253B4F">
        <w:rPr>
          <w:rFonts w:cstheme="majorHAnsi"/>
        </w:rPr>
        <w:t xml:space="preserve">Brown, D. (2004). Anselm on atonement. In: Davies, B. and </w:t>
      </w:r>
      <w:proofErr w:type="spellStart"/>
      <w:r w:rsidRPr="00253B4F">
        <w:rPr>
          <w:rFonts w:cstheme="majorHAnsi"/>
        </w:rPr>
        <w:t>Leftow</w:t>
      </w:r>
      <w:proofErr w:type="spellEnd"/>
      <w:r w:rsidRPr="00253B4F">
        <w:rPr>
          <w:rFonts w:cstheme="majorHAnsi"/>
        </w:rPr>
        <w:t>, B </w:t>
      </w:r>
      <w:proofErr w:type="gramStart"/>
      <w:r w:rsidRPr="00253B4F">
        <w:rPr>
          <w:rFonts w:cstheme="majorHAnsi"/>
          <w:i/>
          <w:iCs/>
        </w:rPr>
        <w:t>The</w:t>
      </w:r>
      <w:proofErr w:type="gramEnd"/>
      <w:r w:rsidRPr="00253B4F">
        <w:rPr>
          <w:rFonts w:cstheme="majorHAnsi"/>
          <w:i/>
          <w:iCs/>
        </w:rPr>
        <w:t xml:space="preserve"> Cambridge Companion to Anselm</w:t>
      </w:r>
      <w:r w:rsidRPr="00253B4F">
        <w:rPr>
          <w:rFonts w:cstheme="majorHAnsi"/>
        </w:rPr>
        <w:t>.</w:t>
      </w:r>
      <w:r>
        <w:rPr>
          <w:rFonts w:cstheme="majorHAnsi"/>
        </w:rPr>
        <w:t xml:space="preserve"> p.294</w:t>
      </w:r>
    </w:p>
  </w:footnote>
  <w:footnote w:id="26">
    <w:p w:rsidR="00152D82" w:rsidRDefault="00152D82">
      <w:pPr>
        <w:pStyle w:val="FootnoteText"/>
      </w:pPr>
      <w:r>
        <w:rPr>
          <w:rStyle w:val="FootnoteReference"/>
        </w:rPr>
        <w:footnoteRef/>
      </w:r>
      <w:r>
        <w:t xml:space="preserve"> ibid p.293</w:t>
      </w:r>
    </w:p>
  </w:footnote>
  <w:footnote w:id="27">
    <w:p w:rsidR="00152D82" w:rsidRDefault="00152D82">
      <w:pPr>
        <w:pStyle w:val="FootnoteText"/>
      </w:pPr>
      <w:r>
        <w:rPr>
          <w:rStyle w:val="FootnoteReference"/>
        </w:rPr>
        <w:footnoteRef/>
      </w:r>
      <w:r>
        <w:t xml:space="preserve"> ibid p.293; Hopkins pp197-198</w:t>
      </w:r>
    </w:p>
  </w:footnote>
  <w:footnote w:id="28">
    <w:p w:rsidR="00152D82" w:rsidRDefault="00152D82">
      <w:pPr>
        <w:pStyle w:val="FootnoteText"/>
      </w:pPr>
      <w:r>
        <w:rPr>
          <w:rStyle w:val="FootnoteReference"/>
        </w:rPr>
        <w:footnoteRef/>
      </w:r>
      <w:r>
        <w:t xml:space="preserve"> Pugh </w:t>
      </w:r>
      <w:proofErr w:type="spellStart"/>
      <w:r>
        <w:t>loc</w:t>
      </w:r>
      <w:proofErr w:type="spellEnd"/>
      <w:r>
        <w:t xml:space="preserve"> 27%</w:t>
      </w:r>
    </w:p>
  </w:footnote>
  <w:footnote w:id="29">
    <w:p w:rsidR="00152D82" w:rsidRDefault="00152D82">
      <w:pPr>
        <w:pStyle w:val="FootnoteText"/>
      </w:pPr>
      <w:r>
        <w:rPr>
          <w:rStyle w:val="FootnoteReference"/>
        </w:rPr>
        <w:footnoteRef/>
      </w:r>
      <w:r>
        <w:t xml:space="preserve"> </w:t>
      </w:r>
      <w:proofErr w:type="spellStart"/>
      <w:r w:rsidR="00926464" w:rsidRPr="00926464">
        <w:rPr>
          <w:color w:val="000000"/>
        </w:rPr>
        <w:t>Whidden</w:t>
      </w:r>
      <w:proofErr w:type="spellEnd"/>
      <w:r w:rsidR="00926464" w:rsidRPr="00926464">
        <w:rPr>
          <w:color w:val="000000"/>
        </w:rPr>
        <w:t xml:space="preserve">, D. (2011). The Alleged Feudalism of </w:t>
      </w:r>
      <w:r w:rsidR="00926464" w:rsidRPr="00926464">
        <w:rPr>
          <w:i/>
          <w:color w:val="000000"/>
        </w:rPr>
        <w:t>Anselm's Cur Deus Homo</w:t>
      </w:r>
      <w:r w:rsidR="00926464" w:rsidRPr="00926464">
        <w:rPr>
          <w:color w:val="000000"/>
        </w:rPr>
        <w:t xml:space="preserve"> and the Benedictine Concepts of Obedience, </w:t>
      </w:r>
      <w:proofErr w:type="spellStart"/>
      <w:r w:rsidR="00926464" w:rsidRPr="00926464">
        <w:rPr>
          <w:color w:val="000000"/>
        </w:rPr>
        <w:t>Honor</w:t>
      </w:r>
      <w:proofErr w:type="spellEnd"/>
      <w:r w:rsidR="00926464" w:rsidRPr="00926464">
        <w:rPr>
          <w:color w:val="000000"/>
        </w:rPr>
        <w:t>, and Order</w:t>
      </w:r>
      <w:r w:rsidR="00926464">
        <w:rPr>
          <w:color w:val="000000"/>
        </w:rPr>
        <w:t xml:space="preserve"> p. 1059; Pugh </w:t>
      </w:r>
      <w:proofErr w:type="spellStart"/>
      <w:r w:rsidR="00926464">
        <w:rPr>
          <w:color w:val="000000"/>
        </w:rPr>
        <w:t>loc</w:t>
      </w:r>
      <w:proofErr w:type="spellEnd"/>
      <w:r w:rsidR="00926464">
        <w:rPr>
          <w:color w:val="000000"/>
        </w:rPr>
        <w:t xml:space="preserve"> 27%</w:t>
      </w:r>
    </w:p>
  </w:footnote>
  <w:footnote w:id="30">
    <w:p w:rsidR="00926464" w:rsidRDefault="00926464">
      <w:pPr>
        <w:pStyle w:val="FootnoteText"/>
      </w:pPr>
      <w:r>
        <w:rPr>
          <w:rStyle w:val="FootnoteReference"/>
        </w:rPr>
        <w:footnoteRef/>
      </w:r>
      <w:r>
        <w:t xml:space="preserve"> Foley p.114</w:t>
      </w:r>
    </w:p>
  </w:footnote>
  <w:footnote w:id="31">
    <w:p w:rsidR="0069448D" w:rsidRDefault="0069448D">
      <w:pPr>
        <w:pStyle w:val="FootnoteText"/>
      </w:pPr>
      <w:r>
        <w:rPr>
          <w:rStyle w:val="FootnoteReference"/>
        </w:rPr>
        <w:footnoteRef/>
      </w:r>
      <w:r>
        <w:t xml:space="preserve"> McGrath p.260</w:t>
      </w:r>
    </w:p>
  </w:footnote>
  <w:footnote w:id="32">
    <w:p w:rsidR="0069448D" w:rsidRDefault="0069448D">
      <w:pPr>
        <w:pStyle w:val="FootnoteText"/>
      </w:pPr>
      <w:r>
        <w:rPr>
          <w:rStyle w:val="FootnoteReference"/>
        </w:rPr>
        <w:footnoteRef/>
      </w:r>
      <w:r>
        <w:t xml:space="preserve"> </w:t>
      </w:r>
      <w:r w:rsidRPr="00253B4F">
        <w:rPr>
          <w:rFonts w:cstheme="majorHAnsi"/>
        </w:rPr>
        <w:t>McGrath, A. (2017). The Person of Christ. In: McGrath, A </w:t>
      </w:r>
      <w:proofErr w:type="gramStart"/>
      <w:r w:rsidRPr="00253B4F">
        <w:rPr>
          <w:rFonts w:cstheme="majorHAnsi"/>
          <w:i/>
          <w:iCs/>
        </w:rPr>
        <w:t>The</w:t>
      </w:r>
      <w:proofErr w:type="gramEnd"/>
      <w:r w:rsidRPr="00253B4F">
        <w:rPr>
          <w:rFonts w:cstheme="majorHAnsi"/>
          <w:i/>
          <w:iCs/>
        </w:rPr>
        <w:t xml:space="preserve"> Christian Theology Reader</w:t>
      </w:r>
      <w:r w:rsidRPr="00253B4F">
        <w:rPr>
          <w:rFonts w:cstheme="majorHAnsi"/>
        </w:rPr>
        <w:t>.</w:t>
      </w:r>
      <w:r>
        <w:rPr>
          <w:rFonts w:cstheme="majorHAnsi"/>
        </w:rPr>
        <w:t xml:space="preserve"> p.297</w:t>
      </w:r>
    </w:p>
  </w:footnote>
  <w:footnote w:id="33">
    <w:p w:rsidR="0069448D" w:rsidRDefault="0069448D">
      <w:pPr>
        <w:pStyle w:val="FootnoteText"/>
      </w:pPr>
      <w:r>
        <w:rPr>
          <w:rStyle w:val="FootnoteReference"/>
        </w:rPr>
        <w:footnoteRef/>
      </w:r>
      <w:r>
        <w:t xml:space="preserve"> Hopkins p.192</w:t>
      </w:r>
    </w:p>
  </w:footnote>
  <w:footnote w:id="34">
    <w:p w:rsidR="0069448D" w:rsidRDefault="0069448D">
      <w:pPr>
        <w:pStyle w:val="FootnoteText"/>
      </w:pPr>
      <w:r>
        <w:rPr>
          <w:rStyle w:val="FootnoteReference"/>
        </w:rPr>
        <w:footnoteRef/>
      </w:r>
      <w:r>
        <w:t xml:space="preserve"> Brown p.293</w:t>
      </w:r>
    </w:p>
  </w:footnote>
  <w:footnote w:id="35">
    <w:p w:rsidR="0069448D" w:rsidRDefault="0069448D">
      <w:pPr>
        <w:pStyle w:val="FootnoteText"/>
      </w:pPr>
      <w:r>
        <w:rPr>
          <w:rStyle w:val="FootnoteReference"/>
        </w:rPr>
        <w:footnoteRef/>
      </w:r>
      <w:r>
        <w:t xml:space="preserve"> </w:t>
      </w:r>
      <w:proofErr w:type="spellStart"/>
      <w:r>
        <w:t>Towey</w:t>
      </w:r>
      <w:proofErr w:type="spellEnd"/>
      <w:r>
        <w:t xml:space="preserve"> p.253</w:t>
      </w:r>
    </w:p>
  </w:footnote>
  <w:footnote w:id="36">
    <w:p w:rsidR="0069448D" w:rsidRDefault="0069448D">
      <w:pPr>
        <w:pStyle w:val="FootnoteText"/>
      </w:pPr>
      <w:r>
        <w:rPr>
          <w:rStyle w:val="FootnoteReference"/>
        </w:rPr>
        <w:footnoteRef/>
      </w:r>
      <w:r>
        <w:t xml:space="preserve"> Brown p.293</w:t>
      </w:r>
    </w:p>
  </w:footnote>
  <w:footnote w:id="37">
    <w:p w:rsidR="0069448D" w:rsidRDefault="0069448D">
      <w:pPr>
        <w:pStyle w:val="FootnoteText"/>
      </w:pPr>
      <w:r>
        <w:rPr>
          <w:rStyle w:val="FootnoteReference"/>
        </w:rPr>
        <w:footnoteRef/>
      </w:r>
      <w:r>
        <w:t xml:space="preserve"> Pugh </w:t>
      </w:r>
      <w:proofErr w:type="spellStart"/>
      <w:r>
        <w:t>loc</w:t>
      </w:r>
      <w:proofErr w:type="spellEnd"/>
      <w:r>
        <w:t xml:space="preserve"> 25%</w:t>
      </w:r>
    </w:p>
  </w:footnote>
  <w:footnote w:id="38">
    <w:p w:rsidR="0069448D" w:rsidRPr="0069448D" w:rsidRDefault="0069448D">
      <w:pPr>
        <w:pStyle w:val="FootnoteText"/>
      </w:pPr>
      <w:r>
        <w:rPr>
          <w:rStyle w:val="FootnoteReference"/>
        </w:rPr>
        <w:footnoteRef/>
      </w:r>
      <w:r>
        <w:t xml:space="preserve"> </w:t>
      </w:r>
      <w:r w:rsidRPr="00253B4F">
        <w:rPr>
          <w:rFonts w:cstheme="majorHAnsi"/>
        </w:rPr>
        <w:t>Weinandy, T. G., (1985). </w:t>
      </w:r>
      <w:r w:rsidRPr="00253B4F">
        <w:rPr>
          <w:rFonts w:cstheme="majorHAnsi"/>
          <w:i/>
          <w:iCs/>
        </w:rPr>
        <w:t>Does God Change?</w:t>
      </w:r>
      <w:r>
        <w:rPr>
          <w:rFonts w:cstheme="majorHAnsi"/>
          <w:iCs/>
        </w:rPr>
        <w:t xml:space="preserve"> p.68</w:t>
      </w:r>
    </w:p>
  </w:footnote>
  <w:footnote w:id="39">
    <w:p w:rsidR="0069448D" w:rsidRDefault="0069448D">
      <w:pPr>
        <w:pStyle w:val="FootnoteText"/>
      </w:pPr>
      <w:r>
        <w:rPr>
          <w:rStyle w:val="FootnoteReference"/>
        </w:rPr>
        <w:footnoteRef/>
      </w:r>
      <w:r>
        <w:t xml:space="preserve"> ibid p.68-69</w:t>
      </w:r>
    </w:p>
  </w:footnote>
  <w:footnote w:id="40">
    <w:p w:rsidR="0069448D" w:rsidRDefault="0069448D">
      <w:pPr>
        <w:pStyle w:val="FootnoteText"/>
      </w:pPr>
      <w:r>
        <w:rPr>
          <w:rStyle w:val="FootnoteReference"/>
        </w:rPr>
        <w:footnoteRef/>
      </w:r>
      <w:r>
        <w:t xml:space="preserve"> ibid p. 69</w:t>
      </w:r>
    </w:p>
  </w:footnote>
  <w:footnote w:id="41">
    <w:p w:rsidR="0069448D" w:rsidRDefault="0069448D">
      <w:pPr>
        <w:pStyle w:val="FootnoteText"/>
      </w:pPr>
      <w:r>
        <w:rPr>
          <w:rStyle w:val="FootnoteReference"/>
        </w:rPr>
        <w:footnoteRef/>
      </w:r>
      <w:r>
        <w:t xml:space="preserve"> ibid p. 69</w:t>
      </w:r>
    </w:p>
  </w:footnote>
  <w:footnote w:id="42">
    <w:p w:rsidR="0069448D" w:rsidRDefault="0069448D">
      <w:pPr>
        <w:pStyle w:val="FootnoteText"/>
      </w:pPr>
      <w:r>
        <w:rPr>
          <w:rStyle w:val="FootnoteReference"/>
        </w:rPr>
        <w:footnoteRef/>
      </w:r>
      <w:r>
        <w:t xml:space="preserve"> Brown p.293</w:t>
      </w:r>
    </w:p>
  </w:footnote>
  <w:footnote w:id="43">
    <w:p w:rsidR="0069448D" w:rsidRDefault="0069448D">
      <w:pPr>
        <w:pStyle w:val="FootnoteText"/>
      </w:pPr>
      <w:r>
        <w:rPr>
          <w:rStyle w:val="FootnoteReference"/>
        </w:rPr>
        <w:footnoteRef/>
      </w:r>
      <w:r>
        <w:t xml:space="preserve"> </w:t>
      </w:r>
      <w:proofErr w:type="spellStart"/>
      <w:r>
        <w:t>Towey</w:t>
      </w:r>
      <w:proofErr w:type="spellEnd"/>
      <w:r>
        <w:t xml:space="preserve"> p. 253</w:t>
      </w:r>
    </w:p>
  </w:footnote>
  <w:footnote w:id="44">
    <w:p w:rsidR="0069448D" w:rsidRDefault="0069448D">
      <w:pPr>
        <w:pStyle w:val="FootnoteText"/>
      </w:pPr>
      <w:r>
        <w:rPr>
          <w:rStyle w:val="FootnoteReference"/>
        </w:rPr>
        <w:footnoteRef/>
      </w:r>
      <w:r>
        <w:t xml:space="preserve"> Brown p. 291</w:t>
      </w:r>
    </w:p>
  </w:footnote>
  <w:footnote w:id="45">
    <w:p w:rsidR="0069448D" w:rsidRDefault="0069448D">
      <w:pPr>
        <w:pStyle w:val="FootnoteText"/>
      </w:pPr>
      <w:r>
        <w:rPr>
          <w:rStyle w:val="FootnoteReference"/>
        </w:rPr>
        <w:footnoteRef/>
      </w:r>
      <w:r>
        <w:t xml:space="preserve"> </w:t>
      </w:r>
      <w:proofErr w:type="spellStart"/>
      <w:r>
        <w:t>O’Collins</w:t>
      </w:r>
      <w:proofErr w:type="spellEnd"/>
      <w:r>
        <w:t xml:space="preserve"> p. 199</w:t>
      </w:r>
    </w:p>
  </w:footnote>
  <w:footnote w:id="46">
    <w:p w:rsidR="0069448D" w:rsidRDefault="0069448D">
      <w:pPr>
        <w:pStyle w:val="FootnoteText"/>
      </w:pPr>
      <w:r>
        <w:rPr>
          <w:rStyle w:val="FootnoteReference"/>
        </w:rPr>
        <w:footnoteRef/>
      </w:r>
      <w:r>
        <w:t xml:space="preserve"> </w:t>
      </w:r>
      <w:r w:rsidRPr="00253B4F">
        <w:rPr>
          <w:rFonts w:cstheme="majorHAnsi"/>
          <w:color w:val="000000"/>
        </w:rPr>
        <w:t xml:space="preserve">Olsen, G. (1981). Hans </w:t>
      </w:r>
      <w:proofErr w:type="spellStart"/>
      <w:r w:rsidRPr="00253B4F">
        <w:rPr>
          <w:rFonts w:cstheme="majorHAnsi"/>
          <w:color w:val="000000"/>
        </w:rPr>
        <w:t>Urs</w:t>
      </w:r>
      <w:proofErr w:type="spellEnd"/>
      <w:r w:rsidRPr="00253B4F">
        <w:rPr>
          <w:rFonts w:cstheme="majorHAnsi"/>
          <w:color w:val="000000"/>
        </w:rPr>
        <w:t xml:space="preserve"> von Balthasar and the Rehabilitation of St. Anselm's Doctrine of the Atonement. </w:t>
      </w:r>
      <w:r>
        <w:rPr>
          <w:rFonts w:cstheme="majorHAnsi"/>
          <w:color w:val="000000"/>
        </w:rPr>
        <w:t>p.51</w:t>
      </w:r>
    </w:p>
  </w:footnote>
  <w:footnote w:id="47">
    <w:p w:rsidR="0069448D" w:rsidRDefault="0069448D">
      <w:pPr>
        <w:pStyle w:val="FootnoteText"/>
      </w:pPr>
      <w:r>
        <w:rPr>
          <w:rStyle w:val="FootnoteReference"/>
        </w:rPr>
        <w:footnoteRef/>
      </w:r>
      <w:r>
        <w:t xml:space="preserve"> ibid p.51</w:t>
      </w:r>
    </w:p>
  </w:footnote>
  <w:footnote w:id="48">
    <w:p w:rsidR="0069448D" w:rsidRDefault="0069448D">
      <w:pPr>
        <w:pStyle w:val="FootnoteText"/>
      </w:pPr>
      <w:r>
        <w:rPr>
          <w:rStyle w:val="FootnoteReference"/>
        </w:rPr>
        <w:footnoteRef/>
      </w:r>
      <w:r>
        <w:t xml:space="preserve"> </w:t>
      </w:r>
      <w:r w:rsidRPr="00253B4F">
        <w:rPr>
          <w:rFonts w:cstheme="majorHAnsi"/>
        </w:rPr>
        <w:t>McGrath, A (2017). </w:t>
      </w:r>
      <w:r w:rsidRPr="00253B4F">
        <w:rPr>
          <w:rFonts w:cstheme="majorHAnsi"/>
          <w:i/>
          <w:iCs/>
        </w:rPr>
        <w:t xml:space="preserve">Christian Theology </w:t>
      </w:r>
      <w:proofErr w:type="gramStart"/>
      <w:r w:rsidRPr="00253B4F">
        <w:rPr>
          <w:rFonts w:cstheme="majorHAnsi"/>
          <w:i/>
          <w:iCs/>
        </w:rPr>
        <w:t>An</w:t>
      </w:r>
      <w:proofErr w:type="gramEnd"/>
      <w:r w:rsidRPr="00253B4F">
        <w:rPr>
          <w:rFonts w:cstheme="majorHAnsi"/>
          <w:i/>
          <w:iCs/>
        </w:rPr>
        <w:t xml:space="preserve"> Introduction</w:t>
      </w:r>
      <w:r w:rsidRPr="00253B4F">
        <w:rPr>
          <w:rFonts w:cstheme="majorHAnsi"/>
        </w:rPr>
        <w:t xml:space="preserve">. </w:t>
      </w:r>
      <w:r>
        <w:rPr>
          <w:rFonts w:cstheme="majorHAnsi"/>
        </w:rPr>
        <w:t>p.260</w:t>
      </w:r>
    </w:p>
  </w:footnote>
  <w:footnote w:id="49">
    <w:p w:rsidR="0069448D" w:rsidRDefault="0069448D">
      <w:pPr>
        <w:pStyle w:val="FootnoteText"/>
      </w:pPr>
      <w:r>
        <w:rPr>
          <w:rStyle w:val="FootnoteReference"/>
        </w:rPr>
        <w:footnoteRef/>
      </w:r>
      <w:r>
        <w:t xml:space="preserve"> Olsen p.52</w:t>
      </w:r>
    </w:p>
  </w:footnote>
  <w:footnote w:id="50">
    <w:p w:rsidR="006B5537" w:rsidRPr="006B5537" w:rsidRDefault="006B5537">
      <w:pPr>
        <w:pStyle w:val="FootnoteText"/>
      </w:pPr>
      <w:r>
        <w:rPr>
          <w:rStyle w:val="FootnoteReference"/>
        </w:rPr>
        <w:footnoteRef/>
      </w:r>
      <w:r>
        <w:t xml:space="preserve"> </w:t>
      </w:r>
      <w:r w:rsidRPr="00491FAC">
        <w:t>Hogg, D (2016). </w:t>
      </w:r>
      <w:r w:rsidRPr="00491FAC">
        <w:rPr>
          <w:i/>
          <w:iCs/>
        </w:rPr>
        <w:t>Anselm of Canterbury</w:t>
      </w:r>
      <w:r>
        <w:rPr>
          <w:iCs/>
        </w:rPr>
        <w:t xml:space="preserve"> p.169</w:t>
      </w:r>
    </w:p>
  </w:footnote>
  <w:footnote w:id="51">
    <w:p w:rsidR="006B5537" w:rsidRDefault="006B5537">
      <w:pPr>
        <w:pStyle w:val="FootnoteText"/>
      </w:pPr>
      <w:r>
        <w:rPr>
          <w:rStyle w:val="FootnoteReference"/>
        </w:rPr>
        <w:footnoteRef/>
      </w:r>
      <w:r>
        <w:t xml:space="preserve"> </w:t>
      </w:r>
      <w:proofErr w:type="spellStart"/>
      <w:r>
        <w:t>Towey</w:t>
      </w:r>
      <w:proofErr w:type="spellEnd"/>
      <w:r>
        <w:t xml:space="preserve"> p.253</w:t>
      </w:r>
    </w:p>
  </w:footnote>
  <w:footnote w:id="52">
    <w:p w:rsidR="006B5537" w:rsidRDefault="006B5537">
      <w:pPr>
        <w:pStyle w:val="FootnoteText"/>
      </w:pPr>
      <w:r>
        <w:rPr>
          <w:rStyle w:val="FootnoteReference"/>
        </w:rPr>
        <w:footnoteRef/>
      </w:r>
      <w:r>
        <w:t xml:space="preserve"> Olsen p.52</w:t>
      </w:r>
    </w:p>
  </w:footnote>
  <w:footnote w:id="53">
    <w:p w:rsidR="006B5537" w:rsidRPr="006B5537" w:rsidRDefault="006B5537">
      <w:pPr>
        <w:pStyle w:val="FootnoteText"/>
      </w:pPr>
      <w:r>
        <w:rPr>
          <w:rStyle w:val="FootnoteReference"/>
        </w:rPr>
        <w:footnoteRef/>
      </w:r>
      <w:r>
        <w:t xml:space="preserve"> </w:t>
      </w:r>
      <w:r w:rsidRPr="00491FAC">
        <w:t>Armstrong, K (2019). </w:t>
      </w:r>
      <w:r w:rsidRPr="00491FAC">
        <w:rPr>
          <w:i/>
          <w:iCs/>
        </w:rPr>
        <w:t>The Lost Art of Scripture</w:t>
      </w:r>
      <w:r>
        <w:rPr>
          <w:iCs/>
        </w:rPr>
        <w:t xml:space="preserve"> p.268</w:t>
      </w:r>
    </w:p>
  </w:footnote>
  <w:footnote w:id="54">
    <w:p w:rsidR="006B5537" w:rsidRDefault="006B5537">
      <w:pPr>
        <w:pStyle w:val="FootnoteText"/>
      </w:pPr>
      <w:r>
        <w:rPr>
          <w:rStyle w:val="FootnoteReference"/>
        </w:rPr>
        <w:footnoteRef/>
      </w:r>
      <w:r>
        <w:t xml:space="preserve"> </w:t>
      </w:r>
      <w:r w:rsidRPr="00491FAC">
        <w:t>Hogg, D (2016). </w:t>
      </w:r>
      <w:r w:rsidRPr="00491FAC">
        <w:rPr>
          <w:i/>
          <w:iCs/>
        </w:rPr>
        <w:t>Anselm of Canterbury</w:t>
      </w:r>
      <w:r>
        <w:rPr>
          <w:iCs/>
        </w:rPr>
        <w:t xml:space="preserve"> p.1</w:t>
      </w:r>
      <w:r>
        <w:rPr>
          <w:iCs/>
        </w:rPr>
        <w:t>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2F9" w:rsidRPr="00FA60AD" w:rsidRDefault="002622F9">
    <w:pPr>
      <w:pStyle w:val="Header"/>
      <w:rPr>
        <w:rFonts w:ascii="Verdana" w:hAnsi="Verdana"/>
        <w:sz w:val="24"/>
        <w:szCs w:val="24"/>
      </w:rPr>
    </w:pPr>
    <w:r>
      <w:rPr>
        <w:rFonts w:ascii="Verdana" w:hAnsi="Verdana"/>
        <w:sz w:val="24"/>
        <w:szCs w:val="24"/>
      </w:rPr>
      <w:t>Sarah Connelly 1703421</w:t>
    </w:r>
    <w:r>
      <w:rPr>
        <w:rFonts w:ascii="Verdana" w:hAnsi="Verdana"/>
        <w:sz w:val="24"/>
        <w:szCs w:val="24"/>
      </w:rPr>
      <w:tab/>
    </w:r>
    <w:r>
      <w:rPr>
        <w:rFonts w:ascii="Verdana" w:hAnsi="Verdana"/>
        <w:sz w:val="24"/>
        <w:szCs w:val="24"/>
      </w:rPr>
      <w:tab/>
      <w:t>Christology HPTR7009</w:t>
    </w:r>
  </w:p>
  <w:p w:rsidR="002622F9" w:rsidRDefault="002622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B8"/>
    <w:rsid w:val="000107A9"/>
    <w:rsid w:val="00046C6C"/>
    <w:rsid w:val="000A2BD9"/>
    <w:rsid w:val="00152D82"/>
    <w:rsid w:val="001B6D6F"/>
    <w:rsid w:val="001E52F1"/>
    <w:rsid w:val="00225572"/>
    <w:rsid w:val="00246AAE"/>
    <w:rsid w:val="002501DD"/>
    <w:rsid w:val="00253B4F"/>
    <w:rsid w:val="002622F9"/>
    <w:rsid w:val="002C3C0B"/>
    <w:rsid w:val="002D5705"/>
    <w:rsid w:val="00374A8A"/>
    <w:rsid w:val="00394903"/>
    <w:rsid w:val="003C52C6"/>
    <w:rsid w:val="0045582F"/>
    <w:rsid w:val="00491FAC"/>
    <w:rsid w:val="004A59B9"/>
    <w:rsid w:val="004F2B69"/>
    <w:rsid w:val="00505313"/>
    <w:rsid w:val="005916F2"/>
    <w:rsid w:val="005D3451"/>
    <w:rsid w:val="005E6620"/>
    <w:rsid w:val="00601B36"/>
    <w:rsid w:val="00633CF6"/>
    <w:rsid w:val="0069448D"/>
    <w:rsid w:val="006B5537"/>
    <w:rsid w:val="00742BBD"/>
    <w:rsid w:val="008F0BA6"/>
    <w:rsid w:val="00902BC2"/>
    <w:rsid w:val="00921504"/>
    <w:rsid w:val="00923AB3"/>
    <w:rsid w:val="00926464"/>
    <w:rsid w:val="00947FC8"/>
    <w:rsid w:val="009A1B15"/>
    <w:rsid w:val="009E4DE2"/>
    <w:rsid w:val="00B349B8"/>
    <w:rsid w:val="00B7709D"/>
    <w:rsid w:val="00BF46A4"/>
    <w:rsid w:val="00C13FA9"/>
    <w:rsid w:val="00C70DB6"/>
    <w:rsid w:val="00D1226A"/>
    <w:rsid w:val="00D33DA0"/>
    <w:rsid w:val="00EC2A61"/>
    <w:rsid w:val="00ED3148"/>
    <w:rsid w:val="00F433AC"/>
    <w:rsid w:val="00FA60AD"/>
    <w:rsid w:val="00FC21BE"/>
    <w:rsid w:val="00FD0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B1FA47"/>
  <w15:chartTrackingRefBased/>
  <w15:docId w15:val="{D091703D-7E08-4F42-B157-BF796B205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7FC8"/>
    <w:pPr>
      <w:spacing w:after="0" w:line="240" w:lineRule="auto"/>
    </w:pPr>
  </w:style>
  <w:style w:type="character" w:styleId="Hyperlink">
    <w:name w:val="Hyperlink"/>
    <w:basedOn w:val="DefaultParagraphFont"/>
    <w:uiPriority w:val="99"/>
    <w:unhideWhenUsed/>
    <w:rsid w:val="0045582F"/>
    <w:rPr>
      <w:color w:val="0000FF"/>
      <w:u w:val="single"/>
    </w:rPr>
  </w:style>
  <w:style w:type="character" w:styleId="UnresolvedMention">
    <w:name w:val="Unresolved Mention"/>
    <w:basedOn w:val="DefaultParagraphFont"/>
    <w:uiPriority w:val="99"/>
    <w:semiHidden/>
    <w:unhideWhenUsed/>
    <w:rsid w:val="0045582F"/>
    <w:rPr>
      <w:color w:val="605E5C"/>
      <w:shd w:val="clear" w:color="auto" w:fill="E1DFDD"/>
    </w:rPr>
  </w:style>
  <w:style w:type="paragraph" w:styleId="FootnoteText">
    <w:name w:val="footnote text"/>
    <w:basedOn w:val="Normal"/>
    <w:link w:val="FootnoteTextChar"/>
    <w:uiPriority w:val="99"/>
    <w:semiHidden/>
    <w:unhideWhenUsed/>
    <w:rsid w:val="002C3C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3C0B"/>
    <w:rPr>
      <w:sz w:val="20"/>
      <w:szCs w:val="20"/>
    </w:rPr>
  </w:style>
  <w:style w:type="character" w:styleId="FootnoteReference">
    <w:name w:val="footnote reference"/>
    <w:basedOn w:val="DefaultParagraphFont"/>
    <w:uiPriority w:val="99"/>
    <w:semiHidden/>
    <w:unhideWhenUsed/>
    <w:rsid w:val="002C3C0B"/>
    <w:rPr>
      <w:vertAlign w:val="superscript"/>
    </w:rPr>
  </w:style>
  <w:style w:type="paragraph" w:styleId="Header">
    <w:name w:val="header"/>
    <w:basedOn w:val="Normal"/>
    <w:link w:val="HeaderChar"/>
    <w:uiPriority w:val="99"/>
    <w:unhideWhenUsed/>
    <w:rsid w:val="00262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2F9"/>
  </w:style>
  <w:style w:type="paragraph" w:styleId="Footer">
    <w:name w:val="footer"/>
    <w:basedOn w:val="Normal"/>
    <w:link w:val="FooterChar"/>
    <w:uiPriority w:val="99"/>
    <w:unhideWhenUsed/>
    <w:rsid w:val="00262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terms" TargetMode="External"/><Relationship Id="rId3" Type="http://schemas.openxmlformats.org/officeDocument/2006/relationships/settings" Target="settings.xml"/><Relationship Id="rId7" Type="http://schemas.openxmlformats.org/officeDocument/2006/relationships/hyperlink" Target="https://archive.org/details/anselmstheory00foleuof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793F1-7BFF-4B01-962A-AB7D5AF7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6</Pages>
  <Words>2698</Words>
  <Characters>12821</Characters>
  <Application>Microsoft Office Word</Application>
  <DocSecurity>0</DocSecurity>
  <Lines>228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Connelly S</dc:creator>
  <cp:keywords/>
  <dc:description/>
  <cp:lastModifiedBy>Sarah Connelly</cp:lastModifiedBy>
  <cp:revision>27</cp:revision>
  <dcterms:created xsi:type="dcterms:W3CDTF">2020-06-11T17:14:00Z</dcterms:created>
  <dcterms:modified xsi:type="dcterms:W3CDTF">2020-06-12T18:21:00Z</dcterms:modified>
</cp:coreProperties>
</file>