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336A2" w14:textId="77777777" w:rsidR="000C719F" w:rsidRDefault="000C719F" w:rsidP="000C719F">
      <w:pPr>
        <w:spacing w:after="0" w:line="360" w:lineRule="auto"/>
        <w:jc w:val="both"/>
        <w:rPr>
          <w:rFonts w:ascii="Times New Roman" w:hAnsi="Times New Roman" w:cs="Times New Roman"/>
          <w:b/>
          <w:bCs/>
          <w:sz w:val="24"/>
          <w:szCs w:val="24"/>
        </w:rPr>
      </w:pPr>
    </w:p>
    <w:p w14:paraId="6123A164" w14:textId="77777777" w:rsidR="000C719F" w:rsidRDefault="000C719F" w:rsidP="000C719F">
      <w:pPr>
        <w:spacing w:after="0" w:line="360" w:lineRule="auto"/>
        <w:jc w:val="both"/>
        <w:rPr>
          <w:rFonts w:ascii="Times New Roman" w:hAnsi="Times New Roman" w:cs="Times New Roman"/>
          <w:b/>
          <w:bCs/>
          <w:sz w:val="24"/>
          <w:szCs w:val="24"/>
        </w:rPr>
      </w:pPr>
    </w:p>
    <w:p w14:paraId="2EF3708A" w14:textId="77777777" w:rsidR="000C719F" w:rsidRDefault="000C719F" w:rsidP="000C719F">
      <w:pPr>
        <w:spacing w:after="0" w:line="360" w:lineRule="auto"/>
        <w:jc w:val="both"/>
        <w:rPr>
          <w:rFonts w:ascii="Times New Roman" w:hAnsi="Times New Roman" w:cs="Times New Roman"/>
          <w:b/>
          <w:bCs/>
          <w:sz w:val="24"/>
          <w:szCs w:val="24"/>
        </w:rPr>
      </w:pPr>
    </w:p>
    <w:p w14:paraId="4C313799" w14:textId="77777777" w:rsidR="000C719F" w:rsidRDefault="000C719F" w:rsidP="000C719F">
      <w:pPr>
        <w:spacing w:after="0" w:line="360" w:lineRule="auto"/>
        <w:jc w:val="both"/>
        <w:rPr>
          <w:rFonts w:ascii="Times New Roman" w:hAnsi="Times New Roman" w:cs="Times New Roman"/>
          <w:b/>
          <w:bCs/>
          <w:sz w:val="24"/>
          <w:szCs w:val="24"/>
        </w:rPr>
      </w:pPr>
    </w:p>
    <w:p w14:paraId="172EBDC7" w14:textId="77777777" w:rsidR="000C719F" w:rsidRDefault="000C719F" w:rsidP="000C719F">
      <w:pPr>
        <w:spacing w:after="0" w:line="360" w:lineRule="auto"/>
        <w:jc w:val="both"/>
        <w:rPr>
          <w:rFonts w:ascii="Times New Roman" w:hAnsi="Times New Roman" w:cs="Times New Roman"/>
          <w:b/>
          <w:bCs/>
          <w:sz w:val="24"/>
          <w:szCs w:val="24"/>
        </w:rPr>
      </w:pPr>
    </w:p>
    <w:p w14:paraId="773342EC" w14:textId="77777777" w:rsidR="000C719F" w:rsidRDefault="000C719F" w:rsidP="000C719F">
      <w:pPr>
        <w:spacing w:after="0" w:line="360" w:lineRule="auto"/>
        <w:jc w:val="both"/>
        <w:rPr>
          <w:rFonts w:ascii="Times New Roman" w:hAnsi="Times New Roman" w:cs="Times New Roman"/>
          <w:b/>
          <w:bCs/>
          <w:sz w:val="24"/>
          <w:szCs w:val="24"/>
        </w:rPr>
      </w:pPr>
    </w:p>
    <w:p w14:paraId="049B4A74" w14:textId="0FA664C1" w:rsidR="000C719F" w:rsidRDefault="00A7353C" w:rsidP="000C719F">
      <w:pPr>
        <w:spacing w:after="0" w:line="360" w:lineRule="auto"/>
        <w:jc w:val="both"/>
        <w:rPr>
          <w:rFonts w:ascii="Times New Roman" w:hAnsi="Times New Roman" w:cs="Times New Roman"/>
          <w:b/>
          <w:bCs/>
          <w:sz w:val="24"/>
          <w:szCs w:val="24"/>
        </w:rPr>
      </w:pPr>
      <w:r>
        <w:rPr>
          <w:noProof/>
          <w:sz w:val="36"/>
          <w:szCs w:val="36"/>
        </w:rPr>
        <w:drawing>
          <wp:inline distT="114300" distB="114300" distL="114300" distR="114300" wp14:anchorId="7D73EE0A" wp14:editId="63800318">
            <wp:extent cx="2371725" cy="847725"/>
            <wp:effectExtent l="0" t="0" r="0" b="0"/>
            <wp:docPr id="7"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black text&#10;&#10;AI-generated content may be incorrect."/>
                    <pic:cNvPicPr preferRelativeResize="0"/>
                  </pic:nvPicPr>
                  <pic:blipFill>
                    <a:blip r:embed="rId8"/>
                    <a:srcRect/>
                    <a:stretch>
                      <a:fillRect/>
                    </a:stretch>
                  </pic:blipFill>
                  <pic:spPr>
                    <a:xfrm>
                      <a:off x="0" y="0"/>
                      <a:ext cx="2371725" cy="847725"/>
                    </a:xfrm>
                    <a:prstGeom prst="rect">
                      <a:avLst/>
                    </a:prstGeom>
                    <a:ln/>
                  </pic:spPr>
                </pic:pic>
              </a:graphicData>
            </a:graphic>
          </wp:inline>
        </w:drawing>
      </w:r>
    </w:p>
    <w:p w14:paraId="5483FB36" w14:textId="77777777" w:rsidR="000C719F" w:rsidRDefault="000C719F" w:rsidP="000C719F">
      <w:pPr>
        <w:spacing w:after="0" w:line="360" w:lineRule="auto"/>
        <w:jc w:val="both"/>
        <w:rPr>
          <w:rFonts w:ascii="Times New Roman" w:hAnsi="Times New Roman" w:cs="Times New Roman"/>
          <w:b/>
          <w:bCs/>
          <w:sz w:val="24"/>
          <w:szCs w:val="24"/>
        </w:rPr>
      </w:pPr>
    </w:p>
    <w:p w14:paraId="664933DC" w14:textId="77777777" w:rsidR="000C719F" w:rsidRDefault="000C719F" w:rsidP="000C719F">
      <w:pPr>
        <w:spacing w:after="0" w:line="360" w:lineRule="auto"/>
        <w:jc w:val="both"/>
        <w:rPr>
          <w:rFonts w:ascii="Times New Roman" w:hAnsi="Times New Roman" w:cs="Times New Roman"/>
          <w:b/>
          <w:bCs/>
          <w:sz w:val="24"/>
          <w:szCs w:val="24"/>
        </w:rPr>
      </w:pPr>
    </w:p>
    <w:p w14:paraId="215778AF" w14:textId="77777777" w:rsidR="000C719F" w:rsidRDefault="000C719F" w:rsidP="000C719F">
      <w:pPr>
        <w:spacing w:after="0" w:line="360" w:lineRule="auto"/>
        <w:jc w:val="both"/>
        <w:rPr>
          <w:rFonts w:ascii="Times New Roman" w:hAnsi="Times New Roman" w:cs="Times New Roman"/>
          <w:b/>
          <w:bCs/>
          <w:sz w:val="24"/>
          <w:szCs w:val="24"/>
        </w:rPr>
      </w:pPr>
    </w:p>
    <w:p w14:paraId="4158E047" w14:textId="228F8D97" w:rsidR="00A7353C" w:rsidRDefault="00A7353C" w:rsidP="00A7353C">
      <w:pPr>
        <w:pStyle w:val="Heading1"/>
        <w:rPr>
          <w:sz w:val="36"/>
          <w:szCs w:val="36"/>
        </w:rPr>
      </w:pPr>
      <w:bookmarkStart w:id="0" w:name="_eul8t3hmcs1v" w:colFirst="0" w:colLast="0"/>
      <w:bookmarkEnd w:id="0"/>
    </w:p>
    <w:p w14:paraId="62C89624" w14:textId="5C0A78FC" w:rsidR="00A7353C" w:rsidRPr="00CA2BE0" w:rsidRDefault="00A7353C" w:rsidP="00A7353C">
      <w:pPr>
        <w:spacing w:after="160" w:line="259" w:lineRule="auto"/>
        <w:rPr>
          <w:b/>
          <w:sz w:val="44"/>
          <w:szCs w:val="44"/>
        </w:rPr>
      </w:pPr>
      <w:bookmarkStart w:id="1" w:name="_eedvbdgg3snh" w:colFirst="0" w:colLast="0"/>
      <w:bookmarkEnd w:id="1"/>
      <w:r w:rsidRPr="00CA2BE0">
        <w:rPr>
          <w:b/>
          <w:sz w:val="44"/>
          <w:szCs w:val="44"/>
        </w:rPr>
        <w:t xml:space="preserve">Module Title: International </w:t>
      </w:r>
      <w:r>
        <w:rPr>
          <w:b/>
          <w:sz w:val="44"/>
          <w:szCs w:val="44"/>
        </w:rPr>
        <w:t>Business Concepts</w:t>
      </w:r>
    </w:p>
    <w:p w14:paraId="4434D86A" w14:textId="4D78918E" w:rsidR="00A7353C" w:rsidRPr="00CA2BE0" w:rsidRDefault="00A7353C" w:rsidP="00A7353C">
      <w:pPr>
        <w:spacing w:after="160" w:line="259" w:lineRule="auto"/>
        <w:jc w:val="center"/>
        <w:rPr>
          <w:b/>
          <w:sz w:val="44"/>
          <w:szCs w:val="44"/>
        </w:rPr>
      </w:pPr>
      <w:r w:rsidRPr="00CA2BE0">
        <w:rPr>
          <w:b/>
          <w:sz w:val="44"/>
          <w:szCs w:val="44"/>
        </w:rPr>
        <w:t>Module code: LCMB70</w:t>
      </w:r>
      <w:r>
        <w:rPr>
          <w:b/>
          <w:sz w:val="44"/>
          <w:szCs w:val="44"/>
        </w:rPr>
        <w:t>34</w:t>
      </w:r>
    </w:p>
    <w:p w14:paraId="20B4EEB6" w14:textId="3EE7A369" w:rsidR="00A7353C" w:rsidRPr="00A7353C" w:rsidRDefault="00A7353C" w:rsidP="00A7353C">
      <w:pPr>
        <w:spacing w:after="0" w:line="360" w:lineRule="auto"/>
        <w:jc w:val="center"/>
        <w:rPr>
          <w:rFonts w:cstheme="minorHAnsi"/>
          <w:b/>
          <w:bCs/>
          <w:sz w:val="40"/>
          <w:szCs w:val="40"/>
        </w:rPr>
      </w:pPr>
      <w:r w:rsidRPr="00A7353C">
        <w:rPr>
          <w:rFonts w:cstheme="minorHAnsi"/>
          <w:b/>
          <w:bCs/>
          <w:sz w:val="40"/>
          <w:szCs w:val="40"/>
        </w:rPr>
        <w:t>Assignment Title:</w:t>
      </w:r>
      <w:r w:rsidRPr="00A7353C">
        <w:rPr>
          <w:rFonts w:cstheme="minorHAnsi"/>
          <w:b/>
          <w:bCs/>
          <w:sz w:val="40"/>
          <w:szCs w:val="40"/>
        </w:rPr>
        <w:t xml:space="preserve"> </w:t>
      </w:r>
      <w:r w:rsidRPr="00A7353C">
        <w:rPr>
          <w:rFonts w:cstheme="minorHAnsi"/>
          <w:b/>
          <w:bCs/>
          <w:sz w:val="40"/>
          <w:szCs w:val="40"/>
        </w:rPr>
        <w:t>INTERNATIONAL BUSINESS CONSULTANCY REPORT: BMW GROUP’S GLOBAL STRATEGY AND OPERATIONS</w:t>
      </w:r>
    </w:p>
    <w:p w14:paraId="3A5F4595" w14:textId="5836870B" w:rsidR="00A7353C" w:rsidRPr="00CA2BE0" w:rsidRDefault="00A7353C" w:rsidP="00A7353C">
      <w:pPr>
        <w:spacing w:after="160" w:line="259" w:lineRule="auto"/>
        <w:jc w:val="center"/>
        <w:rPr>
          <w:b/>
          <w:bCs/>
          <w:sz w:val="40"/>
          <w:szCs w:val="40"/>
        </w:rPr>
      </w:pPr>
    </w:p>
    <w:p w14:paraId="73FD2E42" w14:textId="6492C3D1" w:rsidR="00A7353C" w:rsidRPr="00CA2BE0" w:rsidRDefault="00A7353C" w:rsidP="00A7353C">
      <w:pPr>
        <w:spacing w:after="160" w:line="259" w:lineRule="auto"/>
        <w:jc w:val="center"/>
        <w:rPr>
          <w:b/>
          <w:sz w:val="44"/>
          <w:szCs w:val="44"/>
        </w:rPr>
      </w:pPr>
      <w:r w:rsidRPr="00CA2BE0">
        <w:rPr>
          <w:b/>
          <w:sz w:val="36"/>
          <w:szCs w:val="36"/>
        </w:rPr>
        <w:t xml:space="preserve">Lecturer`s Name: </w:t>
      </w:r>
      <w:proofErr w:type="spellStart"/>
      <w:r>
        <w:rPr>
          <w:b/>
          <w:sz w:val="36"/>
          <w:szCs w:val="36"/>
        </w:rPr>
        <w:t>Dr.</w:t>
      </w:r>
      <w:proofErr w:type="spellEnd"/>
      <w:r>
        <w:rPr>
          <w:b/>
          <w:sz w:val="36"/>
          <w:szCs w:val="36"/>
        </w:rPr>
        <w:t xml:space="preserve"> Babar Syed</w:t>
      </w:r>
    </w:p>
    <w:p w14:paraId="52E47E9B" w14:textId="77777777" w:rsidR="00A7353C" w:rsidRPr="00CA2BE0" w:rsidRDefault="00A7353C" w:rsidP="00A7353C">
      <w:pPr>
        <w:spacing w:after="160" w:line="259" w:lineRule="auto"/>
        <w:jc w:val="center"/>
        <w:rPr>
          <w:b/>
          <w:sz w:val="36"/>
          <w:szCs w:val="36"/>
        </w:rPr>
      </w:pPr>
      <w:r w:rsidRPr="00CA2BE0">
        <w:rPr>
          <w:b/>
          <w:sz w:val="36"/>
          <w:szCs w:val="36"/>
        </w:rPr>
        <w:t xml:space="preserve">Student Name: </w:t>
      </w:r>
      <w:r>
        <w:rPr>
          <w:b/>
          <w:sz w:val="36"/>
          <w:szCs w:val="36"/>
        </w:rPr>
        <w:t xml:space="preserve">Elvis </w:t>
      </w:r>
      <w:proofErr w:type="spellStart"/>
      <w:r>
        <w:rPr>
          <w:b/>
          <w:sz w:val="36"/>
          <w:szCs w:val="36"/>
        </w:rPr>
        <w:t>Liviu</w:t>
      </w:r>
      <w:proofErr w:type="spellEnd"/>
      <w:r>
        <w:rPr>
          <w:b/>
          <w:sz w:val="36"/>
          <w:szCs w:val="36"/>
        </w:rPr>
        <w:t xml:space="preserve"> </w:t>
      </w:r>
      <w:proofErr w:type="spellStart"/>
      <w:r>
        <w:rPr>
          <w:b/>
          <w:sz w:val="36"/>
          <w:szCs w:val="36"/>
        </w:rPr>
        <w:t>Nassiri</w:t>
      </w:r>
      <w:proofErr w:type="spellEnd"/>
      <w:r>
        <w:rPr>
          <w:b/>
          <w:sz w:val="36"/>
          <w:szCs w:val="36"/>
        </w:rPr>
        <w:t xml:space="preserve"> Basti</w:t>
      </w:r>
    </w:p>
    <w:p w14:paraId="504538E6" w14:textId="5BFE433F" w:rsidR="00A7353C" w:rsidRPr="00A7353C" w:rsidRDefault="00A7353C" w:rsidP="00A7353C">
      <w:pPr>
        <w:spacing w:after="160" w:line="259" w:lineRule="auto"/>
        <w:jc w:val="center"/>
        <w:rPr>
          <w:rFonts w:ascii="Arial" w:hAnsi="Arial"/>
          <w:color w:val="000000" w:themeColor="text1"/>
          <w:lang w:val="en-GB"/>
        </w:rPr>
      </w:pPr>
      <w:r w:rsidRPr="00CA2BE0">
        <w:rPr>
          <w:b/>
          <w:sz w:val="36"/>
          <w:szCs w:val="36"/>
        </w:rPr>
        <w:t>Student ID:21</w:t>
      </w:r>
      <w:r>
        <w:rPr>
          <w:b/>
          <w:sz w:val="36"/>
          <w:szCs w:val="36"/>
        </w:rPr>
        <w:t>12789</w:t>
      </w:r>
    </w:p>
    <w:p w14:paraId="374FE517" w14:textId="6BC1489B" w:rsidR="000C719F" w:rsidRPr="000C719F" w:rsidRDefault="00A7353C" w:rsidP="00855EA7">
      <w:pPr>
        <w:spacing w:after="0" w:line="360" w:lineRule="auto"/>
        <w:jc w:val="center"/>
        <w:rPr>
          <w:rFonts w:ascii="Times New Roman" w:hAnsi="Times New Roman" w:cs="Times New Roman"/>
          <w:bCs/>
          <w:sz w:val="24"/>
          <w:szCs w:val="24"/>
          <w:lang w:val="en-US"/>
        </w:rPr>
      </w:pPr>
      <w:r>
        <w:rPr>
          <w:rFonts w:ascii="Times New Roman" w:hAnsi="Times New Roman" w:cs="Times New Roman"/>
          <w:b/>
          <w:bCs/>
          <w:sz w:val="36"/>
          <w:szCs w:val="36"/>
        </w:rPr>
        <w:t>Word Count: 5254</w:t>
      </w:r>
    </w:p>
    <w:p w14:paraId="0F1463A6" w14:textId="77777777" w:rsidR="000C719F" w:rsidRPr="000C719F" w:rsidRDefault="000C719F" w:rsidP="000C719F">
      <w:pPr>
        <w:spacing w:after="0" w:line="360" w:lineRule="auto"/>
        <w:jc w:val="center"/>
        <w:rPr>
          <w:rFonts w:ascii="Times New Roman" w:hAnsi="Times New Roman" w:cs="Times New Roman"/>
          <w:bCs/>
          <w:sz w:val="24"/>
          <w:szCs w:val="24"/>
        </w:rPr>
      </w:pPr>
    </w:p>
    <w:p w14:paraId="1C3F84F0" w14:textId="77777777" w:rsidR="000C719F" w:rsidRDefault="000C719F">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Arial" w:eastAsiaTheme="minorHAnsi" w:hAnsi="Arial" w:cs="Arial"/>
          <w:b w:val="0"/>
          <w:bCs w:val="0"/>
          <w:color w:val="auto"/>
          <w:sz w:val="22"/>
          <w:szCs w:val="22"/>
          <w:lang w:val="en-IN" w:eastAsia="en-US"/>
        </w:rPr>
        <w:id w:val="-915170915"/>
        <w:docPartObj>
          <w:docPartGallery w:val="Table of Contents"/>
          <w:docPartUnique/>
        </w:docPartObj>
      </w:sdtPr>
      <w:sdtEndPr>
        <w:rPr>
          <w:noProof/>
        </w:rPr>
      </w:sdtEndPr>
      <w:sdtContent>
        <w:p w14:paraId="4BDBB66A" w14:textId="77777777" w:rsidR="00C3731C" w:rsidRPr="003A50C8" w:rsidRDefault="00C3731C" w:rsidP="00C3731C">
          <w:pPr>
            <w:pStyle w:val="TOCHeading"/>
            <w:jc w:val="center"/>
            <w:rPr>
              <w:rFonts w:ascii="Arial" w:hAnsi="Arial" w:cs="Arial"/>
              <w:color w:val="auto"/>
              <w:szCs w:val="24"/>
            </w:rPr>
          </w:pPr>
          <w:r w:rsidRPr="003A50C8">
            <w:rPr>
              <w:rFonts w:ascii="Arial" w:hAnsi="Arial" w:cs="Arial"/>
              <w:color w:val="auto"/>
              <w:szCs w:val="24"/>
            </w:rPr>
            <w:t>Table of Contents</w:t>
          </w:r>
        </w:p>
        <w:p w14:paraId="46F1E86F" w14:textId="77777777" w:rsidR="00C3731C" w:rsidRPr="003A50C8" w:rsidRDefault="00C3731C">
          <w:pPr>
            <w:pStyle w:val="TOC1"/>
            <w:tabs>
              <w:tab w:val="right" w:leader="dot" w:pos="9016"/>
            </w:tabs>
            <w:rPr>
              <w:rFonts w:ascii="Arial" w:hAnsi="Arial" w:cs="Arial"/>
              <w:noProof/>
              <w:sz w:val="24"/>
              <w:szCs w:val="24"/>
            </w:rPr>
          </w:pPr>
          <w:r w:rsidRPr="003A50C8">
            <w:rPr>
              <w:rFonts w:ascii="Arial" w:hAnsi="Arial" w:cs="Arial"/>
              <w:sz w:val="24"/>
              <w:szCs w:val="24"/>
            </w:rPr>
            <w:fldChar w:fldCharType="begin"/>
          </w:r>
          <w:r w:rsidRPr="003A50C8">
            <w:rPr>
              <w:rFonts w:ascii="Arial" w:hAnsi="Arial" w:cs="Arial"/>
              <w:sz w:val="24"/>
              <w:szCs w:val="24"/>
            </w:rPr>
            <w:instrText xml:space="preserve"> TOC \o "1-3" \h \z \u </w:instrText>
          </w:r>
          <w:r w:rsidRPr="003A50C8">
            <w:rPr>
              <w:rFonts w:ascii="Arial" w:hAnsi="Arial" w:cs="Arial"/>
              <w:sz w:val="24"/>
              <w:szCs w:val="24"/>
            </w:rPr>
            <w:fldChar w:fldCharType="separate"/>
          </w:r>
          <w:hyperlink w:anchor="_Toc214543709" w:history="1">
            <w:r w:rsidRPr="003A50C8">
              <w:rPr>
                <w:rStyle w:val="Hyperlink"/>
                <w:rFonts w:ascii="Arial" w:hAnsi="Arial" w:cs="Arial"/>
                <w:noProof/>
                <w:sz w:val="24"/>
                <w:szCs w:val="24"/>
              </w:rPr>
              <w:t>1. Introduction</w:t>
            </w:r>
            <w:r w:rsidRPr="003A50C8">
              <w:rPr>
                <w:rFonts w:ascii="Arial" w:hAnsi="Arial" w:cs="Arial"/>
                <w:noProof/>
                <w:webHidden/>
                <w:sz w:val="24"/>
                <w:szCs w:val="24"/>
              </w:rPr>
              <w:tab/>
            </w:r>
            <w:r w:rsidRPr="003A50C8">
              <w:rPr>
                <w:rFonts w:ascii="Arial" w:hAnsi="Arial" w:cs="Arial"/>
                <w:noProof/>
                <w:webHidden/>
                <w:sz w:val="24"/>
                <w:szCs w:val="24"/>
              </w:rPr>
              <w:fldChar w:fldCharType="begin"/>
            </w:r>
            <w:r w:rsidRPr="003A50C8">
              <w:rPr>
                <w:rFonts w:ascii="Arial" w:hAnsi="Arial" w:cs="Arial"/>
                <w:noProof/>
                <w:webHidden/>
                <w:sz w:val="24"/>
                <w:szCs w:val="24"/>
              </w:rPr>
              <w:instrText xml:space="preserve"> PAGEREF _Toc214543709 \h </w:instrText>
            </w:r>
            <w:r w:rsidRPr="003A50C8">
              <w:rPr>
                <w:rFonts w:ascii="Arial" w:hAnsi="Arial" w:cs="Arial"/>
                <w:noProof/>
                <w:webHidden/>
                <w:sz w:val="24"/>
                <w:szCs w:val="24"/>
              </w:rPr>
            </w:r>
            <w:r w:rsidRPr="003A50C8">
              <w:rPr>
                <w:rFonts w:ascii="Arial" w:hAnsi="Arial" w:cs="Arial"/>
                <w:noProof/>
                <w:webHidden/>
                <w:sz w:val="24"/>
                <w:szCs w:val="24"/>
              </w:rPr>
              <w:fldChar w:fldCharType="separate"/>
            </w:r>
            <w:r w:rsidRPr="003A50C8">
              <w:rPr>
                <w:rFonts w:ascii="Arial" w:hAnsi="Arial" w:cs="Arial"/>
                <w:noProof/>
                <w:webHidden/>
                <w:sz w:val="24"/>
                <w:szCs w:val="24"/>
              </w:rPr>
              <w:t>3</w:t>
            </w:r>
            <w:r w:rsidRPr="003A50C8">
              <w:rPr>
                <w:rFonts w:ascii="Arial" w:hAnsi="Arial" w:cs="Arial"/>
                <w:noProof/>
                <w:webHidden/>
                <w:sz w:val="24"/>
                <w:szCs w:val="24"/>
              </w:rPr>
              <w:fldChar w:fldCharType="end"/>
            </w:r>
          </w:hyperlink>
        </w:p>
        <w:p w14:paraId="496EC1B1" w14:textId="77777777" w:rsidR="00C3731C" w:rsidRPr="003A50C8" w:rsidRDefault="00000000">
          <w:pPr>
            <w:pStyle w:val="TOC1"/>
            <w:tabs>
              <w:tab w:val="right" w:leader="dot" w:pos="9016"/>
            </w:tabs>
            <w:rPr>
              <w:rFonts w:ascii="Arial" w:hAnsi="Arial" w:cs="Arial"/>
              <w:noProof/>
              <w:sz w:val="24"/>
              <w:szCs w:val="24"/>
            </w:rPr>
          </w:pPr>
          <w:hyperlink w:anchor="_Toc214543710" w:history="1">
            <w:r w:rsidR="00C3731C" w:rsidRPr="003A50C8">
              <w:rPr>
                <w:rStyle w:val="Hyperlink"/>
                <w:rFonts w:ascii="Arial" w:hAnsi="Arial" w:cs="Arial"/>
                <w:noProof/>
                <w:sz w:val="24"/>
                <w:szCs w:val="24"/>
              </w:rPr>
              <w:t>2. Benefits and Challenges of International Operations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_Toc214543710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3</w:t>
            </w:r>
            <w:r w:rsidR="00C3731C" w:rsidRPr="003A50C8">
              <w:rPr>
                <w:rFonts w:ascii="Arial" w:hAnsi="Arial" w:cs="Arial"/>
                <w:noProof/>
                <w:webHidden/>
                <w:sz w:val="24"/>
                <w:szCs w:val="24"/>
              </w:rPr>
              <w:fldChar w:fldCharType="end"/>
            </w:r>
          </w:hyperlink>
        </w:p>
        <w:p w14:paraId="39097533" w14:textId="77777777" w:rsidR="00C3731C" w:rsidRPr="003A50C8" w:rsidRDefault="00000000">
          <w:pPr>
            <w:pStyle w:val="TOC2"/>
            <w:tabs>
              <w:tab w:val="right" w:leader="dot" w:pos="9016"/>
            </w:tabs>
            <w:rPr>
              <w:rFonts w:ascii="Arial" w:hAnsi="Arial" w:cs="Arial"/>
              <w:noProof/>
              <w:sz w:val="24"/>
              <w:szCs w:val="24"/>
            </w:rPr>
          </w:pPr>
          <w:hyperlink w:anchor="_Toc214543711" w:history="1">
            <w:r w:rsidR="00C3731C" w:rsidRPr="003A50C8">
              <w:rPr>
                <w:rStyle w:val="Hyperlink"/>
                <w:rFonts w:ascii="Arial" w:hAnsi="Arial" w:cs="Arial"/>
                <w:noProof/>
                <w:sz w:val="24"/>
                <w:szCs w:val="24"/>
              </w:rPr>
              <w:t>2a. BMW as a Multinational/Transnational Corporation</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_Toc214543711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3</w:t>
            </w:r>
            <w:r w:rsidR="00C3731C" w:rsidRPr="003A50C8">
              <w:rPr>
                <w:rFonts w:ascii="Arial" w:hAnsi="Arial" w:cs="Arial"/>
                <w:noProof/>
                <w:webHidden/>
                <w:sz w:val="24"/>
                <w:szCs w:val="24"/>
              </w:rPr>
              <w:fldChar w:fldCharType="end"/>
            </w:r>
          </w:hyperlink>
        </w:p>
        <w:p w14:paraId="3AE1ED76" w14:textId="77777777" w:rsidR="00C3731C" w:rsidRPr="003A50C8" w:rsidRDefault="00000000">
          <w:pPr>
            <w:pStyle w:val="TOC2"/>
            <w:tabs>
              <w:tab w:val="right" w:leader="dot" w:pos="9016"/>
            </w:tabs>
            <w:rPr>
              <w:rFonts w:ascii="Arial" w:hAnsi="Arial" w:cs="Arial"/>
              <w:noProof/>
              <w:sz w:val="24"/>
              <w:szCs w:val="24"/>
            </w:rPr>
          </w:pPr>
          <w:hyperlink w:anchor="_Toc214543712" w:history="1">
            <w:r w:rsidR="00C3731C" w:rsidRPr="003A50C8">
              <w:rPr>
                <w:rStyle w:val="Hyperlink"/>
                <w:rFonts w:ascii="Arial" w:hAnsi="Arial" w:cs="Arial"/>
                <w:noProof/>
                <w:sz w:val="24"/>
                <w:szCs w:val="24"/>
              </w:rPr>
              <w:t>2b. Nature of BMW’s Global Operations Across the Value Chain</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_Toc214543712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4</w:t>
            </w:r>
            <w:r w:rsidR="00C3731C" w:rsidRPr="003A50C8">
              <w:rPr>
                <w:rFonts w:ascii="Arial" w:hAnsi="Arial" w:cs="Arial"/>
                <w:noProof/>
                <w:webHidden/>
                <w:sz w:val="24"/>
                <w:szCs w:val="24"/>
              </w:rPr>
              <w:fldChar w:fldCharType="end"/>
            </w:r>
          </w:hyperlink>
        </w:p>
        <w:p w14:paraId="085F89BC" w14:textId="77777777" w:rsidR="00C3731C" w:rsidRPr="003A50C8" w:rsidRDefault="00000000">
          <w:pPr>
            <w:pStyle w:val="TOC2"/>
            <w:tabs>
              <w:tab w:val="right" w:leader="dot" w:pos="9016"/>
            </w:tabs>
            <w:rPr>
              <w:rFonts w:ascii="Arial" w:hAnsi="Arial" w:cs="Arial"/>
              <w:noProof/>
              <w:sz w:val="24"/>
              <w:szCs w:val="24"/>
            </w:rPr>
          </w:pPr>
          <w:hyperlink w:anchor="_Toc214543713" w:history="1">
            <w:r w:rsidR="00C3731C" w:rsidRPr="003A50C8">
              <w:rPr>
                <w:rStyle w:val="Hyperlink"/>
                <w:rFonts w:ascii="Arial" w:hAnsi="Arial" w:cs="Arial"/>
                <w:noProof/>
                <w:sz w:val="24"/>
                <w:szCs w:val="24"/>
              </w:rPr>
              <w:t>2c. BMW’s Entry Modes Across International Markets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_Toc214543713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5</w:t>
            </w:r>
            <w:r w:rsidR="00C3731C" w:rsidRPr="003A50C8">
              <w:rPr>
                <w:rFonts w:ascii="Arial" w:hAnsi="Arial" w:cs="Arial"/>
                <w:noProof/>
                <w:webHidden/>
                <w:sz w:val="24"/>
                <w:szCs w:val="24"/>
              </w:rPr>
              <w:fldChar w:fldCharType="end"/>
            </w:r>
          </w:hyperlink>
        </w:p>
        <w:p w14:paraId="543397CF" w14:textId="77777777" w:rsidR="00C3731C" w:rsidRPr="003A50C8" w:rsidRDefault="00000000">
          <w:pPr>
            <w:pStyle w:val="TOC2"/>
            <w:tabs>
              <w:tab w:val="right" w:leader="dot" w:pos="9016"/>
            </w:tabs>
            <w:rPr>
              <w:rFonts w:ascii="Arial" w:hAnsi="Arial" w:cs="Arial"/>
              <w:noProof/>
              <w:sz w:val="24"/>
              <w:szCs w:val="24"/>
            </w:rPr>
          </w:pPr>
          <w:hyperlink w:anchor="_Toc214543714" w:history="1">
            <w:r w:rsidR="00C3731C" w:rsidRPr="003A50C8">
              <w:rPr>
                <w:rStyle w:val="Hyperlink"/>
                <w:rFonts w:ascii="Arial" w:hAnsi="Arial" w:cs="Arial"/>
                <w:noProof/>
                <w:sz w:val="24"/>
                <w:szCs w:val="24"/>
              </w:rPr>
              <w:t>2d. Key Benefits of BMW’s International Operations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_Toc214543714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5</w:t>
            </w:r>
            <w:r w:rsidR="00C3731C" w:rsidRPr="003A50C8">
              <w:rPr>
                <w:rFonts w:ascii="Arial" w:hAnsi="Arial" w:cs="Arial"/>
                <w:noProof/>
                <w:webHidden/>
                <w:sz w:val="24"/>
                <w:szCs w:val="24"/>
              </w:rPr>
              <w:fldChar w:fldCharType="end"/>
            </w:r>
          </w:hyperlink>
        </w:p>
        <w:p w14:paraId="5A53C7F9" w14:textId="77777777" w:rsidR="00C3731C" w:rsidRPr="003A50C8" w:rsidRDefault="00000000">
          <w:pPr>
            <w:pStyle w:val="TOC1"/>
            <w:tabs>
              <w:tab w:val="right" w:leader="dot" w:pos="9016"/>
            </w:tabs>
            <w:rPr>
              <w:rFonts w:ascii="Arial" w:hAnsi="Arial" w:cs="Arial"/>
              <w:noProof/>
              <w:sz w:val="24"/>
              <w:szCs w:val="24"/>
            </w:rPr>
          </w:pPr>
          <w:hyperlink w:anchor="_Toc214543715" w:history="1">
            <w:r w:rsidR="00C3731C" w:rsidRPr="003A50C8">
              <w:rPr>
                <w:rStyle w:val="Hyperlink"/>
                <w:rFonts w:ascii="Arial" w:hAnsi="Arial" w:cs="Arial"/>
                <w:noProof/>
                <w:sz w:val="24"/>
                <w:szCs w:val="24"/>
              </w:rPr>
              <w:t>3. The Impact of OLI Factors on BMW’s Market Entry Mode</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_Toc214543715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6</w:t>
            </w:r>
            <w:r w:rsidR="00C3731C" w:rsidRPr="003A50C8">
              <w:rPr>
                <w:rFonts w:ascii="Arial" w:hAnsi="Arial" w:cs="Arial"/>
                <w:noProof/>
                <w:webHidden/>
                <w:sz w:val="24"/>
                <w:szCs w:val="24"/>
              </w:rPr>
              <w:fldChar w:fldCharType="end"/>
            </w:r>
          </w:hyperlink>
        </w:p>
        <w:p w14:paraId="5B2B8B40" w14:textId="77777777" w:rsidR="00C3731C" w:rsidRPr="003A50C8" w:rsidRDefault="00000000">
          <w:pPr>
            <w:pStyle w:val="TOC2"/>
            <w:tabs>
              <w:tab w:val="right" w:leader="dot" w:pos="9016"/>
            </w:tabs>
            <w:rPr>
              <w:rFonts w:ascii="Arial" w:hAnsi="Arial" w:cs="Arial"/>
              <w:noProof/>
              <w:sz w:val="24"/>
              <w:szCs w:val="24"/>
            </w:rPr>
          </w:pPr>
          <w:hyperlink w:anchor="_Toc214543716" w:history="1">
            <w:r w:rsidR="00C3731C" w:rsidRPr="003A50C8">
              <w:rPr>
                <w:rStyle w:val="Hyperlink"/>
                <w:rFonts w:ascii="Arial" w:hAnsi="Arial" w:cs="Arial"/>
                <w:noProof/>
                <w:sz w:val="24"/>
                <w:szCs w:val="24"/>
              </w:rPr>
              <w:t>Ownership Advantages (O)</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_Toc214543716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7</w:t>
            </w:r>
            <w:r w:rsidR="00C3731C" w:rsidRPr="003A50C8">
              <w:rPr>
                <w:rFonts w:ascii="Arial" w:hAnsi="Arial" w:cs="Arial"/>
                <w:noProof/>
                <w:webHidden/>
                <w:sz w:val="24"/>
                <w:szCs w:val="24"/>
              </w:rPr>
              <w:fldChar w:fldCharType="end"/>
            </w:r>
          </w:hyperlink>
        </w:p>
        <w:p w14:paraId="3089F064" w14:textId="77777777" w:rsidR="00C3731C" w:rsidRPr="003A50C8" w:rsidRDefault="00000000">
          <w:pPr>
            <w:pStyle w:val="TOC2"/>
            <w:tabs>
              <w:tab w:val="right" w:leader="dot" w:pos="9016"/>
            </w:tabs>
            <w:rPr>
              <w:rFonts w:ascii="Arial" w:hAnsi="Arial" w:cs="Arial"/>
              <w:noProof/>
              <w:sz w:val="24"/>
              <w:szCs w:val="24"/>
            </w:rPr>
          </w:pPr>
          <w:hyperlink w:anchor="_Toc214543717" w:history="1">
            <w:r w:rsidR="00C3731C" w:rsidRPr="003A50C8">
              <w:rPr>
                <w:rStyle w:val="Hyperlink"/>
                <w:rFonts w:ascii="Arial" w:hAnsi="Arial" w:cs="Arial"/>
                <w:noProof/>
                <w:sz w:val="24"/>
                <w:szCs w:val="24"/>
              </w:rPr>
              <w:t>Location Advantages (L)</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_Toc214543717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8</w:t>
            </w:r>
            <w:r w:rsidR="00C3731C" w:rsidRPr="003A50C8">
              <w:rPr>
                <w:rFonts w:ascii="Arial" w:hAnsi="Arial" w:cs="Arial"/>
                <w:noProof/>
                <w:webHidden/>
                <w:sz w:val="24"/>
                <w:szCs w:val="24"/>
              </w:rPr>
              <w:fldChar w:fldCharType="end"/>
            </w:r>
          </w:hyperlink>
        </w:p>
        <w:p w14:paraId="36D7F383" w14:textId="77777777" w:rsidR="00C3731C" w:rsidRPr="003A50C8" w:rsidRDefault="00000000">
          <w:pPr>
            <w:pStyle w:val="TOC2"/>
            <w:tabs>
              <w:tab w:val="right" w:leader="dot" w:pos="9016"/>
            </w:tabs>
            <w:rPr>
              <w:rFonts w:ascii="Arial" w:hAnsi="Arial" w:cs="Arial"/>
              <w:noProof/>
              <w:sz w:val="24"/>
              <w:szCs w:val="24"/>
            </w:rPr>
          </w:pPr>
          <w:hyperlink w:anchor="_Toc214543718" w:history="1">
            <w:r w:rsidR="00C3731C" w:rsidRPr="003A50C8">
              <w:rPr>
                <w:rStyle w:val="Hyperlink"/>
                <w:rFonts w:ascii="Arial" w:hAnsi="Arial" w:cs="Arial"/>
                <w:noProof/>
                <w:sz w:val="24"/>
                <w:szCs w:val="24"/>
              </w:rPr>
              <w:t>Internalisation Advantages (I)</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_Toc214543718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9</w:t>
            </w:r>
            <w:r w:rsidR="00C3731C" w:rsidRPr="003A50C8">
              <w:rPr>
                <w:rFonts w:ascii="Arial" w:hAnsi="Arial" w:cs="Arial"/>
                <w:noProof/>
                <w:webHidden/>
                <w:sz w:val="24"/>
                <w:szCs w:val="24"/>
              </w:rPr>
              <w:fldChar w:fldCharType="end"/>
            </w:r>
          </w:hyperlink>
        </w:p>
        <w:p w14:paraId="15A5B17F" w14:textId="77777777" w:rsidR="00C3731C" w:rsidRPr="003A50C8" w:rsidRDefault="00000000">
          <w:pPr>
            <w:pStyle w:val="TOC2"/>
            <w:tabs>
              <w:tab w:val="right" w:leader="dot" w:pos="9016"/>
            </w:tabs>
            <w:rPr>
              <w:rFonts w:ascii="Arial" w:hAnsi="Arial" w:cs="Arial"/>
              <w:noProof/>
              <w:sz w:val="24"/>
              <w:szCs w:val="24"/>
            </w:rPr>
          </w:pPr>
          <w:hyperlink w:anchor="_Toc214543719" w:history="1">
            <w:r w:rsidR="00C3731C" w:rsidRPr="003A50C8">
              <w:rPr>
                <w:rStyle w:val="Hyperlink"/>
                <w:rFonts w:ascii="Arial" w:hAnsi="Arial" w:cs="Arial"/>
                <w:noProof/>
                <w:sz w:val="24"/>
                <w:szCs w:val="24"/>
              </w:rPr>
              <w:t>Impact on BMW’s Entry Mode Choice</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_Toc214543719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9</w:t>
            </w:r>
            <w:r w:rsidR="00C3731C" w:rsidRPr="003A50C8">
              <w:rPr>
                <w:rFonts w:ascii="Arial" w:hAnsi="Arial" w:cs="Arial"/>
                <w:noProof/>
                <w:webHidden/>
                <w:sz w:val="24"/>
                <w:szCs w:val="24"/>
              </w:rPr>
              <w:fldChar w:fldCharType="end"/>
            </w:r>
          </w:hyperlink>
        </w:p>
        <w:p w14:paraId="109724DD" w14:textId="77777777" w:rsidR="00C3731C" w:rsidRPr="003A50C8" w:rsidRDefault="00000000">
          <w:pPr>
            <w:pStyle w:val="TOC1"/>
            <w:tabs>
              <w:tab w:val="right" w:leader="dot" w:pos="9016"/>
            </w:tabs>
            <w:rPr>
              <w:rFonts w:ascii="Arial" w:hAnsi="Arial" w:cs="Arial"/>
              <w:noProof/>
              <w:sz w:val="24"/>
              <w:szCs w:val="24"/>
            </w:rPr>
          </w:pPr>
          <w:hyperlink w:anchor="_Toc214543720" w:history="1">
            <w:r w:rsidR="00C3731C" w:rsidRPr="003A50C8">
              <w:rPr>
                <w:rStyle w:val="Hyperlink"/>
                <w:rFonts w:ascii="Arial" w:hAnsi="Arial" w:cs="Arial"/>
                <w:noProof/>
                <w:sz w:val="24"/>
                <w:szCs w:val="24"/>
              </w:rPr>
              <w:t>4. Cultural Differences and Their Impact on Entry Strategy and Success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_Toc214543720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10</w:t>
            </w:r>
            <w:r w:rsidR="00C3731C" w:rsidRPr="003A50C8">
              <w:rPr>
                <w:rFonts w:ascii="Arial" w:hAnsi="Arial" w:cs="Arial"/>
                <w:noProof/>
                <w:webHidden/>
                <w:sz w:val="24"/>
                <w:szCs w:val="24"/>
              </w:rPr>
              <w:fldChar w:fldCharType="end"/>
            </w:r>
          </w:hyperlink>
        </w:p>
        <w:p w14:paraId="116DEFF4" w14:textId="77777777" w:rsidR="00C3731C" w:rsidRPr="003A50C8" w:rsidRDefault="00000000">
          <w:pPr>
            <w:pStyle w:val="TOC2"/>
            <w:tabs>
              <w:tab w:val="right" w:leader="dot" w:pos="9016"/>
            </w:tabs>
            <w:rPr>
              <w:rFonts w:ascii="Arial" w:hAnsi="Arial" w:cs="Arial"/>
              <w:noProof/>
              <w:sz w:val="24"/>
              <w:szCs w:val="24"/>
            </w:rPr>
          </w:pPr>
          <w:hyperlink w:anchor="_Toc214543721" w:history="1">
            <w:r w:rsidR="00C3731C" w:rsidRPr="003A50C8">
              <w:rPr>
                <w:rStyle w:val="Hyperlink"/>
                <w:rFonts w:ascii="Arial" w:hAnsi="Arial" w:cs="Arial"/>
                <w:noProof/>
                <w:sz w:val="24"/>
                <w:szCs w:val="24"/>
              </w:rPr>
              <w:t>Power Distance</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_Toc214543721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10</w:t>
            </w:r>
            <w:r w:rsidR="00C3731C" w:rsidRPr="003A50C8">
              <w:rPr>
                <w:rFonts w:ascii="Arial" w:hAnsi="Arial" w:cs="Arial"/>
                <w:noProof/>
                <w:webHidden/>
                <w:sz w:val="24"/>
                <w:szCs w:val="24"/>
              </w:rPr>
              <w:fldChar w:fldCharType="end"/>
            </w:r>
          </w:hyperlink>
        </w:p>
        <w:p w14:paraId="419B29EC" w14:textId="77777777" w:rsidR="00C3731C" w:rsidRPr="003A50C8" w:rsidRDefault="00000000">
          <w:pPr>
            <w:pStyle w:val="TOC2"/>
            <w:tabs>
              <w:tab w:val="right" w:leader="dot" w:pos="9016"/>
            </w:tabs>
            <w:rPr>
              <w:rFonts w:ascii="Arial" w:hAnsi="Arial" w:cs="Arial"/>
              <w:noProof/>
              <w:sz w:val="24"/>
              <w:szCs w:val="24"/>
            </w:rPr>
          </w:pPr>
          <w:hyperlink w:anchor="_Toc214543722" w:history="1">
            <w:r w:rsidR="00C3731C" w:rsidRPr="003A50C8">
              <w:rPr>
                <w:rStyle w:val="Hyperlink"/>
                <w:rFonts w:ascii="Arial" w:hAnsi="Arial" w:cs="Arial"/>
                <w:noProof/>
                <w:sz w:val="24"/>
                <w:szCs w:val="24"/>
              </w:rPr>
              <w:t>Individualism vs. Collectivism.</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_Toc214543722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10</w:t>
            </w:r>
            <w:r w:rsidR="00C3731C" w:rsidRPr="003A50C8">
              <w:rPr>
                <w:rFonts w:ascii="Arial" w:hAnsi="Arial" w:cs="Arial"/>
                <w:noProof/>
                <w:webHidden/>
                <w:sz w:val="24"/>
                <w:szCs w:val="24"/>
              </w:rPr>
              <w:fldChar w:fldCharType="end"/>
            </w:r>
          </w:hyperlink>
        </w:p>
        <w:p w14:paraId="78A42B1B" w14:textId="77777777" w:rsidR="00C3731C" w:rsidRPr="003A50C8" w:rsidRDefault="00000000">
          <w:pPr>
            <w:pStyle w:val="TOC2"/>
            <w:tabs>
              <w:tab w:val="right" w:leader="dot" w:pos="9016"/>
            </w:tabs>
            <w:rPr>
              <w:rFonts w:ascii="Arial" w:hAnsi="Arial" w:cs="Arial"/>
              <w:noProof/>
              <w:sz w:val="24"/>
              <w:szCs w:val="24"/>
            </w:rPr>
          </w:pPr>
          <w:hyperlink w:anchor="_Toc214543723" w:history="1">
            <w:r w:rsidR="00C3731C" w:rsidRPr="003A50C8">
              <w:rPr>
                <w:rStyle w:val="Hyperlink"/>
                <w:rFonts w:ascii="Arial" w:hAnsi="Arial" w:cs="Arial"/>
                <w:noProof/>
                <w:sz w:val="24"/>
                <w:szCs w:val="24"/>
              </w:rPr>
              <w:t>Uncertainty Avoidance</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_Toc214543723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11</w:t>
            </w:r>
            <w:r w:rsidR="00C3731C" w:rsidRPr="003A50C8">
              <w:rPr>
                <w:rFonts w:ascii="Arial" w:hAnsi="Arial" w:cs="Arial"/>
                <w:noProof/>
                <w:webHidden/>
                <w:sz w:val="24"/>
                <w:szCs w:val="24"/>
              </w:rPr>
              <w:fldChar w:fldCharType="end"/>
            </w:r>
          </w:hyperlink>
        </w:p>
        <w:p w14:paraId="4D16ABFC" w14:textId="77777777" w:rsidR="00C3731C" w:rsidRPr="003A50C8" w:rsidRDefault="00000000">
          <w:pPr>
            <w:pStyle w:val="TOC2"/>
            <w:tabs>
              <w:tab w:val="right" w:leader="dot" w:pos="9016"/>
            </w:tabs>
            <w:rPr>
              <w:rFonts w:ascii="Arial" w:hAnsi="Arial" w:cs="Arial"/>
              <w:noProof/>
              <w:sz w:val="24"/>
              <w:szCs w:val="24"/>
            </w:rPr>
          </w:pPr>
          <w:hyperlink w:anchor="_Toc214543724" w:history="1">
            <w:r w:rsidR="00C3731C" w:rsidRPr="003A50C8">
              <w:rPr>
                <w:rStyle w:val="Hyperlink"/>
                <w:rFonts w:ascii="Arial" w:hAnsi="Arial" w:cs="Arial"/>
                <w:noProof/>
                <w:sz w:val="24"/>
                <w:szCs w:val="24"/>
              </w:rPr>
              <w:t>Long-Term Orientation</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_Toc214543724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11</w:t>
            </w:r>
            <w:r w:rsidR="00C3731C" w:rsidRPr="003A50C8">
              <w:rPr>
                <w:rFonts w:ascii="Arial" w:hAnsi="Arial" w:cs="Arial"/>
                <w:noProof/>
                <w:webHidden/>
                <w:sz w:val="24"/>
                <w:szCs w:val="24"/>
              </w:rPr>
              <w:fldChar w:fldCharType="end"/>
            </w:r>
          </w:hyperlink>
        </w:p>
        <w:p w14:paraId="79D0C214" w14:textId="77777777" w:rsidR="00C3731C" w:rsidRPr="003A50C8" w:rsidRDefault="00000000">
          <w:pPr>
            <w:pStyle w:val="TOC2"/>
            <w:tabs>
              <w:tab w:val="right" w:leader="dot" w:pos="9016"/>
            </w:tabs>
            <w:rPr>
              <w:rFonts w:ascii="Arial" w:hAnsi="Arial" w:cs="Arial"/>
              <w:noProof/>
              <w:sz w:val="24"/>
              <w:szCs w:val="24"/>
            </w:rPr>
          </w:pPr>
          <w:hyperlink w:anchor="_Toc214543725" w:history="1">
            <w:r w:rsidR="00C3731C" w:rsidRPr="003A50C8">
              <w:rPr>
                <w:rStyle w:val="Hyperlink"/>
                <w:rFonts w:ascii="Arial" w:hAnsi="Arial" w:cs="Arial"/>
                <w:noProof/>
                <w:sz w:val="24"/>
                <w:szCs w:val="24"/>
              </w:rPr>
              <w:t>Implications for Market Entry Strategy</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_Toc214543725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12</w:t>
            </w:r>
            <w:r w:rsidR="00C3731C" w:rsidRPr="003A50C8">
              <w:rPr>
                <w:rFonts w:ascii="Arial" w:hAnsi="Arial" w:cs="Arial"/>
                <w:noProof/>
                <w:webHidden/>
                <w:sz w:val="24"/>
                <w:szCs w:val="24"/>
              </w:rPr>
              <w:fldChar w:fldCharType="end"/>
            </w:r>
          </w:hyperlink>
        </w:p>
        <w:p w14:paraId="58B269CF" w14:textId="77777777" w:rsidR="00C3731C" w:rsidRPr="003A50C8" w:rsidRDefault="00000000">
          <w:pPr>
            <w:pStyle w:val="TOC2"/>
            <w:tabs>
              <w:tab w:val="right" w:leader="dot" w:pos="9016"/>
            </w:tabs>
            <w:rPr>
              <w:rFonts w:ascii="Arial" w:hAnsi="Arial" w:cs="Arial"/>
              <w:noProof/>
              <w:sz w:val="24"/>
              <w:szCs w:val="24"/>
            </w:rPr>
          </w:pPr>
          <w:hyperlink w:anchor="_Toc214543726" w:history="1">
            <w:r w:rsidR="00C3731C" w:rsidRPr="003A50C8">
              <w:rPr>
                <w:rStyle w:val="Hyperlink"/>
                <w:rFonts w:ascii="Arial" w:hAnsi="Arial" w:cs="Arial"/>
                <w:noProof/>
                <w:sz w:val="24"/>
                <w:szCs w:val="24"/>
              </w:rPr>
              <w:t>Impact on BMW’s Success Potential</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_Toc214543726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12</w:t>
            </w:r>
            <w:r w:rsidR="00C3731C" w:rsidRPr="003A50C8">
              <w:rPr>
                <w:rFonts w:ascii="Arial" w:hAnsi="Arial" w:cs="Arial"/>
                <w:noProof/>
                <w:webHidden/>
                <w:sz w:val="24"/>
                <w:szCs w:val="24"/>
              </w:rPr>
              <w:fldChar w:fldCharType="end"/>
            </w:r>
          </w:hyperlink>
        </w:p>
        <w:p w14:paraId="4F91FD4B" w14:textId="77777777" w:rsidR="00C3731C" w:rsidRPr="003A50C8" w:rsidRDefault="00000000">
          <w:pPr>
            <w:pStyle w:val="TOC1"/>
            <w:tabs>
              <w:tab w:val="right" w:leader="dot" w:pos="9016"/>
            </w:tabs>
            <w:rPr>
              <w:rFonts w:ascii="Arial" w:hAnsi="Arial" w:cs="Arial"/>
              <w:noProof/>
              <w:sz w:val="24"/>
              <w:szCs w:val="24"/>
            </w:rPr>
          </w:pPr>
          <w:hyperlink w:anchor="_Toc214543727" w:history="1">
            <w:r w:rsidR="00C3731C" w:rsidRPr="003A50C8">
              <w:rPr>
                <w:rStyle w:val="Hyperlink"/>
                <w:rFonts w:ascii="Arial" w:hAnsi="Arial" w:cs="Arial"/>
                <w:noProof/>
                <w:sz w:val="24"/>
                <w:szCs w:val="24"/>
              </w:rPr>
              <w:t>5. Recommendations: SOP Adjustments for Success in China</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_Toc214543727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13</w:t>
            </w:r>
            <w:r w:rsidR="00C3731C" w:rsidRPr="003A50C8">
              <w:rPr>
                <w:rFonts w:ascii="Arial" w:hAnsi="Arial" w:cs="Arial"/>
                <w:noProof/>
                <w:webHidden/>
                <w:sz w:val="24"/>
                <w:szCs w:val="24"/>
              </w:rPr>
              <w:fldChar w:fldCharType="end"/>
            </w:r>
          </w:hyperlink>
        </w:p>
        <w:p w14:paraId="2EAF10F2" w14:textId="77777777" w:rsidR="00C3731C" w:rsidRPr="003A50C8" w:rsidRDefault="00000000">
          <w:pPr>
            <w:pStyle w:val="TOC2"/>
            <w:tabs>
              <w:tab w:val="right" w:leader="dot" w:pos="9016"/>
            </w:tabs>
            <w:rPr>
              <w:rFonts w:ascii="Arial" w:hAnsi="Arial" w:cs="Arial"/>
              <w:noProof/>
              <w:sz w:val="24"/>
              <w:szCs w:val="24"/>
            </w:rPr>
          </w:pPr>
          <w:hyperlink w:anchor="_Toc214543728" w:history="1">
            <w:r w:rsidR="00C3731C" w:rsidRPr="003A50C8">
              <w:rPr>
                <w:rStyle w:val="Hyperlink"/>
                <w:rFonts w:ascii="Arial" w:hAnsi="Arial" w:cs="Arial"/>
                <w:noProof/>
                <w:sz w:val="24"/>
                <w:szCs w:val="24"/>
              </w:rPr>
              <w:t>SOP Adjustment 1: Deepening Local Innovation and R&amp;D Integration</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_Toc214543728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13</w:t>
            </w:r>
            <w:r w:rsidR="00C3731C" w:rsidRPr="003A50C8">
              <w:rPr>
                <w:rFonts w:ascii="Arial" w:hAnsi="Arial" w:cs="Arial"/>
                <w:noProof/>
                <w:webHidden/>
                <w:sz w:val="24"/>
                <w:szCs w:val="24"/>
              </w:rPr>
              <w:fldChar w:fldCharType="end"/>
            </w:r>
          </w:hyperlink>
        </w:p>
        <w:p w14:paraId="0D29E092" w14:textId="77777777" w:rsidR="00C3731C" w:rsidRPr="003A50C8" w:rsidRDefault="00000000">
          <w:pPr>
            <w:pStyle w:val="TOC2"/>
            <w:tabs>
              <w:tab w:val="right" w:leader="dot" w:pos="9016"/>
            </w:tabs>
            <w:rPr>
              <w:rFonts w:ascii="Arial" w:hAnsi="Arial" w:cs="Arial"/>
              <w:noProof/>
              <w:sz w:val="24"/>
              <w:szCs w:val="24"/>
            </w:rPr>
          </w:pPr>
          <w:hyperlink w:anchor="_Toc214543729" w:history="1">
            <w:r w:rsidR="00C3731C" w:rsidRPr="003A50C8">
              <w:rPr>
                <w:rStyle w:val="Hyperlink"/>
                <w:rFonts w:ascii="Arial" w:hAnsi="Arial" w:cs="Arial"/>
                <w:noProof/>
                <w:sz w:val="24"/>
                <w:szCs w:val="24"/>
              </w:rPr>
              <w:t>SOP Adjustment 2: Localising Human Resource Management Practices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_Toc214543729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15</w:t>
            </w:r>
            <w:r w:rsidR="00C3731C" w:rsidRPr="003A50C8">
              <w:rPr>
                <w:rFonts w:ascii="Arial" w:hAnsi="Arial" w:cs="Arial"/>
                <w:noProof/>
                <w:webHidden/>
                <w:sz w:val="24"/>
                <w:szCs w:val="24"/>
              </w:rPr>
              <w:fldChar w:fldCharType="end"/>
            </w:r>
          </w:hyperlink>
        </w:p>
        <w:p w14:paraId="1A98ED8D" w14:textId="77777777" w:rsidR="00C3731C" w:rsidRPr="003A50C8" w:rsidRDefault="00000000">
          <w:pPr>
            <w:pStyle w:val="TOC2"/>
            <w:tabs>
              <w:tab w:val="right" w:leader="dot" w:pos="9016"/>
            </w:tabs>
            <w:rPr>
              <w:rFonts w:ascii="Arial" w:hAnsi="Arial" w:cs="Arial"/>
              <w:noProof/>
              <w:sz w:val="24"/>
              <w:szCs w:val="24"/>
            </w:rPr>
          </w:pPr>
          <w:hyperlink w:anchor="_Toc214543730" w:history="1">
            <w:r w:rsidR="00C3731C" w:rsidRPr="003A50C8">
              <w:rPr>
                <w:rStyle w:val="Hyperlink"/>
                <w:rFonts w:ascii="Arial" w:hAnsi="Arial" w:cs="Arial"/>
                <w:noProof/>
                <w:sz w:val="24"/>
                <w:szCs w:val="24"/>
              </w:rPr>
              <w:t>SOP Adjustment 3: Enhancing Local Supply Chain Integration and Responsiveness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_Toc214543730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16</w:t>
            </w:r>
            <w:r w:rsidR="00C3731C" w:rsidRPr="003A50C8">
              <w:rPr>
                <w:rFonts w:ascii="Arial" w:hAnsi="Arial" w:cs="Arial"/>
                <w:noProof/>
                <w:webHidden/>
                <w:sz w:val="24"/>
                <w:szCs w:val="24"/>
              </w:rPr>
              <w:fldChar w:fldCharType="end"/>
            </w:r>
          </w:hyperlink>
        </w:p>
        <w:p w14:paraId="77DDE9A6" w14:textId="77777777" w:rsidR="00C3731C" w:rsidRPr="003A50C8" w:rsidRDefault="00000000">
          <w:pPr>
            <w:pStyle w:val="TOC1"/>
            <w:tabs>
              <w:tab w:val="right" w:leader="dot" w:pos="9016"/>
            </w:tabs>
            <w:rPr>
              <w:rFonts w:ascii="Arial" w:hAnsi="Arial" w:cs="Arial"/>
              <w:noProof/>
              <w:sz w:val="24"/>
              <w:szCs w:val="24"/>
            </w:rPr>
          </w:pPr>
          <w:hyperlink w:anchor="_Toc214543731" w:history="1">
            <w:r w:rsidR="00C3731C" w:rsidRPr="003A50C8">
              <w:rPr>
                <w:rStyle w:val="Hyperlink"/>
                <w:rFonts w:ascii="Arial" w:hAnsi="Arial" w:cs="Arial"/>
                <w:noProof/>
                <w:sz w:val="24"/>
                <w:szCs w:val="24"/>
              </w:rPr>
              <w:t>6. Conclusion</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_Toc214543731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17</w:t>
            </w:r>
            <w:r w:rsidR="00C3731C" w:rsidRPr="003A50C8">
              <w:rPr>
                <w:rFonts w:ascii="Arial" w:hAnsi="Arial" w:cs="Arial"/>
                <w:noProof/>
                <w:webHidden/>
                <w:sz w:val="24"/>
                <w:szCs w:val="24"/>
              </w:rPr>
              <w:fldChar w:fldCharType="end"/>
            </w:r>
          </w:hyperlink>
        </w:p>
        <w:p w14:paraId="175984B0" w14:textId="77777777" w:rsidR="00C3731C" w:rsidRPr="003A50C8" w:rsidRDefault="00000000">
          <w:pPr>
            <w:pStyle w:val="TOC1"/>
            <w:tabs>
              <w:tab w:val="right" w:leader="dot" w:pos="9016"/>
            </w:tabs>
            <w:rPr>
              <w:rFonts w:ascii="Arial" w:hAnsi="Arial" w:cs="Arial"/>
              <w:noProof/>
              <w:sz w:val="24"/>
              <w:szCs w:val="24"/>
            </w:rPr>
          </w:pPr>
          <w:hyperlink w:anchor="_Toc214543732" w:history="1">
            <w:r w:rsidR="00C3731C" w:rsidRPr="003A50C8">
              <w:rPr>
                <w:rStyle w:val="Hyperlink"/>
                <w:rFonts w:ascii="Arial" w:hAnsi="Arial" w:cs="Arial"/>
                <w:noProof/>
                <w:sz w:val="24"/>
                <w:szCs w:val="24"/>
              </w:rPr>
              <w:t>References</w:t>
            </w:r>
            <w:r w:rsidR="00C3731C" w:rsidRPr="003A50C8">
              <w:rPr>
                <w:rFonts w:ascii="Arial" w:hAnsi="Arial" w:cs="Arial"/>
                <w:noProof/>
                <w:webHidden/>
                <w:sz w:val="24"/>
                <w:szCs w:val="24"/>
              </w:rPr>
              <w:tab/>
            </w:r>
            <w:r w:rsidR="00C3731C" w:rsidRPr="003A50C8">
              <w:rPr>
                <w:rFonts w:ascii="Arial" w:hAnsi="Arial" w:cs="Arial"/>
                <w:noProof/>
                <w:webHidden/>
                <w:sz w:val="24"/>
                <w:szCs w:val="24"/>
              </w:rPr>
              <w:fldChar w:fldCharType="begin"/>
            </w:r>
            <w:r w:rsidR="00C3731C" w:rsidRPr="003A50C8">
              <w:rPr>
                <w:rFonts w:ascii="Arial" w:hAnsi="Arial" w:cs="Arial"/>
                <w:noProof/>
                <w:webHidden/>
                <w:sz w:val="24"/>
                <w:szCs w:val="24"/>
              </w:rPr>
              <w:instrText xml:space="preserve"> PAGEREF _Toc214543732 \h </w:instrText>
            </w:r>
            <w:r w:rsidR="00C3731C" w:rsidRPr="003A50C8">
              <w:rPr>
                <w:rFonts w:ascii="Arial" w:hAnsi="Arial" w:cs="Arial"/>
                <w:noProof/>
                <w:webHidden/>
                <w:sz w:val="24"/>
                <w:szCs w:val="24"/>
              </w:rPr>
            </w:r>
            <w:r w:rsidR="00C3731C" w:rsidRPr="003A50C8">
              <w:rPr>
                <w:rFonts w:ascii="Arial" w:hAnsi="Arial" w:cs="Arial"/>
                <w:noProof/>
                <w:webHidden/>
                <w:sz w:val="24"/>
                <w:szCs w:val="24"/>
              </w:rPr>
              <w:fldChar w:fldCharType="separate"/>
            </w:r>
            <w:r w:rsidR="00C3731C" w:rsidRPr="003A50C8">
              <w:rPr>
                <w:rFonts w:ascii="Arial" w:hAnsi="Arial" w:cs="Arial"/>
                <w:noProof/>
                <w:webHidden/>
                <w:sz w:val="24"/>
                <w:szCs w:val="24"/>
              </w:rPr>
              <w:t>19</w:t>
            </w:r>
            <w:r w:rsidR="00C3731C" w:rsidRPr="003A50C8">
              <w:rPr>
                <w:rFonts w:ascii="Arial" w:hAnsi="Arial" w:cs="Arial"/>
                <w:noProof/>
                <w:webHidden/>
                <w:sz w:val="24"/>
                <w:szCs w:val="24"/>
              </w:rPr>
              <w:fldChar w:fldCharType="end"/>
            </w:r>
          </w:hyperlink>
        </w:p>
        <w:p w14:paraId="6043FF52" w14:textId="77777777" w:rsidR="00C3731C" w:rsidRPr="003A50C8" w:rsidRDefault="00C3731C">
          <w:pPr>
            <w:rPr>
              <w:rFonts w:ascii="Arial" w:hAnsi="Arial" w:cs="Arial"/>
            </w:rPr>
          </w:pPr>
          <w:r w:rsidRPr="003A50C8">
            <w:rPr>
              <w:rFonts w:ascii="Arial" w:hAnsi="Arial" w:cs="Arial"/>
              <w:b/>
              <w:bCs/>
              <w:noProof/>
              <w:sz w:val="24"/>
              <w:szCs w:val="24"/>
            </w:rPr>
            <w:fldChar w:fldCharType="end"/>
          </w:r>
        </w:p>
      </w:sdtContent>
    </w:sdt>
    <w:p w14:paraId="2BA6CD26" w14:textId="77777777" w:rsidR="000C719F" w:rsidRPr="003A50C8" w:rsidRDefault="000C719F" w:rsidP="000C719F">
      <w:pPr>
        <w:spacing w:after="0" w:line="360" w:lineRule="auto"/>
        <w:jc w:val="both"/>
        <w:rPr>
          <w:rFonts w:ascii="Arial" w:hAnsi="Arial" w:cs="Arial"/>
          <w:bCs/>
          <w:sz w:val="24"/>
          <w:szCs w:val="24"/>
        </w:rPr>
      </w:pPr>
    </w:p>
    <w:p w14:paraId="3918F4E9" w14:textId="77777777" w:rsidR="000C719F" w:rsidRPr="003A50C8" w:rsidRDefault="000C719F">
      <w:pPr>
        <w:rPr>
          <w:rFonts w:ascii="Arial" w:hAnsi="Arial" w:cs="Arial"/>
          <w:b/>
          <w:bCs/>
          <w:sz w:val="24"/>
          <w:szCs w:val="24"/>
        </w:rPr>
      </w:pPr>
      <w:r w:rsidRPr="003A50C8">
        <w:rPr>
          <w:rFonts w:ascii="Arial" w:hAnsi="Arial" w:cs="Arial"/>
          <w:b/>
          <w:bCs/>
          <w:sz w:val="24"/>
          <w:szCs w:val="24"/>
        </w:rPr>
        <w:br w:type="page"/>
      </w:r>
    </w:p>
    <w:p w14:paraId="0D785AC6" w14:textId="77777777" w:rsidR="00F200C6" w:rsidRPr="003A50C8" w:rsidRDefault="00F200C6" w:rsidP="000C719F">
      <w:pPr>
        <w:pStyle w:val="Heading1"/>
        <w:rPr>
          <w:rFonts w:ascii="Arial" w:hAnsi="Arial" w:cs="Arial"/>
        </w:rPr>
      </w:pPr>
      <w:bookmarkStart w:id="2" w:name="_Toc214543709"/>
      <w:r w:rsidRPr="003A50C8">
        <w:rPr>
          <w:rFonts w:ascii="Arial" w:hAnsi="Arial" w:cs="Arial"/>
        </w:rPr>
        <w:lastRenderedPageBreak/>
        <w:t>1. Introduction</w:t>
      </w:r>
      <w:bookmarkEnd w:id="2"/>
    </w:p>
    <w:p w14:paraId="5D3F2662"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BMW Group is a multinational corporation globally that has integrated itself to be one of the most powerful multinational corporations (MNCs). BMW has an operational presence in more than 140 countries and manufactures in more than 15 countries, one of them being the emerging economies of China, India, Brazil, and South Africa, which illustrate the features of a very internationalised and globalized company. This consultancy report is aimed at </w:t>
      </w:r>
      <w:proofErr w:type="spellStart"/>
      <w:r w:rsidRPr="003A50C8">
        <w:rPr>
          <w:rFonts w:ascii="Arial" w:hAnsi="Arial" w:cs="Arial"/>
          <w:sz w:val="24"/>
          <w:szCs w:val="24"/>
        </w:rPr>
        <w:t>analyzing</w:t>
      </w:r>
      <w:proofErr w:type="spellEnd"/>
      <w:r w:rsidRPr="003A50C8">
        <w:rPr>
          <w:rFonts w:ascii="Arial" w:hAnsi="Arial" w:cs="Arial"/>
          <w:sz w:val="24"/>
          <w:szCs w:val="24"/>
        </w:rPr>
        <w:t xml:space="preserve"> the international business environment of BMW, strategic decisions used to formulate its operations on a global level, and challenges and opportunities presented by its operations in different markets</w:t>
      </w:r>
      <w:r w:rsidR="00DF5D3B" w:rsidRPr="003A50C8">
        <w:rPr>
          <w:rFonts w:ascii="Arial" w:hAnsi="Arial" w:cs="Arial"/>
          <w:sz w:val="24"/>
          <w:szCs w:val="24"/>
        </w:rPr>
        <w:t xml:space="preserve"> (BMW Group, 2025)</w:t>
      </w:r>
      <w:r w:rsidRPr="003A50C8">
        <w:rPr>
          <w:rFonts w:ascii="Arial" w:hAnsi="Arial" w:cs="Arial"/>
          <w:sz w:val="24"/>
          <w:szCs w:val="24"/>
        </w:rPr>
        <w:t>. Specifically, the report addresses the advantages and challenges of transnational business of BMW, the relevance of the OLI (Ownership–Location–Internalisation) model to BMW and its penetration in the emerging markets, and the cultural differences in the expansion strategy used by the company. The analysis ends with strategic suggestions on changes to the Standard Operating Procedures (SOPs) within BMW so that its performance can be enhanced in a chosen emerging economy.</w:t>
      </w:r>
    </w:p>
    <w:p w14:paraId="5AB0703E" w14:textId="77777777" w:rsidR="00F200C6" w:rsidRPr="003A50C8" w:rsidRDefault="00F200C6" w:rsidP="000C719F">
      <w:pPr>
        <w:pStyle w:val="Heading1"/>
        <w:rPr>
          <w:rFonts w:ascii="Arial" w:hAnsi="Arial" w:cs="Arial"/>
        </w:rPr>
      </w:pPr>
      <w:bookmarkStart w:id="3" w:name="_Toc214543710"/>
      <w:r w:rsidRPr="003A50C8">
        <w:rPr>
          <w:rFonts w:ascii="Arial" w:hAnsi="Arial" w:cs="Arial"/>
        </w:rPr>
        <w:t>2. Benefits and Challenges of International Operations</w:t>
      </w:r>
      <w:bookmarkEnd w:id="3"/>
      <w:r w:rsidRPr="003A50C8">
        <w:rPr>
          <w:rFonts w:ascii="Arial" w:hAnsi="Arial" w:cs="Arial"/>
        </w:rPr>
        <w:t xml:space="preserve"> </w:t>
      </w:r>
    </w:p>
    <w:p w14:paraId="3DCED0EB" w14:textId="77777777" w:rsidR="00F200C6" w:rsidRPr="003A50C8" w:rsidRDefault="00F200C6" w:rsidP="000C719F">
      <w:pPr>
        <w:pStyle w:val="Heading2"/>
        <w:rPr>
          <w:rFonts w:ascii="Arial" w:hAnsi="Arial" w:cs="Arial"/>
        </w:rPr>
      </w:pPr>
      <w:bookmarkStart w:id="4" w:name="_Toc214543711"/>
      <w:r w:rsidRPr="003A50C8">
        <w:rPr>
          <w:rFonts w:ascii="Arial" w:hAnsi="Arial" w:cs="Arial"/>
        </w:rPr>
        <w:t>2a. BMW as a Multinational/Transnational Corporation</w:t>
      </w:r>
      <w:bookmarkEnd w:id="4"/>
    </w:p>
    <w:p w14:paraId="42318B68"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can be defined as a multinational corporation (MNC) and a transnational corporation (TNC) in particular because of the magnitude, complexity and geographical dispersion of its activities. In contrast to the traditional MNCs that adhere to the home-country dominance model, BMW incorporates global efficiency and high levels of local responsiveness. It has production plants, research and design studios and distribution networks in Europe, Asia, Africa, and the Americas</w:t>
      </w:r>
      <w:r w:rsidR="0060368B" w:rsidRPr="003A50C8">
        <w:rPr>
          <w:rFonts w:ascii="Arial" w:hAnsi="Arial" w:cs="Arial"/>
          <w:sz w:val="24"/>
          <w:szCs w:val="24"/>
        </w:rPr>
        <w:t xml:space="preserve"> (Vasco, 2021)</w:t>
      </w:r>
      <w:r w:rsidRPr="003A50C8">
        <w:rPr>
          <w:rFonts w:ascii="Arial" w:hAnsi="Arial" w:cs="Arial"/>
          <w:sz w:val="24"/>
          <w:szCs w:val="24"/>
        </w:rPr>
        <w:t>. The strategic decision making of the company is based on a partially decentralised model where the subsidiaries in the countries are given the freedom to react to the local market conditions but at the same time comply with the global brand standards and technological integration of BMW.</w:t>
      </w:r>
    </w:p>
    <w:p w14:paraId="01BDEBE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fact that BMW is a TNC is further confirmed by its patterns of cross-border investments, joint ventures with other countries especially in China through Brilliance Auto Group, and a flexible global value chain structure that facilitates interaction and integration among subsidiaries</w:t>
      </w:r>
      <w:r w:rsidR="0060368B" w:rsidRPr="003A50C8">
        <w:rPr>
          <w:rFonts w:ascii="Arial" w:hAnsi="Arial" w:cs="Arial"/>
          <w:sz w:val="24"/>
          <w:szCs w:val="24"/>
        </w:rPr>
        <w:t xml:space="preserve"> (Chen </w:t>
      </w:r>
      <w:r w:rsidR="0060368B" w:rsidRPr="003A50C8">
        <w:rPr>
          <w:rFonts w:ascii="Arial" w:hAnsi="Arial" w:cs="Arial"/>
          <w:i/>
          <w:sz w:val="24"/>
          <w:szCs w:val="24"/>
        </w:rPr>
        <w:t>et al</w:t>
      </w:r>
      <w:r w:rsidR="0060368B" w:rsidRPr="003A50C8">
        <w:rPr>
          <w:rFonts w:ascii="Arial" w:hAnsi="Arial" w:cs="Arial"/>
          <w:sz w:val="24"/>
          <w:szCs w:val="24"/>
        </w:rPr>
        <w:t>., 2019)</w:t>
      </w:r>
      <w:r w:rsidRPr="003A50C8">
        <w:rPr>
          <w:rFonts w:ascii="Arial" w:hAnsi="Arial" w:cs="Arial"/>
          <w:sz w:val="24"/>
          <w:szCs w:val="24"/>
        </w:rPr>
        <w:t xml:space="preserve">. Such a strategy displays </w:t>
      </w:r>
      <w:r w:rsidRPr="003A50C8">
        <w:rPr>
          <w:rFonts w:ascii="Arial" w:hAnsi="Arial" w:cs="Arial"/>
          <w:sz w:val="24"/>
          <w:szCs w:val="24"/>
        </w:rPr>
        <w:lastRenderedPageBreak/>
        <w:t>attributes of transnational organisation: global integration, local responsiveness and networked coordination.</w:t>
      </w:r>
    </w:p>
    <w:p w14:paraId="6E10A016" w14:textId="77777777" w:rsidR="00F200C6" w:rsidRPr="003A50C8" w:rsidRDefault="00F200C6" w:rsidP="000C719F">
      <w:pPr>
        <w:pStyle w:val="Heading2"/>
        <w:rPr>
          <w:rFonts w:ascii="Arial" w:hAnsi="Arial" w:cs="Arial"/>
        </w:rPr>
      </w:pPr>
      <w:bookmarkStart w:id="5" w:name="_Toc214543712"/>
      <w:r w:rsidRPr="003A50C8">
        <w:rPr>
          <w:rFonts w:ascii="Arial" w:hAnsi="Arial" w:cs="Arial"/>
        </w:rPr>
        <w:t>2b. Nature of BMW’s Global Operations Across the Value Chain</w:t>
      </w:r>
      <w:bookmarkEnd w:id="5"/>
    </w:p>
    <w:p w14:paraId="0EDA66A8"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value chain of BMW is globally distributed and well synchronized to be able to achieve a competitive edge.</w:t>
      </w:r>
    </w:p>
    <w:p w14:paraId="6BA0EC68"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Research and Development (R&amp;D):</w:t>
      </w:r>
    </w:p>
    <w:p w14:paraId="179A4686"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has 16 R&amp;D and innovation centres across the world with big centres in Munich (Germany), Shanghai (China), and Mountain View (USA). These facilities embrace innovations in self-driving, electric mobility, battery technology, and online services. Partnership with technology companies and institutions also improves its ecosystem of innovations</w:t>
      </w:r>
      <w:r w:rsidR="00327D47" w:rsidRPr="003A50C8">
        <w:rPr>
          <w:rFonts w:ascii="Arial" w:hAnsi="Arial" w:cs="Arial"/>
          <w:sz w:val="24"/>
          <w:szCs w:val="24"/>
        </w:rPr>
        <w:t xml:space="preserve"> (Weiss </w:t>
      </w:r>
      <w:r w:rsidR="00327D47" w:rsidRPr="003A50C8">
        <w:rPr>
          <w:rFonts w:ascii="Arial" w:hAnsi="Arial" w:cs="Arial"/>
          <w:i/>
          <w:sz w:val="24"/>
          <w:szCs w:val="24"/>
        </w:rPr>
        <w:t>et al</w:t>
      </w:r>
      <w:r w:rsidR="00327D47" w:rsidRPr="003A50C8">
        <w:rPr>
          <w:rFonts w:ascii="Arial" w:hAnsi="Arial" w:cs="Arial"/>
          <w:sz w:val="24"/>
          <w:szCs w:val="24"/>
        </w:rPr>
        <w:t>., 2022)</w:t>
      </w:r>
      <w:r w:rsidRPr="003A50C8">
        <w:rPr>
          <w:rFonts w:ascii="Arial" w:hAnsi="Arial" w:cs="Arial"/>
          <w:sz w:val="24"/>
          <w:szCs w:val="24"/>
        </w:rPr>
        <w:t>.</w:t>
      </w:r>
    </w:p>
    <w:p w14:paraId="14903602"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Sourcing and Procurement:</w:t>
      </w:r>
    </w:p>
    <w:p w14:paraId="7B74AE75"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firm has a network of global suppliers of over 12, 000 of partners in 70 countries. The sourcing strategy of BMW focuses on the mentioned aspects: cost-effectiveness, sustainability in sourcing, and avenue to specialised products (i. e. lithium-ion batteries in China, semiconductors in South Korea and Taiwan).</w:t>
      </w:r>
    </w:p>
    <w:p w14:paraId="4655C680"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Production:</w:t>
      </w:r>
    </w:p>
    <w:p w14:paraId="63ACEA0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has a system of 31 manufacturing and assembly plants located in 15 countries. This has major plants in the USA (Spartanburg), China (Shenyang), South Africa (Rosslyn), India (Chennai) and Brazil (</w:t>
      </w:r>
      <w:proofErr w:type="spellStart"/>
      <w:r w:rsidRPr="003A50C8">
        <w:rPr>
          <w:rFonts w:ascii="Arial" w:hAnsi="Arial" w:cs="Arial"/>
          <w:sz w:val="24"/>
          <w:szCs w:val="24"/>
        </w:rPr>
        <w:t>Araquari</w:t>
      </w:r>
      <w:proofErr w:type="spellEnd"/>
      <w:r w:rsidRPr="003A50C8">
        <w:rPr>
          <w:rFonts w:ascii="Arial" w:hAnsi="Arial" w:cs="Arial"/>
          <w:sz w:val="24"/>
          <w:szCs w:val="24"/>
        </w:rPr>
        <w:t>). The allocation of production works on the basis of the logistics efficiency, demand in the market, and the strategic value, e.g. the largest BMW plant in the world is located in Spartanburg, and it is the main export center of SUVs.</w:t>
      </w:r>
    </w:p>
    <w:p w14:paraId="7B9BCE7C"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Sales and Distribution:</w:t>
      </w:r>
    </w:p>
    <w:p w14:paraId="234D5C1E"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has regional sales subsidiaries and dealerships in more than 140 countries. These units will do local marketing, customer services and adherence to regulations. Digital and direct to consumer platforms are also being incorporated into the sales model of BMW</w:t>
      </w:r>
      <w:r w:rsidR="00327D47" w:rsidRPr="003A50C8">
        <w:rPr>
          <w:rFonts w:ascii="Arial" w:hAnsi="Arial" w:cs="Arial"/>
          <w:sz w:val="24"/>
          <w:szCs w:val="24"/>
        </w:rPr>
        <w:t xml:space="preserve"> (</w:t>
      </w:r>
      <w:proofErr w:type="spellStart"/>
      <w:r w:rsidR="0060368B" w:rsidRPr="003A50C8">
        <w:rPr>
          <w:rFonts w:ascii="Arial" w:hAnsi="Arial" w:cs="Arial"/>
          <w:sz w:val="24"/>
          <w:szCs w:val="24"/>
        </w:rPr>
        <w:t>Buigues</w:t>
      </w:r>
      <w:proofErr w:type="spellEnd"/>
      <w:r w:rsidR="00327D47" w:rsidRPr="003A50C8">
        <w:rPr>
          <w:rFonts w:ascii="Arial" w:hAnsi="Arial" w:cs="Arial"/>
          <w:sz w:val="24"/>
          <w:szCs w:val="24"/>
        </w:rPr>
        <w:t xml:space="preserve"> and Lacoste, 2023)</w:t>
      </w:r>
      <w:r w:rsidRPr="003A50C8">
        <w:rPr>
          <w:rFonts w:ascii="Arial" w:hAnsi="Arial" w:cs="Arial"/>
          <w:sz w:val="24"/>
          <w:szCs w:val="24"/>
        </w:rPr>
        <w:t>.</w:t>
      </w:r>
    </w:p>
    <w:p w14:paraId="69D3A21E"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Financing:</w:t>
      </w:r>
    </w:p>
    <w:p w14:paraId="76FF5414"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Financial Services is the credit financing company that aids in the global activities of the company, through leasing, credit financing, and fleet management. This boosts the brand loyalty and also guarantees streams of revenue consistency across the markets.</w:t>
      </w:r>
    </w:p>
    <w:p w14:paraId="3C4974C8"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lastRenderedPageBreak/>
        <w:t>BMW has a global value chain that, on the whole, allows the company to be efficient, innovative, diversified in risks, and responsive to the local conditions.</w:t>
      </w:r>
    </w:p>
    <w:p w14:paraId="6911FDB0" w14:textId="77777777" w:rsidR="00F200C6" w:rsidRPr="003A50C8" w:rsidRDefault="00F200C6" w:rsidP="000C719F">
      <w:pPr>
        <w:pStyle w:val="Heading2"/>
        <w:rPr>
          <w:rFonts w:ascii="Arial" w:hAnsi="Arial" w:cs="Arial"/>
        </w:rPr>
      </w:pPr>
      <w:bookmarkStart w:id="6" w:name="_Toc214543713"/>
      <w:r w:rsidRPr="003A50C8">
        <w:rPr>
          <w:rFonts w:ascii="Arial" w:hAnsi="Arial" w:cs="Arial"/>
        </w:rPr>
        <w:t>2c. BMW’s Entry Modes Across International Markets</w:t>
      </w:r>
      <w:bookmarkEnd w:id="6"/>
    </w:p>
    <w:p w14:paraId="723E2B64"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has implemented a mix of entry modes as it has been based on market features, regulatory needs and strategic objectives.</w:t>
      </w:r>
    </w:p>
    <w:p w14:paraId="56138F17"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1. Joint Ventures (JVs):</w:t>
      </w:r>
    </w:p>
    <w:p w14:paraId="4765579F"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has a long-established joint venture in China with Brilliance Auto Group (BMW Brilliance Automotive) to meet the historical foreign ownership regulation in China. This joint venture has been critical in both reaching the largest automotive market in the world and setting up of local production facilities.</w:t>
      </w:r>
    </w:p>
    <w:p w14:paraId="15DF48AE"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2. Wholly owned subsidiaries ( WOS):</w:t>
      </w:r>
    </w:p>
    <w:p w14:paraId="31F3ED7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invests directly in the manufacturing facilities and research centres in the developed markets like the USA, UK, Germany and Austria. This mode gives 100 percent control over technology, quality and processes</w:t>
      </w:r>
      <w:r w:rsidR="00327D47" w:rsidRPr="003A50C8">
        <w:rPr>
          <w:rFonts w:ascii="Arial" w:hAnsi="Arial" w:cs="Arial"/>
          <w:sz w:val="24"/>
          <w:szCs w:val="24"/>
        </w:rPr>
        <w:t xml:space="preserve"> (</w:t>
      </w:r>
      <w:proofErr w:type="spellStart"/>
      <w:r w:rsidR="00327D47" w:rsidRPr="003A50C8">
        <w:rPr>
          <w:rFonts w:ascii="Arial" w:hAnsi="Arial" w:cs="Arial"/>
          <w:sz w:val="24"/>
          <w:szCs w:val="24"/>
        </w:rPr>
        <w:t>Blankesteijn</w:t>
      </w:r>
      <w:proofErr w:type="spellEnd"/>
      <w:r w:rsidR="00327D47" w:rsidRPr="003A50C8">
        <w:rPr>
          <w:rFonts w:ascii="Arial" w:hAnsi="Arial" w:cs="Arial"/>
          <w:sz w:val="24"/>
          <w:szCs w:val="24"/>
        </w:rPr>
        <w:t xml:space="preserve"> </w:t>
      </w:r>
      <w:r w:rsidR="00327D47" w:rsidRPr="003A50C8">
        <w:rPr>
          <w:rFonts w:ascii="Arial" w:hAnsi="Arial" w:cs="Arial"/>
          <w:i/>
          <w:sz w:val="24"/>
          <w:szCs w:val="24"/>
        </w:rPr>
        <w:t>et al</w:t>
      </w:r>
      <w:r w:rsidR="00327D47" w:rsidRPr="003A50C8">
        <w:rPr>
          <w:rFonts w:ascii="Arial" w:hAnsi="Arial" w:cs="Arial"/>
          <w:sz w:val="24"/>
          <w:szCs w:val="24"/>
        </w:rPr>
        <w:t>., 2019)</w:t>
      </w:r>
      <w:r w:rsidRPr="003A50C8">
        <w:rPr>
          <w:rFonts w:ascii="Arial" w:hAnsi="Arial" w:cs="Arial"/>
          <w:sz w:val="24"/>
          <w:szCs w:val="24"/>
        </w:rPr>
        <w:t>.</w:t>
      </w:r>
    </w:p>
    <w:p w14:paraId="75EAA9AD"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3. Exporting:</w:t>
      </w:r>
    </w:p>
    <w:p w14:paraId="467C46D0"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ships cars in large production units, especially Germany and USA, into destinations with low volume, or where it is not economical to manufacture locally.</w:t>
      </w:r>
    </w:p>
    <w:p w14:paraId="28B561DF"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b/>
          <w:bCs/>
          <w:sz w:val="24"/>
          <w:szCs w:val="24"/>
        </w:rPr>
        <w:t>4. Strategic Alliances and Licensing:</w:t>
      </w:r>
      <w:r w:rsidRPr="003A50C8">
        <w:rPr>
          <w:rFonts w:ascii="Arial" w:hAnsi="Arial" w:cs="Arial"/>
          <w:sz w:val="24"/>
          <w:szCs w:val="24"/>
        </w:rPr>
        <w:br/>
        <w:t>Partnership with companies (like Toyota development of hydrogen vehicles) and Intel/Mobileye (development of autonomous driving) are examples of the collaborative nature of innovation at BMW.</w:t>
      </w:r>
    </w:p>
    <w:p w14:paraId="5178665A" w14:textId="77777777" w:rsidR="00F200C6" w:rsidRPr="003A50C8" w:rsidRDefault="00F200C6" w:rsidP="000C719F">
      <w:pPr>
        <w:spacing w:after="0" w:line="360" w:lineRule="auto"/>
        <w:jc w:val="both"/>
        <w:rPr>
          <w:rFonts w:ascii="Arial" w:hAnsi="Arial" w:cs="Arial"/>
          <w:b/>
          <w:sz w:val="24"/>
          <w:szCs w:val="24"/>
        </w:rPr>
      </w:pPr>
      <w:r w:rsidRPr="003A50C8">
        <w:rPr>
          <w:rFonts w:ascii="Arial" w:hAnsi="Arial" w:cs="Arial"/>
          <w:b/>
          <w:sz w:val="24"/>
          <w:szCs w:val="24"/>
        </w:rPr>
        <w:t>Dominant Entry Mode:</w:t>
      </w:r>
    </w:p>
    <w:p w14:paraId="12FB6955"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Although the entry mode at BMW has differed, joint ventures have predominated in the large emerging markets (e.g. china) and wholly owned subsidiary in the developed economies.</w:t>
      </w:r>
    </w:p>
    <w:p w14:paraId="5204A52A" w14:textId="77777777" w:rsidR="00F200C6" w:rsidRPr="003A50C8" w:rsidRDefault="00F200C6" w:rsidP="000C719F">
      <w:pPr>
        <w:pStyle w:val="Heading2"/>
        <w:rPr>
          <w:rFonts w:ascii="Arial" w:hAnsi="Arial" w:cs="Arial"/>
        </w:rPr>
      </w:pPr>
      <w:bookmarkStart w:id="7" w:name="_Toc214543714"/>
      <w:r w:rsidRPr="003A50C8">
        <w:rPr>
          <w:rFonts w:ascii="Arial" w:hAnsi="Arial" w:cs="Arial"/>
        </w:rPr>
        <w:t>2d. Key Benefits of BMW’s International Operations</w:t>
      </w:r>
      <w:bookmarkEnd w:id="7"/>
    </w:p>
    <w:p w14:paraId="17411A72"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BMW has a wide international presence and this has come with a number of strategic benefits that make the company more competitive in the global automotive market. Diversification of markets is one of the greatest advantages as the business is not affected by regional economic recessions. Since BMW sells cars in Europe, North America and Asia, underperformance in one market, can be compensated with a strong demand in other high-growth markets like China and the United States to generate a long-term stable revenue</w:t>
      </w:r>
      <w:r w:rsidR="00327D47" w:rsidRPr="003A50C8">
        <w:rPr>
          <w:rFonts w:ascii="Arial" w:hAnsi="Arial" w:cs="Arial"/>
          <w:sz w:val="24"/>
          <w:szCs w:val="24"/>
        </w:rPr>
        <w:t xml:space="preserve"> (Gutmann, 2019)</w:t>
      </w:r>
      <w:r w:rsidRPr="003A50C8">
        <w:rPr>
          <w:rFonts w:ascii="Arial" w:hAnsi="Arial" w:cs="Arial"/>
          <w:sz w:val="24"/>
          <w:szCs w:val="24"/>
        </w:rPr>
        <w:t>.</w:t>
      </w:r>
    </w:p>
    <w:p w14:paraId="37A04741"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lastRenderedPageBreak/>
        <w:t>The second benefit is cost efficiency. The production of low-cost labour, shorter supply chains, and minimum exposure to tariffs through the production of vehicles in countries like China, the United States, South Africa, and Brazil makes BMW competitive in its operations. Localised production also diminishes the risks that come with the currency variation enhancing pricing competitiveness and profitability. International access also enables BMW to access highly-specialised components including high-tech batteries or semiconductors, at reduced cost and improved quality.</w:t>
      </w:r>
    </w:p>
    <w:p w14:paraId="1ADA592A"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international distribution of BMW increases an innovation through R&amp;D centres in Germany, U.S., China and Israel. This expedites EVs, autonomous driving and digital services. Moreover, the global scale allows BMW to distribute R&amp;D and production costs on the millions of cars, making them more efficient</w:t>
      </w:r>
      <w:r w:rsidR="00327D47" w:rsidRPr="003A50C8">
        <w:rPr>
          <w:rFonts w:ascii="Arial" w:hAnsi="Arial" w:cs="Arial"/>
          <w:sz w:val="24"/>
          <w:szCs w:val="24"/>
        </w:rPr>
        <w:t xml:space="preserve"> (</w:t>
      </w:r>
      <w:proofErr w:type="spellStart"/>
      <w:r w:rsidR="00327D47" w:rsidRPr="003A50C8">
        <w:rPr>
          <w:rFonts w:ascii="Arial" w:hAnsi="Arial" w:cs="Arial"/>
          <w:sz w:val="24"/>
          <w:szCs w:val="24"/>
        </w:rPr>
        <w:t>Schindlbeck</w:t>
      </w:r>
      <w:proofErr w:type="spellEnd"/>
      <w:r w:rsidR="00327D47" w:rsidRPr="003A50C8">
        <w:rPr>
          <w:rFonts w:ascii="Arial" w:hAnsi="Arial" w:cs="Arial"/>
          <w:sz w:val="24"/>
          <w:szCs w:val="24"/>
        </w:rPr>
        <w:t xml:space="preserve"> </w:t>
      </w:r>
      <w:r w:rsidR="00327D47" w:rsidRPr="003A50C8">
        <w:rPr>
          <w:rFonts w:ascii="Arial" w:hAnsi="Arial" w:cs="Arial"/>
          <w:i/>
          <w:sz w:val="24"/>
          <w:szCs w:val="24"/>
        </w:rPr>
        <w:t>et al</w:t>
      </w:r>
      <w:r w:rsidR="00327D47" w:rsidRPr="003A50C8">
        <w:rPr>
          <w:rFonts w:ascii="Arial" w:hAnsi="Arial" w:cs="Arial"/>
          <w:sz w:val="24"/>
          <w:szCs w:val="24"/>
        </w:rPr>
        <w:t>., 2020)</w:t>
      </w:r>
      <w:r w:rsidRPr="003A50C8">
        <w:rPr>
          <w:rFonts w:ascii="Arial" w:hAnsi="Arial" w:cs="Arial"/>
          <w:sz w:val="24"/>
          <w:szCs w:val="24"/>
        </w:rPr>
        <w:t>.Lastly, the popularity of the brand and the image of the company as a leading luxury car manufacturer are built by the presence of BMW in over 140 countries.</w:t>
      </w:r>
    </w:p>
    <w:p w14:paraId="459B5DD9" w14:textId="77777777" w:rsidR="00C3731C" w:rsidRPr="003A50C8" w:rsidRDefault="00C3731C" w:rsidP="00C3731C">
      <w:pPr>
        <w:spacing w:after="0" w:line="360" w:lineRule="auto"/>
        <w:jc w:val="center"/>
        <w:rPr>
          <w:rFonts w:ascii="Arial" w:hAnsi="Arial" w:cs="Arial"/>
          <w:sz w:val="24"/>
          <w:szCs w:val="24"/>
        </w:rPr>
      </w:pPr>
      <w:r w:rsidRPr="003A50C8">
        <w:rPr>
          <w:rFonts w:ascii="Arial" w:hAnsi="Arial" w:cs="Arial"/>
          <w:noProof/>
          <w:sz w:val="24"/>
          <w:szCs w:val="24"/>
          <w:lang w:eastAsia="en-IN"/>
        </w:rPr>
        <w:drawing>
          <wp:inline distT="0" distB="0" distL="0" distR="0" wp14:anchorId="69ADB09D" wp14:editId="475D748A">
            <wp:extent cx="2194560" cy="32918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Nov 20, 2025, 01_28_22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95047" cy="3292570"/>
                    </a:xfrm>
                    <a:prstGeom prst="rect">
                      <a:avLst/>
                    </a:prstGeom>
                  </pic:spPr>
                </pic:pic>
              </a:graphicData>
            </a:graphic>
          </wp:inline>
        </w:drawing>
      </w:r>
    </w:p>
    <w:p w14:paraId="746C3382" w14:textId="77777777" w:rsidR="00C3731C" w:rsidRPr="003A50C8" w:rsidRDefault="00C3731C" w:rsidP="00C3731C">
      <w:pPr>
        <w:spacing w:after="0" w:line="360" w:lineRule="auto"/>
        <w:jc w:val="center"/>
        <w:rPr>
          <w:rFonts w:ascii="Arial" w:hAnsi="Arial" w:cs="Arial"/>
          <w:sz w:val="24"/>
          <w:szCs w:val="24"/>
        </w:rPr>
      </w:pPr>
      <w:r w:rsidRPr="003A50C8">
        <w:rPr>
          <w:rFonts w:ascii="Arial" w:hAnsi="Arial" w:cs="Arial"/>
          <w:sz w:val="24"/>
          <w:szCs w:val="24"/>
        </w:rPr>
        <w:t>Figure 1: BMW’s Global Value Chain</w:t>
      </w:r>
    </w:p>
    <w:p w14:paraId="7600EEB8" w14:textId="77777777" w:rsidR="00C3731C" w:rsidRPr="003A50C8" w:rsidRDefault="00C3731C" w:rsidP="00C3731C">
      <w:pPr>
        <w:spacing w:after="0" w:line="360" w:lineRule="auto"/>
        <w:jc w:val="center"/>
        <w:rPr>
          <w:rFonts w:ascii="Arial" w:hAnsi="Arial" w:cs="Arial"/>
          <w:sz w:val="24"/>
          <w:szCs w:val="24"/>
        </w:rPr>
      </w:pPr>
      <w:r w:rsidRPr="003A50C8">
        <w:rPr>
          <w:rFonts w:ascii="Arial" w:hAnsi="Arial" w:cs="Arial"/>
          <w:sz w:val="24"/>
          <w:szCs w:val="24"/>
        </w:rPr>
        <w:t xml:space="preserve">(Source: Cai </w:t>
      </w:r>
      <w:r w:rsidRPr="003A50C8">
        <w:rPr>
          <w:rFonts w:ascii="Arial" w:hAnsi="Arial" w:cs="Arial"/>
          <w:i/>
          <w:sz w:val="24"/>
          <w:szCs w:val="24"/>
        </w:rPr>
        <w:t>et al</w:t>
      </w:r>
      <w:r w:rsidRPr="003A50C8">
        <w:rPr>
          <w:rFonts w:ascii="Arial" w:hAnsi="Arial" w:cs="Arial"/>
          <w:sz w:val="24"/>
          <w:szCs w:val="24"/>
        </w:rPr>
        <w:t>., 2019)</w:t>
      </w:r>
    </w:p>
    <w:p w14:paraId="1CD309A6" w14:textId="77777777" w:rsidR="00F200C6" w:rsidRPr="003A50C8" w:rsidRDefault="00F200C6" w:rsidP="000C719F">
      <w:pPr>
        <w:pStyle w:val="Heading1"/>
        <w:rPr>
          <w:rFonts w:ascii="Arial" w:hAnsi="Arial" w:cs="Arial"/>
        </w:rPr>
      </w:pPr>
      <w:bookmarkStart w:id="8" w:name="_Toc214543715"/>
      <w:r w:rsidRPr="003A50C8">
        <w:rPr>
          <w:rFonts w:ascii="Arial" w:hAnsi="Arial" w:cs="Arial"/>
        </w:rPr>
        <w:t>3. The Impact of OLI Factors on BMW’s Market Entry Mode</w:t>
      </w:r>
      <w:bookmarkEnd w:id="8"/>
      <w:r w:rsidRPr="003A50C8">
        <w:rPr>
          <w:rFonts w:ascii="Arial" w:hAnsi="Arial" w:cs="Arial"/>
        </w:rPr>
        <w:t xml:space="preserve"> </w:t>
      </w:r>
    </w:p>
    <w:p w14:paraId="6725E212"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The OLI (Ownership-Location-Internalisation) framework of John Dunning is an effective paradigm of analysing the reasons why multinational companies select </w:t>
      </w:r>
      <w:r w:rsidRPr="003A50C8">
        <w:rPr>
          <w:rFonts w:ascii="Arial" w:hAnsi="Arial" w:cs="Arial"/>
          <w:sz w:val="24"/>
          <w:szCs w:val="24"/>
        </w:rPr>
        <w:lastRenderedPageBreak/>
        <w:t>specific modes of foreign market entry. Using this framework in the case of internationalisation of BMW, especially in entering the Chinese market, an emerging economic powerhouse of strategic significance, to shed some light on the economic rationale behind the decisions made by the company</w:t>
      </w:r>
      <w:r w:rsidR="001F3AFC" w:rsidRPr="003A50C8">
        <w:rPr>
          <w:rFonts w:ascii="Arial" w:hAnsi="Arial" w:cs="Arial"/>
          <w:sz w:val="24"/>
          <w:szCs w:val="24"/>
        </w:rPr>
        <w:t xml:space="preserve"> (Cintra </w:t>
      </w:r>
      <w:r w:rsidR="001F3AFC" w:rsidRPr="003A50C8">
        <w:rPr>
          <w:rFonts w:ascii="Arial" w:hAnsi="Arial" w:cs="Arial"/>
          <w:i/>
          <w:sz w:val="24"/>
          <w:szCs w:val="24"/>
        </w:rPr>
        <w:t>et al</w:t>
      </w:r>
      <w:r w:rsidR="001F3AFC" w:rsidRPr="003A50C8">
        <w:rPr>
          <w:rFonts w:ascii="Arial" w:hAnsi="Arial" w:cs="Arial"/>
          <w:sz w:val="24"/>
          <w:szCs w:val="24"/>
        </w:rPr>
        <w:t>., 2025)</w:t>
      </w:r>
      <w:r w:rsidRPr="003A50C8">
        <w:rPr>
          <w:rFonts w:ascii="Arial" w:hAnsi="Arial" w:cs="Arial"/>
          <w:sz w:val="24"/>
          <w:szCs w:val="24"/>
        </w:rPr>
        <w:t>. The assistance of BMW entering China was a complex interplay of the capabilities of ownership of BMW as well as the locational characteristics in China and the desire of BMW to internalize its operations in order to withhold its competitive advantage. The combination of these three elements was a reason to conclude that BMW selected the joint venture as the most appropriate mode of entry in the Chinese market.</w:t>
      </w:r>
    </w:p>
    <w:p w14:paraId="335EB24B" w14:textId="77777777" w:rsidR="00F200C6" w:rsidRPr="003A50C8" w:rsidRDefault="00F200C6" w:rsidP="000C719F">
      <w:pPr>
        <w:pStyle w:val="Heading2"/>
        <w:rPr>
          <w:rFonts w:ascii="Arial" w:hAnsi="Arial" w:cs="Arial"/>
        </w:rPr>
      </w:pPr>
      <w:bookmarkStart w:id="9" w:name="_Toc214543716"/>
      <w:r w:rsidRPr="003A50C8">
        <w:rPr>
          <w:rFonts w:ascii="Arial" w:hAnsi="Arial" w:cs="Arial"/>
        </w:rPr>
        <w:t>Ownership Advantages (O)</w:t>
      </w:r>
      <w:bookmarkEnd w:id="9"/>
    </w:p>
    <w:p w14:paraId="52EAB459"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ownership benefits are the firm specific resources and capabilities that enable a multinational enterprise to compete effectively in other countries. BMW has a number of such advantages, and these were the key influences on its internationalisation strategy.</w:t>
      </w:r>
    </w:p>
    <w:p w14:paraId="111590A7" w14:textId="77777777" w:rsidR="000C719F"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To start with, brand equity is one of the greatest assets of BMW. The BMW brand is a symbolic and economic asset that the company enjoys world wide due to its, high quality, engineering and luxury brand positioning compared to other domestic brands in new markets like China</w:t>
      </w:r>
      <w:r w:rsidR="00EE04AB" w:rsidRPr="003A50C8">
        <w:rPr>
          <w:rFonts w:ascii="Arial" w:hAnsi="Arial" w:cs="Arial"/>
          <w:sz w:val="24"/>
          <w:szCs w:val="24"/>
        </w:rPr>
        <w:t xml:space="preserve"> (Franke </w:t>
      </w:r>
      <w:r w:rsidR="00EE04AB" w:rsidRPr="003A50C8">
        <w:rPr>
          <w:rFonts w:ascii="Arial" w:hAnsi="Arial" w:cs="Arial"/>
          <w:i/>
          <w:sz w:val="24"/>
          <w:szCs w:val="24"/>
        </w:rPr>
        <w:t>et al</w:t>
      </w:r>
      <w:r w:rsidR="00EE04AB" w:rsidRPr="003A50C8">
        <w:rPr>
          <w:rFonts w:ascii="Arial" w:hAnsi="Arial" w:cs="Arial"/>
          <w:sz w:val="24"/>
          <w:szCs w:val="24"/>
        </w:rPr>
        <w:t>., 2023)</w:t>
      </w:r>
      <w:r w:rsidRPr="003A50C8">
        <w:rPr>
          <w:rFonts w:ascii="Arial" w:hAnsi="Arial" w:cs="Arial"/>
          <w:sz w:val="24"/>
          <w:szCs w:val="24"/>
        </w:rPr>
        <w:t>. The Ultimate Driving Machine brand identity of the company is heavily appealing to the Chinese market, since they regard foreign luxury brands as status symbols of technology.</w:t>
      </w:r>
    </w:p>
    <w:p w14:paraId="035B13B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 Such a good brand equity gave BMW a greater bargaining power in discussions with the Chinese and assisted the company to retain high p</w:t>
      </w:r>
      <w:r w:rsidR="000C719F" w:rsidRPr="003A50C8">
        <w:rPr>
          <w:rFonts w:ascii="Arial" w:hAnsi="Arial" w:cs="Arial"/>
          <w:sz w:val="24"/>
          <w:szCs w:val="24"/>
        </w:rPr>
        <w:t>rices amidst stiff competition.</w:t>
      </w:r>
      <w:r w:rsidRPr="003A50C8">
        <w:rPr>
          <w:rFonts w:ascii="Arial" w:hAnsi="Arial" w:cs="Arial"/>
          <w:sz w:val="24"/>
          <w:szCs w:val="24"/>
        </w:rPr>
        <w:t>Second, BMW has great technological capabilities. The company is an international powerhouse in the creation of electric drive systems, battery packs and the extraordinarily efficient combustion engines. Its continued investments in autonomous driving systems, digital dashboard, and connected mobility solutions also make the company a major competitive advantage. The technological capabilities of BMW were a powerful force in the Chinese environment, in which the government is focused on the high-tech automotive business and high speed electrification, and where the company can become the influential partner of the local companies and a powerful force in the industry.</w:t>
      </w:r>
    </w:p>
    <w:p w14:paraId="5810EE8F"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Third, BMW has a globally spread R&amp;D network, and large centres are located in Germany, the United States, China, and other innovative strongholds. This network </w:t>
      </w:r>
      <w:r w:rsidRPr="003A50C8">
        <w:rPr>
          <w:rFonts w:ascii="Arial" w:hAnsi="Arial" w:cs="Arial"/>
          <w:sz w:val="24"/>
          <w:szCs w:val="24"/>
        </w:rPr>
        <w:lastRenderedPageBreak/>
        <w:t>increases the adaptability of the company on products to local market. As an example, the R&amp;D operations conducted by BMW in China give the company information about the local customer preferences, which can be then used to customise the vehicle features, digital services, and interior design features</w:t>
      </w:r>
      <w:r w:rsidR="001F3AFC" w:rsidRPr="003A50C8">
        <w:rPr>
          <w:rFonts w:ascii="Arial" w:hAnsi="Arial" w:cs="Arial"/>
          <w:sz w:val="24"/>
          <w:szCs w:val="24"/>
        </w:rPr>
        <w:t xml:space="preserve"> (Hinrichs and </w:t>
      </w:r>
      <w:proofErr w:type="spellStart"/>
      <w:r w:rsidR="001F3AFC" w:rsidRPr="003A50C8">
        <w:rPr>
          <w:rFonts w:ascii="Arial" w:hAnsi="Arial" w:cs="Arial"/>
          <w:sz w:val="24"/>
          <w:szCs w:val="24"/>
        </w:rPr>
        <w:t>Prifti</w:t>
      </w:r>
      <w:proofErr w:type="spellEnd"/>
      <w:r w:rsidR="001F3AFC" w:rsidRPr="003A50C8">
        <w:rPr>
          <w:rFonts w:ascii="Arial" w:hAnsi="Arial" w:cs="Arial"/>
          <w:sz w:val="24"/>
          <w:szCs w:val="24"/>
        </w:rPr>
        <w:t>, 2022)</w:t>
      </w:r>
      <w:r w:rsidRPr="003A50C8">
        <w:rPr>
          <w:rFonts w:ascii="Arial" w:hAnsi="Arial" w:cs="Arial"/>
          <w:sz w:val="24"/>
          <w:szCs w:val="24"/>
        </w:rPr>
        <w:t>. This can be coupled with the worldwide innovation and make BMW more competitive in the top-class car market in China.</w:t>
      </w:r>
    </w:p>
    <w:p w14:paraId="1C9CC6EF"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Fourth, BMW has much managerial and organisational experience. The years of international operating have helped BMW streamline its operations in terms of integrating supply chain and optimisation of production, quality management and coordination globally. These organisational benefits facilitate efficient cross-border strategic decision-making as well as strengthens the company in ensuring that all the markets adhere to the same standards.</w:t>
      </w:r>
    </w:p>
    <w:p w14:paraId="45887047"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Combined, these ownership benefits provided BMW with a good leverage in China. Their rationale to retain a hold to the important elements of its technology and operations also had a significant impact on the company not wanting to license production to other Chinese independent companies.</w:t>
      </w:r>
    </w:p>
    <w:p w14:paraId="1E482924" w14:textId="77777777" w:rsidR="00F200C6" w:rsidRPr="003A50C8" w:rsidRDefault="00F200C6" w:rsidP="000C719F">
      <w:pPr>
        <w:pStyle w:val="Heading2"/>
        <w:rPr>
          <w:rFonts w:ascii="Arial" w:hAnsi="Arial" w:cs="Arial"/>
        </w:rPr>
      </w:pPr>
      <w:bookmarkStart w:id="10" w:name="_Toc214543717"/>
      <w:r w:rsidRPr="003A50C8">
        <w:rPr>
          <w:rFonts w:ascii="Arial" w:hAnsi="Arial" w:cs="Arial"/>
        </w:rPr>
        <w:t>Location Advantages (L)</w:t>
      </w:r>
      <w:bookmarkEnd w:id="10"/>
    </w:p>
    <w:p w14:paraId="515EF948"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locational features of china played a significant role in the strategy of market entry of BMW. China being the largest automotive market in the world presents the best growth opportunities. The high end market has grown at a fast rate because of increasing disposable income, urbanisation, and preference of overseas luxury by consumers. In the case of BMW, this growing market base offered strong forces to open a local presence and not merely to cater to the market using exports</w:t>
      </w:r>
      <w:r w:rsidR="001F3AFC" w:rsidRPr="003A50C8">
        <w:rPr>
          <w:rFonts w:ascii="Arial" w:hAnsi="Arial" w:cs="Arial"/>
          <w:sz w:val="24"/>
          <w:szCs w:val="24"/>
        </w:rPr>
        <w:t xml:space="preserve"> (</w:t>
      </w:r>
      <w:proofErr w:type="spellStart"/>
      <w:r w:rsidR="001F3AFC" w:rsidRPr="003A50C8">
        <w:rPr>
          <w:rFonts w:ascii="Arial" w:hAnsi="Arial" w:cs="Arial"/>
          <w:sz w:val="24"/>
          <w:szCs w:val="24"/>
        </w:rPr>
        <w:t>Kasych</w:t>
      </w:r>
      <w:proofErr w:type="spellEnd"/>
      <w:r w:rsidR="001F3AFC" w:rsidRPr="003A50C8">
        <w:rPr>
          <w:rFonts w:ascii="Arial" w:hAnsi="Arial" w:cs="Arial"/>
          <w:sz w:val="24"/>
          <w:szCs w:val="24"/>
        </w:rPr>
        <w:t>, 2019)</w:t>
      </w:r>
      <w:r w:rsidRPr="003A50C8">
        <w:rPr>
          <w:rFonts w:ascii="Arial" w:hAnsi="Arial" w:cs="Arial"/>
          <w:sz w:val="24"/>
          <w:szCs w:val="24"/>
        </w:rPr>
        <w:t>.</w:t>
      </w:r>
    </w:p>
    <w:p w14:paraId="438E29A1"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The Chinese cost effective production climate also contributed a lot. Despite the increase in labour costs in the recent years, China is still cost effective compared to most of the Western nations. More to the point, its well trained manufacturing personnel has the capacity to make quality cars that achieve the standards of BMW. These benefits minimize the cost of production and help in maintaining the price of production at competitive prices in the domestic market.China has a very well-developed chain system of car supply, especially in the sphere of electric cars (EVs) and battery. The lithium-ion battery production of China offers affordable and short lead time accessibility to the foreign automakers to the important components. In the </w:t>
      </w:r>
      <w:r w:rsidRPr="003A50C8">
        <w:rPr>
          <w:rFonts w:ascii="Arial" w:hAnsi="Arial" w:cs="Arial"/>
          <w:sz w:val="24"/>
          <w:szCs w:val="24"/>
        </w:rPr>
        <w:lastRenderedPageBreak/>
        <w:t>case of BMW, this is particularly vital because it can help it switch to electric mobility faster with its i-Series and new-generation platforms.</w:t>
      </w:r>
    </w:p>
    <w:p w14:paraId="3FDFE399"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Besides this, the Chinese government offers significant policy stimulus, especially on electric vehicle manufacture, overseas direct investment and research and development. Such incentives are tax breaks, the subsidies of EV production, and the favourable terms of the companies investing in sustainable mobility</w:t>
      </w:r>
      <w:r w:rsidR="001F3AFC" w:rsidRPr="003A50C8">
        <w:rPr>
          <w:rFonts w:ascii="Arial" w:hAnsi="Arial" w:cs="Arial"/>
          <w:sz w:val="24"/>
          <w:szCs w:val="24"/>
        </w:rPr>
        <w:t xml:space="preserve"> (Yip </w:t>
      </w:r>
      <w:r w:rsidR="001F3AFC" w:rsidRPr="003A50C8">
        <w:rPr>
          <w:rFonts w:ascii="Arial" w:hAnsi="Arial" w:cs="Arial"/>
          <w:i/>
          <w:sz w:val="24"/>
          <w:szCs w:val="24"/>
        </w:rPr>
        <w:t>et al</w:t>
      </w:r>
      <w:r w:rsidR="001F3AFC" w:rsidRPr="003A50C8">
        <w:rPr>
          <w:rFonts w:ascii="Arial" w:hAnsi="Arial" w:cs="Arial"/>
          <w:sz w:val="24"/>
          <w:szCs w:val="24"/>
        </w:rPr>
        <w:t>., 2023)</w:t>
      </w:r>
      <w:r w:rsidRPr="003A50C8">
        <w:rPr>
          <w:rFonts w:ascii="Arial" w:hAnsi="Arial" w:cs="Arial"/>
          <w:sz w:val="24"/>
          <w:szCs w:val="24"/>
        </w:rPr>
        <w:t xml:space="preserve">. The effect of such policies was to provide BMW with a </w:t>
      </w:r>
      <w:proofErr w:type="spellStart"/>
      <w:r w:rsidRPr="003A50C8">
        <w:rPr>
          <w:rFonts w:ascii="Arial" w:hAnsi="Arial" w:cs="Arial"/>
          <w:sz w:val="24"/>
          <w:szCs w:val="24"/>
        </w:rPr>
        <w:t>favorable</w:t>
      </w:r>
      <w:proofErr w:type="spellEnd"/>
      <w:r w:rsidRPr="003A50C8">
        <w:rPr>
          <w:rFonts w:ascii="Arial" w:hAnsi="Arial" w:cs="Arial"/>
          <w:sz w:val="24"/>
          <w:szCs w:val="24"/>
        </w:rPr>
        <w:t xml:space="preserve"> position to increase its production capacity and new models to suit the Chinese market.</w:t>
      </w:r>
    </w:p>
    <w:p w14:paraId="0B2B43D2"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Lastly, the world-class infrastructure in China such as highways, ports and logistics networks makes it easy to supply the country efficiently through the inbound supply chains and distribution of vehicles within the country. This infrastructure will minimize the logistical expenses and will increase the efficiency of operations of BMW in the country.</w:t>
      </w:r>
    </w:p>
    <w:p w14:paraId="15D57D99" w14:textId="77777777" w:rsidR="00F200C6" w:rsidRPr="003A50C8" w:rsidRDefault="00F200C6" w:rsidP="000C719F">
      <w:pPr>
        <w:pStyle w:val="Heading2"/>
        <w:rPr>
          <w:rFonts w:ascii="Arial" w:hAnsi="Arial" w:cs="Arial"/>
        </w:rPr>
      </w:pPr>
      <w:bookmarkStart w:id="11" w:name="_Toc214543718"/>
      <w:r w:rsidRPr="003A50C8">
        <w:rPr>
          <w:rFonts w:ascii="Arial" w:hAnsi="Arial" w:cs="Arial"/>
        </w:rPr>
        <w:t>Internalisation Advantages (I)</w:t>
      </w:r>
      <w:bookmarkEnd w:id="11"/>
    </w:p>
    <w:p w14:paraId="3A4013C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Internalisation benefits are the reason why BMW would not want to outsource or license its business but to maintain a grip on its overseas activities. In the case of BMW, proprietary technology protection is the greatest internalisation benefit. The high-value innovations that the company has, such as EfficientDynamics powertrains, sophisticated battery structures, and autonomous driving systems, are the key competitive resources that should be preserved. Allowing these technologies to be licensed to other Chinese companies that would not be affiliates would be a major intellectual property threat</w:t>
      </w:r>
      <w:r w:rsidR="001F3AFC" w:rsidRPr="003A50C8">
        <w:rPr>
          <w:rFonts w:ascii="Arial" w:hAnsi="Arial" w:cs="Arial"/>
          <w:sz w:val="24"/>
          <w:szCs w:val="24"/>
        </w:rPr>
        <w:t xml:space="preserve"> (Furr </w:t>
      </w:r>
      <w:r w:rsidR="001F3AFC" w:rsidRPr="003A50C8">
        <w:rPr>
          <w:rFonts w:ascii="Arial" w:hAnsi="Arial" w:cs="Arial"/>
          <w:i/>
          <w:sz w:val="24"/>
          <w:szCs w:val="24"/>
        </w:rPr>
        <w:t>et al</w:t>
      </w:r>
      <w:r w:rsidR="001F3AFC" w:rsidRPr="003A50C8">
        <w:rPr>
          <w:rFonts w:ascii="Arial" w:hAnsi="Arial" w:cs="Arial"/>
          <w:sz w:val="24"/>
          <w:szCs w:val="24"/>
        </w:rPr>
        <w:t>., 2022)</w:t>
      </w:r>
      <w:r w:rsidRPr="003A50C8">
        <w:rPr>
          <w:rFonts w:ascii="Arial" w:hAnsi="Arial" w:cs="Arial"/>
          <w:sz w:val="24"/>
          <w:szCs w:val="24"/>
        </w:rPr>
        <w:t>.</w:t>
      </w:r>
    </w:p>
    <w:p w14:paraId="4744624F"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BMW puts much emphasis on quality assurance as well. BMW incurs its strict global standards of performance, safety and design by insourcing its production via a joint venture instead of outsourcing to its contract manufacturers. This consistency is critical towards the sustaina</w:t>
      </w:r>
      <w:r w:rsidR="000C719F" w:rsidRPr="003A50C8">
        <w:rPr>
          <w:rFonts w:ascii="Arial" w:hAnsi="Arial" w:cs="Arial"/>
          <w:sz w:val="24"/>
          <w:szCs w:val="24"/>
        </w:rPr>
        <w:t>bility of the brand reputation.</w:t>
      </w:r>
      <w:r w:rsidRPr="003A50C8">
        <w:rPr>
          <w:rFonts w:ascii="Arial" w:hAnsi="Arial" w:cs="Arial"/>
          <w:sz w:val="24"/>
          <w:szCs w:val="24"/>
        </w:rPr>
        <w:t>Supply chain integration is another internalisation strength. Close supervision of production facilitates BMW to coordinate procurement, manufacturing and distribution operations whereby it is possible to have just-in-time (JIT) systems and effective inventory control. Internalisation also helps it to respond fast to regulatory change, consumer trends and competitive pressures within rapidly changing Chinese market.</w:t>
      </w:r>
    </w:p>
    <w:p w14:paraId="257C4B70" w14:textId="77777777" w:rsidR="00F200C6" w:rsidRPr="003A50C8" w:rsidRDefault="00F200C6" w:rsidP="000C719F">
      <w:pPr>
        <w:pStyle w:val="Heading2"/>
        <w:rPr>
          <w:rFonts w:ascii="Arial" w:hAnsi="Arial" w:cs="Arial"/>
        </w:rPr>
      </w:pPr>
      <w:bookmarkStart w:id="12" w:name="_Toc214543719"/>
      <w:r w:rsidRPr="003A50C8">
        <w:rPr>
          <w:rFonts w:ascii="Arial" w:hAnsi="Arial" w:cs="Arial"/>
        </w:rPr>
        <w:lastRenderedPageBreak/>
        <w:t>Impact on BMW’s Entry Mode Choice</w:t>
      </w:r>
      <w:bookmarkEnd w:id="12"/>
    </w:p>
    <w:p w14:paraId="2C66E041"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combination of OLI factors eventually helps to understand why BMW decided to enter China with the help of joint venture, by collaborating with Brilliance Auto and, subsequently, reinforcing the relationships by increasing ownership rights.</w:t>
      </w:r>
    </w:p>
    <w:p w14:paraId="01B5EBEB"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w:t>
      </w:r>
      <w:r w:rsidRPr="003A50C8">
        <w:rPr>
          <w:rFonts w:ascii="Arial" w:hAnsi="Arial" w:cs="Arial"/>
          <w:sz w:val="24"/>
          <w:szCs w:val="24"/>
        </w:rPr>
        <w:tab/>
        <w:t>Ownership benefits motivated BMW to keep major control in production and technology.</w:t>
      </w:r>
    </w:p>
    <w:p w14:paraId="3B2842BB"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w:t>
      </w:r>
      <w:r w:rsidRPr="003A50C8">
        <w:rPr>
          <w:rFonts w:ascii="Arial" w:hAnsi="Arial" w:cs="Arial"/>
          <w:sz w:val="24"/>
          <w:szCs w:val="24"/>
        </w:rPr>
        <w:tab/>
        <w:t>The Chinese local manufacturing became a necessity in the competitiveness due to the location advantages</w:t>
      </w:r>
      <w:r w:rsidR="00A872BB" w:rsidRPr="003A50C8">
        <w:rPr>
          <w:rFonts w:ascii="Arial" w:hAnsi="Arial" w:cs="Arial"/>
          <w:sz w:val="24"/>
          <w:szCs w:val="24"/>
        </w:rPr>
        <w:t xml:space="preserve"> (</w:t>
      </w:r>
      <w:proofErr w:type="spellStart"/>
      <w:r w:rsidR="00A872BB" w:rsidRPr="003A50C8">
        <w:rPr>
          <w:rFonts w:ascii="Arial" w:hAnsi="Arial" w:cs="Arial"/>
          <w:sz w:val="24"/>
          <w:szCs w:val="24"/>
        </w:rPr>
        <w:t>Kukkamalla</w:t>
      </w:r>
      <w:proofErr w:type="spellEnd"/>
      <w:r w:rsidR="00A872BB" w:rsidRPr="003A50C8">
        <w:rPr>
          <w:rFonts w:ascii="Arial" w:hAnsi="Arial" w:cs="Arial"/>
          <w:sz w:val="24"/>
          <w:szCs w:val="24"/>
        </w:rPr>
        <w:t xml:space="preserve"> </w:t>
      </w:r>
      <w:r w:rsidR="00A872BB" w:rsidRPr="003A50C8">
        <w:rPr>
          <w:rFonts w:ascii="Arial" w:hAnsi="Arial" w:cs="Arial"/>
          <w:i/>
          <w:sz w:val="24"/>
          <w:szCs w:val="24"/>
        </w:rPr>
        <w:t>et al</w:t>
      </w:r>
      <w:r w:rsidR="00A872BB" w:rsidRPr="003A50C8">
        <w:rPr>
          <w:rFonts w:ascii="Arial" w:hAnsi="Arial" w:cs="Arial"/>
          <w:sz w:val="24"/>
          <w:szCs w:val="24"/>
        </w:rPr>
        <w:t>., 2021)</w:t>
      </w:r>
      <w:r w:rsidRPr="003A50C8">
        <w:rPr>
          <w:rFonts w:ascii="Arial" w:hAnsi="Arial" w:cs="Arial"/>
          <w:sz w:val="24"/>
          <w:szCs w:val="24"/>
        </w:rPr>
        <w:t>.</w:t>
      </w:r>
    </w:p>
    <w:p w14:paraId="1294C7CC"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w:t>
      </w:r>
      <w:r w:rsidRPr="003A50C8">
        <w:rPr>
          <w:rFonts w:ascii="Arial" w:hAnsi="Arial" w:cs="Arial"/>
          <w:sz w:val="24"/>
          <w:szCs w:val="24"/>
        </w:rPr>
        <w:tab/>
        <w:t>The benefits of internalisation supported the necessity of BMW not to license and have direct control over the essential processes.</w:t>
      </w:r>
    </w:p>
    <w:p w14:paraId="70C188A4"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joint venture entry mode, therefore, provided a middle ground and got BMW able to abide by the Chinese regulations, capitalize on the strengths of local markets, and still hold a substantial level of control in operations and technology.</w:t>
      </w:r>
    </w:p>
    <w:p w14:paraId="4BA3E9DF" w14:textId="77777777" w:rsidR="00F200C6" w:rsidRPr="003A50C8" w:rsidRDefault="00F200C6" w:rsidP="000C719F">
      <w:pPr>
        <w:pStyle w:val="Heading1"/>
        <w:rPr>
          <w:rFonts w:ascii="Arial" w:hAnsi="Arial" w:cs="Arial"/>
        </w:rPr>
      </w:pPr>
      <w:bookmarkStart w:id="13" w:name="_Toc214543720"/>
      <w:r w:rsidRPr="003A50C8">
        <w:rPr>
          <w:rFonts w:ascii="Arial" w:hAnsi="Arial" w:cs="Arial"/>
        </w:rPr>
        <w:t>4. Cultural Differences and Their Impact on Entry Strategy and Success</w:t>
      </w:r>
      <w:bookmarkEnd w:id="13"/>
      <w:r w:rsidRPr="003A50C8">
        <w:rPr>
          <w:rFonts w:ascii="Arial" w:hAnsi="Arial" w:cs="Arial"/>
        </w:rPr>
        <w:t xml:space="preserve"> </w:t>
      </w:r>
    </w:p>
    <w:p w14:paraId="6A4FF83C"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Cultural differences are critical factors that should be understood when examining the international strategies of multinational corporations in particular when expanding into emerging economies whose social norms, business practices, and consumer behaviour may not be similar to that of the home country. In the case of BMW, a German multinational that is known to have a high level of precision in engineering and well-organized management systems, entering China was a very elaborate process of going through a different kind of culture</w:t>
      </w:r>
      <w:r w:rsidR="001F3AFC" w:rsidRPr="003A50C8">
        <w:rPr>
          <w:rFonts w:ascii="Arial" w:hAnsi="Arial" w:cs="Arial"/>
          <w:sz w:val="24"/>
          <w:szCs w:val="24"/>
        </w:rPr>
        <w:t xml:space="preserve"> (</w:t>
      </w:r>
      <w:proofErr w:type="spellStart"/>
      <w:r w:rsidR="001F3AFC" w:rsidRPr="003A50C8">
        <w:rPr>
          <w:rFonts w:ascii="Arial" w:hAnsi="Arial" w:cs="Arial"/>
          <w:sz w:val="24"/>
          <w:szCs w:val="24"/>
        </w:rPr>
        <w:t>Genzlinger</w:t>
      </w:r>
      <w:proofErr w:type="spellEnd"/>
      <w:r w:rsidR="001F3AFC" w:rsidRPr="003A50C8">
        <w:rPr>
          <w:rFonts w:ascii="Arial" w:hAnsi="Arial" w:cs="Arial"/>
          <w:sz w:val="24"/>
          <w:szCs w:val="24"/>
        </w:rPr>
        <w:t xml:space="preserve"> </w:t>
      </w:r>
      <w:r w:rsidR="001F3AFC" w:rsidRPr="003A50C8">
        <w:rPr>
          <w:rFonts w:ascii="Arial" w:hAnsi="Arial" w:cs="Arial"/>
          <w:i/>
          <w:sz w:val="24"/>
          <w:szCs w:val="24"/>
        </w:rPr>
        <w:t>et al</w:t>
      </w:r>
      <w:r w:rsidR="001F3AFC" w:rsidRPr="003A50C8">
        <w:rPr>
          <w:rFonts w:ascii="Arial" w:hAnsi="Arial" w:cs="Arial"/>
          <w:sz w:val="24"/>
          <w:szCs w:val="24"/>
        </w:rPr>
        <w:t>., 2020)</w:t>
      </w:r>
      <w:r w:rsidRPr="003A50C8">
        <w:rPr>
          <w:rFonts w:ascii="Arial" w:hAnsi="Arial" w:cs="Arial"/>
          <w:sz w:val="24"/>
          <w:szCs w:val="24"/>
        </w:rPr>
        <w:t>. The Cultural Dimensions created by Hofstede offer a critical review of these differences. The discussion that follows identifies the cultural difference between China and Germany and how they affected the market entry strategy of BMW, the managerial decision-making, and long-term potential success.</w:t>
      </w:r>
    </w:p>
    <w:p w14:paraId="18F3090A" w14:textId="77777777" w:rsidR="00F200C6" w:rsidRPr="003A50C8" w:rsidRDefault="00F200C6" w:rsidP="000C719F">
      <w:pPr>
        <w:pStyle w:val="Heading2"/>
        <w:rPr>
          <w:rFonts w:ascii="Arial" w:hAnsi="Arial" w:cs="Arial"/>
        </w:rPr>
      </w:pPr>
      <w:bookmarkStart w:id="14" w:name="_Toc214543721"/>
      <w:r w:rsidRPr="003A50C8">
        <w:rPr>
          <w:rFonts w:ascii="Arial" w:hAnsi="Arial" w:cs="Arial"/>
        </w:rPr>
        <w:t>Power Distance</w:t>
      </w:r>
      <w:bookmarkEnd w:id="14"/>
    </w:p>
    <w:p w14:paraId="3EAE860C" w14:textId="77777777" w:rsidR="00F200C6"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 xml:space="preserve">One important cultural difference that will influence the work of BMW is the power distance, and China has a high power distance, and it is manifested in high hierarchies, centralised authority, and strict status differences. The low power distance in Germany fosters flatter environments, discussion and empowerment of employees. In the case of BMW, this meant that its organisation needed to change </w:t>
      </w:r>
      <w:r w:rsidRPr="003A50C8">
        <w:rPr>
          <w:rFonts w:ascii="Arial" w:hAnsi="Arial" w:cs="Arial"/>
          <w:sz w:val="24"/>
          <w:szCs w:val="24"/>
        </w:rPr>
        <w:lastRenderedPageBreak/>
        <w:t>tremendously in China. German participative management was considered to be unsuited in a culture that demanded authoritative management. Consequently, BMW became more top-down in its decision-making processes, more defined in the relationships between the management and subordinates, and more formal in everyday communication and negotiation. In the BMW Brilliance joint venture, the expatriate managers have changed their leadership styles to suit the local expectations enhancing internal integration and collaboration with government and local partners.</w:t>
      </w:r>
      <w:r w:rsidR="00F200C6" w:rsidRPr="003A50C8">
        <w:rPr>
          <w:rFonts w:ascii="Arial" w:hAnsi="Arial" w:cs="Arial"/>
          <w:sz w:val="24"/>
          <w:szCs w:val="24"/>
        </w:rPr>
        <w:t>.</w:t>
      </w:r>
    </w:p>
    <w:p w14:paraId="485943CA" w14:textId="77777777" w:rsidR="00F200C6" w:rsidRPr="003A50C8" w:rsidRDefault="00F200C6" w:rsidP="000C719F">
      <w:pPr>
        <w:pStyle w:val="Heading2"/>
        <w:rPr>
          <w:rFonts w:ascii="Arial" w:hAnsi="Arial" w:cs="Arial"/>
        </w:rPr>
      </w:pPr>
      <w:bookmarkStart w:id="15" w:name="_Toc214543722"/>
      <w:r w:rsidRPr="003A50C8">
        <w:rPr>
          <w:rFonts w:ascii="Arial" w:hAnsi="Arial" w:cs="Arial"/>
        </w:rPr>
        <w:t>Individualism vs. Collectivism.</w:t>
      </w:r>
      <w:bookmarkEnd w:id="15"/>
    </w:p>
    <w:p w14:paraId="238A7686"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fact that Germany is an individualistic society whereas China is a collectivistic society has serious implications to the operations of BMW. Germany believes in independence, individual success, and face-to-face communication, whereas China believes in group harmony, interdependence, and relationships (guanxi). This was a deviation, which implied that BMW was not able to use its conventional Western management or marketing tools in China. Direct feedback popular in the German work environments may be seen as belligerent hence BMW implemented more responsive performance systems, less direct means of communication, and team building relationships</w:t>
      </w:r>
      <w:r w:rsidR="00E26790" w:rsidRPr="003A50C8">
        <w:rPr>
          <w:rFonts w:ascii="Arial" w:hAnsi="Arial" w:cs="Arial"/>
          <w:sz w:val="24"/>
          <w:szCs w:val="24"/>
        </w:rPr>
        <w:t xml:space="preserve"> (</w:t>
      </w:r>
      <w:proofErr w:type="spellStart"/>
      <w:r w:rsidR="00E26790" w:rsidRPr="003A50C8">
        <w:rPr>
          <w:rFonts w:ascii="Arial" w:hAnsi="Arial" w:cs="Arial"/>
          <w:sz w:val="24"/>
          <w:szCs w:val="24"/>
        </w:rPr>
        <w:t>Lukin</w:t>
      </w:r>
      <w:proofErr w:type="spellEnd"/>
      <w:r w:rsidR="00E26790" w:rsidRPr="003A50C8">
        <w:rPr>
          <w:rFonts w:ascii="Arial" w:hAnsi="Arial" w:cs="Arial"/>
          <w:sz w:val="24"/>
          <w:szCs w:val="24"/>
        </w:rPr>
        <w:t xml:space="preserve"> </w:t>
      </w:r>
      <w:r w:rsidR="00E26790" w:rsidRPr="003A50C8">
        <w:rPr>
          <w:rFonts w:ascii="Arial" w:hAnsi="Arial" w:cs="Arial"/>
          <w:i/>
          <w:sz w:val="24"/>
          <w:szCs w:val="24"/>
        </w:rPr>
        <w:t>et al</w:t>
      </w:r>
      <w:r w:rsidR="00E26790" w:rsidRPr="003A50C8">
        <w:rPr>
          <w:rFonts w:ascii="Arial" w:hAnsi="Arial" w:cs="Arial"/>
          <w:sz w:val="24"/>
          <w:szCs w:val="24"/>
        </w:rPr>
        <w:t>., 2022)</w:t>
      </w:r>
      <w:r w:rsidRPr="003A50C8">
        <w:rPr>
          <w:rFonts w:ascii="Arial" w:hAnsi="Arial" w:cs="Arial"/>
          <w:sz w:val="24"/>
          <w:szCs w:val="24"/>
        </w:rPr>
        <w:t>. Guanxi also influenced how BMW was dealing with suppliers, government stakeholders, and dealerships since it demanded long-term trust as opposed to formally binding deals. In the consumer market, collectivist values implied that BMW changed its marketing approach by focusing on the pleasure in driving individually to the status of a family and social harmony and group identity, which made the brand more relevant to Chinese customers.</w:t>
      </w:r>
    </w:p>
    <w:p w14:paraId="11F1B9DD" w14:textId="77777777" w:rsidR="00F200C6" w:rsidRPr="003A50C8" w:rsidRDefault="00F200C6" w:rsidP="000C719F">
      <w:pPr>
        <w:pStyle w:val="Heading2"/>
        <w:rPr>
          <w:rFonts w:ascii="Arial" w:hAnsi="Arial" w:cs="Arial"/>
        </w:rPr>
      </w:pPr>
      <w:bookmarkStart w:id="16" w:name="_Toc214543723"/>
      <w:r w:rsidRPr="003A50C8">
        <w:rPr>
          <w:rFonts w:ascii="Arial" w:hAnsi="Arial" w:cs="Arial"/>
        </w:rPr>
        <w:t>Uncertainty Avoidance</w:t>
      </w:r>
      <w:bookmarkEnd w:id="16"/>
    </w:p>
    <w:p w14:paraId="01741C32" w14:textId="77777777" w:rsidR="000C719F"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 xml:space="preserve">The high uncertainty avoidance in Germany is an indication of the cultural tendency of planning, organising and reduction of risks. The level of uncertainty avoidance in China, on the other hand, is lower which means that there is a higher degree of uncertainty, experimentation, and </w:t>
      </w:r>
      <w:r w:rsidR="000C719F" w:rsidRPr="003A50C8">
        <w:rPr>
          <w:rFonts w:ascii="Arial" w:hAnsi="Arial" w:cs="Arial"/>
          <w:sz w:val="24"/>
          <w:szCs w:val="24"/>
        </w:rPr>
        <w:t>flexibility in decision-making.</w:t>
      </w:r>
      <w:r w:rsidRPr="003A50C8">
        <w:rPr>
          <w:rFonts w:ascii="Arial" w:hAnsi="Arial" w:cs="Arial"/>
          <w:sz w:val="24"/>
          <w:szCs w:val="24"/>
        </w:rPr>
        <w:t>In the case of BMW, the dynamic nature of the Chinese regulatory environment meant that the company had to abandon the procedural orientation that was common in Germany</w:t>
      </w:r>
      <w:r w:rsidR="00E26790" w:rsidRPr="003A50C8">
        <w:rPr>
          <w:rFonts w:ascii="Arial" w:hAnsi="Arial" w:cs="Arial"/>
          <w:sz w:val="24"/>
          <w:szCs w:val="24"/>
        </w:rPr>
        <w:t xml:space="preserve"> (</w:t>
      </w:r>
      <w:proofErr w:type="spellStart"/>
      <w:r w:rsidR="00E26790" w:rsidRPr="003A50C8">
        <w:rPr>
          <w:rFonts w:ascii="Arial" w:hAnsi="Arial" w:cs="Arial"/>
          <w:sz w:val="24"/>
          <w:szCs w:val="24"/>
        </w:rPr>
        <w:t>Helmold</w:t>
      </w:r>
      <w:proofErr w:type="spellEnd"/>
      <w:r w:rsidR="00E26790" w:rsidRPr="003A50C8">
        <w:rPr>
          <w:rFonts w:ascii="Arial" w:hAnsi="Arial" w:cs="Arial"/>
          <w:sz w:val="24"/>
          <w:szCs w:val="24"/>
        </w:rPr>
        <w:t>, 2021)</w:t>
      </w:r>
      <w:r w:rsidRPr="003A50C8">
        <w:rPr>
          <w:rFonts w:ascii="Arial" w:hAnsi="Arial" w:cs="Arial"/>
          <w:sz w:val="24"/>
          <w:szCs w:val="24"/>
        </w:rPr>
        <w:t xml:space="preserve">. There is a constant shift in the EV regulations, subsidies, and local compliance requirements such that BMW had to develop a more nimble operation strategy. </w:t>
      </w:r>
    </w:p>
    <w:p w14:paraId="5E6A5386"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lastRenderedPageBreak/>
        <w:t>Long-term manufacturing plans and technology development were forced to respond to new policy changes, like new emissions regulations, or new tax breaks. This flexibility affected the coordination of the supply chain activities, product localisation activities and strategic planning cycles of BMW. Although at first trying to adjust to the Chinese fluid institutional environment proved to be challenging, it eventually increased the resiliency and responsiveness of BMW in new markets.</w:t>
      </w:r>
    </w:p>
    <w:p w14:paraId="30131FB6" w14:textId="77777777" w:rsidR="00F200C6" w:rsidRPr="003A50C8" w:rsidRDefault="00F200C6" w:rsidP="000C719F">
      <w:pPr>
        <w:pStyle w:val="Heading2"/>
        <w:rPr>
          <w:rFonts w:ascii="Arial" w:hAnsi="Arial" w:cs="Arial"/>
        </w:rPr>
      </w:pPr>
      <w:bookmarkStart w:id="17" w:name="_Toc214543724"/>
      <w:r w:rsidRPr="003A50C8">
        <w:rPr>
          <w:rFonts w:ascii="Arial" w:hAnsi="Arial" w:cs="Arial"/>
        </w:rPr>
        <w:t>Long-Term Orientation</w:t>
      </w:r>
      <w:bookmarkEnd w:id="17"/>
    </w:p>
    <w:p w14:paraId="68B45ADD"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Germany and China have relatively high scores on long-term orientation, and the score of China is high. This cultural fit in fact supported the strategic goals of BMW since the two societies believe in perseverance, strategic investing, and long-term success rather than short-term g</w:t>
      </w:r>
      <w:r w:rsidR="000C719F" w:rsidRPr="003A50C8">
        <w:rPr>
          <w:rFonts w:ascii="Arial" w:hAnsi="Arial" w:cs="Arial"/>
          <w:sz w:val="24"/>
          <w:szCs w:val="24"/>
        </w:rPr>
        <w:t>ains.</w:t>
      </w:r>
      <w:r w:rsidRPr="003A50C8">
        <w:rPr>
          <w:rFonts w:ascii="Arial" w:hAnsi="Arial" w:cs="Arial"/>
          <w:sz w:val="24"/>
          <w:szCs w:val="24"/>
        </w:rPr>
        <w:t xml:space="preserve">The long-term orientation of China contributed to the governmental policies, which focused on the development of the electric vehicle industry and encouraged technological improvement and the attraction of the high-quality foreign investment. BMW strategic engagements in China (locally produced EV, R&amp;D investment in Shenyang, and technological partnership with CATL (Contemporary </w:t>
      </w:r>
      <w:proofErr w:type="spellStart"/>
      <w:r w:rsidRPr="003A50C8">
        <w:rPr>
          <w:rFonts w:ascii="Arial" w:hAnsi="Arial" w:cs="Arial"/>
          <w:sz w:val="24"/>
          <w:szCs w:val="24"/>
        </w:rPr>
        <w:t>Amperex</w:t>
      </w:r>
      <w:proofErr w:type="spellEnd"/>
      <w:r w:rsidRPr="003A50C8">
        <w:rPr>
          <w:rFonts w:ascii="Arial" w:hAnsi="Arial" w:cs="Arial"/>
          <w:sz w:val="24"/>
          <w:szCs w:val="24"/>
        </w:rPr>
        <w:t xml:space="preserve"> Technology Ltd.)) were in line with the national priorities in China</w:t>
      </w:r>
      <w:r w:rsidR="00750A85" w:rsidRPr="003A50C8">
        <w:rPr>
          <w:rFonts w:ascii="Arial" w:hAnsi="Arial" w:cs="Arial"/>
          <w:sz w:val="24"/>
          <w:szCs w:val="24"/>
        </w:rPr>
        <w:t xml:space="preserve"> (Rosa </w:t>
      </w:r>
      <w:r w:rsidR="00750A85" w:rsidRPr="003A50C8">
        <w:rPr>
          <w:rFonts w:ascii="Arial" w:hAnsi="Arial" w:cs="Arial"/>
          <w:i/>
          <w:sz w:val="24"/>
          <w:szCs w:val="24"/>
        </w:rPr>
        <w:t>et al</w:t>
      </w:r>
      <w:r w:rsidR="00750A85" w:rsidRPr="003A50C8">
        <w:rPr>
          <w:rFonts w:ascii="Arial" w:hAnsi="Arial" w:cs="Arial"/>
          <w:sz w:val="24"/>
          <w:szCs w:val="24"/>
        </w:rPr>
        <w:t>., 2020)</w:t>
      </w:r>
      <w:r w:rsidRPr="003A50C8">
        <w:rPr>
          <w:rFonts w:ascii="Arial" w:hAnsi="Arial" w:cs="Arial"/>
          <w:sz w:val="24"/>
          <w:szCs w:val="24"/>
        </w:rPr>
        <w:t>. The long-term orientation created a mutual relationship that helped BMW to develop sustainable partnerships, gain the support of the regulation, and provide a clear basis of further development.</w:t>
      </w:r>
    </w:p>
    <w:p w14:paraId="6A0EB0A4" w14:textId="77777777" w:rsidR="00F200C6" w:rsidRPr="003A50C8" w:rsidRDefault="00F200C6" w:rsidP="000C719F">
      <w:pPr>
        <w:pStyle w:val="Heading2"/>
        <w:rPr>
          <w:rFonts w:ascii="Arial" w:hAnsi="Arial" w:cs="Arial"/>
        </w:rPr>
      </w:pPr>
      <w:bookmarkStart w:id="18" w:name="_Toc214543725"/>
      <w:r w:rsidRPr="003A50C8">
        <w:rPr>
          <w:rFonts w:ascii="Arial" w:hAnsi="Arial" w:cs="Arial"/>
        </w:rPr>
        <w:t>Implications for Market Entry Strategy</w:t>
      </w:r>
      <w:bookmarkEnd w:id="18"/>
    </w:p>
    <w:p w14:paraId="509B740B"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cultural differences were critical in determining the joint venture entry mode adopted by BMW and the management styl</w:t>
      </w:r>
      <w:r w:rsidR="000C719F" w:rsidRPr="003A50C8">
        <w:rPr>
          <w:rFonts w:ascii="Arial" w:hAnsi="Arial" w:cs="Arial"/>
          <w:sz w:val="24"/>
          <w:szCs w:val="24"/>
        </w:rPr>
        <w:t>e and market strategy in China.</w:t>
      </w:r>
      <w:r w:rsidRPr="003A50C8">
        <w:rPr>
          <w:rFonts w:ascii="Arial" w:hAnsi="Arial" w:cs="Arial"/>
          <w:sz w:val="24"/>
          <w:szCs w:val="24"/>
        </w:rPr>
        <w:t>The partnership that BMW had with Brilliance Auto necessitated massive cultural bargaining. German managers were forced to value the role of guanxi in relationship with partners and learn Chinese culture of hierarchy and communication. This cultural fit facilitated in the minimization of misunderstanding, greater working cooperation, and facilitated easier ne</w:t>
      </w:r>
      <w:r w:rsidR="000C719F" w:rsidRPr="003A50C8">
        <w:rPr>
          <w:rFonts w:ascii="Arial" w:hAnsi="Arial" w:cs="Arial"/>
          <w:sz w:val="24"/>
          <w:szCs w:val="24"/>
        </w:rPr>
        <w:t>gotiation with the authorities</w:t>
      </w:r>
      <w:r w:rsidR="006656F0" w:rsidRPr="003A50C8">
        <w:rPr>
          <w:rFonts w:ascii="Arial" w:hAnsi="Arial" w:cs="Arial"/>
          <w:sz w:val="24"/>
          <w:szCs w:val="24"/>
        </w:rPr>
        <w:t xml:space="preserve"> (</w:t>
      </w:r>
      <w:proofErr w:type="spellStart"/>
      <w:r w:rsidR="006656F0" w:rsidRPr="003A50C8">
        <w:rPr>
          <w:rFonts w:ascii="Arial" w:hAnsi="Arial" w:cs="Arial"/>
          <w:sz w:val="24"/>
          <w:szCs w:val="24"/>
        </w:rPr>
        <w:t>Markou</w:t>
      </w:r>
      <w:proofErr w:type="spellEnd"/>
      <w:r w:rsidR="006656F0" w:rsidRPr="003A50C8">
        <w:rPr>
          <w:rFonts w:ascii="Arial" w:hAnsi="Arial" w:cs="Arial"/>
          <w:sz w:val="24"/>
          <w:szCs w:val="24"/>
        </w:rPr>
        <w:t xml:space="preserve"> </w:t>
      </w:r>
      <w:r w:rsidR="006656F0" w:rsidRPr="003A50C8">
        <w:rPr>
          <w:rFonts w:ascii="Arial" w:hAnsi="Arial" w:cs="Arial"/>
          <w:i/>
          <w:sz w:val="24"/>
          <w:szCs w:val="24"/>
        </w:rPr>
        <w:t>et al</w:t>
      </w:r>
      <w:r w:rsidR="006656F0" w:rsidRPr="003A50C8">
        <w:rPr>
          <w:rFonts w:ascii="Arial" w:hAnsi="Arial" w:cs="Arial"/>
          <w:sz w:val="24"/>
          <w:szCs w:val="24"/>
        </w:rPr>
        <w:t>., 2019)</w:t>
      </w:r>
      <w:r w:rsidR="000C719F" w:rsidRPr="003A50C8">
        <w:rPr>
          <w:rFonts w:ascii="Arial" w:hAnsi="Arial" w:cs="Arial"/>
          <w:sz w:val="24"/>
          <w:szCs w:val="24"/>
        </w:rPr>
        <w:t>.</w:t>
      </w:r>
      <w:r w:rsidRPr="003A50C8">
        <w:rPr>
          <w:rFonts w:ascii="Arial" w:hAnsi="Arial" w:cs="Arial"/>
          <w:sz w:val="24"/>
          <w:szCs w:val="24"/>
        </w:rPr>
        <w:t>Cultural customization had to be applied in marketing strategy as well. Instead of individualism or pure performance, which has been the conventional theme in Western campaigns, BMW focused on family security, social prestige, and harmony. This change enabled the brand to relate more with the Chinese cultural values.</w:t>
      </w:r>
    </w:p>
    <w:p w14:paraId="76BFBC7C" w14:textId="77777777" w:rsidR="00F200C6" w:rsidRPr="003A50C8" w:rsidRDefault="00F200C6" w:rsidP="000C719F">
      <w:pPr>
        <w:pStyle w:val="Heading2"/>
        <w:rPr>
          <w:rFonts w:ascii="Arial" w:hAnsi="Arial" w:cs="Arial"/>
        </w:rPr>
      </w:pPr>
      <w:bookmarkStart w:id="19" w:name="_Toc214543726"/>
      <w:r w:rsidRPr="003A50C8">
        <w:rPr>
          <w:rFonts w:ascii="Arial" w:hAnsi="Arial" w:cs="Arial"/>
        </w:rPr>
        <w:lastRenderedPageBreak/>
        <w:t>Impact on BMW’s Success Potential</w:t>
      </w:r>
      <w:bookmarkEnd w:id="19"/>
    </w:p>
    <w:p w14:paraId="34AECFDE"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The cultural one would have jeopardized communication, poor associations, poor leadership, and poor product productions. These dangers may compromise brand recognition and business effectiveness. Rather, the readiness of BMW to adjust has helped it to become one of the most selling luxury brands in China, which is its largest market worldwide.</w:t>
      </w:r>
    </w:p>
    <w:p w14:paraId="31694400" w14:textId="77777777" w:rsidR="00F200C6" w:rsidRPr="003A50C8" w:rsidRDefault="00F200C6" w:rsidP="000C719F">
      <w:pPr>
        <w:spacing w:after="0" w:line="360" w:lineRule="auto"/>
        <w:jc w:val="both"/>
        <w:rPr>
          <w:rFonts w:ascii="Arial" w:hAnsi="Arial" w:cs="Arial"/>
          <w:sz w:val="24"/>
          <w:szCs w:val="24"/>
        </w:rPr>
      </w:pPr>
      <w:r w:rsidRPr="003A50C8">
        <w:rPr>
          <w:rFonts w:ascii="Arial" w:hAnsi="Arial" w:cs="Arial"/>
          <w:sz w:val="24"/>
          <w:szCs w:val="24"/>
        </w:rPr>
        <w:t>On the whole, the cultural sensitivity expressed in BMW organisational management strategies, marketing and partnership strategies contributed greatly to its long-run success in China.</w:t>
      </w:r>
    </w:p>
    <w:p w14:paraId="2E62915D" w14:textId="77777777" w:rsidR="00F200C6" w:rsidRPr="003A50C8" w:rsidRDefault="00F200C6" w:rsidP="000C719F">
      <w:pPr>
        <w:spacing w:after="0" w:line="360" w:lineRule="auto"/>
        <w:jc w:val="both"/>
        <w:rPr>
          <w:rFonts w:ascii="Arial" w:hAnsi="Arial" w:cs="Arial"/>
          <w:b/>
          <w:bCs/>
          <w:sz w:val="24"/>
          <w:szCs w:val="24"/>
        </w:rPr>
      </w:pPr>
      <w:r w:rsidRPr="003A50C8">
        <w:rPr>
          <w:rFonts w:ascii="Arial" w:hAnsi="Arial" w:cs="Arial"/>
          <w:b/>
          <w:bCs/>
          <w:sz w:val="24"/>
          <w:szCs w:val="24"/>
        </w:rPr>
        <w:t>Table: Comparison of Cultural Dimensions Between Germany (Home Country) and China (Emerging Market)</w:t>
      </w:r>
      <w:r w:rsidRPr="003A50C8">
        <w:rPr>
          <w:rFonts w:ascii="Arial" w:hAnsi="Arial" w:cs="Arial"/>
          <w:sz w:val="24"/>
          <w:szCs w:val="24"/>
        </w:rPr>
        <w:t xml:space="preserve">(Using </w:t>
      </w:r>
      <w:r w:rsidRPr="003A50C8">
        <w:rPr>
          <w:rFonts w:ascii="Arial" w:hAnsi="Arial" w:cs="Arial"/>
          <w:b/>
          <w:bCs/>
          <w:sz w:val="24"/>
          <w:szCs w:val="24"/>
        </w:rPr>
        <w:t>Hofstede’s Cultural Dimensions Framework</w:t>
      </w:r>
      <w:r w:rsidRPr="003A50C8">
        <w:rPr>
          <w:rFonts w:ascii="Arial" w:hAnsi="Arial" w:cs="Arial"/>
          <w:sz w:val="24"/>
          <w:szCs w:val="24"/>
        </w:rPr>
        <w:t>)</w:t>
      </w:r>
    </w:p>
    <w:tbl>
      <w:tblPr>
        <w:tblStyle w:val="MediumShading1-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1868"/>
        <w:gridCol w:w="1587"/>
        <w:gridCol w:w="3743"/>
      </w:tblGrid>
      <w:tr w:rsidR="00F200C6" w:rsidRPr="003A50C8" w14:paraId="78AB71A6" w14:textId="77777777" w:rsidTr="00C373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66F5CB4" w14:textId="77777777" w:rsidR="00F200C6" w:rsidRPr="003A50C8" w:rsidRDefault="00F200C6" w:rsidP="000C719F">
            <w:pPr>
              <w:spacing w:line="360" w:lineRule="auto"/>
              <w:jc w:val="both"/>
              <w:rPr>
                <w:rFonts w:ascii="Arial" w:hAnsi="Arial" w:cs="Arial"/>
                <w:b w:val="0"/>
                <w:bCs w:val="0"/>
                <w:sz w:val="24"/>
                <w:szCs w:val="24"/>
              </w:rPr>
            </w:pPr>
            <w:r w:rsidRPr="003A50C8">
              <w:rPr>
                <w:rFonts w:ascii="Arial" w:hAnsi="Arial" w:cs="Arial"/>
                <w:b w:val="0"/>
                <w:bCs w:val="0"/>
                <w:sz w:val="24"/>
                <w:szCs w:val="24"/>
              </w:rPr>
              <w:t>Cultural Dimension</w:t>
            </w:r>
          </w:p>
        </w:tc>
        <w:tc>
          <w:tcPr>
            <w:tcW w:w="0" w:type="auto"/>
            <w:tcBorders>
              <w:top w:val="none" w:sz="0" w:space="0" w:color="auto"/>
              <w:left w:val="none" w:sz="0" w:space="0" w:color="auto"/>
              <w:bottom w:val="none" w:sz="0" w:space="0" w:color="auto"/>
              <w:right w:val="none" w:sz="0" w:space="0" w:color="auto"/>
            </w:tcBorders>
            <w:hideMark/>
          </w:tcPr>
          <w:p w14:paraId="4944168B" w14:textId="77777777" w:rsidR="00F200C6" w:rsidRPr="003A50C8" w:rsidRDefault="00F200C6" w:rsidP="000C71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3A50C8">
              <w:rPr>
                <w:rFonts w:ascii="Arial" w:hAnsi="Arial" w:cs="Arial"/>
                <w:b w:val="0"/>
                <w:bCs w:val="0"/>
                <w:sz w:val="24"/>
                <w:szCs w:val="24"/>
              </w:rPr>
              <w:t>Germany Score</w:t>
            </w:r>
          </w:p>
        </w:tc>
        <w:tc>
          <w:tcPr>
            <w:tcW w:w="0" w:type="auto"/>
            <w:tcBorders>
              <w:top w:val="none" w:sz="0" w:space="0" w:color="auto"/>
              <w:left w:val="none" w:sz="0" w:space="0" w:color="auto"/>
              <w:bottom w:val="none" w:sz="0" w:space="0" w:color="auto"/>
              <w:right w:val="none" w:sz="0" w:space="0" w:color="auto"/>
            </w:tcBorders>
            <w:hideMark/>
          </w:tcPr>
          <w:p w14:paraId="5421B254" w14:textId="77777777" w:rsidR="00F200C6" w:rsidRPr="003A50C8" w:rsidRDefault="00F200C6" w:rsidP="000C71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3A50C8">
              <w:rPr>
                <w:rFonts w:ascii="Arial" w:hAnsi="Arial" w:cs="Arial"/>
                <w:b w:val="0"/>
                <w:bCs w:val="0"/>
                <w:sz w:val="24"/>
                <w:szCs w:val="24"/>
              </w:rPr>
              <w:t>China Score</w:t>
            </w:r>
          </w:p>
        </w:tc>
        <w:tc>
          <w:tcPr>
            <w:tcW w:w="0" w:type="auto"/>
            <w:tcBorders>
              <w:top w:val="none" w:sz="0" w:space="0" w:color="auto"/>
              <w:left w:val="none" w:sz="0" w:space="0" w:color="auto"/>
              <w:bottom w:val="none" w:sz="0" w:space="0" w:color="auto"/>
              <w:right w:val="none" w:sz="0" w:space="0" w:color="auto"/>
            </w:tcBorders>
            <w:hideMark/>
          </w:tcPr>
          <w:p w14:paraId="2BC32692" w14:textId="77777777" w:rsidR="00F200C6" w:rsidRPr="003A50C8" w:rsidRDefault="00F200C6" w:rsidP="000C71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3A50C8">
              <w:rPr>
                <w:rFonts w:ascii="Arial" w:hAnsi="Arial" w:cs="Arial"/>
                <w:b w:val="0"/>
                <w:bCs w:val="0"/>
                <w:sz w:val="24"/>
                <w:szCs w:val="24"/>
              </w:rPr>
              <w:t>Key Differences &amp; Implications for BMW</w:t>
            </w:r>
          </w:p>
        </w:tc>
      </w:tr>
      <w:tr w:rsidR="00F200C6" w:rsidRPr="003A50C8" w14:paraId="0AC7E450" w14:textId="77777777" w:rsidTr="00C373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433D980"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t>Power Distance</w:t>
            </w:r>
          </w:p>
        </w:tc>
        <w:tc>
          <w:tcPr>
            <w:tcW w:w="0" w:type="auto"/>
            <w:tcBorders>
              <w:left w:val="none" w:sz="0" w:space="0" w:color="auto"/>
              <w:right w:val="none" w:sz="0" w:space="0" w:color="auto"/>
            </w:tcBorders>
            <w:hideMark/>
          </w:tcPr>
          <w:p w14:paraId="342BE86E"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35 (Low)</w:t>
            </w:r>
          </w:p>
        </w:tc>
        <w:tc>
          <w:tcPr>
            <w:tcW w:w="0" w:type="auto"/>
            <w:tcBorders>
              <w:left w:val="none" w:sz="0" w:space="0" w:color="auto"/>
              <w:right w:val="none" w:sz="0" w:space="0" w:color="auto"/>
            </w:tcBorders>
            <w:hideMark/>
          </w:tcPr>
          <w:p w14:paraId="13809124"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80 (High)</w:t>
            </w:r>
          </w:p>
        </w:tc>
        <w:tc>
          <w:tcPr>
            <w:tcW w:w="0" w:type="auto"/>
            <w:tcBorders>
              <w:left w:val="none" w:sz="0" w:space="0" w:color="auto"/>
            </w:tcBorders>
            <w:hideMark/>
          </w:tcPr>
          <w:p w14:paraId="464CC900"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China’s high power distance means hierarchical structures are the norm. BMW must adapt leadership and communication styles to be more top-down in China.</w:t>
            </w:r>
          </w:p>
        </w:tc>
      </w:tr>
      <w:tr w:rsidR="00F200C6" w:rsidRPr="003A50C8" w14:paraId="52563A38" w14:textId="77777777" w:rsidTr="00C373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18E8656"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t>Individualism vs. Collectivism</w:t>
            </w:r>
          </w:p>
        </w:tc>
        <w:tc>
          <w:tcPr>
            <w:tcW w:w="0" w:type="auto"/>
            <w:tcBorders>
              <w:left w:val="none" w:sz="0" w:space="0" w:color="auto"/>
              <w:right w:val="none" w:sz="0" w:space="0" w:color="auto"/>
            </w:tcBorders>
            <w:hideMark/>
          </w:tcPr>
          <w:p w14:paraId="43C470B3"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67 (Highly Individualistic)</w:t>
            </w:r>
          </w:p>
        </w:tc>
        <w:tc>
          <w:tcPr>
            <w:tcW w:w="0" w:type="auto"/>
            <w:tcBorders>
              <w:left w:val="none" w:sz="0" w:space="0" w:color="auto"/>
              <w:right w:val="none" w:sz="0" w:space="0" w:color="auto"/>
            </w:tcBorders>
            <w:hideMark/>
          </w:tcPr>
          <w:p w14:paraId="62246C99"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20 (Highly Collectivist)</w:t>
            </w:r>
          </w:p>
        </w:tc>
        <w:tc>
          <w:tcPr>
            <w:tcW w:w="0" w:type="auto"/>
            <w:tcBorders>
              <w:left w:val="none" w:sz="0" w:space="0" w:color="auto"/>
            </w:tcBorders>
            <w:hideMark/>
          </w:tcPr>
          <w:p w14:paraId="2A67272A"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BMW must shift from individual-focused incentives to team-oriented management and relationship-based negotiations in China.</w:t>
            </w:r>
          </w:p>
        </w:tc>
      </w:tr>
      <w:tr w:rsidR="00F200C6" w:rsidRPr="003A50C8" w14:paraId="2F702778" w14:textId="77777777" w:rsidTr="00C373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1044684"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t>Uncertainty Avoidance</w:t>
            </w:r>
          </w:p>
        </w:tc>
        <w:tc>
          <w:tcPr>
            <w:tcW w:w="0" w:type="auto"/>
            <w:tcBorders>
              <w:left w:val="none" w:sz="0" w:space="0" w:color="auto"/>
              <w:right w:val="none" w:sz="0" w:space="0" w:color="auto"/>
            </w:tcBorders>
            <w:hideMark/>
          </w:tcPr>
          <w:p w14:paraId="2C121D6E"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65 (High)</w:t>
            </w:r>
          </w:p>
        </w:tc>
        <w:tc>
          <w:tcPr>
            <w:tcW w:w="0" w:type="auto"/>
            <w:tcBorders>
              <w:left w:val="none" w:sz="0" w:space="0" w:color="auto"/>
              <w:right w:val="none" w:sz="0" w:space="0" w:color="auto"/>
            </w:tcBorders>
            <w:hideMark/>
          </w:tcPr>
          <w:p w14:paraId="4DFFD8E1"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30 (Low)</w:t>
            </w:r>
          </w:p>
        </w:tc>
        <w:tc>
          <w:tcPr>
            <w:tcW w:w="0" w:type="auto"/>
            <w:tcBorders>
              <w:left w:val="none" w:sz="0" w:space="0" w:color="auto"/>
            </w:tcBorders>
            <w:hideMark/>
          </w:tcPr>
          <w:p w14:paraId="6B301A5C"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German preference for rules and predictability contrasts with Chinese comfort with ambiguity. BMW must adopt more flexible operational planning in China.</w:t>
            </w:r>
          </w:p>
        </w:tc>
      </w:tr>
      <w:tr w:rsidR="00F200C6" w:rsidRPr="003A50C8" w14:paraId="47585A4C" w14:textId="77777777" w:rsidTr="00C373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CA6FD95"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t>Masculinity</w:t>
            </w:r>
          </w:p>
        </w:tc>
        <w:tc>
          <w:tcPr>
            <w:tcW w:w="0" w:type="auto"/>
            <w:tcBorders>
              <w:left w:val="none" w:sz="0" w:space="0" w:color="auto"/>
              <w:right w:val="none" w:sz="0" w:space="0" w:color="auto"/>
            </w:tcBorders>
            <w:hideMark/>
          </w:tcPr>
          <w:p w14:paraId="2D5B38E9"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66 (High)</w:t>
            </w:r>
          </w:p>
        </w:tc>
        <w:tc>
          <w:tcPr>
            <w:tcW w:w="0" w:type="auto"/>
            <w:tcBorders>
              <w:left w:val="none" w:sz="0" w:space="0" w:color="auto"/>
              <w:right w:val="none" w:sz="0" w:space="0" w:color="auto"/>
            </w:tcBorders>
            <w:hideMark/>
          </w:tcPr>
          <w:p w14:paraId="1FA31F2F"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66 (High)</w:t>
            </w:r>
          </w:p>
        </w:tc>
        <w:tc>
          <w:tcPr>
            <w:tcW w:w="0" w:type="auto"/>
            <w:tcBorders>
              <w:left w:val="none" w:sz="0" w:space="0" w:color="auto"/>
            </w:tcBorders>
            <w:hideMark/>
          </w:tcPr>
          <w:p w14:paraId="4FF00E10"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 xml:space="preserve">Both countries value success and achievement. BMW can use performance-driven marketing in </w:t>
            </w:r>
            <w:r w:rsidRPr="003A50C8">
              <w:rPr>
                <w:rFonts w:ascii="Arial" w:hAnsi="Arial" w:cs="Arial"/>
                <w:sz w:val="24"/>
                <w:szCs w:val="24"/>
              </w:rPr>
              <w:lastRenderedPageBreak/>
              <w:t>both contexts.</w:t>
            </w:r>
          </w:p>
        </w:tc>
      </w:tr>
      <w:tr w:rsidR="00F200C6" w:rsidRPr="003A50C8" w14:paraId="705018E2" w14:textId="77777777" w:rsidTr="00C373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38CF153"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lastRenderedPageBreak/>
              <w:t>Long-Term Orientation</w:t>
            </w:r>
          </w:p>
        </w:tc>
        <w:tc>
          <w:tcPr>
            <w:tcW w:w="0" w:type="auto"/>
            <w:tcBorders>
              <w:left w:val="none" w:sz="0" w:space="0" w:color="auto"/>
              <w:right w:val="none" w:sz="0" w:space="0" w:color="auto"/>
            </w:tcBorders>
            <w:hideMark/>
          </w:tcPr>
          <w:p w14:paraId="7112BD37"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83 (Very High)</w:t>
            </w:r>
          </w:p>
        </w:tc>
        <w:tc>
          <w:tcPr>
            <w:tcW w:w="0" w:type="auto"/>
            <w:tcBorders>
              <w:left w:val="none" w:sz="0" w:space="0" w:color="auto"/>
              <w:right w:val="none" w:sz="0" w:space="0" w:color="auto"/>
            </w:tcBorders>
            <w:hideMark/>
          </w:tcPr>
          <w:p w14:paraId="76F1CC6E"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87 (Extremely High)</w:t>
            </w:r>
          </w:p>
        </w:tc>
        <w:tc>
          <w:tcPr>
            <w:tcW w:w="0" w:type="auto"/>
            <w:tcBorders>
              <w:left w:val="none" w:sz="0" w:space="0" w:color="auto"/>
            </w:tcBorders>
            <w:hideMark/>
          </w:tcPr>
          <w:p w14:paraId="353C95EB" w14:textId="77777777" w:rsidR="00F200C6" w:rsidRPr="003A50C8" w:rsidRDefault="00F200C6" w:rsidP="000C71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A50C8">
              <w:rPr>
                <w:rFonts w:ascii="Arial" w:hAnsi="Arial" w:cs="Arial"/>
                <w:sz w:val="24"/>
                <w:szCs w:val="24"/>
              </w:rPr>
              <w:t>Shared long-term planning values support BMW’s long-term investment in Chinese EV production and R&amp;D.</w:t>
            </w:r>
          </w:p>
        </w:tc>
      </w:tr>
      <w:tr w:rsidR="00F200C6" w:rsidRPr="003A50C8" w14:paraId="7C29C29E" w14:textId="77777777" w:rsidTr="00C3731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BD77F00" w14:textId="77777777" w:rsidR="00F200C6" w:rsidRPr="003A50C8" w:rsidRDefault="00F200C6" w:rsidP="000C719F">
            <w:pPr>
              <w:spacing w:line="360" w:lineRule="auto"/>
              <w:jc w:val="both"/>
              <w:rPr>
                <w:rFonts w:ascii="Arial" w:hAnsi="Arial" w:cs="Arial"/>
                <w:sz w:val="24"/>
                <w:szCs w:val="24"/>
              </w:rPr>
            </w:pPr>
            <w:r w:rsidRPr="003A50C8">
              <w:rPr>
                <w:rFonts w:ascii="Arial" w:hAnsi="Arial" w:cs="Arial"/>
                <w:b w:val="0"/>
                <w:bCs w:val="0"/>
                <w:sz w:val="24"/>
                <w:szCs w:val="24"/>
              </w:rPr>
              <w:t>Indulgence vs. Restraint</w:t>
            </w:r>
          </w:p>
        </w:tc>
        <w:tc>
          <w:tcPr>
            <w:tcW w:w="0" w:type="auto"/>
            <w:tcBorders>
              <w:left w:val="none" w:sz="0" w:space="0" w:color="auto"/>
              <w:right w:val="none" w:sz="0" w:space="0" w:color="auto"/>
            </w:tcBorders>
            <w:hideMark/>
          </w:tcPr>
          <w:p w14:paraId="2530083B"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40 (Restraint)</w:t>
            </w:r>
          </w:p>
        </w:tc>
        <w:tc>
          <w:tcPr>
            <w:tcW w:w="0" w:type="auto"/>
            <w:tcBorders>
              <w:left w:val="none" w:sz="0" w:space="0" w:color="auto"/>
              <w:right w:val="none" w:sz="0" w:space="0" w:color="auto"/>
            </w:tcBorders>
            <w:hideMark/>
          </w:tcPr>
          <w:p w14:paraId="3EB8821F"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24 (High Restraint)</w:t>
            </w:r>
          </w:p>
        </w:tc>
        <w:tc>
          <w:tcPr>
            <w:tcW w:w="0" w:type="auto"/>
            <w:tcBorders>
              <w:left w:val="none" w:sz="0" w:space="0" w:color="auto"/>
            </w:tcBorders>
            <w:hideMark/>
          </w:tcPr>
          <w:p w14:paraId="4764AC10" w14:textId="77777777" w:rsidR="00F200C6" w:rsidRPr="003A50C8" w:rsidRDefault="00F200C6" w:rsidP="000C719F">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3A50C8">
              <w:rPr>
                <w:rFonts w:ascii="Arial" w:hAnsi="Arial" w:cs="Arial"/>
                <w:sz w:val="24"/>
                <w:szCs w:val="24"/>
              </w:rPr>
              <w:t>Both cultures exercise self-control; however, China is even more restrained, requiring BMW to emphasise practicality and value in marketing.</w:t>
            </w:r>
          </w:p>
        </w:tc>
      </w:tr>
    </w:tbl>
    <w:p w14:paraId="691C1B4F" w14:textId="77777777" w:rsidR="00F200C6" w:rsidRPr="003A50C8" w:rsidRDefault="00F200C6" w:rsidP="000C719F">
      <w:pPr>
        <w:spacing w:after="0" w:line="360" w:lineRule="auto"/>
        <w:jc w:val="both"/>
        <w:rPr>
          <w:rFonts w:ascii="Arial" w:hAnsi="Arial" w:cs="Arial"/>
          <w:sz w:val="24"/>
          <w:szCs w:val="24"/>
        </w:rPr>
      </w:pPr>
    </w:p>
    <w:p w14:paraId="7650A5E6" w14:textId="77777777" w:rsidR="00BC14F4" w:rsidRPr="003A50C8" w:rsidRDefault="00F200C6" w:rsidP="000C719F">
      <w:pPr>
        <w:pStyle w:val="Heading1"/>
        <w:rPr>
          <w:rFonts w:ascii="Arial" w:hAnsi="Arial" w:cs="Arial"/>
        </w:rPr>
      </w:pPr>
      <w:bookmarkStart w:id="20" w:name="_Toc214543727"/>
      <w:r w:rsidRPr="003A50C8">
        <w:rPr>
          <w:rFonts w:ascii="Arial" w:hAnsi="Arial" w:cs="Arial"/>
        </w:rPr>
        <w:t>5. Recommendations: SOP Adjustments for Success in China</w:t>
      </w:r>
      <w:bookmarkEnd w:id="20"/>
    </w:p>
    <w:p w14:paraId="0EF96098"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analysis on the OLI framework above and the cultural differences between Germany and China indicate that BMW needs to embrace strategic operational changes to maximize on its performance in China. These changes have ensured that it aligns with the business environment, business culture, and fast changing technology in China. The next part is the discussion of three significant SOP (Standard Operating Procedure) changes that BMW needs to make to cement its presence in China: (1) further localization of innovation and R&amp;D, (2) further localization of human resource management practices, and (3) further localization of supply chain integration and responsiveness.</w:t>
      </w:r>
      <w:r w:rsidR="009C2BB1" w:rsidRPr="003A50C8">
        <w:rPr>
          <w:rFonts w:ascii="Arial" w:hAnsi="Arial" w:cs="Arial"/>
          <w:sz w:val="24"/>
          <w:szCs w:val="24"/>
        </w:rPr>
        <w:t xml:space="preserve"> (Cai </w:t>
      </w:r>
      <w:r w:rsidR="009C2BB1" w:rsidRPr="003A50C8">
        <w:rPr>
          <w:rFonts w:ascii="Arial" w:hAnsi="Arial" w:cs="Arial"/>
          <w:i/>
          <w:sz w:val="24"/>
          <w:szCs w:val="24"/>
        </w:rPr>
        <w:t>et al</w:t>
      </w:r>
      <w:r w:rsidR="009C2BB1" w:rsidRPr="003A50C8">
        <w:rPr>
          <w:rFonts w:ascii="Arial" w:hAnsi="Arial" w:cs="Arial"/>
          <w:sz w:val="24"/>
          <w:szCs w:val="24"/>
        </w:rPr>
        <w:t>., 2019)</w:t>
      </w:r>
      <w:r w:rsidRPr="003A50C8">
        <w:rPr>
          <w:rFonts w:ascii="Arial" w:hAnsi="Arial" w:cs="Arial"/>
          <w:sz w:val="24"/>
          <w:szCs w:val="24"/>
        </w:rPr>
        <w:t xml:space="preserve"> These changes combine to take care of ownership, location and internalisation advantages of BMW, as well as react to the cultural environments that define business in China.</w:t>
      </w:r>
    </w:p>
    <w:p w14:paraId="0FFB5A40" w14:textId="77777777" w:rsidR="00BC14F4" w:rsidRPr="003A50C8" w:rsidRDefault="00BC14F4" w:rsidP="000C719F">
      <w:pPr>
        <w:pStyle w:val="Heading2"/>
        <w:rPr>
          <w:rFonts w:ascii="Arial" w:hAnsi="Arial" w:cs="Arial"/>
        </w:rPr>
      </w:pPr>
      <w:bookmarkStart w:id="21" w:name="_Toc214543728"/>
      <w:r w:rsidRPr="003A50C8">
        <w:rPr>
          <w:rFonts w:ascii="Arial" w:hAnsi="Arial" w:cs="Arial"/>
        </w:rPr>
        <w:t>SOP Adjustment 1: Deepening Local Innovation and R&amp;D Integration</w:t>
      </w:r>
      <w:bookmarkEnd w:id="21"/>
    </w:p>
    <w:p w14:paraId="38C1F11D"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rise of China as the biggest market in the world in terms of electric vehicles (EVs), digital mobility, and smart technologies has changed the competitive world of automotive manufacturing companies. The historical approach of exporting innovation that has been developed in Germany to the international markets is no longer enough to keep BMW successful in China, rather the company has to integrate local innovation technology in order to address the dynamic consumer demands and regulatory emphases.</w:t>
      </w:r>
    </w:p>
    <w:p w14:paraId="034BB14B"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Rationale</w:t>
      </w:r>
    </w:p>
    <w:p w14:paraId="09DD2FDD"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lastRenderedPageBreak/>
        <w:t>The Chinese customers are demanding more sophisticated connectivity, localized digital services, and the electricity-based mobility models which will be suited to the specifics of the urban setting in China. The strategic value of local innovation is also supported by government policies, which provide powerful motivation in developing EVs, data localisation, and collaboration in research and development of such technologies as batteries and autonomous driving</w:t>
      </w:r>
      <w:r w:rsidR="009C2BB1" w:rsidRPr="003A50C8">
        <w:rPr>
          <w:rFonts w:ascii="Arial" w:hAnsi="Arial" w:cs="Arial"/>
          <w:sz w:val="24"/>
          <w:szCs w:val="24"/>
        </w:rPr>
        <w:t xml:space="preserve"> (</w:t>
      </w:r>
      <w:proofErr w:type="spellStart"/>
      <w:r w:rsidR="009C2BB1" w:rsidRPr="003A50C8">
        <w:rPr>
          <w:rFonts w:ascii="Arial" w:hAnsi="Arial" w:cs="Arial"/>
          <w:sz w:val="24"/>
          <w:szCs w:val="24"/>
        </w:rPr>
        <w:t>Sovacool</w:t>
      </w:r>
      <w:proofErr w:type="spellEnd"/>
      <w:r w:rsidR="009C2BB1" w:rsidRPr="003A50C8">
        <w:rPr>
          <w:rFonts w:ascii="Arial" w:hAnsi="Arial" w:cs="Arial"/>
          <w:sz w:val="24"/>
          <w:szCs w:val="24"/>
        </w:rPr>
        <w:t xml:space="preserve"> </w:t>
      </w:r>
      <w:r w:rsidR="009C2BB1" w:rsidRPr="003A50C8">
        <w:rPr>
          <w:rFonts w:ascii="Arial" w:hAnsi="Arial" w:cs="Arial"/>
          <w:i/>
          <w:sz w:val="24"/>
          <w:szCs w:val="24"/>
        </w:rPr>
        <w:t>et al</w:t>
      </w:r>
      <w:r w:rsidR="009C2BB1" w:rsidRPr="003A50C8">
        <w:rPr>
          <w:rFonts w:ascii="Arial" w:hAnsi="Arial" w:cs="Arial"/>
          <w:sz w:val="24"/>
          <w:szCs w:val="24"/>
        </w:rPr>
        <w:t>., 2019)</w:t>
      </w:r>
      <w:r w:rsidRPr="003A50C8">
        <w:rPr>
          <w:rFonts w:ascii="Arial" w:hAnsi="Arial" w:cs="Arial"/>
          <w:sz w:val="24"/>
          <w:szCs w:val="24"/>
        </w:rPr>
        <w:t>. In order to stay afloat, BMW needs to further integrate into the Chinese innovation system.</w:t>
      </w:r>
    </w:p>
    <w:p w14:paraId="0581EBCF"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Key SOP Recommendations</w:t>
      </w:r>
    </w:p>
    <w:p w14:paraId="64402959"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enhanced R&amp;D localisation strategy would necessitate a number of procedural changes:</w:t>
      </w:r>
    </w:p>
    <w:p w14:paraId="0C7F1F05"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1.</w:t>
      </w:r>
      <w:r w:rsidRPr="003A50C8">
        <w:rPr>
          <w:rFonts w:ascii="Arial" w:hAnsi="Arial" w:cs="Arial"/>
          <w:b/>
          <w:sz w:val="24"/>
          <w:szCs w:val="24"/>
        </w:rPr>
        <w:tab/>
        <w:t xml:space="preserve">Increase joint R&amp;D </w:t>
      </w:r>
      <w:proofErr w:type="spellStart"/>
      <w:r w:rsidRPr="003A50C8">
        <w:rPr>
          <w:rFonts w:ascii="Arial" w:hAnsi="Arial" w:cs="Arial"/>
          <w:b/>
          <w:sz w:val="24"/>
          <w:szCs w:val="24"/>
        </w:rPr>
        <w:t>endeavors</w:t>
      </w:r>
      <w:proofErr w:type="spellEnd"/>
      <w:r w:rsidRPr="003A50C8">
        <w:rPr>
          <w:rFonts w:ascii="Arial" w:hAnsi="Arial" w:cs="Arial"/>
          <w:b/>
          <w:sz w:val="24"/>
          <w:szCs w:val="24"/>
        </w:rPr>
        <w:t xml:space="preserve"> with Chinese companies and institutions of higher learning.</w:t>
      </w:r>
    </w:p>
    <w:p w14:paraId="03D5ADAE"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BMW is recommended to increase the collaboration with the technology giants in China including Huawei, Tencent, and CATL and research institutes focusing on the field of artificial intelligence, autonomous driving, and battery development. Such collaborations have the ability to shorten the process of innovation, and enhance product-market fit.</w:t>
      </w:r>
    </w:p>
    <w:p w14:paraId="37749BCB"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2.</w:t>
      </w:r>
      <w:r w:rsidRPr="003A50C8">
        <w:rPr>
          <w:rFonts w:ascii="Arial" w:hAnsi="Arial" w:cs="Arial"/>
          <w:b/>
          <w:sz w:val="24"/>
          <w:szCs w:val="24"/>
        </w:rPr>
        <w:tab/>
        <w:t>Invent China-differentiated vehicle models and software ecosystems.</w:t>
      </w:r>
    </w:p>
    <w:p w14:paraId="0F897B56"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Characteristics that are valued by Chinese consumers include in-car applications, superior infotainment, and online payment systems. BMW ought to build models that have distinct styling features, electronic interfaces, and EV battery packs that suit the Chinese driving habits and weather conditions.</w:t>
      </w:r>
    </w:p>
    <w:p w14:paraId="284D5BC0"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3.</w:t>
      </w:r>
      <w:r w:rsidRPr="003A50C8">
        <w:rPr>
          <w:rFonts w:ascii="Arial" w:hAnsi="Arial" w:cs="Arial"/>
          <w:b/>
          <w:sz w:val="24"/>
          <w:szCs w:val="24"/>
        </w:rPr>
        <w:tab/>
        <w:t>Incorporate digital platforms locally into the ecosystem of BMW cars.</w:t>
      </w:r>
    </w:p>
    <w:p w14:paraId="3AC58F7F"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compatibility with the most common applications like WeChat, Alipay, and Baidu Maps should be seamless to improve the consumer experience. The SOPs that BMW needs to implement should hence include the measures of co-development, data integration, and adherence to the Chinese cybersecurity law</w:t>
      </w:r>
      <w:r w:rsidR="005C37EE" w:rsidRPr="003A50C8">
        <w:rPr>
          <w:rFonts w:ascii="Arial" w:hAnsi="Arial" w:cs="Arial"/>
          <w:sz w:val="24"/>
          <w:szCs w:val="24"/>
        </w:rPr>
        <w:t xml:space="preserve"> (Gomez, 2024)</w:t>
      </w:r>
      <w:r w:rsidRPr="003A50C8">
        <w:rPr>
          <w:rFonts w:ascii="Arial" w:hAnsi="Arial" w:cs="Arial"/>
          <w:sz w:val="24"/>
          <w:szCs w:val="24"/>
        </w:rPr>
        <w:t>.</w:t>
      </w:r>
    </w:p>
    <w:p w14:paraId="481EBE33" w14:textId="77777777" w:rsidR="00BC14F4" w:rsidRPr="003A50C8" w:rsidRDefault="00BC14F4" w:rsidP="000C719F">
      <w:pPr>
        <w:spacing w:after="0" w:line="360" w:lineRule="auto"/>
        <w:jc w:val="both"/>
        <w:rPr>
          <w:rFonts w:ascii="Arial" w:hAnsi="Arial" w:cs="Arial"/>
          <w:b/>
          <w:bCs/>
          <w:sz w:val="24"/>
          <w:szCs w:val="24"/>
        </w:rPr>
      </w:pPr>
      <w:r w:rsidRPr="003A50C8">
        <w:rPr>
          <w:rFonts w:ascii="Arial" w:hAnsi="Arial" w:cs="Arial"/>
          <w:b/>
          <w:bCs/>
          <w:sz w:val="24"/>
          <w:szCs w:val="24"/>
        </w:rPr>
        <w:t>Alignment with OLI and Cultural Insights</w:t>
      </w:r>
    </w:p>
    <w:p w14:paraId="5E7373CE"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 xml:space="preserve">The OLI paradigm is a strong argument in </w:t>
      </w:r>
      <w:proofErr w:type="spellStart"/>
      <w:r w:rsidRPr="003A50C8">
        <w:rPr>
          <w:rFonts w:ascii="Arial" w:hAnsi="Arial" w:cs="Arial"/>
          <w:sz w:val="24"/>
          <w:szCs w:val="24"/>
        </w:rPr>
        <w:t>favor</w:t>
      </w:r>
      <w:proofErr w:type="spellEnd"/>
      <w:r w:rsidRPr="003A50C8">
        <w:rPr>
          <w:rFonts w:ascii="Arial" w:hAnsi="Arial" w:cs="Arial"/>
          <w:sz w:val="24"/>
          <w:szCs w:val="24"/>
        </w:rPr>
        <w:t xml:space="preserve"> of this SOP adjustment:</w:t>
      </w:r>
    </w:p>
    <w:p w14:paraId="0E2E9868"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w:t>
      </w:r>
      <w:r w:rsidRPr="003A50C8">
        <w:rPr>
          <w:rFonts w:ascii="Arial" w:hAnsi="Arial" w:cs="Arial"/>
          <w:sz w:val="24"/>
          <w:szCs w:val="24"/>
        </w:rPr>
        <w:tab/>
        <w:t>Location strengths: The ecosystem of EV suppliers in China, battery manufacturing, and the high-level 5G infrastructure is a competitive edge in local R&amp;D.</w:t>
      </w:r>
    </w:p>
    <w:p w14:paraId="2C9976D8"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w:t>
      </w:r>
      <w:r w:rsidRPr="003A50C8">
        <w:rPr>
          <w:rFonts w:ascii="Arial" w:hAnsi="Arial" w:cs="Arial"/>
          <w:sz w:val="24"/>
          <w:szCs w:val="24"/>
        </w:rPr>
        <w:tab/>
        <w:t>Ownership benefits: BMW is a strong technology base that the integration with the Chinese innovation clusters would help.</w:t>
      </w:r>
    </w:p>
    <w:p w14:paraId="167104A1"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lastRenderedPageBreak/>
        <w:t>•Internalisation benefits: Internalisation of local R&amp;D competencies gives BMW control over its proprietary knowledge by preventing leakage, as well as, control over quality.</w:t>
      </w:r>
    </w:p>
    <w:p w14:paraId="08CB44E5"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China has collectivist values and focus on cooperative networks as a part of its culture that promotes collaborative innovation</w:t>
      </w:r>
      <w:r w:rsidR="005C37EE" w:rsidRPr="003A50C8">
        <w:rPr>
          <w:rFonts w:ascii="Arial" w:hAnsi="Arial" w:cs="Arial"/>
          <w:sz w:val="24"/>
          <w:szCs w:val="24"/>
        </w:rPr>
        <w:t xml:space="preserve"> (Lechner, 2020)</w:t>
      </w:r>
      <w:r w:rsidRPr="003A50C8">
        <w:rPr>
          <w:rFonts w:ascii="Arial" w:hAnsi="Arial" w:cs="Arial"/>
          <w:sz w:val="24"/>
          <w:szCs w:val="24"/>
        </w:rPr>
        <w:t>. The long-term orientation of the country also aligns with BMW strategic investments in sustainable technologies, and thus such SOP change is necessary to achieve the competitiveness in the long term.</w:t>
      </w:r>
    </w:p>
    <w:p w14:paraId="791EC5B4" w14:textId="77777777" w:rsidR="00BC14F4" w:rsidRPr="003A50C8" w:rsidRDefault="00BC14F4" w:rsidP="000C719F">
      <w:pPr>
        <w:pStyle w:val="Heading2"/>
        <w:rPr>
          <w:rFonts w:ascii="Arial" w:hAnsi="Arial" w:cs="Arial"/>
        </w:rPr>
      </w:pPr>
      <w:bookmarkStart w:id="22" w:name="_Toc214543729"/>
      <w:r w:rsidRPr="003A50C8">
        <w:rPr>
          <w:rFonts w:ascii="Arial" w:hAnsi="Arial" w:cs="Arial"/>
        </w:rPr>
        <w:t>SOP Adjustment 2: Localising Human Resource Management Practices</w:t>
      </w:r>
      <w:bookmarkEnd w:id="22"/>
    </w:p>
    <w:p w14:paraId="2C93734B"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One of the most culturally sensitive areas in which the operations of the multinationals are carried out is the human resource management. Traditionally German style of management BMW has a low power distance, direct communication and merit-based evaluation as compared to Chinese business practice with emphasis on hierarchical order and relationship-building (guanxi) and collective performance.</w:t>
      </w:r>
    </w:p>
    <w:p w14:paraId="2FBAC31D"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Rationale</w:t>
      </w:r>
    </w:p>
    <w:p w14:paraId="2ADBF239"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cross-cultural management will be important in relation to the performance and the involvement of the employees in the work of BMW. The incongruence of the German and Chinese managerial styles may cause a workplace conflict, communication failure, and losses in productivity. In order to succeed in China, BMW has to make sure that its HRM systems are aligned with the local cultural expectations, and that they do not compromise the overall efficiency and performance standards of the company.</w:t>
      </w:r>
    </w:p>
    <w:p w14:paraId="52E84182" w14:textId="77777777" w:rsidR="00BC14F4" w:rsidRPr="003A50C8" w:rsidRDefault="00BC14F4" w:rsidP="000C719F">
      <w:pPr>
        <w:spacing w:after="0" w:line="360" w:lineRule="auto"/>
        <w:jc w:val="both"/>
        <w:rPr>
          <w:rFonts w:ascii="Arial" w:hAnsi="Arial" w:cs="Arial"/>
          <w:b/>
          <w:bCs/>
          <w:sz w:val="24"/>
          <w:szCs w:val="24"/>
        </w:rPr>
      </w:pPr>
      <w:r w:rsidRPr="003A50C8">
        <w:rPr>
          <w:rFonts w:ascii="Arial" w:hAnsi="Arial" w:cs="Arial"/>
          <w:b/>
          <w:bCs/>
          <w:sz w:val="24"/>
          <w:szCs w:val="24"/>
        </w:rPr>
        <w:t>Key SOP Recommendations</w:t>
      </w:r>
    </w:p>
    <w:p w14:paraId="3325F909" w14:textId="77777777" w:rsidR="00BC14F4" w:rsidRPr="003A50C8" w:rsidRDefault="00BC14F4" w:rsidP="000C719F">
      <w:pPr>
        <w:spacing w:after="0" w:line="360" w:lineRule="auto"/>
        <w:jc w:val="both"/>
        <w:rPr>
          <w:rFonts w:ascii="Arial" w:hAnsi="Arial" w:cs="Arial"/>
          <w:b/>
          <w:bCs/>
          <w:sz w:val="24"/>
          <w:szCs w:val="24"/>
        </w:rPr>
      </w:pPr>
      <w:r w:rsidRPr="003A50C8">
        <w:rPr>
          <w:rFonts w:ascii="Arial" w:hAnsi="Arial" w:cs="Arial"/>
          <w:b/>
          <w:bCs/>
          <w:sz w:val="24"/>
          <w:szCs w:val="24"/>
        </w:rPr>
        <w:t>1.Implement culturally sensitive leadership training for expatriate managers.</w:t>
      </w:r>
    </w:p>
    <w:p w14:paraId="52CF9BD2"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expatriate leaders should be trained on how to overcome hierarchical norms, indirect communication, and the significance of guanxi in Chinese professional relations. Cultural negotiation, conflict resolution, and local labour regulations should be part of the training.</w:t>
      </w:r>
    </w:p>
    <w:p w14:paraId="0199A10F"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2.</w:t>
      </w:r>
      <w:r w:rsidRPr="003A50C8">
        <w:rPr>
          <w:rFonts w:ascii="Arial" w:hAnsi="Arial" w:cs="Arial"/>
          <w:b/>
          <w:sz w:val="24"/>
          <w:szCs w:val="24"/>
        </w:rPr>
        <w:tab/>
        <w:t>Adopt hybrid organisational designs.</w:t>
      </w:r>
    </w:p>
    <w:p w14:paraId="7DC460C9"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BMW needs to embrace a combination of the German efficiency and the Chinese high-rank expectations</w:t>
      </w:r>
      <w:r w:rsidR="00793F28" w:rsidRPr="003A50C8">
        <w:rPr>
          <w:rFonts w:ascii="Arial" w:hAnsi="Arial" w:cs="Arial"/>
          <w:sz w:val="24"/>
          <w:szCs w:val="24"/>
        </w:rPr>
        <w:t xml:space="preserve"> (Liu and Liu, 2021)</w:t>
      </w:r>
      <w:r w:rsidRPr="003A50C8">
        <w:rPr>
          <w:rFonts w:ascii="Arial" w:hAnsi="Arial" w:cs="Arial"/>
          <w:sz w:val="24"/>
          <w:szCs w:val="24"/>
        </w:rPr>
        <w:t xml:space="preserve">. This can be in better lines of command, </w:t>
      </w:r>
      <w:r w:rsidRPr="003A50C8">
        <w:rPr>
          <w:rFonts w:ascii="Arial" w:hAnsi="Arial" w:cs="Arial"/>
          <w:sz w:val="24"/>
          <w:szCs w:val="24"/>
        </w:rPr>
        <w:lastRenderedPageBreak/>
        <w:t>formalisation of decision making processes, and appreciation of seniority in leadership positions.</w:t>
      </w:r>
    </w:p>
    <w:p w14:paraId="71C202E4"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3.</w:t>
      </w:r>
      <w:r w:rsidRPr="003A50C8">
        <w:rPr>
          <w:rFonts w:ascii="Arial" w:hAnsi="Arial" w:cs="Arial"/>
          <w:b/>
          <w:sz w:val="24"/>
          <w:szCs w:val="24"/>
        </w:rPr>
        <w:tab/>
        <w:t>Empower relationship-based practices.</w:t>
      </w:r>
    </w:p>
    <w:p w14:paraId="3AF5E495"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In China, Guanxi is the force behind relationships with suppliers, employee loyalty, and cooperation between departments. The SOPs must promote frequent team bonding, the long-term relationships and the cooperation based on trust instead of the one, which is more transactional in nature.</w:t>
      </w:r>
    </w:p>
    <w:p w14:paraId="064EF66F"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4.</w:t>
      </w:r>
      <w:r w:rsidRPr="003A50C8">
        <w:rPr>
          <w:rFonts w:ascii="Arial" w:hAnsi="Arial" w:cs="Arial"/>
          <w:b/>
          <w:sz w:val="24"/>
          <w:szCs w:val="24"/>
        </w:rPr>
        <w:tab/>
        <w:t>Make compensation reflect group performance.</w:t>
      </w:r>
    </w:p>
    <w:p w14:paraId="1E50ACAF"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Team goals, collective bonuses, and group-based KPIs align more with the Chinese culture and contribute to the strong team cohesion.</w:t>
      </w:r>
    </w:p>
    <w:p w14:paraId="17FD7D6F" w14:textId="77777777" w:rsidR="00BC14F4" w:rsidRPr="003A50C8" w:rsidRDefault="00BC14F4" w:rsidP="000C719F">
      <w:pPr>
        <w:spacing w:after="0" w:line="360" w:lineRule="auto"/>
        <w:jc w:val="both"/>
        <w:rPr>
          <w:rFonts w:ascii="Arial" w:hAnsi="Arial" w:cs="Arial"/>
          <w:b/>
          <w:bCs/>
          <w:sz w:val="24"/>
          <w:szCs w:val="24"/>
        </w:rPr>
      </w:pPr>
      <w:r w:rsidRPr="003A50C8">
        <w:rPr>
          <w:rFonts w:ascii="Arial" w:hAnsi="Arial" w:cs="Arial"/>
          <w:b/>
          <w:bCs/>
          <w:sz w:val="24"/>
          <w:szCs w:val="24"/>
        </w:rPr>
        <w:t>Alignment with OLI and Cultural Factors</w:t>
      </w:r>
    </w:p>
    <w:p w14:paraId="72C1C637"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internalisation strength of BMW relies mainly on the ability to maintain talented employees, organisational consistency, as well as technology safeguarding due to the consistency of internal processes. These goals are realised with the help of localised HRM practices</w:t>
      </w:r>
      <w:r w:rsidR="00793F28" w:rsidRPr="003A50C8">
        <w:rPr>
          <w:rFonts w:ascii="Arial" w:hAnsi="Arial" w:cs="Arial"/>
          <w:sz w:val="24"/>
          <w:szCs w:val="24"/>
        </w:rPr>
        <w:t xml:space="preserve"> (</w:t>
      </w:r>
      <w:proofErr w:type="spellStart"/>
      <w:r w:rsidR="00793F28" w:rsidRPr="003A50C8">
        <w:rPr>
          <w:rFonts w:ascii="Arial" w:hAnsi="Arial" w:cs="Arial"/>
          <w:sz w:val="24"/>
          <w:szCs w:val="24"/>
        </w:rPr>
        <w:t>Madić</w:t>
      </w:r>
      <w:proofErr w:type="spellEnd"/>
      <w:r w:rsidR="00793F28" w:rsidRPr="003A50C8">
        <w:rPr>
          <w:rFonts w:ascii="Arial" w:hAnsi="Arial" w:cs="Arial"/>
          <w:sz w:val="24"/>
          <w:szCs w:val="24"/>
        </w:rPr>
        <w:t xml:space="preserve"> </w:t>
      </w:r>
      <w:r w:rsidR="00793F28" w:rsidRPr="003A50C8">
        <w:rPr>
          <w:rFonts w:ascii="Arial" w:hAnsi="Arial" w:cs="Arial"/>
          <w:i/>
          <w:sz w:val="24"/>
          <w:szCs w:val="24"/>
        </w:rPr>
        <w:t>et al</w:t>
      </w:r>
      <w:r w:rsidR="00793F28" w:rsidRPr="003A50C8">
        <w:rPr>
          <w:rFonts w:ascii="Arial" w:hAnsi="Arial" w:cs="Arial"/>
          <w:sz w:val="24"/>
          <w:szCs w:val="24"/>
        </w:rPr>
        <w:t>., 2021)</w:t>
      </w:r>
      <w:r w:rsidRPr="003A50C8">
        <w:rPr>
          <w:rFonts w:ascii="Arial" w:hAnsi="Arial" w:cs="Arial"/>
          <w:sz w:val="24"/>
          <w:szCs w:val="24"/>
        </w:rPr>
        <w:t>.</w:t>
      </w:r>
    </w:p>
    <w:p w14:paraId="0EDE2358"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high power distance and collectivist cultures require the management structure, communication patterns, and motivation system modifications. These HRM changes also facilitate long-term strategic alliances with the local suppliers, which is an essential need in the Chinese relational business culture.</w:t>
      </w:r>
    </w:p>
    <w:p w14:paraId="7AFEA814" w14:textId="77777777" w:rsidR="00BC14F4" w:rsidRPr="003A50C8" w:rsidRDefault="00BC14F4" w:rsidP="000C719F">
      <w:pPr>
        <w:pStyle w:val="Heading2"/>
        <w:rPr>
          <w:rFonts w:ascii="Arial" w:hAnsi="Arial" w:cs="Arial"/>
        </w:rPr>
      </w:pPr>
      <w:bookmarkStart w:id="23" w:name="_Toc214543730"/>
      <w:r w:rsidRPr="003A50C8">
        <w:rPr>
          <w:rFonts w:ascii="Arial" w:hAnsi="Arial" w:cs="Arial"/>
        </w:rPr>
        <w:t>SOP Adjustment 3: Enhancing Local Supply Chain Integration and Responsiveness</w:t>
      </w:r>
      <w:bookmarkEnd w:id="23"/>
    </w:p>
    <w:p w14:paraId="1683018D"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Chinese automotive supply chain is one of the most dynamic supply chains in the world. Such rapid changes in regulation, the changing consumer preferences, and intense rivalry among the local EV manufacturers imply that the BMW company should constantly adjust its supply chain SOPs to ensure its efficiency, resilience, and flexibility.</w:t>
      </w:r>
    </w:p>
    <w:p w14:paraId="3ADF427C"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Rationale</w:t>
      </w:r>
    </w:p>
    <w:p w14:paraId="220654BB"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localisation of the supply-chain is necessary to reduce the costs, local-content mandate and prompt market adjustment. BMW has a great cost and efficiency advantage since China has a great supplier base, especially in batteries, electronics, and semiconductors</w:t>
      </w:r>
      <w:r w:rsidR="004757D6" w:rsidRPr="003A50C8">
        <w:rPr>
          <w:rFonts w:ascii="Arial" w:hAnsi="Arial" w:cs="Arial"/>
          <w:sz w:val="24"/>
          <w:szCs w:val="24"/>
        </w:rPr>
        <w:t xml:space="preserve"> (Dobrin, 2021)</w:t>
      </w:r>
      <w:r w:rsidRPr="003A50C8">
        <w:rPr>
          <w:rFonts w:ascii="Arial" w:hAnsi="Arial" w:cs="Arial"/>
          <w:sz w:val="24"/>
          <w:szCs w:val="24"/>
        </w:rPr>
        <w:t>. Yet, the instances like supply chain disruptions (e.g., shutdowns because of the pandemic, trade tensions) also demand that BMW should introduce even more flexibility and responsiveness into its procedures.</w:t>
      </w:r>
    </w:p>
    <w:p w14:paraId="67ED60EC"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lastRenderedPageBreak/>
        <w:t>Key SOP Recommendations</w:t>
      </w:r>
    </w:p>
    <w:p w14:paraId="18AC3985"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1.</w:t>
      </w:r>
      <w:r w:rsidRPr="003A50C8">
        <w:rPr>
          <w:rFonts w:ascii="Arial" w:hAnsi="Arial" w:cs="Arial"/>
          <w:b/>
          <w:sz w:val="24"/>
          <w:szCs w:val="24"/>
        </w:rPr>
        <w:tab/>
        <w:t>Enhance localisation of key components.</w:t>
      </w:r>
    </w:p>
    <w:p w14:paraId="2227597E"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SOPs are also required to require increased level of local sourcing of battery, infotainment systems, sensors and EV power electronics. Local procurement shortens lead times, minimizes costs and shields BMW against changes in trade or tariffs.</w:t>
      </w:r>
    </w:p>
    <w:p w14:paraId="5AA0F6C3"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2.</w:t>
      </w:r>
      <w:r w:rsidRPr="003A50C8">
        <w:rPr>
          <w:rFonts w:ascii="Arial" w:hAnsi="Arial" w:cs="Arial"/>
          <w:b/>
          <w:sz w:val="24"/>
          <w:szCs w:val="24"/>
        </w:rPr>
        <w:tab/>
        <w:t>Establish flexible supply chain networks.</w:t>
      </w:r>
    </w:p>
    <w:p w14:paraId="6C277552"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To respond quickly to the changes and disruptions in policies, BMW will have to embrace modular supplier setups, multi-sourcing tactics and contingency planning processes.</w:t>
      </w:r>
      <w:r w:rsidR="002A4C14" w:rsidRPr="003A50C8">
        <w:rPr>
          <w:rFonts w:ascii="Arial" w:hAnsi="Arial" w:cs="Arial"/>
          <w:sz w:val="24"/>
          <w:szCs w:val="24"/>
        </w:rPr>
        <w:t xml:space="preserve"> (Weiss </w:t>
      </w:r>
      <w:r w:rsidR="002A4C14" w:rsidRPr="003A50C8">
        <w:rPr>
          <w:rFonts w:ascii="Arial" w:hAnsi="Arial" w:cs="Arial"/>
          <w:i/>
          <w:sz w:val="24"/>
          <w:szCs w:val="24"/>
        </w:rPr>
        <w:t>et al</w:t>
      </w:r>
      <w:r w:rsidR="002A4C14" w:rsidRPr="003A50C8">
        <w:rPr>
          <w:rFonts w:ascii="Arial" w:hAnsi="Arial" w:cs="Arial"/>
          <w:sz w:val="24"/>
          <w:szCs w:val="24"/>
        </w:rPr>
        <w:t>., 2021)</w:t>
      </w:r>
    </w:p>
    <w:p w14:paraId="40CCCCDD"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3.</w:t>
      </w:r>
      <w:r w:rsidRPr="003A50C8">
        <w:rPr>
          <w:rFonts w:ascii="Arial" w:hAnsi="Arial" w:cs="Arial"/>
          <w:b/>
          <w:sz w:val="24"/>
          <w:szCs w:val="24"/>
        </w:rPr>
        <w:tab/>
        <w:t>Increase quality control based on local suppliers.</w:t>
      </w:r>
    </w:p>
    <w:p w14:paraId="0BDC20B7"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supplier environment in China is very diverse. BMW should have SOPs in benchmarking of suppliers, on the site quality checks and firm audits, which will ensure adherence to global standards of BMW.</w:t>
      </w:r>
    </w:p>
    <w:p w14:paraId="16DFCB93" w14:textId="77777777" w:rsidR="00BC14F4" w:rsidRPr="003A50C8" w:rsidRDefault="00BC14F4" w:rsidP="000C719F">
      <w:pPr>
        <w:spacing w:after="0" w:line="360" w:lineRule="auto"/>
        <w:jc w:val="both"/>
        <w:rPr>
          <w:rFonts w:ascii="Arial" w:hAnsi="Arial" w:cs="Arial"/>
          <w:b/>
          <w:sz w:val="24"/>
          <w:szCs w:val="24"/>
        </w:rPr>
      </w:pPr>
      <w:r w:rsidRPr="003A50C8">
        <w:rPr>
          <w:rFonts w:ascii="Arial" w:hAnsi="Arial" w:cs="Arial"/>
          <w:b/>
          <w:sz w:val="24"/>
          <w:szCs w:val="24"/>
        </w:rPr>
        <w:t>4.</w:t>
      </w:r>
      <w:r w:rsidRPr="003A50C8">
        <w:rPr>
          <w:rFonts w:ascii="Arial" w:hAnsi="Arial" w:cs="Arial"/>
          <w:b/>
          <w:sz w:val="24"/>
          <w:szCs w:val="24"/>
        </w:rPr>
        <w:tab/>
        <w:t>Adopt the use of digitalised supply chain tools.</w:t>
      </w:r>
    </w:p>
    <w:p w14:paraId="229177A2"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combination of AI-based forecasting, predictive maintenance, and automated logistics in the local operations can be highly effective in enhancing efficiency and limiting disruptions</w:t>
      </w:r>
      <w:r w:rsidR="0060368B" w:rsidRPr="003A50C8">
        <w:rPr>
          <w:rFonts w:ascii="Arial" w:hAnsi="Arial" w:cs="Arial"/>
          <w:sz w:val="24"/>
          <w:szCs w:val="24"/>
        </w:rPr>
        <w:t xml:space="preserve"> (</w:t>
      </w:r>
      <w:proofErr w:type="spellStart"/>
      <w:r w:rsidR="0060368B" w:rsidRPr="003A50C8">
        <w:rPr>
          <w:rFonts w:ascii="Arial" w:hAnsi="Arial" w:cs="Arial"/>
          <w:sz w:val="24"/>
          <w:szCs w:val="24"/>
        </w:rPr>
        <w:t>Reinkemeyer</w:t>
      </w:r>
      <w:proofErr w:type="spellEnd"/>
      <w:r w:rsidR="0060368B" w:rsidRPr="003A50C8">
        <w:rPr>
          <w:rFonts w:ascii="Arial" w:hAnsi="Arial" w:cs="Arial"/>
          <w:sz w:val="24"/>
          <w:szCs w:val="24"/>
        </w:rPr>
        <w:t>, 2020)</w:t>
      </w:r>
      <w:r w:rsidRPr="003A50C8">
        <w:rPr>
          <w:rFonts w:ascii="Arial" w:hAnsi="Arial" w:cs="Arial"/>
          <w:sz w:val="24"/>
          <w:szCs w:val="24"/>
        </w:rPr>
        <w:t>.</w:t>
      </w:r>
    </w:p>
    <w:p w14:paraId="41A7424A" w14:textId="77777777" w:rsidR="00BC14F4" w:rsidRPr="003A50C8" w:rsidRDefault="00BC14F4" w:rsidP="000C719F">
      <w:pPr>
        <w:spacing w:after="0" w:line="360" w:lineRule="auto"/>
        <w:jc w:val="both"/>
        <w:rPr>
          <w:rFonts w:ascii="Arial" w:hAnsi="Arial" w:cs="Arial"/>
          <w:b/>
          <w:bCs/>
          <w:sz w:val="24"/>
          <w:szCs w:val="24"/>
        </w:rPr>
      </w:pPr>
      <w:r w:rsidRPr="003A50C8">
        <w:rPr>
          <w:rFonts w:ascii="Arial" w:hAnsi="Arial" w:cs="Arial"/>
          <w:b/>
          <w:bCs/>
          <w:sz w:val="24"/>
          <w:szCs w:val="24"/>
        </w:rPr>
        <w:t>Alignment with OLI and Cultural Factors</w:t>
      </w:r>
    </w:p>
    <w:p w14:paraId="48A6F2D0"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Advantages of location such as the excellent manufacturing environment in China warrant further localisation of the supply chain.</w:t>
      </w:r>
    </w:p>
    <w:p w14:paraId="47BDFEE9"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benefits of internalisation enable BMW to implement high standards in manufacturing processes, proprietary technology and brand consistency.</w:t>
      </w:r>
    </w:p>
    <w:p w14:paraId="5EE91951"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Relationships that come as a result of guanxi are stable in the long-term and collaborative with suppliers; hence, relationships building needs to be solidified in SOPs.</w:t>
      </w:r>
    </w:p>
    <w:p w14:paraId="2F7D2F1D" w14:textId="77777777" w:rsidR="00BC14F4" w:rsidRPr="003A50C8" w:rsidRDefault="000C719F" w:rsidP="000C719F">
      <w:pPr>
        <w:spacing w:after="0" w:line="360" w:lineRule="auto"/>
        <w:jc w:val="both"/>
        <w:rPr>
          <w:rFonts w:ascii="Arial" w:hAnsi="Arial" w:cs="Arial"/>
          <w:b/>
          <w:sz w:val="24"/>
          <w:szCs w:val="24"/>
        </w:rPr>
      </w:pPr>
      <w:r w:rsidRPr="003A50C8">
        <w:rPr>
          <w:rFonts w:ascii="Arial" w:hAnsi="Arial" w:cs="Arial"/>
          <w:b/>
          <w:sz w:val="24"/>
          <w:szCs w:val="24"/>
        </w:rPr>
        <w:t>Summary</w:t>
      </w:r>
    </w:p>
    <w:p w14:paraId="70853A95"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These three SOP changes including localised innovation, culturally aligned HRM and increased supply chain integration are in direct correlation to the competitive success of BMW in China. They are motivated by the unique location advantages that China has, which is facilitated by the ownership strengths of BMW, and aligned to the internalisation priorities of the company</w:t>
      </w:r>
      <w:r w:rsidR="004757D6" w:rsidRPr="003A50C8">
        <w:rPr>
          <w:rFonts w:ascii="Arial" w:hAnsi="Arial" w:cs="Arial"/>
          <w:sz w:val="24"/>
          <w:szCs w:val="24"/>
        </w:rPr>
        <w:t xml:space="preserve"> (</w:t>
      </w:r>
      <w:proofErr w:type="spellStart"/>
      <w:r w:rsidR="004757D6" w:rsidRPr="003A50C8">
        <w:rPr>
          <w:rFonts w:ascii="Arial" w:hAnsi="Arial" w:cs="Arial"/>
          <w:sz w:val="24"/>
          <w:szCs w:val="24"/>
        </w:rPr>
        <w:t>Kukkamalla</w:t>
      </w:r>
      <w:proofErr w:type="spellEnd"/>
      <w:r w:rsidR="004757D6" w:rsidRPr="003A50C8">
        <w:rPr>
          <w:rFonts w:ascii="Arial" w:hAnsi="Arial" w:cs="Arial"/>
          <w:sz w:val="24"/>
          <w:szCs w:val="24"/>
        </w:rPr>
        <w:t xml:space="preserve"> </w:t>
      </w:r>
      <w:r w:rsidR="004757D6" w:rsidRPr="003A50C8">
        <w:rPr>
          <w:rFonts w:ascii="Arial" w:hAnsi="Arial" w:cs="Arial"/>
          <w:i/>
          <w:sz w:val="24"/>
          <w:szCs w:val="24"/>
        </w:rPr>
        <w:t>et al</w:t>
      </w:r>
      <w:r w:rsidR="004757D6" w:rsidRPr="003A50C8">
        <w:rPr>
          <w:rFonts w:ascii="Arial" w:hAnsi="Arial" w:cs="Arial"/>
          <w:sz w:val="24"/>
          <w:szCs w:val="24"/>
        </w:rPr>
        <w:t>., 2021)</w:t>
      </w:r>
      <w:r w:rsidRPr="003A50C8">
        <w:rPr>
          <w:rFonts w:ascii="Arial" w:hAnsi="Arial" w:cs="Arial"/>
          <w:sz w:val="24"/>
          <w:szCs w:val="24"/>
        </w:rPr>
        <w:t>. Notably, they are also indicative of the cultural realities that inform business behaviours in China which is critical towards long term success.</w:t>
      </w:r>
    </w:p>
    <w:p w14:paraId="4225582C" w14:textId="77777777" w:rsidR="00BC14F4" w:rsidRPr="003A50C8" w:rsidRDefault="00BC14F4" w:rsidP="000C719F">
      <w:pPr>
        <w:pStyle w:val="Heading1"/>
        <w:rPr>
          <w:rFonts w:ascii="Arial" w:hAnsi="Arial" w:cs="Arial"/>
        </w:rPr>
      </w:pPr>
      <w:bookmarkStart w:id="24" w:name="_Toc214543731"/>
      <w:r w:rsidRPr="003A50C8">
        <w:rPr>
          <w:rFonts w:ascii="Arial" w:hAnsi="Arial" w:cs="Arial"/>
        </w:rPr>
        <w:lastRenderedPageBreak/>
        <w:t>6. Conclusion</w:t>
      </w:r>
      <w:bookmarkEnd w:id="24"/>
      <w:r w:rsidRPr="003A50C8">
        <w:rPr>
          <w:rFonts w:ascii="Arial" w:hAnsi="Arial" w:cs="Arial"/>
        </w:rPr>
        <w:t xml:space="preserve"> </w:t>
      </w:r>
    </w:p>
    <w:p w14:paraId="2DB454FF"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role of BMW Group as a powerful multinational and transnational company is based on its advanced global value chain, ownership benefits, and its capabilities of integrating operations at cross-border levels. The dynamics of the international operations of BMW, especially in the emerging economy of China has been discussed in this report. The OLI framework indicates that the decisions that BMW made in China, namely, obtaining a joint venture and localising production, are based on the high ownership potential, favourable location, and the necessity to internalise core competencies.</w:t>
      </w:r>
    </w:p>
    <w:p w14:paraId="7A2D7946" w14:textId="77777777" w:rsidR="00BC14F4" w:rsidRPr="003A50C8" w:rsidRDefault="00BC14F4" w:rsidP="000C719F">
      <w:pPr>
        <w:spacing w:after="0" w:line="360" w:lineRule="auto"/>
        <w:jc w:val="both"/>
        <w:rPr>
          <w:rFonts w:ascii="Arial" w:hAnsi="Arial" w:cs="Arial"/>
          <w:sz w:val="24"/>
          <w:szCs w:val="24"/>
        </w:rPr>
      </w:pPr>
      <w:r w:rsidRPr="003A50C8">
        <w:rPr>
          <w:rFonts w:ascii="Arial" w:hAnsi="Arial" w:cs="Arial"/>
          <w:sz w:val="24"/>
          <w:szCs w:val="24"/>
        </w:rPr>
        <w:t>The analysis of the cultural variations shows that effective operating in a new market needs considerable organisational change. The cultural sensitivity of BMW and its readiness to change the management, marketing, and alliance strategies have played a pivotal role in its creation of a</w:t>
      </w:r>
      <w:r w:rsidR="000C719F" w:rsidRPr="003A50C8">
        <w:rPr>
          <w:rFonts w:ascii="Arial" w:hAnsi="Arial" w:cs="Arial"/>
          <w:sz w:val="24"/>
          <w:szCs w:val="24"/>
        </w:rPr>
        <w:t xml:space="preserve"> competitive presence in China.</w:t>
      </w:r>
      <w:r w:rsidRPr="003A50C8">
        <w:rPr>
          <w:rFonts w:ascii="Arial" w:hAnsi="Arial" w:cs="Arial"/>
          <w:sz w:val="24"/>
          <w:szCs w:val="24"/>
        </w:rPr>
        <w:t>The suggested SOP changes, such as local R&amp;D improvement, changes in HR practices, and enhancement of supply chain integration, will make sure that BMW remains successful in the rapidly developing Chinese automotive industry. With the increasing level of competition across the globe, the capability to integrate international know-how with domestic sensitivity will continue to be the key to the continued success of BMW. The agile nature of the company is also demonstrated through its strategic development in the international markets which in turn forms a precedent of other multinational companies that work in respective global settings where complexities are a reality.</w:t>
      </w:r>
    </w:p>
    <w:p w14:paraId="3D926CF0" w14:textId="77777777" w:rsidR="000C719F" w:rsidRDefault="000C719F" w:rsidP="000C719F">
      <w:pPr>
        <w:spacing w:after="0" w:line="360" w:lineRule="auto"/>
        <w:jc w:val="both"/>
        <w:rPr>
          <w:rFonts w:ascii="Times New Roman" w:hAnsi="Times New Roman" w:cs="Times New Roman"/>
          <w:sz w:val="24"/>
          <w:szCs w:val="24"/>
        </w:rPr>
      </w:pPr>
    </w:p>
    <w:p w14:paraId="356A0C6E" w14:textId="77777777" w:rsidR="00C3731C" w:rsidRDefault="00C3731C" w:rsidP="000C719F">
      <w:pPr>
        <w:spacing w:after="0" w:line="360" w:lineRule="auto"/>
        <w:jc w:val="both"/>
        <w:rPr>
          <w:rFonts w:ascii="Times New Roman" w:hAnsi="Times New Roman" w:cs="Times New Roman"/>
          <w:sz w:val="24"/>
          <w:szCs w:val="24"/>
        </w:rPr>
      </w:pPr>
    </w:p>
    <w:p w14:paraId="406B9840" w14:textId="77777777" w:rsidR="00C3731C" w:rsidRDefault="00C3731C" w:rsidP="000C719F">
      <w:pPr>
        <w:spacing w:after="0" w:line="360" w:lineRule="auto"/>
        <w:jc w:val="both"/>
        <w:rPr>
          <w:rFonts w:ascii="Times New Roman" w:hAnsi="Times New Roman" w:cs="Times New Roman"/>
          <w:sz w:val="24"/>
          <w:szCs w:val="24"/>
        </w:rPr>
      </w:pPr>
    </w:p>
    <w:p w14:paraId="7ABCA33E" w14:textId="77777777" w:rsidR="00C3731C" w:rsidRDefault="00C3731C" w:rsidP="000C719F">
      <w:pPr>
        <w:spacing w:after="0" w:line="360" w:lineRule="auto"/>
        <w:jc w:val="both"/>
        <w:rPr>
          <w:rFonts w:ascii="Times New Roman" w:hAnsi="Times New Roman" w:cs="Times New Roman"/>
          <w:sz w:val="24"/>
          <w:szCs w:val="24"/>
        </w:rPr>
      </w:pPr>
    </w:p>
    <w:p w14:paraId="31CF731E" w14:textId="77777777" w:rsidR="00C3731C" w:rsidRDefault="00C3731C" w:rsidP="000C719F">
      <w:pPr>
        <w:spacing w:after="0" w:line="360" w:lineRule="auto"/>
        <w:jc w:val="both"/>
        <w:rPr>
          <w:rFonts w:ascii="Times New Roman" w:hAnsi="Times New Roman" w:cs="Times New Roman"/>
          <w:sz w:val="24"/>
          <w:szCs w:val="24"/>
        </w:rPr>
      </w:pPr>
    </w:p>
    <w:p w14:paraId="7E800775" w14:textId="77777777" w:rsidR="00C3731C" w:rsidRDefault="00C3731C" w:rsidP="000C719F">
      <w:pPr>
        <w:spacing w:after="0" w:line="360" w:lineRule="auto"/>
        <w:jc w:val="both"/>
        <w:rPr>
          <w:rFonts w:ascii="Times New Roman" w:hAnsi="Times New Roman" w:cs="Times New Roman"/>
          <w:sz w:val="24"/>
          <w:szCs w:val="24"/>
        </w:rPr>
      </w:pPr>
    </w:p>
    <w:p w14:paraId="10AB113D" w14:textId="77777777" w:rsidR="00C3731C" w:rsidRDefault="00C3731C" w:rsidP="000C719F">
      <w:pPr>
        <w:spacing w:after="0" w:line="360" w:lineRule="auto"/>
        <w:jc w:val="both"/>
        <w:rPr>
          <w:rFonts w:ascii="Times New Roman" w:hAnsi="Times New Roman" w:cs="Times New Roman"/>
          <w:sz w:val="24"/>
          <w:szCs w:val="24"/>
        </w:rPr>
      </w:pPr>
    </w:p>
    <w:p w14:paraId="0DC0FCB2" w14:textId="77777777" w:rsidR="00C3731C" w:rsidRDefault="00C3731C" w:rsidP="000C719F">
      <w:pPr>
        <w:spacing w:after="0" w:line="360" w:lineRule="auto"/>
        <w:jc w:val="both"/>
        <w:rPr>
          <w:rFonts w:ascii="Times New Roman" w:hAnsi="Times New Roman" w:cs="Times New Roman"/>
          <w:sz w:val="24"/>
          <w:szCs w:val="24"/>
        </w:rPr>
      </w:pPr>
    </w:p>
    <w:p w14:paraId="3FAB0098" w14:textId="77777777" w:rsidR="00C3731C" w:rsidRDefault="00C3731C" w:rsidP="000C719F">
      <w:pPr>
        <w:spacing w:after="0" w:line="360" w:lineRule="auto"/>
        <w:jc w:val="both"/>
        <w:rPr>
          <w:rFonts w:ascii="Times New Roman" w:hAnsi="Times New Roman" w:cs="Times New Roman"/>
          <w:sz w:val="24"/>
          <w:szCs w:val="24"/>
        </w:rPr>
      </w:pPr>
    </w:p>
    <w:p w14:paraId="1E42AF72" w14:textId="77777777" w:rsidR="00C3731C" w:rsidRDefault="00C3731C" w:rsidP="000C719F">
      <w:pPr>
        <w:spacing w:after="0" w:line="360" w:lineRule="auto"/>
        <w:jc w:val="both"/>
        <w:rPr>
          <w:rFonts w:ascii="Times New Roman" w:hAnsi="Times New Roman" w:cs="Times New Roman"/>
          <w:sz w:val="24"/>
          <w:szCs w:val="24"/>
        </w:rPr>
      </w:pPr>
    </w:p>
    <w:p w14:paraId="7F517549" w14:textId="77777777" w:rsidR="00C3731C" w:rsidRDefault="00C3731C" w:rsidP="000C719F">
      <w:pPr>
        <w:spacing w:after="0" w:line="360" w:lineRule="auto"/>
        <w:jc w:val="both"/>
        <w:rPr>
          <w:rFonts w:ascii="Times New Roman" w:hAnsi="Times New Roman" w:cs="Times New Roman"/>
          <w:sz w:val="24"/>
          <w:szCs w:val="24"/>
        </w:rPr>
      </w:pPr>
    </w:p>
    <w:p w14:paraId="730D7FA8" w14:textId="77777777" w:rsidR="00C3731C" w:rsidRDefault="00C3731C" w:rsidP="000C719F">
      <w:pPr>
        <w:spacing w:after="0" w:line="360" w:lineRule="auto"/>
        <w:jc w:val="both"/>
        <w:rPr>
          <w:rFonts w:ascii="Times New Roman" w:hAnsi="Times New Roman" w:cs="Times New Roman"/>
          <w:sz w:val="24"/>
          <w:szCs w:val="24"/>
        </w:rPr>
      </w:pPr>
    </w:p>
    <w:p w14:paraId="67E73FE6" w14:textId="77777777" w:rsidR="00C3731C" w:rsidRDefault="00C3731C" w:rsidP="000C719F">
      <w:pPr>
        <w:spacing w:after="0" w:line="360" w:lineRule="auto"/>
        <w:jc w:val="both"/>
        <w:rPr>
          <w:rFonts w:ascii="Times New Roman" w:hAnsi="Times New Roman" w:cs="Times New Roman"/>
          <w:sz w:val="24"/>
          <w:szCs w:val="24"/>
        </w:rPr>
      </w:pPr>
    </w:p>
    <w:p w14:paraId="2D8B3BBD" w14:textId="77777777" w:rsidR="00C3731C" w:rsidRDefault="00C3731C" w:rsidP="000C719F">
      <w:pPr>
        <w:spacing w:after="0" w:line="360" w:lineRule="auto"/>
        <w:jc w:val="both"/>
        <w:rPr>
          <w:rFonts w:ascii="Times New Roman" w:hAnsi="Times New Roman" w:cs="Times New Roman"/>
          <w:sz w:val="24"/>
          <w:szCs w:val="24"/>
        </w:rPr>
      </w:pPr>
    </w:p>
    <w:p w14:paraId="517F8BB0" w14:textId="77777777" w:rsidR="00C3731C" w:rsidRDefault="00C3731C" w:rsidP="000C719F">
      <w:pPr>
        <w:spacing w:after="0" w:line="360" w:lineRule="auto"/>
        <w:jc w:val="both"/>
        <w:rPr>
          <w:rFonts w:ascii="Times New Roman" w:hAnsi="Times New Roman" w:cs="Times New Roman"/>
          <w:sz w:val="24"/>
          <w:szCs w:val="24"/>
        </w:rPr>
      </w:pPr>
    </w:p>
    <w:p w14:paraId="251ECA76" w14:textId="77777777" w:rsidR="00C3731C" w:rsidRDefault="00C3731C" w:rsidP="000C719F">
      <w:pPr>
        <w:spacing w:after="0" w:line="360" w:lineRule="auto"/>
        <w:jc w:val="both"/>
        <w:rPr>
          <w:rFonts w:ascii="Times New Roman" w:hAnsi="Times New Roman" w:cs="Times New Roman"/>
          <w:sz w:val="24"/>
          <w:szCs w:val="24"/>
        </w:rPr>
      </w:pPr>
    </w:p>
    <w:p w14:paraId="2949DD72" w14:textId="77777777" w:rsidR="00C3731C" w:rsidRDefault="00C3731C" w:rsidP="000C719F">
      <w:pPr>
        <w:spacing w:after="0" w:line="360" w:lineRule="auto"/>
        <w:jc w:val="both"/>
        <w:rPr>
          <w:rFonts w:ascii="Times New Roman" w:hAnsi="Times New Roman" w:cs="Times New Roman"/>
          <w:sz w:val="24"/>
          <w:szCs w:val="24"/>
        </w:rPr>
      </w:pPr>
    </w:p>
    <w:p w14:paraId="11C12A52" w14:textId="77777777" w:rsidR="0060368B" w:rsidRPr="00C3731C" w:rsidRDefault="00C3731C" w:rsidP="00C3731C">
      <w:pPr>
        <w:pStyle w:val="Heading1"/>
        <w:jc w:val="center"/>
      </w:pPr>
      <w:bookmarkStart w:id="25" w:name="_Toc214543732"/>
      <w:r>
        <w:t>References</w:t>
      </w:r>
      <w:bookmarkEnd w:id="25"/>
    </w:p>
    <w:p w14:paraId="3A813F57"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Blankesteijn</w:t>
      </w:r>
      <w:proofErr w:type="spellEnd"/>
      <w:r w:rsidRPr="0060368B">
        <w:rPr>
          <w:rFonts w:ascii="Times New Roman" w:hAnsi="Times New Roman" w:cs="Times New Roman"/>
          <w:sz w:val="24"/>
          <w:szCs w:val="24"/>
        </w:rPr>
        <w:t xml:space="preserve">, M., Jong, F.D. and </w:t>
      </w:r>
      <w:proofErr w:type="spellStart"/>
      <w:r w:rsidRPr="0060368B">
        <w:rPr>
          <w:rFonts w:ascii="Times New Roman" w:hAnsi="Times New Roman" w:cs="Times New Roman"/>
          <w:sz w:val="24"/>
          <w:szCs w:val="24"/>
        </w:rPr>
        <w:t>Bossink</w:t>
      </w:r>
      <w:proofErr w:type="spellEnd"/>
      <w:r w:rsidRPr="0060368B">
        <w:rPr>
          <w:rFonts w:ascii="Times New Roman" w:hAnsi="Times New Roman" w:cs="Times New Roman"/>
          <w:sz w:val="24"/>
          <w:szCs w:val="24"/>
        </w:rPr>
        <w:t>, B., (2019). Closed-open innovation strategy for autonomous vehicle development. </w:t>
      </w:r>
      <w:r w:rsidRPr="0060368B">
        <w:rPr>
          <w:rFonts w:ascii="Times New Roman" w:hAnsi="Times New Roman" w:cs="Times New Roman"/>
          <w:i/>
          <w:iCs/>
          <w:sz w:val="24"/>
          <w:szCs w:val="24"/>
        </w:rPr>
        <w:t>International Journal of Automotive Technology and Management</w:t>
      </w:r>
      <w:r w:rsidRPr="0060368B">
        <w:rPr>
          <w:rFonts w:ascii="Times New Roman" w:hAnsi="Times New Roman" w:cs="Times New Roman"/>
          <w:sz w:val="24"/>
          <w:szCs w:val="24"/>
        </w:rPr>
        <w:t>, </w:t>
      </w:r>
      <w:r w:rsidRPr="0060368B">
        <w:rPr>
          <w:rFonts w:ascii="Times New Roman" w:hAnsi="Times New Roman" w:cs="Times New Roman"/>
          <w:i/>
          <w:iCs/>
          <w:sz w:val="24"/>
          <w:szCs w:val="24"/>
        </w:rPr>
        <w:t>19</w:t>
      </w:r>
      <w:r w:rsidRPr="0060368B">
        <w:rPr>
          <w:rFonts w:ascii="Times New Roman" w:hAnsi="Times New Roman" w:cs="Times New Roman"/>
          <w:sz w:val="24"/>
          <w:szCs w:val="24"/>
        </w:rPr>
        <w:t>(1-2), pp.74-103.</w:t>
      </w:r>
      <w:r w:rsidRPr="007B7CB4">
        <w:t xml:space="preserve"> </w:t>
      </w:r>
      <w:r w:rsidRPr="0060368B">
        <w:rPr>
          <w:rFonts w:ascii="Times New Roman" w:hAnsi="Times New Roman" w:cs="Times New Roman"/>
          <w:sz w:val="24"/>
        </w:rPr>
        <w:t>Available at:</w:t>
      </w:r>
      <w:r w:rsidRPr="0060368B">
        <w:rPr>
          <w:sz w:val="24"/>
        </w:rPr>
        <w:t xml:space="preserve"> </w:t>
      </w:r>
      <w:hyperlink r:id="rId10" w:history="1">
        <w:r w:rsidRPr="0060368B">
          <w:rPr>
            <w:rStyle w:val="Hyperlink"/>
            <w:rFonts w:ascii="Times New Roman" w:hAnsi="Times New Roman" w:cs="Times New Roman"/>
            <w:sz w:val="24"/>
            <w:szCs w:val="24"/>
          </w:rPr>
          <w:t>https://www.inderscienceonline.com/doi/abs/10.1504/IJATM.2019.098507</w:t>
        </w:r>
      </w:hyperlink>
      <w:r w:rsidRPr="0060368B">
        <w:rPr>
          <w:rFonts w:ascii="Times New Roman" w:hAnsi="Times New Roman" w:cs="Times New Roman"/>
          <w:sz w:val="24"/>
          <w:szCs w:val="24"/>
        </w:rPr>
        <w:t xml:space="preserve"> [Accessed on 20.11. 2025].</w:t>
      </w:r>
    </w:p>
    <w:p w14:paraId="0B67C540"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BMW Group (2025). </w:t>
      </w:r>
      <w:r w:rsidRPr="0060368B">
        <w:rPr>
          <w:rFonts w:ascii="Times New Roman" w:hAnsi="Times New Roman" w:cs="Times New Roman"/>
          <w:i/>
          <w:iCs/>
          <w:sz w:val="24"/>
          <w:szCs w:val="24"/>
        </w:rPr>
        <w:t>BMW Group</w:t>
      </w:r>
      <w:r w:rsidRPr="0060368B">
        <w:rPr>
          <w:rFonts w:ascii="Times New Roman" w:hAnsi="Times New Roman" w:cs="Times New Roman"/>
          <w:sz w:val="24"/>
          <w:szCs w:val="24"/>
        </w:rPr>
        <w:t xml:space="preserve">. Bmwgroup.com. Available at: </w:t>
      </w:r>
      <w:hyperlink r:id="rId11" w:history="1">
        <w:r w:rsidRPr="0060368B">
          <w:rPr>
            <w:rStyle w:val="Hyperlink"/>
            <w:rFonts w:ascii="Times New Roman" w:hAnsi="Times New Roman" w:cs="Times New Roman"/>
            <w:sz w:val="24"/>
            <w:szCs w:val="24"/>
          </w:rPr>
          <w:t>https://www.bmwgroup.com/en.html</w:t>
        </w:r>
      </w:hyperlink>
      <w:r w:rsidRPr="0060368B">
        <w:rPr>
          <w:rFonts w:ascii="Times New Roman" w:hAnsi="Times New Roman" w:cs="Times New Roman"/>
          <w:sz w:val="24"/>
          <w:szCs w:val="24"/>
        </w:rPr>
        <w:t>.</w:t>
      </w:r>
      <w:r w:rsidRPr="007B7CB4">
        <w:t xml:space="preserve"> </w:t>
      </w:r>
      <w:r w:rsidRPr="0060368B">
        <w:rPr>
          <w:rFonts w:ascii="Times New Roman" w:hAnsi="Times New Roman" w:cs="Times New Roman"/>
          <w:sz w:val="24"/>
          <w:szCs w:val="24"/>
        </w:rPr>
        <w:t>[Accessed on 20.11. 2025].</w:t>
      </w:r>
    </w:p>
    <w:p w14:paraId="2706D728"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Buigues</w:t>
      </w:r>
      <w:proofErr w:type="spellEnd"/>
      <w:r w:rsidRPr="0060368B">
        <w:rPr>
          <w:rFonts w:ascii="Times New Roman" w:hAnsi="Times New Roman" w:cs="Times New Roman"/>
          <w:sz w:val="24"/>
          <w:szCs w:val="24"/>
        </w:rPr>
        <w:t>, P.A. and Lacoste, D., (2023). Technological knowledge intensity and entry modes in the European automotive industry. </w:t>
      </w:r>
      <w:r w:rsidRPr="0060368B">
        <w:rPr>
          <w:rFonts w:ascii="Times New Roman" w:hAnsi="Times New Roman" w:cs="Times New Roman"/>
          <w:i/>
          <w:iCs/>
          <w:sz w:val="24"/>
          <w:szCs w:val="24"/>
        </w:rPr>
        <w:t>European Journal of International Management</w:t>
      </w:r>
      <w:r w:rsidRPr="0060368B">
        <w:rPr>
          <w:rFonts w:ascii="Times New Roman" w:hAnsi="Times New Roman" w:cs="Times New Roman"/>
          <w:sz w:val="24"/>
          <w:szCs w:val="24"/>
        </w:rPr>
        <w:t>, </w:t>
      </w:r>
      <w:r w:rsidRPr="0060368B">
        <w:rPr>
          <w:rFonts w:ascii="Times New Roman" w:hAnsi="Times New Roman" w:cs="Times New Roman"/>
          <w:i/>
          <w:iCs/>
          <w:sz w:val="24"/>
          <w:szCs w:val="24"/>
        </w:rPr>
        <w:t>20</w:t>
      </w:r>
      <w:r w:rsidRPr="0060368B">
        <w:rPr>
          <w:rFonts w:ascii="Times New Roman" w:hAnsi="Times New Roman" w:cs="Times New Roman"/>
          <w:sz w:val="24"/>
          <w:szCs w:val="24"/>
        </w:rPr>
        <w:t>(3), pp.508-528.</w:t>
      </w:r>
      <w:r w:rsidRPr="007B7CB4">
        <w:t xml:space="preserve"> </w:t>
      </w:r>
      <w:r w:rsidRPr="0060368B">
        <w:rPr>
          <w:rFonts w:ascii="Times New Roman" w:hAnsi="Times New Roman" w:cs="Times New Roman"/>
          <w:sz w:val="24"/>
        </w:rPr>
        <w:t>Available at:</w:t>
      </w:r>
      <w:r w:rsidRPr="0060368B">
        <w:rPr>
          <w:sz w:val="24"/>
        </w:rPr>
        <w:t xml:space="preserve"> </w:t>
      </w:r>
      <w:hyperlink r:id="rId12" w:history="1">
        <w:r w:rsidRPr="0060368B">
          <w:rPr>
            <w:rStyle w:val="Hyperlink"/>
            <w:rFonts w:ascii="Times New Roman" w:hAnsi="Times New Roman" w:cs="Times New Roman"/>
            <w:sz w:val="24"/>
            <w:szCs w:val="24"/>
          </w:rPr>
          <w:t>https://www.inderscienceonline.com/doi/abs/10.1504/EJIM.2023.131703</w:t>
        </w:r>
      </w:hyperlink>
      <w:r w:rsidRPr="0060368B">
        <w:rPr>
          <w:rFonts w:ascii="Times New Roman" w:hAnsi="Times New Roman" w:cs="Times New Roman"/>
          <w:sz w:val="24"/>
          <w:szCs w:val="24"/>
        </w:rPr>
        <w:t xml:space="preserve"> [Accessed on 20.11. 2025].</w:t>
      </w:r>
    </w:p>
    <w:p w14:paraId="4C78E821"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Cai, Z., Wang, A., Zhang, W., </w:t>
      </w:r>
      <w:proofErr w:type="spellStart"/>
      <w:r w:rsidRPr="0060368B">
        <w:rPr>
          <w:rFonts w:ascii="Times New Roman" w:hAnsi="Times New Roman" w:cs="Times New Roman"/>
          <w:sz w:val="24"/>
          <w:szCs w:val="24"/>
        </w:rPr>
        <w:t>Gruffke</w:t>
      </w:r>
      <w:proofErr w:type="spellEnd"/>
      <w:r w:rsidRPr="0060368B">
        <w:rPr>
          <w:rFonts w:ascii="Times New Roman" w:hAnsi="Times New Roman" w:cs="Times New Roman"/>
          <w:sz w:val="24"/>
          <w:szCs w:val="24"/>
        </w:rPr>
        <w:t>, M. and Schweppe, H., (2019). 0-days &amp; mitigations: Roadways to exploit and secure connected BMW cars. </w:t>
      </w:r>
      <w:r w:rsidRPr="0060368B">
        <w:rPr>
          <w:rFonts w:ascii="Times New Roman" w:hAnsi="Times New Roman" w:cs="Times New Roman"/>
          <w:i/>
          <w:iCs/>
          <w:sz w:val="24"/>
          <w:szCs w:val="24"/>
        </w:rPr>
        <w:t>Black Hat USA</w:t>
      </w:r>
      <w:r w:rsidRPr="0060368B">
        <w:rPr>
          <w:rFonts w:ascii="Times New Roman" w:hAnsi="Times New Roman" w:cs="Times New Roman"/>
          <w:sz w:val="24"/>
          <w:szCs w:val="24"/>
        </w:rPr>
        <w:t>, </w:t>
      </w:r>
      <w:r w:rsidRPr="0060368B">
        <w:rPr>
          <w:rFonts w:ascii="Times New Roman" w:hAnsi="Times New Roman" w:cs="Times New Roman"/>
          <w:i/>
          <w:iCs/>
          <w:sz w:val="24"/>
          <w:szCs w:val="24"/>
        </w:rPr>
        <w:t>2019</w:t>
      </w:r>
      <w:r w:rsidRPr="0060368B">
        <w:rPr>
          <w:rFonts w:ascii="Times New Roman" w:hAnsi="Times New Roman" w:cs="Times New Roman"/>
          <w:sz w:val="24"/>
          <w:szCs w:val="24"/>
        </w:rPr>
        <w:t>(39), p.6.</w:t>
      </w:r>
      <w:r w:rsidRPr="00D6674B">
        <w:t xml:space="preserve"> </w:t>
      </w:r>
      <w:r w:rsidRPr="0060368B">
        <w:rPr>
          <w:rFonts w:ascii="Times New Roman" w:hAnsi="Times New Roman" w:cs="Times New Roman"/>
          <w:sz w:val="24"/>
        </w:rPr>
        <w:t>Available at:</w:t>
      </w:r>
      <w:r w:rsidRPr="0060368B">
        <w:rPr>
          <w:sz w:val="24"/>
        </w:rPr>
        <w:t xml:space="preserve"> </w:t>
      </w:r>
      <w:hyperlink r:id="rId13" w:history="1">
        <w:r w:rsidRPr="0060368B">
          <w:rPr>
            <w:rStyle w:val="Hyperlink"/>
            <w:rFonts w:ascii="Times New Roman" w:hAnsi="Times New Roman" w:cs="Times New Roman"/>
            <w:sz w:val="24"/>
            <w:szCs w:val="24"/>
          </w:rPr>
          <w:t>https://i.blackhat.com/USA-19/Thursday/us-19-Cai-0-Days-And-Mitigations-Roadways-To-Exploit-And-Secure-Connected-BMW-Cars-wp.pdf</w:t>
        </w:r>
      </w:hyperlink>
      <w:r w:rsidRPr="0060368B">
        <w:rPr>
          <w:rFonts w:ascii="Times New Roman" w:hAnsi="Times New Roman" w:cs="Times New Roman"/>
          <w:sz w:val="24"/>
          <w:szCs w:val="24"/>
        </w:rPr>
        <w:t xml:space="preserve"> [Accessed on 20.11. 2025].</w:t>
      </w:r>
    </w:p>
    <w:p w14:paraId="556E2895"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Chen, J., </w:t>
      </w:r>
      <w:proofErr w:type="spellStart"/>
      <w:r w:rsidRPr="0060368B">
        <w:rPr>
          <w:rFonts w:ascii="Times New Roman" w:hAnsi="Times New Roman" w:cs="Times New Roman"/>
          <w:sz w:val="24"/>
          <w:szCs w:val="24"/>
        </w:rPr>
        <w:t>Viardot</w:t>
      </w:r>
      <w:proofErr w:type="spellEnd"/>
      <w:r w:rsidRPr="0060368B">
        <w:rPr>
          <w:rFonts w:ascii="Times New Roman" w:hAnsi="Times New Roman" w:cs="Times New Roman"/>
          <w:sz w:val="24"/>
          <w:szCs w:val="24"/>
        </w:rPr>
        <w:t xml:space="preserve">, E. and </w:t>
      </w:r>
      <w:proofErr w:type="spellStart"/>
      <w:r w:rsidRPr="0060368B">
        <w:rPr>
          <w:rFonts w:ascii="Times New Roman" w:hAnsi="Times New Roman" w:cs="Times New Roman"/>
          <w:sz w:val="24"/>
          <w:szCs w:val="24"/>
        </w:rPr>
        <w:t>Brem</w:t>
      </w:r>
      <w:proofErr w:type="spellEnd"/>
      <w:r w:rsidRPr="0060368B">
        <w:rPr>
          <w:rFonts w:ascii="Times New Roman" w:hAnsi="Times New Roman" w:cs="Times New Roman"/>
          <w:sz w:val="24"/>
          <w:szCs w:val="24"/>
        </w:rPr>
        <w:t>, A., (2019). Innovation and innovation management. In </w:t>
      </w:r>
      <w:r w:rsidRPr="0060368B">
        <w:rPr>
          <w:rFonts w:ascii="Times New Roman" w:hAnsi="Times New Roman" w:cs="Times New Roman"/>
          <w:i/>
          <w:iCs/>
          <w:sz w:val="24"/>
          <w:szCs w:val="24"/>
        </w:rPr>
        <w:t>The Routledge companion to innovation management</w:t>
      </w:r>
      <w:r w:rsidRPr="0060368B">
        <w:rPr>
          <w:rFonts w:ascii="Times New Roman" w:hAnsi="Times New Roman" w:cs="Times New Roman"/>
          <w:sz w:val="24"/>
          <w:szCs w:val="24"/>
        </w:rPr>
        <w:t> (pp. 3-16). Routledge.</w:t>
      </w:r>
      <w:r w:rsidRPr="007B7CB4">
        <w:t xml:space="preserve"> </w:t>
      </w:r>
      <w:r w:rsidRPr="0060368B">
        <w:rPr>
          <w:rFonts w:ascii="Times New Roman" w:hAnsi="Times New Roman" w:cs="Times New Roman"/>
          <w:sz w:val="24"/>
        </w:rPr>
        <w:t>Available at:</w:t>
      </w:r>
      <w:r w:rsidRPr="0060368B">
        <w:rPr>
          <w:sz w:val="24"/>
        </w:rPr>
        <w:t xml:space="preserve"> </w:t>
      </w:r>
      <w:hyperlink r:id="rId14" w:history="1">
        <w:r w:rsidRPr="0060368B">
          <w:rPr>
            <w:rStyle w:val="Hyperlink"/>
            <w:rFonts w:ascii="Times New Roman" w:hAnsi="Times New Roman" w:cs="Times New Roman"/>
            <w:sz w:val="24"/>
            <w:szCs w:val="24"/>
          </w:rPr>
          <w:t>https://www.taylorfrancis.com/chapters/edit/10.4324/9781315276670-1/innovation-innovation-management-jin-chen-eric-viardot-alexander-brem</w:t>
        </w:r>
      </w:hyperlink>
      <w:r w:rsidRPr="0060368B">
        <w:rPr>
          <w:rFonts w:ascii="Times New Roman" w:hAnsi="Times New Roman" w:cs="Times New Roman"/>
          <w:sz w:val="24"/>
          <w:szCs w:val="24"/>
        </w:rPr>
        <w:t xml:space="preserve"> [Accessed on 20.11. 2025].</w:t>
      </w:r>
    </w:p>
    <w:p w14:paraId="7E17B9DC"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Cintra, R.S., Avila, L.V., </w:t>
      </w:r>
      <w:proofErr w:type="spellStart"/>
      <w:r w:rsidRPr="0060368B">
        <w:rPr>
          <w:rFonts w:ascii="Times New Roman" w:hAnsi="Times New Roman" w:cs="Times New Roman"/>
          <w:sz w:val="24"/>
          <w:szCs w:val="24"/>
        </w:rPr>
        <w:t>Schvartz</w:t>
      </w:r>
      <w:proofErr w:type="spellEnd"/>
      <w:r w:rsidRPr="0060368B">
        <w:rPr>
          <w:rFonts w:ascii="Times New Roman" w:hAnsi="Times New Roman" w:cs="Times New Roman"/>
          <w:sz w:val="24"/>
          <w:szCs w:val="24"/>
        </w:rPr>
        <w:t xml:space="preserve">, M.A., Filho, W.L., </w:t>
      </w:r>
      <w:proofErr w:type="spellStart"/>
      <w:r w:rsidRPr="0060368B">
        <w:rPr>
          <w:rFonts w:ascii="Times New Roman" w:hAnsi="Times New Roman" w:cs="Times New Roman"/>
          <w:sz w:val="24"/>
          <w:szCs w:val="24"/>
        </w:rPr>
        <w:t>Anholon</w:t>
      </w:r>
      <w:proofErr w:type="spellEnd"/>
      <w:r w:rsidRPr="0060368B">
        <w:rPr>
          <w:rFonts w:ascii="Times New Roman" w:hAnsi="Times New Roman" w:cs="Times New Roman"/>
          <w:sz w:val="24"/>
          <w:szCs w:val="24"/>
        </w:rPr>
        <w:t xml:space="preserve">, R., </w:t>
      </w:r>
      <w:proofErr w:type="spellStart"/>
      <w:r w:rsidRPr="0060368B">
        <w:rPr>
          <w:rFonts w:ascii="Times New Roman" w:hAnsi="Times New Roman" w:cs="Times New Roman"/>
          <w:sz w:val="24"/>
          <w:szCs w:val="24"/>
        </w:rPr>
        <w:t>Moraes</w:t>
      </w:r>
      <w:proofErr w:type="spellEnd"/>
      <w:r w:rsidRPr="0060368B">
        <w:rPr>
          <w:rFonts w:ascii="Times New Roman" w:hAnsi="Times New Roman" w:cs="Times New Roman"/>
          <w:sz w:val="24"/>
          <w:szCs w:val="24"/>
        </w:rPr>
        <w:t xml:space="preserve">, G.H.S.M.D., </w:t>
      </w:r>
      <w:proofErr w:type="spellStart"/>
      <w:r w:rsidRPr="0060368B">
        <w:rPr>
          <w:rFonts w:ascii="Times New Roman" w:hAnsi="Times New Roman" w:cs="Times New Roman"/>
          <w:sz w:val="24"/>
          <w:szCs w:val="24"/>
        </w:rPr>
        <w:t>Siluk</w:t>
      </w:r>
      <w:proofErr w:type="spellEnd"/>
      <w:r w:rsidRPr="0060368B">
        <w:rPr>
          <w:rFonts w:ascii="Times New Roman" w:hAnsi="Times New Roman" w:cs="Times New Roman"/>
          <w:sz w:val="24"/>
          <w:szCs w:val="24"/>
        </w:rPr>
        <w:t xml:space="preserve">, J.C.M., Lisboa, G.D.S. and Khaled, N.N.D., (2025). Analysis of the life cycle and circular economy strategies for batteries adopted by the main electric vehicle </w:t>
      </w:r>
      <w:r w:rsidRPr="0060368B">
        <w:rPr>
          <w:rFonts w:ascii="Times New Roman" w:hAnsi="Times New Roman" w:cs="Times New Roman"/>
          <w:sz w:val="24"/>
          <w:szCs w:val="24"/>
        </w:rPr>
        <w:lastRenderedPageBreak/>
        <w:t>manufacturers. </w:t>
      </w:r>
      <w:r w:rsidRPr="0060368B">
        <w:rPr>
          <w:rFonts w:ascii="Times New Roman" w:hAnsi="Times New Roman" w:cs="Times New Roman"/>
          <w:i/>
          <w:iCs/>
          <w:sz w:val="24"/>
          <w:szCs w:val="24"/>
        </w:rPr>
        <w:t>Sustainability</w:t>
      </w:r>
      <w:r w:rsidRPr="0060368B">
        <w:rPr>
          <w:rFonts w:ascii="Times New Roman" w:hAnsi="Times New Roman" w:cs="Times New Roman"/>
          <w:sz w:val="24"/>
          <w:szCs w:val="24"/>
        </w:rPr>
        <w:t>, </w:t>
      </w:r>
      <w:r w:rsidRPr="0060368B">
        <w:rPr>
          <w:rFonts w:ascii="Times New Roman" w:hAnsi="Times New Roman" w:cs="Times New Roman"/>
          <w:i/>
          <w:iCs/>
          <w:sz w:val="24"/>
          <w:szCs w:val="24"/>
        </w:rPr>
        <w:t>17</w:t>
      </w:r>
      <w:r w:rsidRPr="0060368B">
        <w:rPr>
          <w:rFonts w:ascii="Times New Roman" w:hAnsi="Times New Roman" w:cs="Times New Roman"/>
          <w:sz w:val="24"/>
          <w:szCs w:val="24"/>
        </w:rPr>
        <w:t>(8), p.3428.</w:t>
      </w:r>
      <w:r w:rsidRPr="0060368B">
        <w:rPr>
          <w:rFonts w:ascii="Times New Roman" w:hAnsi="Times New Roman" w:cs="Times New Roman"/>
          <w:sz w:val="24"/>
        </w:rPr>
        <w:t xml:space="preserve"> Available at:</w:t>
      </w:r>
      <w:r w:rsidRPr="0060368B">
        <w:rPr>
          <w:sz w:val="24"/>
        </w:rPr>
        <w:t xml:space="preserve"> </w:t>
      </w:r>
      <w:r w:rsidRPr="007B7CB4">
        <w:t xml:space="preserve"> </w:t>
      </w:r>
      <w:hyperlink r:id="rId15" w:history="1">
        <w:r w:rsidRPr="0060368B">
          <w:rPr>
            <w:rStyle w:val="Hyperlink"/>
            <w:rFonts w:ascii="Times New Roman" w:hAnsi="Times New Roman" w:cs="Times New Roman"/>
            <w:sz w:val="24"/>
            <w:szCs w:val="24"/>
          </w:rPr>
          <w:t>https://www.mdpi.com/2071-1050/17/8/3428</w:t>
        </w:r>
      </w:hyperlink>
      <w:r w:rsidRPr="0060368B">
        <w:rPr>
          <w:rFonts w:ascii="Times New Roman" w:hAnsi="Times New Roman" w:cs="Times New Roman"/>
          <w:sz w:val="24"/>
          <w:szCs w:val="24"/>
        </w:rPr>
        <w:t xml:space="preserve"> [Accessed on 20.11. 2025].</w:t>
      </w:r>
    </w:p>
    <w:p w14:paraId="6F42360A"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Dobrin, G.I., (2021). Analysis of risks and opportunities in the BMW Group. </w:t>
      </w:r>
      <w:r w:rsidRPr="0060368B">
        <w:rPr>
          <w:rFonts w:ascii="Times New Roman" w:hAnsi="Times New Roman" w:cs="Times New Roman"/>
          <w:i/>
          <w:iCs/>
          <w:sz w:val="24"/>
          <w:szCs w:val="24"/>
        </w:rPr>
        <w:t>Journal of Public Administration, Finance and Law</w:t>
      </w:r>
      <w:r w:rsidRPr="0060368B">
        <w:rPr>
          <w:rFonts w:ascii="Times New Roman" w:hAnsi="Times New Roman" w:cs="Times New Roman"/>
          <w:sz w:val="24"/>
          <w:szCs w:val="24"/>
        </w:rPr>
        <w:t>, </w:t>
      </w:r>
      <w:r w:rsidRPr="0060368B">
        <w:rPr>
          <w:rFonts w:ascii="Times New Roman" w:hAnsi="Times New Roman" w:cs="Times New Roman"/>
          <w:i/>
          <w:iCs/>
          <w:sz w:val="24"/>
          <w:szCs w:val="24"/>
        </w:rPr>
        <w:t>10</w:t>
      </w:r>
      <w:r w:rsidRPr="0060368B">
        <w:rPr>
          <w:rFonts w:ascii="Times New Roman" w:hAnsi="Times New Roman" w:cs="Times New Roman"/>
          <w:sz w:val="24"/>
          <w:szCs w:val="24"/>
        </w:rPr>
        <w:t>(22), pp.164-168.</w:t>
      </w:r>
      <w:r w:rsidRPr="00DF5D3B">
        <w:t xml:space="preserve"> </w:t>
      </w:r>
      <w:r w:rsidRPr="0060368B">
        <w:rPr>
          <w:rFonts w:ascii="Times New Roman" w:hAnsi="Times New Roman" w:cs="Times New Roman"/>
          <w:sz w:val="24"/>
        </w:rPr>
        <w:t>Available at:</w:t>
      </w:r>
      <w:r w:rsidRPr="0060368B">
        <w:rPr>
          <w:sz w:val="24"/>
        </w:rPr>
        <w:t xml:space="preserve"> </w:t>
      </w:r>
      <w:hyperlink r:id="rId16" w:history="1">
        <w:r w:rsidRPr="0060368B">
          <w:rPr>
            <w:rStyle w:val="Hyperlink"/>
            <w:rFonts w:ascii="Times New Roman" w:hAnsi="Times New Roman" w:cs="Times New Roman"/>
            <w:sz w:val="24"/>
            <w:szCs w:val="24"/>
          </w:rPr>
          <w:t>https://www.ceeol.com/search/article-detail?id=1073811</w:t>
        </w:r>
      </w:hyperlink>
      <w:r w:rsidRPr="0060368B">
        <w:rPr>
          <w:rFonts w:ascii="Times New Roman" w:hAnsi="Times New Roman" w:cs="Times New Roman"/>
          <w:sz w:val="24"/>
          <w:szCs w:val="24"/>
        </w:rPr>
        <w:t xml:space="preserve"> [Accessed on 20.11. 2025].</w:t>
      </w:r>
    </w:p>
    <w:p w14:paraId="5A2006E8"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Franke, J., </w:t>
      </w:r>
      <w:proofErr w:type="spellStart"/>
      <w:r w:rsidRPr="0060368B">
        <w:rPr>
          <w:rFonts w:ascii="Times New Roman" w:hAnsi="Times New Roman" w:cs="Times New Roman"/>
          <w:sz w:val="24"/>
          <w:szCs w:val="24"/>
        </w:rPr>
        <w:t>Wasserscheid</w:t>
      </w:r>
      <w:proofErr w:type="spellEnd"/>
      <w:r w:rsidRPr="0060368B">
        <w:rPr>
          <w:rFonts w:ascii="Times New Roman" w:hAnsi="Times New Roman" w:cs="Times New Roman"/>
          <w:sz w:val="24"/>
          <w:szCs w:val="24"/>
        </w:rPr>
        <w:t xml:space="preserve">, P., </w:t>
      </w:r>
      <w:proofErr w:type="spellStart"/>
      <w:r w:rsidRPr="0060368B">
        <w:rPr>
          <w:rFonts w:ascii="Times New Roman" w:hAnsi="Times New Roman" w:cs="Times New Roman"/>
          <w:sz w:val="24"/>
          <w:szCs w:val="24"/>
        </w:rPr>
        <w:t>Ihne</w:t>
      </w:r>
      <w:proofErr w:type="spellEnd"/>
      <w:r w:rsidRPr="0060368B">
        <w:rPr>
          <w:rFonts w:ascii="Times New Roman" w:hAnsi="Times New Roman" w:cs="Times New Roman"/>
          <w:sz w:val="24"/>
          <w:szCs w:val="24"/>
        </w:rPr>
        <w:t xml:space="preserve">, T., Lamp, P., </w:t>
      </w:r>
      <w:proofErr w:type="spellStart"/>
      <w:r w:rsidRPr="0060368B">
        <w:rPr>
          <w:rFonts w:ascii="Times New Roman" w:hAnsi="Times New Roman" w:cs="Times New Roman"/>
          <w:sz w:val="24"/>
          <w:szCs w:val="24"/>
        </w:rPr>
        <w:t>Guldner</w:t>
      </w:r>
      <w:proofErr w:type="spellEnd"/>
      <w:r w:rsidRPr="0060368B">
        <w:rPr>
          <w:rFonts w:ascii="Times New Roman" w:hAnsi="Times New Roman" w:cs="Times New Roman"/>
          <w:sz w:val="24"/>
          <w:szCs w:val="24"/>
        </w:rPr>
        <w:t xml:space="preserve">, J. and </w:t>
      </w:r>
      <w:proofErr w:type="spellStart"/>
      <w:r w:rsidRPr="0060368B">
        <w:rPr>
          <w:rFonts w:ascii="Times New Roman" w:hAnsi="Times New Roman" w:cs="Times New Roman"/>
          <w:sz w:val="24"/>
          <w:szCs w:val="24"/>
        </w:rPr>
        <w:t>Zipse</w:t>
      </w:r>
      <w:proofErr w:type="spellEnd"/>
      <w:r w:rsidRPr="0060368B">
        <w:rPr>
          <w:rFonts w:ascii="Times New Roman" w:hAnsi="Times New Roman" w:cs="Times New Roman"/>
          <w:sz w:val="24"/>
          <w:szCs w:val="24"/>
        </w:rPr>
        <w:t>, O., (2023). The Power of Technological Innovation: Driving Sustainable Mobility. In </w:t>
      </w:r>
      <w:r w:rsidRPr="0060368B">
        <w:rPr>
          <w:rFonts w:ascii="Times New Roman" w:hAnsi="Times New Roman" w:cs="Times New Roman"/>
          <w:i/>
          <w:iCs/>
          <w:sz w:val="24"/>
          <w:szCs w:val="24"/>
        </w:rPr>
        <w:t>Road to net zero: strategic pathways for sustainability-driven business transformation</w:t>
      </w:r>
      <w:r w:rsidRPr="0060368B">
        <w:rPr>
          <w:rFonts w:ascii="Times New Roman" w:hAnsi="Times New Roman" w:cs="Times New Roman"/>
          <w:sz w:val="24"/>
          <w:szCs w:val="24"/>
        </w:rPr>
        <w:t> (pp. 215-264). Cham: Springer International Publishing.</w:t>
      </w:r>
      <w:r w:rsidRPr="007B7CB4">
        <w:t xml:space="preserve"> </w:t>
      </w:r>
      <w:r w:rsidRPr="0060368B">
        <w:rPr>
          <w:rFonts w:ascii="Times New Roman" w:hAnsi="Times New Roman" w:cs="Times New Roman"/>
          <w:sz w:val="24"/>
        </w:rPr>
        <w:t>Available at:</w:t>
      </w:r>
      <w:r w:rsidRPr="0060368B">
        <w:rPr>
          <w:sz w:val="24"/>
        </w:rPr>
        <w:t xml:space="preserve"> </w:t>
      </w:r>
      <w:hyperlink r:id="rId17" w:history="1">
        <w:r w:rsidRPr="0060368B">
          <w:rPr>
            <w:rStyle w:val="Hyperlink"/>
            <w:rFonts w:ascii="Times New Roman" w:hAnsi="Times New Roman" w:cs="Times New Roman"/>
            <w:sz w:val="24"/>
            <w:szCs w:val="24"/>
          </w:rPr>
          <w:t>https://link.springer.com/chapter/10.1007/978-3-031-42224-9_8</w:t>
        </w:r>
      </w:hyperlink>
      <w:r w:rsidRPr="0060368B">
        <w:rPr>
          <w:rFonts w:ascii="Times New Roman" w:hAnsi="Times New Roman" w:cs="Times New Roman"/>
          <w:sz w:val="24"/>
          <w:szCs w:val="24"/>
        </w:rPr>
        <w:t xml:space="preserve"> [Accessed on 20.11. 2025].</w:t>
      </w:r>
    </w:p>
    <w:p w14:paraId="19B5D411"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Furr, N., </w:t>
      </w:r>
      <w:proofErr w:type="spellStart"/>
      <w:r w:rsidRPr="0060368B">
        <w:rPr>
          <w:rFonts w:ascii="Times New Roman" w:hAnsi="Times New Roman" w:cs="Times New Roman"/>
          <w:sz w:val="24"/>
          <w:szCs w:val="24"/>
        </w:rPr>
        <w:t>Ozcan</w:t>
      </w:r>
      <w:proofErr w:type="spellEnd"/>
      <w:r w:rsidRPr="0060368B">
        <w:rPr>
          <w:rFonts w:ascii="Times New Roman" w:hAnsi="Times New Roman" w:cs="Times New Roman"/>
          <w:sz w:val="24"/>
          <w:szCs w:val="24"/>
        </w:rPr>
        <w:t>, P. and Eisenhardt, K.M., (2022). What is digital transformation? Core tensions facing established companies on the global stage. </w:t>
      </w:r>
      <w:r w:rsidRPr="0060368B">
        <w:rPr>
          <w:rFonts w:ascii="Times New Roman" w:hAnsi="Times New Roman" w:cs="Times New Roman"/>
          <w:i/>
          <w:iCs/>
          <w:sz w:val="24"/>
          <w:szCs w:val="24"/>
        </w:rPr>
        <w:t>Global Strategy Journal</w:t>
      </w:r>
      <w:r w:rsidRPr="0060368B">
        <w:rPr>
          <w:rFonts w:ascii="Times New Roman" w:hAnsi="Times New Roman" w:cs="Times New Roman"/>
          <w:sz w:val="24"/>
          <w:szCs w:val="24"/>
        </w:rPr>
        <w:t>, </w:t>
      </w:r>
      <w:r w:rsidRPr="0060368B">
        <w:rPr>
          <w:rFonts w:ascii="Times New Roman" w:hAnsi="Times New Roman" w:cs="Times New Roman"/>
          <w:i/>
          <w:iCs/>
          <w:sz w:val="24"/>
          <w:szCs w:val="24"/>
        </w:rPr>
        <w:t>12</w:t>
      </w:r>
      <w:r w:rsidRPr="0060368B">
        <w:rPr>
          <w:rFonts w:ascii="Times New Roman" w:hAnsi="Times New Roman" w:cs="Times New Roman"/>
          <w:sz w:val="24"/>
          <w:szCs w:val="24"/>
        </w:rPr>
        <w:t>(4), pp.595-618.</w:t>
      </w:r>
      <w:r w:rsidRPr="0060368B">
        <w:rPr>
          <w:rFonts w:ascii="Times New Roman" w:hAnsi="Times New Roman" w:cs="Times New Roman"/>
          <w:sz w:val="24"/>
        </w:rPr>
        <w:t xml:space="preserve"> Available at:</w:t>
      </w:r>
      <w:r w:rsidRPr="0060368B">
        <w:rPr>
          <w:sz w:val="24"/>
        </w:rPr>
        <w:t xml:space="preserve"> </w:t>
      </w:r>
      <w:r w:rsidRPr="00D6674B">
        <w:t xml:space="preserve"> </w:t>
      </w:r>
      <w:hyperlink r:id="rId18" w:history="1">
        <w:r w:rsidRPr="0060368B">
          <w:rPr>
            <w:rStyle w:val="Hyperlink"/>
            <w:rFonts w:ascii="Times New Roman" w:hAnsi="Times New Roman" w:cs="Times New Roman"/>
            <w:sz w:val="24"/>
            <w:szCs w:val="24"/>
          </w:rPr>
          <w:t>https://sms.onlinelibrary.wiley.com/doi/full/10.1002/gsj.1442</w:t>
        </w:r>
      </w:hyperlink>
      <w:r w:rsidRPr="0060368B">
        <w:rPr>
          <w:rFonts w:ascii="Times New Roman" w:hAnsi="Times New Roman" w:cs="Times New Roman"/>
          <w:sz w:val="24"/>
          <w:szCs w:val="24"/>
        </w:rPr>
        <w:t xml:space="preserve"> [Accessed on 20.11. 2025].</w:t>
      </w:r>
    </w:p>
    <w:p w14:paraId="6F954539"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Genzlinger</w:t>
      </w:r>
      <w:proofErr w:type="spellEnd"/>
      <w:r w:rsidRPr="0060368B">
        <w:rPr>
          <w:rFonts w:ascii="Times New Roman" w:hAnsi="Times New Roman" w:cs="Times New Roman"/>
          <w:sz w:val="24"/>
          <w:szCs w:val="24"/>
        </w:rPr>
        <w:t xml:space="preserve">, F., </w:t>
      </w:r>
      <w:proofErr w:type="spellStart"/>
      <w:r w:rsidRPr="0060368B">
        <w:rPr>
          <w:rFonts w:ascii="Times New Roman" w:hAnsi="Times New Roman" w:cs="Times New Roman"/>
          <w:sz w:val="24"/>
          <w:szCs w:val="24"/>
        </w:rPr>
        <w:t>Zejnilovic</w:t>
      </w:r>
      <w:proofErr w:type="spellEnd"/>
      <w:r w:rsidRPr="0060368B">
        <w:rPr>
          <w:rFonts w:ascii="Times New Roman" w:hAnsi="Times New Roman" w:cs="Times New Roman"/>
          <w:sz w:val="24"/>
          <w:szCs w:val="24"/>
        </w:rPr>
        <w:t xml:space="preserve">, L. and </w:t>
      </w:r>
      <w:proofErr w:type="spellStart"/>
      <w:r w:rsidRPr="0060368B">
        <w:rPr>
          <w:rFonts w:ascii="Times New Roman" w:hAnsi="Times New Roman" w:cs="Times New Roman"/>
          <w:sz w:val="24"/>
          <w:szCs w:val="24"/>
        </w:rPr>
        <w:t>Bustinza</w:t>
      </w:r>
      <w:proofErr w:type="spellEnd"/>
      <w:r w:rsidRPr="0060368B">
        <w:rPr>
          <w:rFonts w:ascii="Times New Roman" w:hAnsi="Times New Roman" w:cs="Times New Roman"/>
          <w:sz w:val="24"/>
          <w:szCs w:val="24"/>
        </w:rPr>
        <w:t xml:space="preserve">, O.F., (2020). </w:t>
      </w:r>
      <w:proofErr w:type="spellStart"/>
      <w:r w:rsidRPr="0060368B">
        <w:rPr>
          <w:rFonts w:ascii="Times New Roman" w:hAnsi="Times New Roman" w:cs="Times New Roman"/>
          <w:sz w:val="24"/>
          <w:szCs w:val="24"/>
        </w:rPr>
        <w:t>Servitization</w:t>
      </w:r>
      <w:proofErr w:type="spellEnd"/>
      <w:r w:rsidRPr="0060368B">
        <w:rPr>
          <w:rFonts w:ascii="Times New Roman" w:hAnsi="Times New Roman" w:cs="Times New Roman"/>
          <w:sz w:val="24"/>
          <w:szCs w:val="24"/>
        </w:rPr>
        <w:t xml:space="preserve"> in the automotive industry: How car manufacturers become mobility service providers. </w:t>
      </w:r>
      <w:r w:rsidRPr="0060368B">
        <w:rPr>
          <w:rFonts w:ascii="Times New Roman" w:hAnsi="Times New Roman" w:cs="Times New Roman"/>
          <w:i/>
          <w:iCs/>
          <w:sz w:val="24"/>
          <w:szCs w:val="24"/>
        </w:rPr>
        <w:t>Strategic Change</w:t>
      </w:r>
      <w:r w:rsidRPr="0060368B">
        <w:rPr>
          <w:rFonts w:ascii="Times New Roman" w:hAnsi="Times New Roman" w:cs="Times New Roman"/>
          <w:sz w:val="24"/>
          <w:szCs w:val="24"/>
        </w:rPr>
        <w:t>, </w:t>
      </w:r>
      <w:r w:rsidRPr="0060368B">
        <w:rPr>
          <w:rFonts w:ascii="Times New Roman" w:hAnsi="Times New Roman" w:cs="Times New Roman"/>
          <w:i/>
          <w:iCs/>
          <w:sz w:val="24"/>
          <w:szCs w:val="24"/>
        </w:rPr>
        <w:t>29</w:t>
      </w:r>
      <w:r w:rsidRPr="0060368B">
        <w:rPr>
          <w:rFonts w:ascii="Times New Roman" w:hAnsi="Times New Roman" w:cs="Times New Roman"/>
          <w:sz w:val="24"/>
          <w:szCs w:val="24"/>
        </w:rPr>
        <w:t>(2), pp.215-226.</w:t>
      </w:r>
      <w:r w:rsidRPr="00D6674B">
        <w:t xml:space="preserve"> </w:t>
      </w:r>
      <w:r w:rsidRPr="0060368B">
        <w:rPr>
          <w:rFonts w:ascii="Times New Roman" w:hAnsi="Times New Roman" w:cs="Times New Roman"/>
          <w:sz w:val="24"/>
        </w:rPr>
        <w:t>Available at:</w:t>
      </w:r>
      <w:r w:rsidRPr="0060368B">
        <w:rPr>
          <w:sz w:val="24"/>
        </w:rPr>
        <w:t xml:space="preserve"> </w:t>
      </w:r>
      <w:hyperlink r:id="rId19" w:history="1">
        <w:r w:rsidRPr="0060368B">
          <w:rPr>
            <w:rStyle w:val="Hyperlink"/>
            <w:rFonts w:ascii="Times New Roman" w:hAnsi="Times New Roman" w:cs="Times New Roman"/>
            <w:sz w:val="24"/>
            <w:szCs w:val="24"/>
          </w:rPr>
          <w:t>https://onlinelibrary.wiley.com/doi/abs/10.1002/jsc.2322</w:t>
        </w:r>
      </w:hyperlink>
      <w:r w:rsidRPr="0060368B">
        <w:rPr>
          <w:rFonts w:ascii="Times New Roman" w:hAnsi="Times New Roman" w:cs="Times New Roman"/>
          <w:sz w:val="24"/>
          <w:szCs w:val="24"/>
        </w:rPr>
        <w:t xml:space="preserve"> [Accessed on 20.11. 2025].</w:t>
      </w:r>
    </w:p>
    <w:p w14:paraId="4C8D8CA0"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Gomez, R., (2024). Driving sustainability and innovation through design: The BMW Group+ QUT design academy. In </w:t>
      </w:r>
      <w:r w:rsidRPr="0060368B">
        <w:rPr>
          <w:rFonts w:ascii="Times New Roman" w:hAnsi="Times New Roman" w:cs="Times New Roman"/>
          <w:i/>
          <w:iCs/>
          <w:sz w:val="24"/>
          <w:szCs w:val="24"/>
        </w:rPr>
        <w:t>Research Journeys to Net Zero</w:t>
      </w:r>
      <w:r w:rsidRPr="0060368B">
        <w:rPr>
          <w:rFonts w:ascii="Times New Roman" w:hAnsi="Times New Roman" w:cs="Times New Roman"/>
          <w:sz w:val="24"/>
          <w:szCs w:val="24"/>
        </w:rPr>
        <w:t> (pp. 43-56). Routledge.</w:t>
      </w:r>
      <w:r w:rsidRPr="00D6674B">
        <w:t xml:space="preserve"> </w:t>
      </w:r>
      <w:r w:rsidRPr="0060368B">
        <w:rPr>
          <w:rFonts w:ascii="Times New Roman" w:hAnsi="Times New Roman" w:cs="Times New Roman"/>
          <w:sz w:val="24"/>
        </w:rPr>
        <w:t>Available at:</w:t>
      </w:r>
      <w:r w:rsidRPr="0060368B">
        <w:rPr>
          <w:sz w:val="24"/>
        </w:rPr>
        <w:t xml:space="preserve"> </w:t>
      </w:r>
      <w:hyperlink r:id="rId20" w:anchor="page=68" w:history="1">
        <w:r w:rsidRPr="0060368B">
          <w:rPr>
            <w:rStyle w:val="Hyperlink"/>
            <w:rFonts w:ascii="Times New Roman" w:hAnsi="Times New Roman" w:cs="Times New Roman"/>
            <w:sz w:val="24"/>
            <w:szCs w:val="24"/>
          </w:rPr>
          <w:t>https://library.oapen.org/bitstream/handle/20.500.12657/88074/9781040014530.pdf?sequence=1#page=68</w:t>
        </w:r>
      </w:hyperlink>
      <w:r w:rsidRPr="0060368B">
        <w:rPr>
          <w:rFonts w:ascii="Times New Roman" w:hAnsi="Times New Roman" w:cs="Times New Roman"/>
          <w:sz w:val="24"/>
          <w:szCs w:val="24"/>
        </w:rPr>
        <w:t xml:space="preserve"> [Accessed on 20.11. 2025].</w:t>
      </w:r>
    </w:p>
    <w:p w14:paraId="6D58A5C5"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Gutmann, T., (2019). Harmonizing corporate venturing modes: an integrative review and research agenda. </w:t>
      </w:r>
      <w:r w:rsidRPr="0060368B">
        <w:rPr>
          <w:rFonts w:ascii="Times New Roman" w:hAnsi="Times New Roman" w:cs="Times New Roman"/>
          <w:i/>
          <w:iCs/>
          <w:sz w:val="24"/>
          <w:szCs w:val="24"/>
        </w:rPr>
        <w:t>Management Review Quarterly</w:t>
      </w:r>
      <w:r w:rsidRPr="0060368B">
        <w:rPr>
          <w:rFonts w:ascii="Times New Roman" w:hAnsi="Times New Roman" w:cs="Times New Roman"/>
          <w:sz w:val="24"/>
          <w:szCs w:val="24"/>
        </w:rPr>
        <w:t>, </w:t>
      </w:r>
      <w:r w:rsidRPr="0060368B">
        <w:rPr>
          <w:rFonts w:ascii="Times New Roman" w:hAnsi="Times New Roman" w:cs="Times New Roman"/>
          <w:i/>
          <w:iCs/>
          <w:sz w:val="24"/>
          <w:szCs w:val="24"/>
        </w:rPr>
        <w:t>69</w:t>
      </w:r>
      <w:r w:rsidRPr="0060368B">
        <w:rPr>
          <w:rFonts w:ascii="Times New Roman" w:hAnsi="Times New Roman" w:cs="Times New Roman"/>
          <w:sz w:val="24"/>
          <w:szCs w:val="24"/>
        </w:rPr>
        <w:t>(2), pp.121-157.</w:t>
      </w:r>
      <w:r w:rsidRPr="007B7CB4">
        <w:t xml:space="preserve"> </w:t>
      </w:r>
      <w:r w:rsidRPr="0060368B">
        <w:rPr>
          <w:rFonts w:ascii="Times New Roman" w:hAnsi="Times New Roman" w:cs="Times New Roman"/>
          <w:sz w:val="24"/>
        </w:rPr>
        <w:t>Available at:</w:t>
      </w:r>
      <w:r w:rsidRPr="0060368B">
        <w:rPr>
          <w:sz w:val="24"/>
        </w:rPr>
        <w:t xml:space="preserve"> </w:t>
      </w:r>
      <w:hyperlink r:id="rId21" w:history="1">
        <w:r w:rsidRPr="0060368B">
          <w:rPr>
            <w:rStyle w:val="Hyperlink"/>
            <w:rFonts w:ascii="Times New Roman" w:hAnsi="Times New Roman" w:cs="Times New Roman"/>
            <w:sz w:val="24"/>
            <w:szCs w:val="24"/>
          </w:rPr>
          <w:t>https://link.springer.com/article/10.1007/s11301-018-0148-4</w:t>
        </w:r>
      </w:hyperlink>
      <w:r w:rsidRPr="0060368B">
        <w:rPr>
          <w:rFonts w:ascii="Times New Roman" w:hAnsi="Times New Roman" w:cs="Times New Roman"/>
          <w:sz w:val="24"/>
          <w:szCs w:val="24"/>
        </w:rPr>
        <w:t xml:space="preserve"> [Accessed on 20.11. 2025].</w:t>
      </w:r>
    </w:p>
    <w:p w14:paraId="7CDC79FD"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Helmold</w:t>
      </w:r>
      <w:proofErr w:type="spellEnd"/>
      <w:r w:rsidRPr="0060368B">
        <w:rPr>
          <w:rFonts w:ascii="Times New Roman" w:hAnsi="Times New Roman" w:cs="Times New Roman"/>
          <w:sz w:val="24"/>
          <w:szCs w:val="24"/>
        </w:rPr>
        <w:t>, M., (2021). New work in the automotive industry. In </w:t>
      </w:r>
      <w:r w:rsidRPr="0060368B">
        <w:rPr>
          <w:rFonts w:ascii="Times New Roman" w:hAnsi="Times New Roman" w:cs="Times New Roman"/>
          <w:i/>
          <w:iCs/>
          <w:sz w:val="24"/>
          <w:szCs w:val="24"/>
        </w:rPr>
        <w:t>New Work, Transformational and Virtual Leadership: Lessons from COVID-19 and Other Crises</w:t>
      </w:r>
      <w:r w:rsidRPr="0060368B">
        <w:rPr>
          <w:rFonts w:ascii="Times New Roman" w:hAnsi="Times New Roman" w:cs="Times New Roman"/>
          <w:sz w:val="24"/>
          <w:szCs w:val="24"/>
        </w:rPr>
        <w:t> (pp. 157-169). Cham: Springer International Publishing.</w:t>
      </w:r>
      <w:r w:rsidRPr="00D6674B">
        <w:t xml:space="preserve"> </w:t>
      </w:r>
      <w:r w:rsidRPr="0060368B">
        <w:rPr>
          <w:rFonts w:ascii="Times New Roman" w:hAnsi="Times New Roman" w:cs="Times New Roman"/>
          <w:sz w:val="24"/>
        </w:rPr>
        <w:t>Available at:</w:t>
      </w:r>
      <w:r w:rsidRPr="0060368B">
        <w:rPr>
          <w:sz w:val="24"/>
        </w:rPr>
        <w:t xml:space="preserve"> </w:t>
      </w:r>
      <w:hyperlink r:id="rId22" w:history="1">
        <w:r w:rsidRPr="0060368B">
          <w:rPr>
            <w:rStyle w:val="Hyperlink"/>
            <w:rFonts w:ascii="Times New Roman" w:hAnsi="Times New Roman" w:cs="Times New Roman"/>
            <w:sz w:val="24"/>
            <w:szCs w:val="24"/>
          </w:rPr>
          <w:t>https://link.springer.com/chapter/10.1007/978-3-030-63315-8_15</w:t>
        </w:r>
      </w:hyperlink>
      <w:r w:rsidRPr="0060368B">
        <w:rPr>
          <w:rFonts w:ascii="Times New Roman" w:hAnsi="Times New Roman" w:cs="Times New Roman"/>
          <w:sz w:val="24"/>
          <w:szCs w:val="24"/>
        </w:rPr>
        <w:t xml:space="preserve"> [Accessed on 20.11. 2025].</w:t>
      </w:r>
    </w:p>
    <w:p w14:paraId="3140CFAE"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lastRenderedPageBreak/>
        <w:t xml:space="preserve">Hinrichs, M. and </w:t>
      </w:r>
      <w:proofErr w:type="spellStart"/>
      <w:r w:rsidRPr="0060368B">
        <w:rPr>
          <w:rFonts w:ascii="Times New Roman" w:hAnsi="Times New Roman" w:cs="Times New Roman"/>
          <w:sz w:val="24"/>
          <w:szCs w:val="24"/>
        </w:rPr>
        <w:t>Prifti</w:t>
      </w:r>
      <w:proofErr w:type="spellEnd"/>
      <w:r w:rsidRPr="0060368B">
        <w:rPr>
          <w:rFonts w:ascii="Times New Roman" w:hAnsi="Times New Roman" w:cs="Times New Roman"/>
          <w:sz w:val="24"/>
          <w:szCs w:val="24"/>
        </w:rPr>
        <w:t>, L., (2022), June. Visualizing maintenance data to support decisions on strategic maintenance planning. In </w:t>
      </w:r>
      <w:r w:rsidRPr="0060368B">
        <w:rPr>
          <w:rFonts w:ascii="Times New Roman" w:hAnsi="Times New Roman" w:cs="Times New Roman"/>
          <w:i/>
          <w:iCs/>
          <w:sz w:val="24"/>
          <w:szCs w:val="24"/>
        </w:rPr>
        <w:t xml:space="preserve">Proceedings of the 15th International Conference on </w:t>
      </w:r>
      <w:proofErr w:type="spellStart"/>
      <w:r w:rsidRPr="0060368B">
        <w:rPr>
          <w:rFonts w:ascii="Times New Roman" w:hAnsi="Times New Roman" w:cs="Times New Roman"/>
          <w:i/>
          <w:iCs/>
          <w:sz w:val="24"/>
          <w:szCs w:val="24"/>
        </w:rPr>
        <w:t>PErvasive</w:t>
      </w:r>
      <w:proofErr w:type="spellEnd"/>
      <w:r w:rsidRPr="0060368B">
        <w:rPr>
          <w:rFonts w:ascii="Times New Roman" w:hAnsi="Times New Roman" w:cs="Times New Roman"/>
          <w:i/>
          <w:iCs/>
          <w:sz w:val="24"/>
          <w:szCs w:val="24"/>
        </w:rPr>
        <w:t xml:space="preserve"> Technologies Related to Assistive Environments</w:t>
      </w:r>
      <w:r w:rsidRPr="0060368B">
        <w:rPr>
          <w:rFonts w:ascii="Times New Roman" w:hAnsi="Times New Roman" w:cs="Times New Roman"/>
          <w:sz w:val="24"/>
          <w:szCs w:val="24"/>
        </w:rPr>
        <w:t> (pp. 473-479).</w:t>
      </w:r>
      <w:r w:rsidRPr="0060368B">
        <w:rPr>
          <w:rFonts w:ascii="Times New Roman" w:hAnsi="Times New Roman" w:cs="Times New Roman"/>
          <w:sz w:val="24"/>
        </w:rPr>
        <w:t xml:space="preserve"> Available at:</w:t>
      </w:r>
      <w:r w:rsidRPr="0060368B">
        <w:rPr>
          <w:sz w:val="24"/>
        </w:rPr>
        <w:t xml:space="preserve"> </w:t>
      </w:r>
      <w:r w:rsidRPr="00D6674B">
        <w:t xml:space="preserve"> </w:t>
      </w:r>
      <w:hyperlink r:id="rId23" w:history="1">
        <w:r w:rsidRPr="0060368B">
          <w:rPr>
            <w:rStyle w:val="Hyperlink"/>
            <w:rFonts w:ascii="Times New Roman" w:hAnsi="Times New Roman" w:cs="Times New Roman"/>
            <w:sz w:val="24"/>
            <w:szCs w:val="24"/>
          </w:rPr>
          <w:t>https://dl.acm.org/doi/abs/10.1145/3529190.3534725</w:t>
        </w:r>
      </w:hyperlink>
      <w:r w:rsidRPr="0060368B">
        <w:rPr>
          <w:rFonts w:ascii="Times New Roman" w:hAnsi="Times New Roman" w:cs="Times New Roman"/>
          <w:sz w:val="24"/>
          <w:szCs w:val="24"/>
        </w:rPr>
        <w:t xml:space="preserve"> [Accessed on 20.11. 2025].</w:t>
      </w:r>
    </w:p>
    <w:p w14:paraId="1E6C07ED"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Kasych</w:t>
      </w:r>
      <w:proofErr w:type="spellEnd"/>
      <w:r w:rsidRPr="0060368B">
        <w:rPr>
          <w:rFonts w:ascii="Times New Roman" w:hAnsi="Times New Roman" w:cs="Times New Roman"/>
          <w:sz w:val="24"/>
          <w:szCs w:val="24"/>
        </w:rPr>
        <w:t>, A., (2019). Effectiveness of the companies participating in international strategic alliances: methodological and analytical aspects. </w:t>
      </w:r>
      <w:proofErr w:type="spellStart"/>
      <w:r w:rsidRPr="0060368B">
        <w:rPr>
          <w:rFonts w:ascii="Times New Roman" w:hAnsi="Times New Roman" w:cs="Times New Roman"/>
          <w:i/>
          <w:iCs/>
          <w:sz w:val="24"/>
          <w:szCs w:val="24"/>
        </w:rPr>
        <w:t>Littera</w:t>
      </w:r>
      <w:proofErr w:type="spellEnd"/>
      <w:r w:rsidRPr="0060368B">
        <w:rPr>
          <w:rFonts w:ascii="Times New Roman" w:hAnsi="Times New Roman" w:cs="Times New Roman"/>
          <w:i/>
          <w:iCs/>
          <w:sz w:val="24"/>
          <w:szCs w:val="24"/>
        </w:rPr>
        <w:t xml:space="preserve"> Scripta</w:t>
      </w:r>
      <w:r w:rsidRPr="0060368B">
        <w:rPr>
          <w:rFonts w:ascii="Times New Roman" w:hAnsi="Times New Roman" w:cs="Times New Roman"/>
          <w:sz w:val="24"/>
          <w:szCs w:val="24"/>
        </w:rPr>
        <w:t>, </w:t>
      </w:r>
      <w:r w:rsidRPr="0060368B">
        <w:rPr>
          <w:rFonts w:ascii="Times New Roman" w:hAnsi="Times New Roman" w:cs="Times New Roman"/>
          <w:i/>
          <w:iCs/>
          <w:sz w:val="24"/>
          <w:szCs w:val="24"/>
        </w:rPr>
        <w:t>12</w:t>
      </w:r>
      <w:r w:rsidRPr="0060368B">
        <w:rPr>
          <w:rFonts w:ascii="Times New Roman" w:hAnsi="Times New Roman" w:cs="Times New Roman"/>
          <w:sz w:val="24"/>
          <w:szCs w:val="24"/>
        </w:rPr>
        <w:t>(1), pp.43-61.</w:t>
      </w:r>
      <w:r w:rsidRPr="0060368B">
        <w:rPr>
          <w:rFonts w:ascii="Times New Roman" w:hAnsi="Times New Roman" w:cs="Times New Roman"/>
          <w:sz w:val="24"/>
        </w:rPr>
        <w:t xml:space="preserve"> Available at:</w:t>
      </w:r>
      <w:r w:rsidRPr="0060368B">
        <w:rPr>
          <w:sz w:val="24"/>
        </w:rPr>
        <w:t xml:space="preserve"> </w:t>
      </w:r>
      <w:r w:rsidRPr="00D6674B">
        <w:t xml:space="preserve"> </w:t>
      </w:r>
      <w:hyperlink r:id="rId24" w:anchor="page=43" w:history="1">
        <w:r w:rsidRPr="0060368B">
          <w:rPr>
            <w:rStyle w:val="Hyperlink"/>
            <w:rFonts w:ascii="Times New Roman" w:hAnsi="Times New Roman" w:cs="Times New Roman"/>
            <w:sz w:val="24"/>
            <w:szCs w:val="24"/>
          </w:rPr>
          <w:t>https://littera-scripta.com/wp-content/uploads/2019/08/Cel%C3%A9-%C4%8D%C3%ADslo-titulka.pdf#page=43</w:t>
        </w:r>
      </w:hyperlink>
      <w:r w:rsidRPr="0060368B">
        <w:rPr>
          <w:rFonts w:ascii="Times New Roman" w:hAnsi="Times New Roman" w:cs="Times New Roman"/>
          <w:sz w:val="24"/>
          <w:szCs w:val="24"/>
        </w:rPr>
        <w:t xml:space="preserve"> [Accessed on 20.11. 2025].</w:t>
      </w:r>
    </w:p>
    <w:p w14:paraId="3178CE0A"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Kukkamalla</w:t>
      </w:r>
      <w:proofErr w:type="spellEnd"/>
      <w:r w:rsidRPr="0060368B">
        <w:rPr>
          <w:rFonts w:ascii="Times New Roman" w:hAnsi="Times New Roman" w:cs="Times New Roman"/>
          <w:sz w:val="24"/>
          <w:szCs w:val="24"/>
        </w:rPr>
        <w:t xml:space="preserve">, P.K., </w:t>
      </w:r>
      <w:proofErr w:type="spellStart"/>
      <w:r w:rsidRPr="0060368B">
        <w:rPr>
          <w:rFonts w:ascii="Times New Roman" w:hAnsi="Times New Roman" w:cs="Times New Roman"/>
          <w:sz w:val="24"/>
          <w:szCs w:val="24"/>
        </w:rPr>
        <w:t>Bikfalvi</w:t>
      </w:r>
      <w:proofErr w:type="spellEnd"/>
      <w:r w:rsidRPr="0060368B">
        <w:rPr>
          <w:rFonts w:ascii="Times New Roman" w:hAnsi="Times New Roman" w:cs="Times New Roman"/>
          <w:sz w:val="24"/>
          <w:szCs w:val="24"/>
        </w:rPr>
        <w:t xml:space="preserve">, A. and </w:t>
      </w:r>
      <w:proofErr w:type="spellStart"/>
      <w:r w:rsidRPr="0060368B">
        <w:rPr>
          <w:rFonts w:ascii="Times New Roman" w:hAnsi="Times New Roman" w:cs="Times New Roman"/>
          <w:sz w:val="24"/>
          <w:szCs w:val="24"/>
        </w:rPr>
        <w:t>Arbussa</w:t>
      </w:r>
      <w:proofErr w:type="spellEnd"/>
      <w:r w:rsidRPr="0060368B">
        <w:rPr>
          <w:rFonts w:ascii="Times New Roman" w:hAnsi="Times New Roman" w:cs="Times New Roman"/>
          <w:sz w:val="24"/>
          <w:szCs w:val="24"/>
        </w:rPr>
        <w:t>, A., (2021). Collaborative partnerships in the automotive industry: key motives and resource integration strategy. </w:t>
      </w:r>
      <w:r w:rsidRPr="0060368B">
        <w:rPr>
          <w:rFonts w:ascii="Times New Roman" w:hAnsi="Times New Roman" w:cs="Times New Roman"/>
          <w:i/>
          <w:iCs/>
          <w:sz w:val="24"/>
          <w:szCs w:val="24"/>
        </w:rPr>
        <w:t>International journal of business innovation and research</w:t>
      </w:r>
      <w:r w:rsidRPr="0060368B">
        <w:rPr>
          <w:rFonts w:ascii="Times New Roman" w:hAnsi="Times New Roman" w:cs="Times New Roman"/>
          <w:sz w:val="24"/>
          <w:szCs w:val="24"/>
        </w:rPr>
        <w:t>, </w:t>
      </w:r>
      <w:r w:rsidRPr="0060368B">
        <w:rPr>
          <w:rFonts w:ascii="Times New Roman" w:hAnsi="Times New Roman" w:cs="Times New Roman"/>
          <w:i/>
          <w:iCs/>
          <w:sz w:val="24"/>
          <w:szCs w:val="24"/>
        </w:rPr>
        <w:t>24</w:t>
      </w:r>
      <w:r w:rsidRPr="0060368B">
        <w:rPr>
          <w:rFonts w:ascii="Times New Roman" w:hAnsi="Times New Roman" w:cs="Times New Roman"/>
          <w:sz w:val="24"/>
          <w:szCs w:val="24"/>
        </w:rPr>
        <w:t>(4), pp.571-592.</w:t>
      </w:r>
      <w:r w:rsidRPr="00D6674B">
        <w:t xml:space="preserve"> </w:t>
      </w:r>
      <w:r w:rsidRPr="0060368B">
        <w:rPr>
          <w:rFonts w:ascii="Times New Roman" w:hAnsi="Times New Roman" w:cs="Times New Roman"/>
          <w:sz w:val="24"/>
        </w:rPr>
        <w:t>Available at:</w:t>
      </w:r>
      <w:r w:rsidRPr="0060368B">
        <w:rPr>
          <w:sz w:val="24"/>
        </w:rPr>
        <w:t xml:space="preserve"> </w:t>
      </w:r>
      <w:hyperlink r:id="rId25" w:history="1">
        <w:r w:rsidRPr="0060368B">
          <w:rPr>
            <w:rStyle w:val="Hyperlink"/>
            <w:rFonts w:ascii="Times New Roman" w:hAnsi="Times New Roman" w:cs="Times New Roman"/>
            <w:sz w:val="24"/>
            <w:szCs w:val="24"/>
          </w:rPr>
          <w:t>https://www.inderscienceonline.com/doi/abs/10.1504/IJBIR.2021.114117</w:t>
        </w:r>
      </w:hyperlink>
      <w:r w:rsidRPr="0060368B">
        <w:rPr>
          <w:rFonts w:ascii="Times New Roman" w:hAnsi="Times New Roman" w:cs="Times New Roman"/>
          <w:sz w:val="24"/>
          <w:szCs w:val="24"/>
        </w:rPr>
        <w:t xml:space="preserve"> [Accessed on 20.11. 2025].</w:t>
      </w:r>
    </w:p>
    <w:p w14:paraId="02851F4B"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Kukkamalla</w:t>
      </w:r>
      <w:proofErr w:type="spellEnd"/>
      <w:r w:rsidRPr="0060368B">
        <w:rPr>
          <w:rFonts w:ascii="Times New Roman" w:hAnsi="Times New Roman" w:cs="Times New Roman"/>
          <w:sz w:val="24"/>
          <w:szCs w:val="24"/>
        </w:rPr>
        <w:t xml:space="preserve">, P.K., </w:t>
      </w:r>
      <w:proofErr w:type="spellStart"/>
      <w:r w:rsidRPr="0060368B">
        <w:rPr>
          <w:rFonts w:ascii="Times New Roman" w:hAnsi="Times New Roman" w:cs="Times New Roman"/>
          <w:sz w:val="24"/>
          <w:szCs w:val="24"/>
        </w:rPr>
        <w:t>Bikfalvi</w:t>
      </w:r>
      <w:proofErr w:type="spellEnd"/>
      <w:r w:rsidRPr="0060368B">
        <w:rPr>
          <w:rFonts w:ascii="Times New Roman" w:hAnsi="Times New Roman" w:cs="Times New Roman"/>
          <w:sz w:val="24"/>
          <w:szCs w:val="24"/>
        </w:rPr>
        <w:t xml:space="preserve">, A. and </w:t>
      </w:r>
      <w:proofErr w:type="spellStart"/>
      <w:r w:rsidRPr="0060368B">
        <w:rPr>
          <w:rFonts w:ascii="Times New Roman" w:hAnsi="Times New Roman" w:cs="Times New Roman"/>
          <w:sz w:val="24"/>
          <w:szCs w:val="24"/>
        </w:rPr>
        <w:t>Arbussa</w:t>
      </w:r>
      <w:proofErr w:type="spellEnd"/>
      <w:r w:rsidRPr="0060368B">
        <w:rPr>
          <w:rFonts w:ascii="Times New Roman" w:hAnsi="Times New Roman" w:cs="Times New Roman"/>
          <w:sz w:val="24"/>
          <w:szCs w:val="24"/>
        </w:rPr>
        <w:t>, A., (2021). The new BMW: business model innovation transforms an automotive leader. </w:t>
      </w:r>
      <w:r w:rsidRPr="0060368B">
        <w:rPr>
          <w:rFonts w:ascii="Times New Roman" w:hAnsi="Times New Roman" w:cs="Times New Roman"/>
          <w:i/>
          <w:iCs/>
          <w:sz w:val="24"/>
          <w:szCs w:val="24"/>
        </w:rPr>
        <w:t>Journal of Business Strategy</w:t>
      </w:r>
      <w:r w:rsidRPr="0060368B">
        <w:rPr>
          <w:rFonts w:ascii="Times New Roman" w:hAnsi="Times New Roman" w:cs="Times New Roman"/>
          <w:sz w:val="24"/>
          <w:szCs w:val="24"/>
        </w:rPr>
        <w:t>, </w:t>
      </w:r>
      <w:r w:rsidRPr="0060368B">
        <w:rPr>
          <w:rFonts w:ascii="Times New Roman" w:hAnsi="Times New Roman" w:cs="Times New Roman"/>
          <w:i/>
          <w:iCs/>
          <w:sz w:val="24"/>
          <w:szCs w:val="24"/>
        </w:rPr>
        <w:t>42</w:t>
      </w:r>
      <w:r w:rsidRPr="0060368B">
        <w:rPr>
          <w:rFonts w:ascii="Times New Roman" w:hAnsi="Times New Roman" w:cs="Times New Roman"/>
          <w:sz w:val="24"/>
          <w:szCs w:val="24"/>
        </w:rPr>
        <w:t>(4), pp.268-277.</w:t>
      </w:r>
      <w:r w:rsidRPr="00DF5D3B">
        <w:t xml:space="preserve"> </w:t>
      </w:r>
      <w:hyperlink r:id="rId26" w:history="1">
        <w:r w:rsidRPr="0060368B">
          <w:rPr>
            <w:rStyle w:val="Hyperlink"/>
            <w:rFonts w:ascii="Times New Roman" w:hAnsi="Times New Roman" w:cs="Times New Roman"/>
            <w:sz w:val="24"/>
            <w:szCs w:val="24"/>
          </w:rPr>
          <w:t>https://www.emerald.com/jbs/article/42/4/268/224565</w:t>
        </w:r>
      </w:hyperlink>
      <w:r w:rsidRPr="0060368B">
        <w:rPr>
          <w:rFonts w:ascii="Times New Roman" w:hAnsi="Times New Roman" w:cs="Times New Roman"/>
          <w:sz w:val="24"/>
          <w:szCs w:val="24"/>
        </w:rPr>
        <w:t xml:space="preserve"> [Accessed on 20.11. 2025].</w:t>
      </w:r>
    </w:p>
    <w:p w14:paraId="480E2290"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Lechner, P., (2020). BMW: process mining@ production: bringing innovation to production processes and beyond. In </w:t>
      </w:r>
      <w:r w:rsidRPr="0060368B">
        <w:rPr>
          <w:rFonts w:ascii="Times New Roman" w:hAnsi="Times New Roman" w:cs="Times New Roman"/>
          <w:i/>
          <w:iCs/>
          <w:sz w:val="24"/>
          <w:szCs w:val="24"/>
        </w:rPr>
        <w:t>Process Mining in Action: Principles, Use Cases and Outlook</w:t>
      </w:r>
      <w:r w:rsidRPr="0060368B">
        <w:rPr>
          <w:rFonts w:ascii="Times New Roman" w:hAnsi="Times New Roman" w:cs="Times New Roman"/>
          <w:sz w:val="24"/>
          <w:szCs w:val="24"/>
        </w:rPr>
        <w:t> (pp. 65-73). Cham: Springer International Publishing.</w:t>
      </w:r>
      <w:r w:rsidRPr="00D6674B">
        <w:t xml:space="preserve"> </w:t>
      </w:r>
      <w:r w:rsidRPr="0060368B">
        <w:rPr>
          <w:rFonts w:ascii="Times New Roman" w:hAnsi="Times New Roman" w:cs="Times New Roman"/>
          <w:sz w:val="24"/>
        </w:rPr>
        <w:t>Available at:</w:t>
      </w:r>
      <w:r w:rsidRPr="0060368B">
        <w:rPr>
          <w:sz w:val="24"/>
        </w:rPr>
        <w:t xml:space="preserve"> </w:t>
      </w:r>
      <w:hyperlink r:id="rId27" w:history="1">
        <w:r w:rsidRPr="0060368B">
          <w:rPr>
            <w:rStyle w:val="Hyperlink"/>
            <w:rFonts w:ascii="Times New Roman" w:hAnsi="Times New Roman" w:cs="Times New Roman"/>
            <w:sz w:val="24"/>
            <w:szCs w:val="24"/>
          </w:rPr>
          <w:t>https://link.springer.com/chapter/10.1007/978-3-030-40172-6_11</w:t>
        </w:r>
      </w:hyperlink>
      <w:r w:rsidRPr="0060368B">
        <w:rPr>
          <w:rFonts w:ascii="Times New Roman" w:hAnsi="Times New Roman" w:cs="Times New Roman"/>
          <w:sz w:val="24"/>
          <w:szCs w:val="24"/>
        </w:rPr>
        <w:t xml:space="preserve"> [Accessed on 20.11. 2025].</w:t>
      </w:r>
    </w:p>
    <w:p w14:paraId="6150CF7F"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Liu, Y. and Liu, Y.L., (2021). A critical analysis of how BMW designs a collaborative and value-adding supply chain. </w:t>
      </w:r>
      <w:r w:rsidRPr="0060368B">
        <w:rPr>
          <w:rFonts w:ascii="Times New Roman" w:hAnsi="Times New Roman" w:cs="Times New Roman"/>
          <w:i/>
          <w:iCs/>
          <w:sz w:val="24"/>
          <w:szCs w:val="24"/>
        </w:rPr>
        <w:t>International Journal of Business Performance and Supply Chain Modelling</w:t>
      </w:r>
      <w:r w:rsidRPr="0060368B">
        <w:rPr>
          <w:rFonts w:ascii="Times New Roman" w:hAnsi="Times New Roman" w:cs="Times New Roman"/>
          <w:sz w:val="24"/>
          <w:szCs w:val="24"/>
        </w:rPr>
        <w:t>, </w:t>
      </w:r>
      <w:r w:rsidRPr="0060368B">
        <w:rPr>
          <w:rFonts w:ascii="Times New Roman" w:hAnsi="Times New Roman" w:cs="Times New Roman"/>
          <w:i/>
          <w:iCs/>
          <w:sz w:val="24"/>
          <w:szCs w:val="24"/>
        </w:rPr>
        <w:t>12</w:t>
      </w:r>
      <w:r w:rsidRPr="0060368B">
        <w:rPr>
          <w:rFonts w:ascii="Times New Roman" w:hAnsi="Times New Roman" w:cs="Times New Roman"/>
          <w:sz w:val="24"/>
          <w:szCs w:val="24"/>
        </w:rPr>
        <w:t>(4), pp.414-429.</w:t>
      </w:r>
      <w:r w:rsidRPr="00D6674B">
        <w:t xml:space="preserve"> </w:t>
      </w:r>
      <w:r w:rsidRPr="0060368B">
        <w:rPr>
          <w:rFonts w:ascii="Times New Roman" w:hAnsi="Times New Roman" w:cs="Times New Roman"/>
          <w:sz w:val="24"/>
        </w:rPr>
        <w:t>Available at:</w:t>
      </w:r>
      <w:r w:rsidRPr="0060368B">
        <w:rPr>
          <w:sz w:val="24"/>
        </w:rPr>
        <w:t xml:space="preserve"> </w:t>
      </w:r>
      <w:hyperlink r:id="rId28" w:history="1">
        <w:r w:rsidRPr="0060368B">
          <w:rPr>
            <w:rStyle w:val="Hyperlink"/>
            <w:rFonts w:ascii="Times New Roman" w:hAnsi="Times New Roman" w:cs="Times New Roman"/>
            <w:sz w:val="24"/>
            <w:szCs w:val="24"/>
          </w:rPr>
          <w:t>https://www.inderscienceonline.com/doi/abs/10.1504/IJBPSCM.2021.120745</w:t>
        </w:r>
      </w:hyperlink>
      <w:r w:rsidRPr="0060368B">
        <w:rPr>
          <w:rFonts w:ascii="Times New Roman" w:hAnsi="Times New Roman" w:cs="Times New Roman"/>
          <w:sz w:val="24"/>
          <w:szCs w:val="24"/>
        </w:rPr>
        <w:t xml:space="preserve"> [Accessed on 20.11. 2025].</w:t>
      </w:r>
    </w:p>
    <w:p w14:paraId="74351C2A"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Lukin</w:t>
      </w:r>
      <w:proofErr w:type="spellEnd"/>
      <w:r w:rsidRPr="0060368B">
        <w:rPr>
          <w:rFonts w:ascii="Times New Roman" w:hAnsi="Times New Roman" w:cs="Times New Roman"/>
          <w:sz w:val="24"/>
          <w:szCs w:val="24"/>
        </w:rPr>
        <w:t xml:space="preserve">, E., </w:t>
      </w:r>
      <w:proofErr w:type="spellStart"/>
      <w:r w:rsidRPr="0060368B">
        <w:rPr>
          <w:rFonts w:ascii="Times New Roman" w:hAnsi="Times New Roman" w:cs="Times New Roman"/>
          <w:sz w:val="24"/>
          <w:szCs w:val="24"/>
        </w:rPr>
        <w:t>Krajnović</w:t>
      </w:r>
      <w:proofErr w:type="spellEnd"/>
      <w:r w:rsidRPr="0060368B">
        <w:rPr>
          <w:rFonts w:ascii="Times New Roman" w:hAnsi="Times New Roman" w:cs="Times New Roman"/>
          <w:sz w:val="24"/>
          <w:szCs w:val="24"/>
        </w:rPr>
        <w:t>, A. and Bosna, J., (2022). Sustainability strategies and achieving SDGs: A comparative analysis of leading companies in the automotive industry. </w:t>
      </w:r>
      <w:r w:rsidRPr="0060368B">
        <w:rPr>
          <w:rFonts w:ascii="Times New Roman" w:hAnsi="Times New Roman" w:cs="Times New Roman"/>
          <w:i/>
          <w:iCs/>
          <w:sz w:val="24"/>
          <w:szCs w:val="24"/>
        </w:rPr>
        <w:t>Sustainability</w:t>
      </w:r>
      <w:r w:rsidRPr="0060368B">
        <w:rPr>
          <w:rFonts w:ascii="Times New Roman" w:hAnsi="Times New Roman" w:cs="Times New Roman"/>
          <w:sz w:val="24"/>
          <w:szCs w:val="24"/>
        </w:rPr>
        <w:t>, </w:t>
      </w:r>
      <w:r w:rsidRPr="0060368B">
        <w:rPr>
          <w:rFonts w:ascii="Times New Roman" w:hAnsi="Times New Roman" w:cs="Times New Roman"/>
          <w:i/>
          <w:iCs/>
          <w:sz w:val="24"/>
          <w:szCs w:val="24"/>
        </w:rPr>
        <w:t>14</w:t>
      </w:r>
      <w:r w:rsidRPr="0060368B">
        <w:rPr>
          <w:rFonts w:ascii="Times New Roman" w:hAnsi="Times New Roman" w:cs="Times New Roman"/>
          <w:sz w:val="24"/>
          <w:szCs w:val="24"/>
        </w:rPr>
        <w:t>(7), p.4000.</w:t>
      </w:r>
      <w:r w:rsidRPr="00D6674B">
        <w:t xml:space="preserve"> </w:t>
      </w:r>
      <w:r w:rsidRPr="0060368B">
        <w:rPr>
          <w:rFonts w:ascii="Times New Roman" w:hAnsi="Times New Roman" w:cs="Times New Roman"/>
          <w:sz w:val="24"/>
        </w:rPr>
        <w:t>Available at:</w:t>
      </w:r>
      <w:r w:rsidRPr="0060368B">
        <w:rPr>
          <w:sz w:val="24"/>
        </w:rPr>
        <w:t xml:space="preserve"> </w:t>
      </w:r>
      <w:hyperlink r:id="rId29" w:history="1">
        <w:r w:rsidRPr="0060368B">
          <w:rPr>
            <w:rStyle w:val="Hyperlink"/>
            <w:rFonts w:ascii="Times New Roman" w:hAnsi="Times New Roman" w:cs="Times New Roman"/>
            <w:sz w:val="24"/>
            <w:szCs w:val="24"/>
          </w:rPr>
          <w:t>https://www.mdpi.com/2071-1050/14/7/4000</w:t>
        </w:r>
      </w:hyperlink>
      <w:r w:rsidRPr="0060368B">
        <w:rPr>
          <w:rFonts w:ascii="Times New Roman" w:hAnsi="Times New Roman" w:cs="Times New Roman"/>
          <w:sz w:val="24"/>
          <w:szCs w:val="24"/>
        </w:rPr>
        <w:t xml:space="preserve"> [Accessed on 20.11. 2025].</w:t>
      </w:r>
    </w:p>
    <w:p w14:paraId="34868014"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lastRenderedPageBreak/>
        <w:t>Madić</w:t>
      </w:r>
      <w:proofErr w:type="spellEnd"/>
      <w:r w:rsidRPr="0060368B">
        <w:rPr>
          <w:rFonts w:ascii="Times New Roman" w:hAnsi="Times New Roman" w:cs="Times New Roman"/>
          <w:sz w:val="24"/>
          <w:szCs w:val="24"/>
        </w:rPr>
        <w:t xml:space="preserve">, V., </w:t>
      </w:r>
      <w:proofErr w:type="spellStart"/>
      <w:r w:rsidRPr="0060368B">
        <w:rPr>
          <w:rFonts w:ascii="Times New Roman" w:hAnsi="Times New Roman" w:cs="Times New Roman"/>
          <w:sz w:val="24"/>
          <w:szCs w:val="24"/>
        </w:rPr>
        <w:t>Marković</w:t>
      </w:r>
      <w:proofErr w:type="spellEnd"/>
      <w:r w:rsidRPr="0060368B">
        <w:rPr>
          <w:rFonts w:ascii="Times New Roman" w:hAnsi="Times New Roman" w:cs="Times New Roman"/>
          <w:sz w:val="24"/>
          <w:szCs w:val="24"/>
        </w:rPr>
        <w:t xml:space="preserve">, D. and </w:t>
      </w:r>
      <w:proofErr w:type="spellStart"/>
      <w:r w:rsidRPr="0060368B">
        <w:rPr>
          <w:rFonts w:ascii="Times New Roman" w:hAnsi="Times New Roman" w:cs="Times New Roman"/>
          <w:sz w:val="24"/>
          <w:szCs w:val="24"/>
        </w:rPr>
        <w:t>Mijušković</w:t>
      </w:r>
      <w:proofErr w:type="spellEnd"/>
      <w:r w:rsidRPr="0060368B">
        <w:rPr>
          <w:rFonts w:ascii="Times New Roman" w:hAnsi="Times New Roman" w:cs="Times New Roman"/>
          <w:sz w:val="24"/>
          <w:szCs w:val="24"/>
        </w:rPr>
        <w:t>, V., (2021). Competitive strategies in premium automotive segment. </w:t>
      </w:r>
      <w:proofErr w:type="spellStart"/>
      <w:r w:rsidRPr="0060368B">
        <w:rPr>
          <w:rFonts w:ascii="Times New Roman" w:hAnsi="Times New Roman" w:cs="Times New Roman"/>
          <w:i/>
          <w:iCs/>
          <w:sz w:val="24"/>
          <w:szCs w:val="24"/>
        </w:rPr>
        <w:t>Teme</w:t>
      </w:r>
      <w:proofErr w:type="spellEnd"/>
      <w:r w:rsidRPr="0060368B">
        <w:rPr>
          <w:rFonts w:ascii="Times New Roman" w:hAnsi="Times New Roman" w:cs="Times New Roman"/>
          <w:sz w:val="24"/>
          <w:szCs w:val="24"/>
        </w:rPr>
        <w:t>, pp.639-659.</w:t>
      </w:r>
      <w:r w:rsidRPr="00D6674B">
        <w:t xml:space="preserve"> </w:t>
      </w:r>
      <w:r w:rsidRPr="0060368B">
        <w:rPr>
          <w:rFonts w:ascii="Times New Roman" w:hAnsi="Times New Roman" w:cs="Times New Roman"/>
          <w:sz w:val="24"/>
        </w:rPr>
        <w:t>Available at:</w:t>
      </w:r>
      <w:r w:rsidRPr="0060368B">
        <w:rPr>
          <w:sz w:val="24"/>
        </w:rPr>
        <w:t xml:space="preserve"> </w:t>
      </w:r>
      <w:hyperlink r:id="rId30" w:history="1">
        <w:r w:rsidRPr="0060368B">
          <w:rPr>
            <w:rStyle w:val="Hyperlink"/>
            <w:rFonts w:ascii="Times New Roman" w:hAnsi="Times New Roman" w:cs="Times New Roman"/>
            <w:sz w:val="24"/>
            <w:szCs w:val="24"/>
          </w:rPr>
          <w:t>https://www.ceeol.com/search/article-detail?id=1000585</w:t>
        </w:r>
      </w:hyperlink>
      <w:r w:rsidRPr="0060368B">
        <w:rPr>
          <w:rFonts w:ascii="Times New Roman" w:hAnsi="Times New Roman" w:cs="Times New Roman"/>
          <w:sz w:val="24"/>
          <w:szCs w:val="24"/>
        </w:rPr>
        <w:t xml:space="preserve"> [Accessed on 20.11. 2025].</w:t>
      </w:r>
    </w:p>
    <w:p w14:paraId="26EC4CAB"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Markou</w:t>
      </w:r>
      <w:proofErr w:type="spellEnd"/>
      <w:r w:rsidRPr="0060368B">
        <w:rPr>
          <w:rFonts w:ascii="Times New Roman" w:hAnsi="Times New Roman" w:cs="Times New Roman"/>
          <w:sz w:val="24"/>
          <w:szCs w:val="24"/>
        </w:rPr>
        <w:t xml:space="preserve">, P., </w:t>
      </w:r>
      <w:proofErr w:type="spellStart"/>
      <w:r w:rsidRPr="0060368B">
        <w:rPr>
          <w:rFonts w:ascii="Times New Roman" w:hAnsi="Times New Roman" w:cs="Times New Roman"/>
          <w:sz w:val="24"/>
          <w:szCs w:val="24"/>
        </w:rPr>
        <w:t>Corsten</w:t>
      </w:r>
      <w:proofErr w:type="spellEnd"/>
      <w:r w:rsidRPr="0060368B">
        <w:rPr>
          <w:rFonts w:ascii="Times New Roman" w:hAnsi="Times New Roman" w:cs="Times New Roman"/>
          <w:sz w:val="24"/>
          <w:szCs w:val="24"/>
        </w:rPr>
        <w:t xml:space="preserve">, D., </w:t>
      </w:r>
      <w:proofErr w:type="spellStart"/>
      <w:r w:rsidRPr="0060368B">
        <w:rPr>
          <w:rFonts w:ascii="Times New Roman" w:hAnsi="Times New Roman" w:cs="Times New Roman"/>
          <w:sz w:val="24"/>
          <w:szCs w:val="24"/>
        </w:rPr>
        <w:t>Carduck</w:t>
      </w:r>
      <w:proofErr w:type="spellEnd"/>
      <w:r w:rsidRPr="0060368B">
        <w:rPr>
          <w:rFonts w:ascii="Times New Roman" w:hAnsi="Times New Roman" w:cs="Times New Roman"/>
          <w:sz w:val="24"/>
          <w:szCs w:val="24"/>
        </w:rPr>
        <w:t xml:space="preserve">, C. and </w:t>
      </w:r>
      <w:proofErr w:type="spellStart"/>
      <w:r w:rsidRPr="0060368B">
        <w:rPr>
          <w:rFonts w:ascii="Times New Roman" w:hAnsi="Times New Roman" w:cs="Times New Roman"/>
          <w:sz w:val="24"/>
          <w:szCs w:val="24"/>
        </w:rPr>
        <w:t>Koblbauer</w:t>
      </w:r>
      <w:proofErr w:type="spellEnd"/>
      <w:r w:rsidRPr="0060368B">
        <w:rPr>
          <w:rFonts w:ascii="Times New Roman" w:hAnsi="Times New Roman" w:cs="Times New Roman"/>
          <w:sz w:val="24"/>
          <w:szCs w:val="24"/>
        </w:rPr>
        <w:t>, M., (2019). Commodity risk management at BMW: Price indices and contracts. </w:t>
      </w:r>
      <w:proofErr w:type="spellStart"/>
      <w:r w:rsidRPr="0060368B">
        <w:rPr>
          <w:rFonts w:ascii="Times New Roman" w:hAnsi="Times New Roman" w:cs="Times New Roman"/>
          <w:i/>
          <w:iCs/>
          <w:sz w:val="24"/>
          <w:szCs w:val="24"/>
        </w:rPr>
        <w:t>Markou</w:t>
      </w:r>
      <w:proofErr w:type="spellEnd"/>
      <w:r w:rsidRPr="0060368B">
        <w:rPr>
          <w:rFonts w:ascii="Times New Roman" w:hAnsi="Times New Roman" w:cs="Times New Roman"/>
          <w:i/>
          <w:iCs/>
          <w:sz w:val="24"/>
          <w:szCs w:val="24"/>
        </w:rPr>
        <w:t xml:space="preserve">, P., </w:t>
      </w:r>
      <w:proofErr w:type="spellStart"/>
      <w:r w:rsidRPr="0060368B">
        <w:rPr>
          <w:rFonts w:ascii="Times New Roman" w:hAnsi="Times New Roman" w:cs="Times New Roman"/>
          <w:i/>
          <w:iCs/>
          <w:sz w:val="24"/>
          <w:szCs w:val="24"/>
        </w:rPr>
        <w:t>Corsten</w:t>
      </w:r>
      <w:proofErr w:type="spellEnd"/>
      <w:r w:rsidRPr="0060368B">
        <w:rPr>
          <w:rFonts w:ascii="Times New Roman" w:hAnsi="Times New Roman" w:cs="Times New Roman"/>
          <w:i/>
          <w:iCs/>
          <w:sz w:val="24"/>
          <w:szCs w:val="24"/>
        </w:rPr>
        <w:t xml:space="preserve">, D., </w:t>
      </w:r>
      <w:proofErr w:type="spellStart"/>
      <w:r w:rsidRPr="0060368B">
        <w:rPr>
          <w:rFonts w:ascii="Times New Roman" w:hAnsi="Times New Roman" w:cs="Times New Roman"/>
          <w:i/>
          <w:iCs/>
          <w:sz w:val="24"/>
          <w:szCs w:val="24"/>
        </w:rPr>
        <w:t>Carduck</w:t>
      </w:r>
      <w:proofErr w:type="spellEnd"/>
      <w:r w:rsidRPr="0060368B">
        <w:rPr>
          <w:rFonts w:ascii="Times New Roman" w:hAnsi="Times New Roman" w:cs="Times New Roman"/>
          <w:i/>
          <w:iCs/>
          <w:sz w:val="24"/>
          <w:szCs w:val="24"/>
        </w:rPr>
        <w:t xml:space="preserve">, C., &amp; </w:t>
      </w:r>
      <w:proofErr w:type="spellStart"/>
      <w:r w:rsidRPr="0060368B">
        <w:rPr>
          <w:rFonts w:ascii="Times New Roman" w:hAnsi="Times New Roman" w:cs="Times New Roman"/>
          <w:i/>
          <w:iCs/>
          <w:sz w:val="24"/>
          <w:szCs w:val="24"/>
        </w:rPr>
        <w:t>Koblbauer</w:t>
      </w:r>
      <w:proofErr w:type="spellEnd"/>
      <w:r w:rsidRPr="0060368B">
        <w:rPr>
          <w:rFonts w:ascii="Times New Roman" w:hAnsi="Times New Roman" w:cs="Times New Roman"/>
          <w:i/>
          <w:iCs/>
          <w:sz w:val="24"/>
          <w:szCs w:val="24"/>
        </w:rPr>
        <w:t xml:space="preserve">, M.(2019). Commodity risk management at BMW: Price indices and contracts. In W. Tate, L. Bals, &amp; L. </w:t>
      </w:r>
      <w:proofErr w:type="spellStart"/>
      <w:r w:rsidRPr="0060368B">
        <w:rPr>
          <w:rFonts w:ascii="Times New Roman" w:hAnsi="Times New Roman" w:cs="Times New Roman"/>
          <w:i/>
          <w:iCs/>
          <w:sz w:val="24"/>
          <w:szCs w:val="24"/>
        </w:rPr>
        <w:t>Ellram</w:t>
      </w:r>
      <w:proofErr w:type="spellEnd"/>
      <w:r w:rsidRPr="0060368B">
        <w:rPr>
          <w:rFonts w:ascii="Times New Roman" w:hAnsi="Times New Roman" w:cs="Times New Roman"/>
          <w:i/>
          <w:iCs/>
          <w:sz w:val="24"/>
          <w:szCs w:val="24"/>
        </w:rPr>
        <w:t xml:space="preserve"> (Eds.), Supply chain finance: Risk management, resilience and supplier management</w:t>
      </w:r>
      <w:r w:rsidRPr="0060368B">
        <w:rPr>
          <w:rFonts w:ascii="Times New Roman" w:hAnsi="Times New Roman" w:cs="Times New Roman"/>
          <w:sz w:val="24"/>
          <w:szCs w:val="24"/>
        </w:rPr>
        <w:t>, pp.177-194.</w:t>
      </w:r>
      <w:r w:rsidRPr="00D6674B">
        <w:t xml:space="preserve"> </w:t>
      </w:r>
      <w:r w:rsidRPr="0060368B">
        <w:rPr>
          <w:rFonts w:ascii="Times New Roman" w:hAnsi="Times New Roman" w:cs="Times New Roman"/>
          <w:sz w:val="24"/>
        </w:rPr>
        <w:t>Available at:</w:t>
      </w:r>
      <w:r w:rsidRPr="0060368B">
        <w:rPr>
          <w:sz w:val="24"/>
        </w:rPr>
        <w:t xml:space="preserve"> </w:t>
      </w:r>
      <w:hyperlink r:id="rId31" w:history="1">
        <w:r w:rsidRPr="0060368B">
          <w:rPr>
            <w:rStyle w:val="Hyperlink"/>
            <w:rFonts w:ascii="Times New Roman" w:hAnsi="Times New Roman" w:cs="Times New Roman"/>
            <w:sz w:val="24"/>
            <w:szCs w:val="24"/>
          </w:rPr>
          <w:t>https://papers.ssrn.com/sol3/papers.cfm?abstract_id=3934588</w:t>
        </w:r>
      </w:hyperlink>
      <w:r w:rsidRPr="0060368B">
        <w:rPr>
          <w:rFonts w:ascii="Times New Roman" w:hAnsi="Times New Roman" w:cs="Times New Roman"/>
          <w:sz w:val="24"/>
          <w:szCs w:val="24"/>
        </w:rPr>
        <w:t xml:space="preserve"> [Accessed on 20.11. 2025].</w:t>
      </w:r>
    </w:p>
    <w:p w14:paraId="524607F3"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Reinkemeyer</w:t>
      </w:r>
      <w:proofErr w:type="spellEnd"/>
      <w:r w:rsidRPr="0060368B">
        <w:rPr>
          <w:rFonts w:ascii="Times New Roman" w:hAnsi="Times New Roman" w:cs="Times New Roman"/>
          <w:sz w:val="24"/>
          <w:szCs w:val="24"/>
        </w:rPr>
        <w:t>, L., (2020). Process mining in action. </w:t>
      </w:r>
      <w:r w:rsidRPr="0060368B">
        <w:rPr>
          <w:rFonts w:ascii="Times New Roman" w:hAnsi="Times New Roman" w:cs="Times New Roman"/>
          <w:i/>
          <w:iCs/>
          <w:sz w:val="24"/>
          <w:szCs w:val="24"/>
        </w:rPr>
        <w:t xml:space="preserve">Process mining in action principles, use cases and </w:t>
      </w:r>
      <w:proofErr w:type="spellStart"/>
      <w:r w:rsidRPr="0060368B">
        <w:rPr>
          <w:rFonts w:ascii="Times New Roman" w:hAnsi="Times New Roman" w:cs="Times New Roman"/>
          <w:i/>
          <w:iCs/>
          <w:sz w:val="24"/>
          <w:szCs w:val="24"/>
        </w:rPr>
        <w:t>outloook</w:t>
      </w:r>
      <w:proofErr w:type="spellEnd"/>
      <w:r w:rsidRPr="0060368B">
        <w:rPr>
          <w:rFonts w:ascii="Times New Roman" w:hAnsi="Times New Roman" w:cs="Times New Roman"/>
          <w:sz w:val="24"/>
          <w:szCs w:val="24"/>
        </w:rPr>
        <w:t>, </w:t>
      </w:r>
      <w:r w:rsidRPr="0060368B">
        <w:rPr>
          <w:rFonts w:ascii="Times New Roman" w:hAnsi="Times New Roman" w:cs="Times New Roman"/>
          <w:i/>
          <w:iCs/>
          <w:sz w:val="24"/>
          <w:szCs w:val="24"/>
        </w:rPr>
        <w:t>11</w:t>
      </w:r>
      <w:r w:rsidRPr="0060368B">
        <w:rPr>
          <w:rFonts w:ascii="Times New Roman" w:hAnsi="Times New Roman" w:cs="Times New Roman"/>
          <w:sz w:val="24"/>
          <w:szCs w:val="24"/>
        </w:rPr>
        <w:t>(7), pp.116-128.</w:t>
      </w:r>
      <w:r w:rsidRPr="007B7CB4">
        <w:t xml:space="preserve"> </w:t>
      </w:r>
      <w:r w:rsidRPr="0060368B">
        <w:rPr>
          <w:rFonts w:ascii="Times New Roman" w:hAnsi="Times New Roman" w:cs="Times New Roman"/>
          <w:sz w:val="24"/>
        </w:rPr>
        <w:t>Available at:</w:t>
      </w:r>
      <w:r w:rsidRPr="0060368B">
        <w:rPr>
          <w:sz w:val="24"/>
        </w:rPr>
        <w:t xml:space="preserve"> </w:t>
      </w:r>
      <w:hyperlink r:id="rId32" w:history="1">
        <w:r w:rsidRPr="0060368B">
          <w:rPr>
            <w:rStyle w:val="Hyperlink"/>
            <w:rFonts w:ascii="Times New Roman" w:hAnsi="Times New Roman" w:cs="Times New Roman"/>
            <w:sz w:val="24"/>
            <w:szCs w:val="24"/>
          </w:rPr>
          <w:t>https://link.springer.com/book/10.1007/978-3-030-40172-6</w:t>
        </w:r>
      </w:hyperlink>
      <w:r w:rsidRPr="0060368B">
        <w:rPr>
          <w:rFonts w:ascii="Times New Roman" w:hAnsi="Times New Roman" w:cs="Times New Roman"/>
          <w:sz w:val="24"/>
          <w:szCs w:val="24"/>
        </w:rPr>
        <w:t xml:space="preserve"> [Accessed on 20.11. 2025].</w:t>
      </w:r>
    </w:p>
    <w:p w14:paraId="63ABC839"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Rosa, B., </w:t>
      </w:r>
      <w:proofErr w:type="spellStart"/>
      <w:r w:rsidRPr="0060368B">
        <w:rPr>
          <w:rFonts w:ascii="Times New Roman" w:hAnsi="Times New Roman" w:cs="Times New Roman"/>
          <w:sz w:val="24"/>
          <w:szCs w:val="24"/>
        </w:rPr>
        <w:t>Gugler</w:t>
      </w:r>
      <w:proofErr w:type="spellEnd"/>
      <w:r w:rsidRPr="0060368B">
        <w:rPr>
          <w:rFonts w:ascii="Times New Roman" w:hAnsi="Times New Roman" w:cs="Times New Roman"/>
          <w:sz w:val="24"/>
          <w:szCs w:val="24"/>
        </w:rPr>
        <w:t>, P. and Verbeke, A., (2020). Regional and global strategies of MNEs: revisiting Rugman &amp; Verbeke (2004). </w:t>
      </w:r>
      <w:r w:rsidRPr="0060368B">
        <w:rPr>
          <w:rFonts w:ascii="Times New Roman" w:hAnsi="Times New Roman" w:cs="Times New Roman"/>
          <w:i/>
          <w:iCs/>
          <w:sz w:val="24"/>
          <w:szCs w:val="24"/>
        </w:rPr>
        <w:t>Journal of international business studies</w:t>
      </w:r>
      <w:r w:rsidRPr="0060368B">
        <w:rPr>
          <w:rFonts w:ascii="Times New Roman" w:hAnsi="Times New Roman" w:cs="Times New Roman"/>
          <w:sz w:val="24"/>
          <w:szCs w:val="24"/>
        </w:rPr>
        <w:t>, </w:t>
      </w:r>
      <w:r w:rsidRPr="0060368B">
        <w:rPr>
          <w:rFonts w:ascii="Times New Roman" w:hAnsi="Times New Roman" w:cs="Times New Roman"/>
          <w:i/>
          <w:iCs/>
          <w:sz w:val="24"/>
          <w:szCs w:val="24"/>
        </w:rPr>
        <w:t>51</w:t>
      </w:r>
      <w:r w:rsidRPr="0060368B">
        <w:rPr>
          <w:rFonts w:ascii="Times New Roman" w:hAnsi="Times New Roman" w:cs="Times New Roman"/>
          <w:sz w:val="24"/>
          <w:szCs w:val="24"/>
        </w:rPr>
        <w:t>(7), p.1045.</w:t>
      </w:r>
      <w:r w:rsidRPr="0060368B">
        <w:rPr>
          <w:rFonts w:ascii="Times New Roman" w:hAnsi="Times New Roman" w:cs="Times New Roman"/>
          <w:sz w:val="24"/>
        </w:rPr>
        <w:t xml:space="preserve"> Available at:</w:t>
      </w:r>
      <w:r w:rsidRPr="0060368B">
        <w:rPr>
          <w:sz w:val="24"/>
        </w:rPr>
        <w:t xml:space="preserve"> </w:t>
      </w:r>
      <w:r w:rsidRPr="00D6674B">
        <w:t xml:space="preserve"> </w:t>
      </w:r>
      <w:hyperlink r:id="rId33" w:history="1">
        <w:r w:rsidRPr="0060368B">
          <w:rPr>
            <w:rStyle w:val="Hyperlink"/>
            <w:rFonts w:ascii="Times New Roman" w:hAnsi="Times New Roman" w:cs="Times New Roman"/>
            <w:sz w:val="24"/>
            <w:szCs w:val="24"/>
          </w:rPr>
          <w:t>https://pmc.ncbi.nlm.nih.gov/articles/PMC7330527/</w:t>
        </w:r>
      </w:hyperlink>
      <w:r w:rsidRPr="0060368B">
        <w:rPr>
          <w:rFonts w:ascii="Times New Roman" w:hAnsi="Times New Roman" w:cs="Times New Roman"/>
          <w:sz w:val="24"/>
          <w:szCs w:val="24"/>
        </w:rPr>
        <w:t xml:space="preserve"> [Accessed on 20.11. 2025].</w:t>
      </w:r>
    </w:p>
    <w:p w14:paraId="502D0F78"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Schindlbeck</w:t>
      </w:r>
      <w:proofErr w:type="spellEnd"/>
      <w:r w:rsidRPr="0060368B">
        <w:rPr>
          <w:rFonts w:ascii="Times New Roman" w:hAnsi="Times New Roman" w:cs="Times New Roman"/>
          <w:sz w:val="24"/>
          <w:szCs w:val="24"/>
        </w:rPr>
        <w:t>, R.J., Müller, J.M. and Störmer, A.O., (2020). Unified requirements for suppliers' production sites of high voltage electric and electronic components-a case study from BMW. </w:t>
      </w:r>
      <w:r w:rsidRPr="0060368B">
        <w:rPr>
          <w:rFonts w:ascii="Times New Roman" w:hAnsi="Times New Roman" w:cs="Times New Roman"/>
          <w:i/>
          <w:iCs/>
          <w:sz w:val="24"/>
          <w:szCs w:val="24"/>
        </w:rPr>
        <w:t>International Journal of Automotive Technology and Management</w:t>
      </w:r>
      <w:r w:rsidRPr="0060368B">
        <w:rPr>
          <w:rFonts w:ascii="Times New Roman" w:hAnsi="Times New Roman" w:cs="Times New Roman"/>
          <w:sz w:val="24"/>
          <w:szCs w:val="24"/>
        </w:rPr>
        <w:t>, </w:t>
      </w:r>
      <w:r w:rsidRPr="0060368B">
        <w:rPr>
          <w:rFonts w:ascii="Times New Roman" w:hAnsi="Times New Roman" w:cs="Times New Roman"/>
          <w:i/>
          <w:iCs/>
          <w:sz w:val="24"/>
          <w:szCs w:val="24"/>
        </w:rPr>
        <w:t>20</w:t>
      </w:r>
      <w:r w:rsidRPr="0060368B">
        <w:rPr>
          <w:rFonts w:ascii="Times New Roman" w:hAnsi="Times New Roman" w:cs="Times New Roman"/>
          <w:sz w:val="24"/>
          <w:szCs w:val="24"/>
        </w:rPr>
        <w:t>(3), pp.275-296.</w:t>
      </w:r>
      <w:r w:rsidRPr="007B7CB4">
        <w:t xml:space="preserve"> </w:t>
      </w:r>
      <w:r w:rsidRPr="0060368B">
        <w:rPr>
          <w:rFonts w:ascii="Times New Roman" w:hAnsi="Times New Roman" w:cs="Times New Roman"/>
          <w:sz w:val="24"/>
        </w:rPr>
        <w:t>Available at:</w:t>
      </w:r>
      <w:r w:rsidRPr="0060368B">
        <w:rPr>
          <w:sz w:val="24"/>
        </w:rPr>
        <w:t xml:space="preserve"> </w:t>
      </w:r>
      <w:hyperlink r:id="rId34" w:history="1">
        <w:r w:rsidRPr="0060368B">
          <w:rPr>
            <w:rStyle w:val="Hyperlink"/>
            <w:rFonts w:ascii="Times New Roman" w:hAnsi="Times New Roman" w:cs="Times New Roman"/>
            <w:sz w:val="24"/>
            <w:szCs w:val="24"/>
          </w:rPr>
          <w:t>https://www.inderscienceonline.com/doi/abs/10.1504/IJATM.2020.110407</w:t>
        </w:r>
      </w:hyperlink>
      <w:r w:rsidRPr="0060368B">
        <w:rPr>
          <w:rFonts w:ascii="Times New Roman" w:hAnsi="Times New Roman" w:cs="Times New Roman"/>
          <w:sz w:val="24"/>
          <w:szCs w:val="24"/>
        </w:rPr>
        <w:t xml:space="preserve"> [Accessed on 20.11. 2025].</w:t>
      </w:r>
    </w:p>
    <w:p w14:paraId="6BB7437C" w14:textId="77777777" w:rsidR="0060368B" w:rsidRPr="0060368B" w:rsidRDefault="0060368B" w:rsidP="0060368B">
      <w:pPr>
        <w:spacing w:after="160" w:line="360" w:lineRule="auto"/>
        <w:jc w:val="both"/>
        <w:rPr>
          <w:rFonts w:ascii="Times New Roman" w:hAnsi="Times New Roman" w:cs="Times New Roman"/>
          <w:sz w:val="24"/>
          <w:szCs w:val="24"/>
        </w:rPr>
      </w:pPr>
      <w:proofErr w:type="spellStart"/>
      <w:r w:rsidRPr="0060368B">
        <w:rPr>
          <w:rFonts w:ascii="Times New Roman" w:hAnsi="Times New Roman" w:cs="Times New Roman"/>
          <w:sz w:val="24"/>
          <w:szCs w:val="24"/>
        </w:rPr>
        <w:t>Sovacool</w:t>
      </w:r>
      <w:proofErr w:type="spellEnd"/>
      <w:r w:rsidRPr="0060368B">
        <w:rPr>
          <w:rFonts w:ascii="Times New Roman" w:hAnsi="Times New Roman" w:cs="Times New Roman"/>
          <w:sz w:val="24"/>
          <w:szCs w:val="24"/>
        </w:rPr>
        <w:t xml:space="preserve">, B.K., Rogge, J.C., </w:t>
      </w:r>
      <w:proofErr w:type="spellStart"/>
      <w:r w:rsidRPr="0060368B">
        <w:rPr>
          <w:rFonts w:ascii="Times New Roman" w:hAnsi="Times New Roman" w:cs="Times New Roman"/>
          <w:sz w:val="24"/>
          <w:szCs w:val="24"/>
        </w:rPr>
        <w:t>Saleta</w:t>
      </w:r>
      <w:proofErr w:type="spellEnd"/>
      <w:r w:rsidRPr="0060368B">
        <w:rPr>
          <w:rFonts w:ascii="Times New Roman" w:hAnsi="Times New Roman" w:cs="Times New Roman"/>
          <w:sz w:val="24"/>
          <w:szCs w:val="24"/>
        </w:rPr>
        <w:t>, C. and Masterson-Cox, E., (2019). Transformative versus conservative automotive innovation styles: Contrasting the electric vehicle manufacturing strategies for the BMW i3 and Fiat 500e. </w:t>
      </w:r>
      <w:r w:rsidRPr="0060368B">
        <w:rPr>
          <w:rFonts w:ascii="Times New Roman" w:hAnsi="Times New Roman" w:cs="Times New Roman"/>
          <w:i/>
          <w:iCs/>
          <w:sz w:val="24"/>
          <w:szCs w:val="24"/>
        </w:rPr>
        <w:t>Environmental innovation and societal transitions</w:t>
      </w:r>
      <w:r w:rsidRPr="0060368B">
        <w:rPr>
          <w:rFonts w:ascii="Times New Roman" w:hAnsi="Times New Roman" w:cs="Times New Roman"/>
          <w:sz w:val="24"/>
          <w:szCs w:val="24"/>
        </w:rPr>
        <w:t>, </w:t>
      </w:r>
      <w:r w:rsidRPr="0060368B">
        <w:rPr>
          <w:rFonts w:ascii="Times New Roman" w:hAnsi="Times New Roman" w:cs="Times New Roman"/>
          <w:i/>
          <w:iCs/>
          <w:sz w:val="24"/>
          <w:szCs w:val="24"/>
        </w:rPr>
        <w:t>33</w:t>
      </w:r>
      <w:r w:rsidRPr="0060368B">
        <w:rPr>
          <w:rFonts w:ascii="Times New Roman" w:hAnsi="Times New Roman" w:cs="Times New Roman"/>
          <w:sz w:val="24"/>
          <w:szCs w:val="24"/>
        </w:rPr>
        <w:t>, pp.45-60.</w:t>
      </w:r>
      <w:r w:rsidRPr="00D6674B">
        <w:t xml:space="preserve"> </w:t>
      </w:r>
      <w:r w:rsidRPr="0060368B">
        <w:rPr>
          <w:rFonts w:ascii="Times New Roman" w:hAnsi="Times New Roman" w:cs="Times New Roman"/>
          <w:sz w:val="24"/>
        </w:rPr>
        <w:t>Available at:</w:t>
      </w:r>
      <w:r w:rsidRPr="0060368B">
        <w:rPr>
          <w:sz w:val="24"/>
        </w:rPr>
        <w:t xml:space="preserve"> </w:t>
      </w:r>
      <w:hyperlink r:id="rId35" w:history="1">
        <w:r w:rsidRPr="0060368B">
          <w:rPr>
            <w:rStyle w:val="Hyperlink"/>
            <w:rFonts w:ascii="Times New Roman" w:hAnsi="Times New Roman" w:cs="Times New Roman"/>
            <w:sz w:val="24"/>
            <w:szCs w:val="24"/>
          </w:rPr>
          <w:t>https://pure.au.dk/portal/en/publications/transformative-versus-conservative-automotive-innovation-styles-c/</w:t>
        </w:r>
      </w:hyperlink>
      <w:r w:rsidRPr="0060368B">
        <w:rPr>
          <w:rFonts w:ascii="Times New Roman" w:hAnsi="Times New Roman" w:cs="Times New Roman"/>
          <w:sz w:val="24"/>
          <w:szCs w:val="24"/>
        </w:rPr>
        <w:t xml:space="preserve"> [Accessed on 20.11. 2025].</w:t>
      </w:r>
    </w:p>
    <w:p w14:paraId="70A4E487"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Vasco, J.C., (2021). Additive manufacturing for the automotive industry. In </w:t>
      </w:r>
      <w:r w:rsidRPr="0060368B">
        <w:rPr>
          <w:rFonts w:ascii="Times New Roman" w:hAnsi="Times New Roman" w:cs="Times New Roman"/>
          <w:i/>
          <w:iCs/>
          <w:sz w:val="24"/>
          <w:szCs w:val="24"/>
        </w:rPr>
        <w:t>Additive manufacturing</w:t>
      </w:r>
      <w:r w:rsidRPr="0060368B">
        <w:rPr>
          <w:rFonts w:ascii="Times New Roman" w:hAnsi="Times New Roman" w:cs="Times New Roman"/>
          <w:sz w:val="24"/>
          <w:szCs w:val="24"/>
        </w:rPr>
        <w:t> (pp. 505-530). Elsevier.</w:t>
      </w:r>
      <w:r w:rsidRPr="007B7CB4">
        <w:t xml:space="preserve"> </w:t>
      </w:r>
      <w:r w:rsidRPr="0060368B">
        <w:rPr>
          <w:rFonts w:ascii="Times New Roman" w:hAnsi="Times New Roman" w:cs="Times New Roman"/>
          <w:sz w:val="24"/>
        </w:rPr>
        <w:t>Available at:</w:t>
      </w:r>
      <w:r w:rsidRPr="0060368B">
        <w:rPr>
          <w:sz w:val="24"/>
        </w:rPr>
        <w:t xml:space="preserve"> </w:t>
      </w:r>
      <w:hyperlink r:id="rId36" w:history="1">
        <w:r w:rsidRPr="0060368B">
          <w:rPr>
            <w:rStyle w:val="Hyperlink"/>
            <w:rFonts w:ascii="Times New Roman" w:hAnsi="Times New Roman" w:cs="Times New Roman"/>
            <w:sz w:val="24"/>
            <w:szCs w:val="24"/>
          </w:rPr>
          <w:t>https://www.sciencedirect.com/science/chapter/edited-volume/abs/pii/B9780128184110000100</w:t>
        </w:r>
      </w:hyperlink>
    </w:p>
    <w:p w14:paraId="00E0123F"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Weiss, N., </w:t>
      </w:r>
      <w:proofErr w:type="spellStart"/>
      <w:r w:rsidRPr="0060368B">
        <w:rPr>
          <w:rFonts w:ascii="Times New Roman" w:hAnsi="Times New Roman" w:cs="Times New Roman"/>
          <w:sz w:val="24"/>
          <w:szCs w:val="24"/>
        </w:rPr>
        <w:t>Schreieck</w:t>
      </w:r>
      <w:proofErr w:type="spellEnd"/>
      <w:r w:rsidRPr="0060368B">
        <w:rPr>
          <w:rFonts w:ascii="Times New Roman" w:hAnsi="Times New Roman" w:cs="Times New Roman"/>
          <w:sz w:val="24"/>
          <w:szCs w:val="24"/>
        </w:rPr>
        <w:t xml:space="preserve">, M., </w:t>
      </w:r>
      <w:proofErr w:type="spellStart"/>
      <w:r w:rsidRPr="0060368B">
        <w:rPr>
          <w:rFonts w:ascii="Times New Roman" w:hAnsi="Times New Roman" w:cs="Times New Roman"/>
          <w:sz w:val="24"/>
          <w:szCs w:val="24"/>
        </w:rPr>
        <w:t>Wiesche</w:t>
      </w:r>
      <w:proofErr w:type="spellEnd"/>
      <w:r w:rsidRPr="0060368B">
        <w:rPr>
          <w:rFonts w:ascii="Times New Roman" w:hAnsi="Times New Roman" w:cs="Times New Roman"/>
          <w:sz w:val="24"/>
          <w:szCs w:val="24"/>
        </w:rPr>
        <w:t xml:space="preserve">, M. and </w:t>
      </w:r>
      <w:proofErr w:type="spellStart"/>
      <w:r w:rsidRPr="0060368B">
        <w:rPr>
          <w:rFonts w:ascii="Times New Roman" w:hAnsi="Times New Roman" w:cs="Times New Roman"/>
          <w:sz w:val="24"/>
          <w:szCs w:val="24"/>
        </w:rPr>
        <w:t>Krcmar</w:t>
      </w:r>
      <w:proofErr w:type="spellEnd"/>
      <w:r w:rsidRPr="0060368B">
        <w:rPr>
          <w:rFonts w:ascii="Times New Roman" w:hAnsi="Times New Roman" w:cs="Times New Roman"/>
          <w:sz w:val="24"/>
          <w:szCs w:val="24"/>
        </w:rPr>
        <w:t>, H., (2021). From product to platform: How can BMW compete with platform giants?. </w:t>
      </w:r>
      <w:r w:rsidRPr="0060368B">
        <w:rPr>
          <w:rFonts w:ascii="Times New Roman" w:hAnsi="Times New Roman" w:cs="Times New Roman"/>
          <w:i/>
          <w:iCs/>
          <w:sz w:val="24"/>
          <w:szCs w:val="24"/>
        </w:rPr>
        <w:t>Journal of Information Technology Teaching Cases</w:t>
      </w:r>
      <w:r w:rsidRPr="0060368B">
        <w:rPr>
          <w:rFonts w:ascii="Times New Roman" w:hAnsi="Times New Roman" w:cs="Times New Roman"/>
          <w:sz w:val="24"/>
          <w:szCs w:val="24"/>
        </w:rPr>
        <w:t>, </w:t>
      </w:r>
      <w:r w:rsidRPr="0060368B">
        <w:rPr>
          <w:rFonts w:ascii="Times New Roman" w:hAnsi="Times New Roman" w:cs="Times New Roman"/>
          <w:i/>
          <w:iCs/>
          <w:sz w:val="24"/>
          <w:szCs w:val="24"/>
        </w:rPr>
        <w:t>11</w:t>
      </w:r>
      <w:r w:rsidRPr="0060368B">
        <w:rPr>
          <w:rFonts w:ascii="Times New Roman" w:hAnsi="Times New Roman" w:cs="Times New Roman"/>
          <w:sz w:val="24"/>
          <w:szCs w:val="24"/>
        </w:rPr>
        <w:t>(2), pp.90-100.</w:t>
      </w:r>
      <w:r w:rsidRPr="00D6674B">
        <w:t xml:space="preserve"> </w:t>
      </w:r>
      <w:r w:rsidRPr="0060368B">
        <w:rPr>
          <w:rFonts w:ascii="Times New Roman" w:hAnsi="Times New Roman" w:cs="Times New Roman"/>
          <w:sz w:val="24"/>
        </w:rPr>
        <w:t>Available at:</w:t>
      </w:r>
      <w:r w:rsidRPr="0060368B">
        <w:rPr>
          <w:sz w:val="24"/>
        </w:rPr>
        <w:t xml:space="preserve"> </w:t>
      </w:r>
      <w:hyperlink r:id="rId37" w:history="1">
        <w:r w:rsidRPr="0060368B">
          <w:rPr>
            <w:rStyle w:val="Hyperlink"/>
            <w:rFonts w:ascii="Times New Roman" w:hAnsi="Times New Roman" w:cs="Times New Roman"/>
            <w:sz w:val="24"/>
            <w:szCs w:val="24"/>
          </w:rPr>
          <w:t>https://journals.sagepub.com/doi/full/10.1177/2043886920944185</w:t>
        </w:r>
      </w:hyperlink>
      <w:r w:rsidRPr="0060368B">
        <w:rPr>
          <w:rFonts w:ascii="Times New Roman" w:hAnsi="Times New Roman" w:cs="Times New Roman"/>
          <w:sz w:val="24"/>
          <w:szCs w:val="24"/>
        </w:rPr>
        <w:t xml:space="preserve"> [Accessed on 20.11. 2025].</w:t>
      </w:r>
    </w:p>
    <w:p w14:paraId="2F28B076"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 xml:space="preserve">Weiss, N., </w:t>
      </w:r>
      <w:proofErr w:type="spellStart"/>
      <w:r w:rsidRPr="0060368B">
        <w:rPr>
          <w:rFonts w:ascii="Times New Roman" w:hAnsi="Times New Roman" w:cs="Times New Roman"/>
          <w:sz w:val="24"/>
          <w:szCs w:val="24"/>
        </w:rPr>
        <w:t>Wiesche</w:t>
      </w:r>
      <w:proofErr w:type="spellEnd"/>
      <w:r w:rsidRPr="0060368B">
        <w:rPr>
          <w:rFonts w:ascii="Times New Roman" w:hAnsi="Times New Roman" w:cs="Times New Roman"/>
          <w:sz w:val="24"/>
          <w:szCs w:val="24"/>
        </w:rPr>
        <w:t xml:space="preserve">, M., </w:t>
      </w:r>
      <w:proofErr w:type="spellStart"/>
      <w:r w:rsidRPr="0060368B">
        <w:rPr>
          <w:rFonts w:ascii="Times New Roman" w:hAnsi="Times New Roman" w:cs="Times New Roman"/>
          <w:sz w:val="24"/>
          <w:szCs w:val="24"/>
        </w:rPr>
        <w:t>Schreieck</w:t>
      </w:r>
      <w:proofErr w:type="spellEnd"/>
      <w:r w:rsidRPr="0060368B">
        <w:rPr>
          <w:rFonts w:ascii="Times New Roman" w:hAnsi="Times New Roman" w:cs="Times New Roman"/>
          <w:sz w:val="24"/>
          <w:szCs w:val="24"/>
        </w:rPr>
        <w:t xml:space="preserve">, M. and </w:t>
      </w:r>
      <w:proofErr w:type="spellStart"/>
      <w:r w:rsidRPr="0060368B">
        <w:rPr>
          <w:rFonts w:ascii="Times New Roman" w:hAnsi="Times New Roman" w:cs="Times New Roman"/>
          <w:sz w:val="24"/>
          <w:szCs w:val="24"/>
        </w:rPr>
        <w:t>Krcmar</w:t>
      </w:r>
      <w:proofErr w:type="spellEnd"/>
      <w:r w:rsidRPr="0060368B">
        <w:rPr>
          <w:rFonts w:ascii="Times New Roman" w:hAnsi="Times New Roman" w:cs="Times New Roman"/>
          <w:sz w:val="24"/>
          <w:szCs w:val="24"/>
        </w:rPr>
        <w:t>, H., (2020). Learning to be a platform owner: How BMW enhances app development for cars. </w:t>
      </w:r>
      <w:r w:rsidRPr="0060368B">
        <w:rPr>
          <w:rFonts w:ascii="Times New Roman" w:hAnsi="Times New Roman" w:cs="Times New Roman"/>
          <w:i/>
          <w:iCs/>
          <w:sz w:val="24"/>
          <w:szCs w:val="24"/>
        </w:rPr>
        <w:t>IEEE Transactions on Engineering Management</w:t>
      </w:r>
      <w:r w:rsidRPr="0060368B">
        <w:rPr>
          <w:rFonts w:ascii="Times New Roman" w:hAnsi="Times New Roman" w:cs="Times New Roman"/>
          <w:sz w:val="24"/>
          <w:szCs w:val="24"/>
        </w:rPr>
        <w:t>, </w:t>
      </w:r>
      <w:r w:rsidRPr="0060368B">
        <w:rPr>
          <w:rFonts w:ascii="Times New Roman" w:hAnsi="Times New Roman" w:cs="Times New Roman"/>
          <w:i/>
          <w:iCs/>
          <w:sz w:val="24"/>
          <w:szCs w:val="24"/>
        </w:rPr>
        <w:t>69</w:t>
      </w:r>
      <w:r w:rsidRPr="0060368B">
        <w:rPr>
          <w:rFonts w:ascii="Times New Roman" w:hAnsi="Times New Roman" w:cs="Times New Roman"/>
          <w:sz w:val="24"/>
          <w:szCs w:val="24"/>
        </w:rPr>
        <w:t>(6), pp.4019-4035.</w:t>
      </w:r>
      <w:r w:rsidRPr="007B7CB4">
        <w:t xml:space="preserve"> </w:t>
      </w:r>
      <w:r w:rsidRPr="0060368B">
        <w:rPr>
          <w:rFonts w:ascii="Times New Roman" w:hAnsi="Times New Roman" w:cs="Times New Roman"/>
          <w:sz w:val="24"/>
        </w:rPr>
        <w:t>Available at:</w:t>
      </w:r>
      <w:r w:rsidRPr="0060368B">
        <w:rPr>
          <w:sz w:val="24"/>
        </w:rPr>
        <w:t xml:space="preserve"> </w:t>
      </w:r>
      <w:hyperlink r:id="rId38" w:history="1">
        <w:r w:rsidRPr="0060368B">
          <w:rPr>
            <w:rStyle w:val="Hyperlink"/>
            <w:rFonts w:ascii="Times New Roman" w:hAnsi="Times New Roman" w:cs="Times New Roman"/>
            <w:sz w:val="24"/>
            <w:szCs w:val="24"/>
          </w:rPr>
          <w:t>https://ieeexplore.ieee.org/abstract/document/9194300</w:t>
        </w:r>
      </w:hyperlink>
      <w:r w:rsidRPr="0060368B">
        <w:rPr>
          <w:rFonts w:ascii="Times New Roman" w:hAnsi="Times New Roman" w:cs="Times New Roman"/>
          <w:sz w:val="24"/>
          <w:szCs w:val="24"/>
        </w:rPr>
        <w:t xml:space="preserve"> [Accessed on 20.11. 2025].</w:t>
      </w:r>
    </w:p>
    <w:p w14:paraId="470673D6" w14:textId="77777777" w:rsidR="0060368B" w:rsidRPr="0060368B" w:rsidRDefault="0060368B" w:rsidP="0060368B">
      <w:pPr>
        <w:spacing w:after="160" w:line="360" w:lineRule="auto"/>
        <w:jc w:val="both"/>
        <w:rPr>
          <w:rFonts w:ascii="Times New Roman" w:hAnsi="Times New Roman" w:cs="Times New Roman"/>
          <w:sz w:val="24"/>
          <w:szCs w:val="24"/>
        </w:rPr>
      </w:pPr>
      <w:r w:rsidRPr="0060368B">
        <w:rPr>
          <w:rFonts w:ascii="Times New Roman" w:hAnsi="Times New Roman" w:cs="Times New Roman"/>
          <w:sz w:val="24"/>
          <w:szCs w:val="24"/>
        </w:rPr>
        <w:t>Yip, G.S., Loewe, P.M. and Yoshino, M.Y., (2023). How to take your company to the global market. In </w:t>
      </w:r>
      <w:r w:rsidRPr="0060368B">
        <w:rPr>
          <w:rFonts w:ascii="Times New Roman" w:hAnsi="Times New Roman" w:cs="Times New Roman"/>
          <w:i/>
          <w:iCs/>
          <w:sz w:val="24"/>
          <w:szCs w:val="24"/>
        </w:rPr>
        <w:t>International Strategic Management</w:t>
      </w:r>
      <w:r w:rsidRPr="0060368B">
        <w:rPr>
          <w:rFonts w:ascii="Times New Roman" w:hAnsi="Times New Roman" w:cs="Times New Roman"/>
          <w:sz w:val="24"/>
          <w:szCs w:val="24"/>
        </w:rPr>
        <w:t> (pp. 99-116). Routledge.</w:t>
      </w:r>
      <w:r w:rsidRPr="00D6674B">
        <w:t xml:space="preserve"> </w:t>
      </w:r>
      <w:r w:rsidRPr="0060368B">
        <w:rPr>
          <w:rFonts w:ascii="Times New Roman" w:hAnsi="Times New Roman" w:cs="Times New Roman"/>
          <w:sz w:val="24"/>
        </w:rPr>
        <w:t>Available at:</w:t>
      </w:r>
      <w:r w:rsidRPr="0060368B">
        <w:rPr>
          <w:sz w:val="24"/>
        </w:rPr>
        <w:t xml:space="preserve"> </w:t>
      </w:r>
      <w:hyperlink r:id="rId39" w:history="1">
        <w:r w:rsidRPr="0060368B">
          <w:rPr>
            <w:rStyle w:val="Hyperlink"/>
            <w:rFonts w:ascii="Times New Roman" w:hAnsi="Times New Roman" w:cs="Times New Roman"/>
            <w:sz w:val="24"/>
            <w:szCs w:val="24"/>
          </w:rPr>
          <w:t>https://www.taylorfrancis.com/chapters/edit/10.4324/9781315058993-10/take-company-global-market-george-yip-pierre-loewe-michael-yoshino</w:t>
        </w:r>
      </w:hyperlink>
      <w:r w:rsidRPr="0060368B">
        <w:rPr>
          <w:rFonts w:ascii="Times New Roman" w:hAnsi="Times New Roman" w:cs="Times New Roman"/>
          <w:sz w:val="24"/>
          <w:szCs w:val="24"/>
        </w:rPr>
        <w:t xml:space="preserve"> [Accessed on 20.11. 2025].</w:t>
      </w:r>
    </w:p>
    <w:p w14:paraId="5D96BD55" w14:textId="77777777" w:rsidR="000C719F" w:rsidRDefault="000C719F" w:rsidP="000C719F">
      <w:pPr>
        <w:spacing w:after="0" w:line="360" w:lineRule="auto"/>
        <w:jc w:val="both"/>
        <w:rPr>
          <w:rFonts w:ascii="Times New Roman" w:hAnsi="Times New Roman" w:cs="Times New Roman"/>
          <w:sz w:val="24"/>
          <w:szCs w:val="24"/>
        </w:rPr>
      </w:pPr>
    </w:p>
    <w:p w14:paraId="7AEA4D47" w14:textId="77777777" w:rsidR="000C719F" w:rsidRDefault="000C719F" w:rsidP="000C719F">
      <w:pPr>
        <w:spacing w:after="0" w:line="360" w:lineRule="auto"/>
        <w:jc w:val="both"/>
        <w:rPr>
          <w:rFonts w:ascii="Times New Roman" w:hAnsi="Times New Roman" w:cs="Times New Roman"/>
          <w:sz w:val="24"/>
          <w:szCs w:val="24"/>
        </w:rPr>
      </w:pPr>
    </w:p>
    <w:p w14:paraId="09A3901C" w14:textId="77777777" w:rsidR="000C719F" w:rsidRDefault="000C719F" w:rsidP="000C719F">
      <w:pPr>
        <w:spacing w:after="0" w:line="360" w:lineRule="auto"/>
        <w:jc w:val="both"/>
        <w:rPr>
          <w:rFonts w:ascii="Times New Roman" w:hAnsi="Times New Roman" w:cs="Times New Roman"/>
          <w:sz w:val="24"/>
          <w:szCs w:val="24"/>
        </w:rPr>
      </w:pPr>
    </w:p>
    <w:p w14:paraId="62DC4AA0" w14:textId="77777777" w:rsidR="000C719F" w:rsidRDefault="000C719F" w:rsidP="000C719F">
      <w:pPr>
        <w:spacing w:after="0" w:line="360" w:lineRule="auto"/>
        <w:jc w:val="both"/>
        <w:rPr>
          <w:rFonts w:ascii="Times New Roman" w:hAnsi="Times New Roman" w:cs="Times New Roman"/>
          <w:sz w:val="24"/>
          <w:szCs w:val="24"/>
        </w:rPr>
      </w:pPr>
    </w:p>
    <w:p w14:paraId="3827CEC4" w14:textId="77777777" w:rsidR="000C719F" w:rsidRDefault="000C719F" w:rsidP="000C719F">
      <w:pPr>
        <w:spacing w:after="0" w:line="360" w:lineRule="auto"/>
        <w:jc w:val="both"/>
        <w:rPr>
          <w:rFonts w:ascii="Times New Roman" w:hAnsi="Times New Roman" w:cs="Times New Roman"/>
          <w:sz w:val="24"/>
          <w:szCs w:val="24"/>
        </w:rPr>
      </w:pPr>
    </w:p>
    <w:p w14:paraId="6A340B98" w14:textId="77777777" w:rsidR="000C719F" w:rsidRPr="000C719F" w:rsidRDefault="000C719F" w:rsidP="000C719F">
      <w:pPr>
        <w:spacing w:after="0" w:line="360" w:lineRule="auto"/>
        <w:jc w:val="both"/>
        <w:rPr>
          <w:rFonts w:ascii="Times New Roman" w:hAnsi="Times New Roman" w:cs="Times New Roman"/>
          <w:sz w:val="24"/>
          <w:szCs w:val="24"/>
        </w:rPr>
      </w:pPr>
    </w:p>
    <w:sectPr w:rsidR="000C719F" w:rsidRPr="000C719F" w:rsidSect="000C719F">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8BCA5" w14:textId="77777777" w:rsidR="009D11EB" w:rsidRDefault="009D11EB" w:rsidP="000C719F">
      <w:pPr>
        <w:spacing w:after="0" w:line="240" w:lineRule="auto"/>
      </w:pPr>
      <w:r>
        <w:separator/>
      </w:r>
    </w:p>
  </w:endnote>
  <w:endnote w:type="continuationSeparator" w:id="0">
    <w:p w14:paraId="4C18A5E6" w14:textId="77777777" w:rsidR="009D11EB" w:rsidRDefault="009D11EB" w:rsidP="000C7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446882"/>
      <w:docPartObj>
        <w:docPartGallery w:val="Page Numbers (Bottom of Page)"/>
        <w:docPartUnique/>
      </w:docPartObj>
    </w:sdtPr>
    <w:sdtEndPr>
      <w:rPr>
        <w:noProof/>
      </w:rPr>
    </w:sdtEndPr>
    <w:sdtContent>
      <w:p w14:paraId="068DD88C" w14:textId="77777777" w:rsidR="002A4C14" w:rsidRDefault="002A4C14">
        <w:pPr>
          <w:pStyle w:val="Footer"/>
          <w:jc w:val="right"/>
        </w:pPr>
        <w:r>
          <w:fldChar w:fldCharType="begin"/>
        </w:r>
        <w:r>
          <w:instrText xml:space="preserve"> PAGE   \* MERGEFORMAT </w:instrText>
        </w:r>
        <w:r>
          <w:fldChar w:fldCharType="separate"/>
        </w:r>
        <w:r w:rsidR="00C3731C">
          <w:rPr>
            <w:noProof/>
          </w:rPr>
          <w:t>2</w:t>
        </w:r>
        <w:r>
          <w:rPr>
            <w:noProof/>
          </w:rPr>
          <w:fldChar w:fldCharType="end"/>
        </w:r>
      </w:p>
    </w:sdtContent>
  </w:sdt>
  <w:p w14:paraId="0AB916E7" w14:textId="77777777" w:rsidR="002A4C14" w:rsidRDefault="002A4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61508" w14:textId="77777777" w:rsidR="009D11EB" w:rsidRDefault="009D11EB" w:rsidP="000C719F">
      <w:pPr>
        <w:spacing w:after="0" w:line="240" w:lineRule="auto"/>
      </w:pPr>
      <w:r>
        <w:separator/>
      </w:r>
    </w:p>
  </w:footnote>
  <w:footnote w:type="continuationSeparator" w:id="0">
    <w:p w14:paraId="1809D8F3" w14:textId="77777777" w:rsidR="009D11EB" w:rsidRDefault="009D11EB" w:rsidP="000C71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229B1"/>
    <w:multiLevelType w:val="multilevel"/>
    <w:tmpl w:val="6534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33017"/>
    <w:multiLevelType w:val="hybridMultilevel"/>
    <w:tmpl w:val="3DCE80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B5B1A02"/>
    <w:multiLevelType w:val="multilevel"/>
    <w:tmpl w:val="E1622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704345"/>
    <w:multiLevelType w:val="multilevel"/>
    <w:tmpl w:val="FDE02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3215930">
    <w:abstractNumId w:val="2"/>
  </w:num>
  <w:num w:numId="2" w16cid:durableId="298147555">
    <w:abstractNumId w:val="3"/>
  </w:num>
  <w:num w:numId="3" w16cid:durableId="615717601">
    <w:abstractNumId w:val="0"/>
  </w:num>
  <w:num w:numId="4" w16cid:durableId="63938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B6C"/>
    <w:rsid w:val="000C719F"/>
    <w:rsid w:val="001A1684"/>
    <w:rsid w:val="001F3AFC"/>
    <w:rsid w:val="00230990"/>
    <w:rsid w:val="002A4C14"/>
    <w:rsid w:val="00327D47"/>
    <w:rsid w:val="003A50C8"/>
    <w:rsid w:val="003B1AAD"/>
    <w:rsid w:val="004757D6"/>
    <w:rsid w:val="005C37EE"/>
    <w:rsid w:val="0060368B"/>
    <w:rsid w:val="006349AB"/>
    <w:rsid w:val="006656F0"/>
    <w:rsid w:val="00750A85"/>
    <w:rsid w:val="00793F28"/>
    <w:rsid w:val="007B7CB4"/>
    <w:rsid w:val="00845AFF"/>
    <w:rsid w:val="00855EA7"/>
    <w:rsid w:val="009C2BB1"/>
    <w:rsid w:val="009D11EB"/>
    <w:rsid w:val="00A47ED1"/>
    <w:rsid w:val="00A7353C"/>
    <w:rsid w:val="00A872BB"/>
    <w:rsid w:val="00BC14F4"/>
    <w:rsid w:val="00C3731C"/>
    <w:rsid w:val="00D6674B"/>
    <w:rsid w:val="00DF5D3B"/>
    <w:rsid w:val="00E26790"/>
    <w:rsid w:val="00EE04AB"/>
    <w:rsid w:val="00F200C6"/>
    <w:rsid w:val="00F76B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C6D8"/>
  <w15:docId w15:val="{60C3DF47-9F6E-2C48-BDFD-642C6E2CF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19F"/>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0C719F"/>
    <w:pPr>
      <w:keepNext/>
      <w:keepLines/>
      <w:spacing w:before="200" w:after="0"/>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20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7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19F"/>
  </w:style>
  <w:style w:type="paragraph" w:styleId="Footer">
    <w:name w:val="footer"/>
    <w:basedOn w:val="Normal"/>
    <w:link w:val="FooterChar"/>
    <w:uiPriority w:val="99"/>
    <w:unhideWhenUsed/>
    <w:rsid w:val="000C7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19F"/>
  </w:style>
  <w:style w:type="character" w:customStyle="1" w:styleId="Heading1Char">
    <w:name w:val="Heading 1 Char"/>
    <w:basedOn w:val="DefaultParagraphFont"/>
    <w:link w:val="Heading1"/>
    <w:uiPriority w:val="9"/>
    <w:rsid w:val="000C719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C719F"/>
    <w:rPr>
      <w:rFonts w:ascii="Times New Roman" w:eastAsiaTheme="majorEastAsia" w:hAnsi="Times New Roman" w:cstheme="majorBidi"/>
      <w:b/>
      <w:bCs/>
      <w:sz w:val="26"/>
      <w:szCs w:val="26"/>
    </w:rPr>
  </w:style>
  <w:style w:type="paragraph" w:styleId="ListParagraph">
    <w:name w:val="List Paragraph"/>
    <w:basedOn w:val="Normal"/>
    <w:uiPriority w:val="34"/>
    <w:qFormat/>
    <w:rsid w:val="00DF5D3B"/>
    <w:pPr>
      <w:ind w:left="720"/>
      <w:contextualSpacing/>
    </w:pPr>
  </w:style>
  <w:style w:type="character" w:styleId="Hyperlink">
    <w:name w:val="Hyperlink"/>
    <w:basedOn w:val="DefaultParagraphFont"/>
    <w:uiPriority w:val="99"/>
    <w:unhideWhenUsed/>
    <w:rsid w:val="00DF5D3B"/>
    <w:rPr>
      <w:color w:val="0000FF" w:themeColor="hyperlink"/>
      <w:u w:val="single"/>
    </w:rPr>
  </w:style>
  <w:style w:type="paragraph" w:styleId="BalloonText">
    <w:name w:val="Balloon Text"/>
    <w:basedOn w:val="Normal"/>
    <w:link w:val="BalloonTextChar"/>
    <w:uiPriority w:val="99"/>
    <w:semiHidden/>
    <w:unhideWhenUsed/>
    <w:rsid w:val="00C373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731C"/>
    <w:rPr>
      <w:rFonts w:ascii="Tahoma" w:hAnsi="Tahoma" w:cs="Tahoma"/>
      <w:sz w:val="16"/>
      <w:szCs w:val="16"/>
    </w:rPr>
  </w:style>
  <w:style w:type="table" w:styleId="MediumShading1-Accent2">
    <w:name w:val="Medium Shading 1 Accent 2"/>
    <w:basedOn w:val="TableNormal"/>
    <w:uiPriority w:val="63"/>
    <w:rsid w:val="00C3731C"/>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paragraph" w:styleId="TOCHeading">
    <w:name w:val="TOC Heading"/>
    <w:basedOn w:val="Heading1"/>
    <w:next w:val="Normal"/>
    <w:uiPriority w:val="39"/>
    <w:semiHidden/>
    <w:unhideWhenUsed/>
    <w:qFormat/>
    <w:rsid w:val="00C3731C"/>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C3731C"/>
    <w:pPr>
      <w:spacing w:after="100"/>
    </w:pPr>
  </w:style>
  <w:style w:type="paragraph" w:styleId="TOC2">
    <w:name w:val="toc 2"/>
    <w:basedOn w:val="Normal"/>
    <w:next w:val="Normal"/>
    <w:autoRedefine/>
    <w:uiPriority w:val="39"/>
    <w:unhideWhenUsed/>
    <w:rsid w:val="00C373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08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blackhat.com/USA-19/Thursday/us-19-Cai-0-Days-And-Mitigations-Roadways-To-Exploit-And-Secure-Connected-BMW-Cars-wp.pdf" TargetMode="External"/><Relationship Id="rId18" Type="http://schemas.openxmlformats.org/officeDocument/2006/relationships/hyperlink" Target="https://sms.onlinelibrary.wiley.com/doi/full/10.1002/gsj.1442" TargetMode="External"/><Relationship Id="rId26" Type="http://schemas.openxmlformats.org/officeDocument/2006/relationships/hyperlink" Target="https://www.emerald.com/jbs/article/42/4/268/224565" TargetMode="External"/><Relationship Id="rId39" Type="http://schemas.openxmlformats.org/officeDocument/2006/relationships/hyperlink" Target="https://www.taylorfrancis.com/chapters/edit/10.4324/9781315058993-10/take-company-global-market-george-yip-pierre-loewe-michael-yoshino" TargetMode="External"/><Relationship Id="rId21" Type="http://schemas.openxmlformats.org/officeDocument/2006/relationships/hyperlink" Target="https://link.springer.com/article/10.1007/s11301-018-0148-4" TargetMode="External"/><Relationship Id="rId34" Type="http://schemas.openxmlformats.org/officeDocument/2006/relationships/hyperlink" Target="https://www.inderscienceonline.com/doi/abs/10.1504/IJATM.2020.110407"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eeol.com/search/article-detail?id=1073811" TargetMode="External"/><Relationship Id="rId20" Type="http://schemas.openxmlformats.org/officeDocument/2006/relationships/hyperlink" Target="https://library.oapen.org/bitstream/handle/20.500.12657/88074/9781040014530.pdf?sequence=1" TargetMode="External"/><Relationship Id="rId29" Type="http://schemas.openxmlformats.org/officeDocument/2006/relationships/hyperlink" Target="https://www.mdpi.com/2071-1050/14/7/400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wgroup.com/en.html" TargetMode="External"/><Relationship Id="rId24" Type="http://schemas.openxmlformats.org/officeDocument/2006/relationships/hyperlink" Target="https://littera-scripta.com/wp-content/uploads/2019/08/Cel%C3%A9-%C4%8D%C3%ADslo-titulka.pdf" TargetMode="External"/><Relationship Id="rId32" Type="http://schemas.openxmlformats.org/officeDocument/2006/relationships/hyperlink" Target="https://link.springer.com/book/10.1007/978-3-030-40172-6" TargetMode="External"/><Relationship Id="rId37" Type="http://schemas.openxmlformats.org/officeDocument/2006/relationships/hyperlink" Target="https://journals.sagepub.com/doi/full/10.1177/2043886920944185"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dpi.com/2071-1050/17/8/3428" TargetMode="External"/><Relationship Id="rId23" Type="http://schemas.openxmlformats.org/officeDocument/2006/relationships/hyperlink" Target="https://dl.acm.org/doi/abs/10.1145/3529190.3534725" TargetMode="External"/><Relationship Id="rId28" Type="http://schemas.openxmlformats.org/officeDocument/2006/relationships/hyperlink" Target="https://www.inderscienceonline.com/doi/abs/10.1504/IJBPSCM.2021.120745" TargetMode="External"/><Relationship Id="rId36" Type="http://schemas.openxmlformats.org/officeDocument/2006/relationships/hyperlink" Target="https://www.sciencedirect.com/science/chapter/edited-volume/abs/pii/B9780128184110000100" TargetMode="External"/><Relationship Id="rId10" Type="http://schemas.openxmlformats.org/officeDocument/2006/relationships/hyperlink" Target="https://www.inderscienceonline.com/doi/abs/10.1504/IJATM.2019.098507" TargetMode="External"/><Relationship Id="rId19" Type="http://schemas.openxmlformats.org/officeDocument/2006/relationships/hyperlink" Target="https://onlinelibrary.wiley.com/doi/abs/10.1002/jsc.2322" TargetMode="External"/><Relationship Id="rId31" Type="http://schemas.openxmlformats.org/officeDocument/2006/relationships/hyperlink" Target="https://papers.ssrn.com/sol3/papers.cfm?abstract_id=39345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ylorfrancis.com/chapters/edit/10.4324/9781315276670-1/innovation-innovation-management-jin-chen-eric-viardot-alexander-brem" TargetMode="External"/><Relationship Id="rId22" Type="http://schemas.openxmlformats.org/officeDocument/2006/relationships/hyperlink" Target="https://link.springer.com/chapter/10.1007/978-3-030-63315-8_15" TargetMode="External"/><Relationship Id="rId27" Type="http://schemas.openxmlformats.org/officeDocument/2006/relationships/hyperlink" Target="https://link.springer.com/chapter/10.1007/978-3-030-40172-6_11" TargetMode="External"/><Relationship Id="rId30" Type="http://schemas.openxmlformats.org/officeDocument/2006/relationships/hyperlink" Target="https://www.ceeol.com/search/article-detail?id=1000585" TargetMode="External"/><Relationship Id="rId35" Type="http://schemas.openxmlformats.org/officeDocument/2006/relationships/hyperlink" Target="https://pure.au.dk/portal/en/publications/transformative-versus-conservative-automotive-innovation-styles-c/"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derscienceonline.com/doi/abs/10.1504/EJIM.2023.131703" TargetMode="External"/><Relationship Id="rId17" Type="http://schemas.openxmlformats.org/officeDocument/2006/relationships/hyperlink" Target="https://link.springer.com/chapter/10.1007/978-3-031-42224-9_8" TargetMode="External"/><Relationship Id="rId25" Type="http://schemas.openxmlformats.org/officeDocument/2006/relationships/hyperlink" Target="https://www.inderscienceonline.com/doi/abs/10.1504/IJBIR.2021.114117" TargetMode="External"/><Relationship Id="rId33" Type="http://schemas.openxmlformats.org/officeDocument/2006/relationships/hyperlink" Target="https://pmc.ncbi.nlm.nih.gov/articles/PMC7330527/" TargetMode="External"/><Relationship Id="rId38" Type="http://schemas.openxmlformats.org/officeDocument/2006/relationships/hyperlink" Target="https://ieeexplore.ieee.org/abstract/document/9194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A9B2F9-A459-4D5E-90F1-EBE45C553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7566</Words>
  <Characters>43131</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Elvis Liviu Nassiri Basti (2112789)</cp:lastModifiedBy>
  <cp:revision>2</cp:revision>
  <dcterms:created xsi:type="dcterms:W3CDTF">2025-11-29T10:27:00Z</dcterms:created>
  <dcterms:modified xsi:type="dcterms:W3CDTF">2025-11-29T10:27:00Z</dcterms:modified>
</cp:coreProperties>
</file>