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1C8F0" w14:textId="77777777" w:rsidR="00A60417" w:rsidRPr="001C7049" w:rsidRDefault="00A60417" w:rsidP="001C4496">
      <w:pPr>
        <w:spacing w:after="300" w:line="360" w:lineRule="auto"/>
        <w:jc w:val="both"/>
        <w:rPr>
          <w:rFonts w:ascii="Arial" w:hAnsi="Arial" w:cs="Arial"/>
          <w:b/>
          <w:bCs/>
          <w:sz w:val="22"/>
          <w:szCs w:val="22"/>
        </w:rPr>
      </w:pPr>
    </w:p>
    <w:p w14:paraId="2E0F4575" w14:textId="77777777" w:rsidR="00C430B9" w:rsidRPr="001C7049" w:rsidRDefault="00C430B9" w:rsidP="001C4496">
      <w:pPr>
        <w:tabs>
          <w:tab w:val="left" w:pos="6540"/>
        </w:tabs>
        <w:spacing w:line="360" w:lineRule="auto"/>
        <w:jc w:val="both"/>
        <w:rPr>
          <w:rFonts w:ascii="Arial" w:hAnsi="Arial" w:cs="Arial"/>
          <w:sz w:val="22"/>
          <w:szCs w:val="22"/>
        </w:rPr>
      </w:pPr>
      <w:r w:rsidRPr="001C7049">
        <w:rPr>
          <w:rFonts w:ascii="Arial" w:hAnsi="Arial" w:cs="Arial"/>
          <w:b/>
          <w:bCs/>
          <w:sz w:val="22"/>
          <w:szCs w:val="22"/>
        </w:rPr>
        <w:t>Student name</w:t>
      </w:r>
      <w:r w:rsidRPr="001C7049">
        <w:rPr>
          <w:rFonts w:ascii="Arial" w:hAnsi="Arial" w:cs="Arial"/>
          <w:sz w:val="22"/>
          <w:szCs w:val="22"/>
        </w:rPr>
        <w:t>: Chantal Montille</w:t>
      </w:r>
    </w:p>
    <w:p w14:paraId="1AE861AA" w14:textId="77777777" w:rsidR="00C430B9" w:rsidRPr="001C7049" w:rsidRDefault="00C430B9" w:rsidP="001C4496">
      <w:pPr>
        <w:tabs>
          <w:tab w:val="left" w:pos="6540"/>
        </w:tabs>
        <w:spacing w:line="360" w:lineRule="auto"/>
        <w:jc w:val="both"/>
        <w:rPr>
          <w:rFonts w:ascii="Arial" w:hAnsi="Arial" w:cs="Arial"/>
          <w:sz w:val="22"/>
          <w:szCs w:val="22"/>
        </w:rPr>
      </w:pPr>
      <w:r w:rsidRPr="001C7049">
        <w:rPr>
          <w:rFonts w:ascii="Arial" w:hAnsi="Arial" w:cs="Arial"/>
          <w:b/>
          <w:bCs/>
          <w:sz w:val="22"/>
          <w:szCs w:val="22"/>
        </w:rPr>
        <w:t>Student ID</w:t>
      </w:r>
      <w:r w:rsidRPr="001C7049">
        <w:rPr>
          <w:rFonts w:ascii="Arial" w:hAnsi="Arial" w:cs="Arial"/>
          <w:sz w:val="22"/>
          <w:szCs w:val="22"/>
        </w:rPr>
        <w:t>: 2532540</w:t>
      </w:r>
    </w:p>
    <w:p w14:paraId="75A1F2F2" w14:textId="77777777" w:rsidR="00422087" w:rsidRDefault="00C430B9" w:rsidP="001C4496">
      <w:pPr>
        <w:spacing w:after="300" w:line="360" w:lineRule="auto"/>
        <w:jc w:val="both"/>
        <w:rPr>
          <w:rFonts w:ascii="Arial" w:hAnsi="Arial" w:cs="Arial"/>
          <w:sz w:val="22"/>
          <w:szCs w:val="22"/>
        </w:rPr>
      </w:pPr>
      <w:r w:rsidRPr="001C7049">
        <w:rPr>
          <w:rFonts w:ascii="Arial" w:hAnsi="Arial" w:cs="Arial"/>
          <w:b/>
          <w:bCs/>
          <w:sz w:val="22"/>
          <w:szCs w:val="22"/>
        </w:rPr>
        <w:t>Module name</w:t>
      </w:r>
      <w:r w:rsidRPr="001C7049">
        <w:rPr>
          <w:rFonts w:ascii="Arial" w:hAnsi="Arial" w:cs="Arial"/>
          <w:sz w:val="22"/>
          <w:szCs w:val="22"/>
        </w:rPr>
        <w:t xml:space="preserve">: Introduction to Public Health: </w:t>
      </w:r>
      <w:r w:rsidR="009E78ED" w:rsidRPr="001C7049">
        <w:rPr>
          <w:rFonts w:ascii="Arial" w:hAnsi="Arial" w:cs="Arial"/>
          <w:b/>
          <w:bCs/>
          <w:sz w:val="22"/>
          <w:szCs w:val="22"/>
        </w:rPr>
        <w:t>Depression in the United Kingdom: A Public Health Perspective</w:t>
      </w:r>
    </w:p>
    <w:p w14:paraId="313D76C6" w14:textId="7916AAC3" w:rsidR="00C430B9" w:rsidRPr="00422087" w:rsidRDefault="00C430B9" w:rsidP="001C4496">
      <w:pPr>
        <w:spacing w:after="300" w:line="360" w:lineRule="auto"/>
        <w:jc w:val="both"/>
        <w:rPr>
          <w:rFonts w:ascii="Arial" w:hAnsi="Arial" w:cs="Arial"/>
          <w:sz w:val="22"/>
          <w:szCs w:val="22"/>
        </w:rPr>
      </w:pPr>
      <w:r w:rsidRPr="00A712D3">
        <w:rPr>
          <w:rFonts w:ascii="Arial" w:hAnsi="Arial" w:cs="Arial"/>
          <w:b/>
          <w:bCs/>
        </w:rPr>
        <w:t>Module code</w:t>
      </w:r>
      <w:r w:rsidRPr="00A712D3">
        <w:rPr>
          <w:rFonts w:ascii="Arial" w:hAnsi="Arial" w:cs="Arial"/>
        </w:rPr>
        <w:t>: LCHS - 400</w:t>
      </w:r>
      <w:r>
        <w:rPr>
          <w:rFonts w:ascii="Arial" w:hAnsi="Arial" w:cs="Arial"/>
        </w:rPr>
        <w:t>8</w:t>
      </w:r>
    </w:p>
    <w:p w14:paraId="1E024C78" w14:textId="77777777" w:rsidR="00C430B9" w:rsidRDefault="00C430B9" w:rsidP="001C4496">
      <w:pPr>
        <w:spacing w:line="360" w:lineRule="auto"/>
        <w:rPr>
          <w:b/>
          <w:bCs/>
        </w:rPr>
      </w:pPr>
      <w:r w:rsidRPr="00A712D3">
        <w:rPr>
          <w:rFonts w:ascii="Arial" w:hAnsi="Arial" w:cs="Arial"/>
          <w:b/>
          <w:bCs/>
        </w:rPr>
        <w:t>Lecturer name</w:t>
      </w:r>
      <w:r w:rsidRPr="00A712D3">
        <w:rPr>
          <w:rFonts w:ascii="Arial" w:hAnsi="Arial" w:cs="Arial"/>
        </w:rPr>
        <w:t xml:space="preserve">: Dr </w:t>
      </w:r>
      <w:r>
        <w:rPr>
          <w:rFonts w:ascii="Arial" w:hAnsi="Arial" w:cs="Arial"/>
        </w:rPr>
        <w:t xml:space="preserve">Ziko Sherperd </w:t>
      </w:r>
    </w:p>
    <w:p w14:paraId="2AA6B325" w14:textId="77777777" w:rsidR="00A60417" w:rsidRDefault="00A60417" w:rsidP="001C4496">
      <w:pPr>
        <w:spacing w:after="300" w:line="360" w:lineRule="auto"/>
        <w:jc w:val="both"/>
        <w:rPr>
          <w:b/>
          <w:bCs/>
          <w:sz w:val="32"/>
          <w:szCs w:val="32"/>
        </w:rPr>
      </w:pPr>
    </w:p>
    <w:p w14:paraId="440DC306" w14:textId="77777777" w:rsidR="00A60417" w:rsidRDefault="00A60417" w:rsidP="009D5ED6">
      <w:pPr>
        <w:spacing w:after="300" w:line="360" w:lineRule="auto"/>
        <w:jc w:val="both"/>
        <w:rPr>
          <w:b/>
          <w:bCs/>
          <w:sz w:val="32"/>
          <w:szCs w:val="32"/>
        </w:rPr>
      </w:pPr>
    </w:p>
    <w:p w14:paraId="0D8DF549" w14:textId="77777777" w:rsidR="00A60417" w:rsidRPr="001C4496" w:rsidRDefault="00A60417" w:rsidP="009D5ED6">
      <w:pPr>
        <w:spacing w:after="300" w:line="360" w:lineRule="auto"/>
        <w:jc w:val="both"/>
        <w:rPr>
          <w:rFonts w:ascii="Arial" w:hAnsi="Arial" w:cs="Arial"/>
          <w:b/>
          <w:bCs/>
          <w:sz w:val="22"/>
          <w:szCs w:val="22"/>
        </w:rPr>
      </w:pPr>
    </w:p>
    <w:sdt>
      <w:sdtPr>
        <w:id w:val="1530985206"/>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7682D754" w14:textId="3862493C" w:rsidR="00941E0E" w:rsidRDefault="00941E0E">
          <w:pPr>
            <w:pStyle w:val="TOCHeading"/>
          </w:pPr>
          <w:r>
            <w:t>Table of Contents</w:t>
          </w:r>
        </w:p>
        <w:p w14:paraId="627B736F" w14:textId="642A4FDF"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390239" w:history="1">
            <w:r w:rsidRPr="0086384A">
              <w:rPr>
                <w:rStyle w:val="Hyperlink"/>
                <w:noProof/>
              </w:rPr>
              <w:t>Introduction</w:t>
            </w:r>
            <w:r>
              <w:rPr>
                <w:noProof/>
                <w:webHidden/>
              </w:rPr>
              <w:tab/>
            </w:r>
            <w:r>
              <w:rPr>
                <w:noProof/>
                <w:webHidden/>
              </w:rPr>
              <w:fldChar w:fldCharType="begin"/>
            </w:r>
            <w:r>
              <w:rPr>
                <w:noProof/>
                <w:webHidden/>
              </w:rPr>
              <w:instrText xml:space="preserve"> PAGEREF _Toc237390239 \h </w:instrText>
            </w:r>
            <w:r>
              <w:rPr>
                <w:noProof/>
                <w:webHidden/>
              </w:rPr>
            </w:r>
            <w:r>
              <w:rPr>
                <w:noProof/>
                <w:webHidden/>
              </w:rPr>
              <w:fldChar w:fldCharType="separate"/>
            </w:r>
            <w:r>
              <w:rPr>
                <w:noProof/>
                <w:webHidden/>
              </w:rPr>
              <w:t>2</w:t>
            </w:r>
            <w:r>
              <w:rPr>
                <w:noProof/>
                <w:webHidden/>
              </w:rPr>
              <w:fldChar w:fldCharType="end"/>
            </w:r>
          </w:hyperlink>
        </w:p>
        <w:p w14:paraId="350857EB" w14:textId="2D68434E"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90240" w:history="1">
            <w:r w:rsidRPr="0086384A">
              <w:rPr>
                <w:rStyle w:val="Hyperlink"/>
                <w:rFonts w:ascii="Arial" w:hAnsi="Arial" w:cs="Arial"/>
                <w:noProof/>
              </w:rPr>
              <w:t>Approaches Used to Measure and Monitor Depression in the United Kingdom</w:t>
            </w:r>
            <w:r>
              <w:rPr>
                <w:noProof/>
                <w:webHidden/>
              </w:rPr>
              <w:tab/>
            </w:r>
            <w:r>
              <w:rPr>
                <w:noProof/>
                <w:webHidden/>
              </w:rPr>
              <w:fldChar w:fldCharType="begin"/>
            </w:r>
            <w:r>
              <w:rPr>
                <w:noProof/>
                <w:webHidden/>
              </w:rPr>
              <w:instrText xml:space="preserve"> PAGEREF _Toc237390240 \h </w:instrText>
            </w:r>
            <w:r>
              <w:rPr>
                <w:noProof/>
                <w:webHidden/>
              </w:rPr>
            </w:r>
            <w:r>
              <w:rPr>
                <w:noProof/>
                <w:webHidden/>
              </w:rPr>
              <w:fldChar w:fldCharType="separate"/>
            </w:r>
            <w:r>
              <w:rPr>
                <w:noProof/>
                <w:webHidden/>
              </w:rPr>
              <w:t>2</w:t>
            </w:r>
            <w:r>
              <w:rPr>
                <w:noProof/>
                <w:webHidden/>
              </w:rPr>
              <w:fldChar w:fldCharType="end"/>
            </w:r>
          </w:hyperlink>
        </w:p>
        <w:p w14:paraId="1C21B01C" w14:textId="34463319"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90241" w:history="1">
            <w:r w:rsidRPr="0086384A">
              <w:rPr>
                <w:rStyle w:val="Hyperlink"/>
                <w:rFonts w:ascii="Arial" w:hAnsi="Arial" w:cs="Arial"/>
                <w:noProof/>
              </w:rPr>
              <w:t>Consequences of Depression on Individuals and Communities</w:t>
            </w:r>
            <w:r>
              <w:rPr>
                <w:noProof/>
                <w:webHidden/>
              </w:rPr>
              <w:tab/>
            </w:r>
            <w:r>
              <w:rPr>
                <w:noProof/>
                <w:webHidden/>
              </w:rPr>
              <w:fldChar w:fldCharType="begin"/>
            </w:r>
            <w:r>
              <w:rPr>
                <w:noProof/>
                <w:webHidden/>
              </w:rPr>
              <w:instrText xml:space="preserve"> PAGEREF _Toc237390241 \h </w:instrText>
            </w:r>
            <w:r>
              <w:rPr>
                <w:noProof/>
                <w:webHidden/>
              </w:rPr>
            </w:r>
            <w:r>
              <w:rPr>
                <w:noProof/>
                <w:webHidden/>
              </w:rPr>
              <w:fldChar w:fldCharType="separate"/>
            </w:r>
            <w:r>
              <w:rPr>
                <w:noProof/>
                <w:webHidden/>
              </w:rPr>
              <w:t>5</w:t>
            </w:r>
            <w:r>
              <w:rPr>
                <w:noProof/>
                <w:webHidden/>
              </w:rPr>
              <w:fldChar w:fldCharType="end"/>
            </w:r>
          </w:hyperlink>
        </w:p>
        <w:p w14:paraId="536DDE90" w14:textId="52C30FF3"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90242" w:history="1">
            <w:r w:rsidRPr="0086384A">
              <w:rPr>
                <w:rStyle w:val="Hyperlink"/>
                <w:rFonts w:ascii="Arial" w:hAnsi="Arial" w:cs="Arial"/>
                <w:noProof/>
              </w:rPr>
              <w:t>Health and Social Care Support Services Required</w:t>
            </w:r>
            <w:r>
              <w:rPr>
                <w:noProof/>
                <w:webHidden/>
              </w:rPr>
              <w:tab/>
            </w:r>
            <w:r>
              <w:rPr>
                <w:noProof/>
                <w:webHidden/>
              </w:rPr>
              <w:fldChar w:fldCharType="begin"/>
            </w:r>
            <w:r>
              <w:rPr>
                <w:noProof/>
                <w:webHidden/>
              </w:rPr>
              <w:instrText xml:space="preserve"> PAGEREF _Toc237390242 \h </w:instrText>
            </w:r>
            <w:r>
              <w:rPr>
                <w:noProof/>
                <w:webHidden/>
              </w:rPr>
            </w:r>
            <w:r>
              <w:rPr>
                <w:noProof/>
                <w:webHidden/>
              </w:rPr>
              <w:fldChar w:fldCharType="separate"/>
            </w:r>
            <w:r>
              <w:rPr>
                <w:noProof/>
                <w:webHidden/>
              </w:rPr>
              <w:t>6</w:t>
            </w:r>
            <w:r>
              <w:rPr>
                <w:noProof/>
                <w:webHidden/>
              </w:rPr>
              <w:fldChar w:fldCharType="end"/>
            </w:r>
          </w:hyperlink>
        </w:p>
        <w:p w14:paraId="39002396" w14:textId="79FB2F0F"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90243" w:history="1">
            <w:r w:rsidRPr="0086384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_Toc237390243 \h </w:instrText>
            </w:r>
            <w:r>
              <w:rPr>
                <w:noProof/>
                <w:webHidden/>
              </w:rPr>
            </w:r>
            <w:r>
              <w:rPr>
                <w:noProof/>
                <w:webHidden/>
              </w:rPr>
              <w:fldChar w:fldCharType="separate"/>
            </w:r>
            <w:r>
              <w:rPr>
                <w:noProof/>
                <w:webHidden/>
              </w:rPr>
              <w:t>6</w:t>
            </w:r>
            <w:r>
              <w:rPr>
                <w:noProof/>
                <w:webHidden/>
              </w:rPr>
              <w:fldChar w:fldCharType="end"/>
            </w:r>
          </w:hyperlink>
        </w:p>
        <w:p w14:paraId="55621333" w14:textId="7B50C9DC" w:rsidR="00941E0E" w:rsidRDefault="00941E0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90244" w:history="1">
            <w:r w:rsidRPr="0086384A">
              <w:rPr>
                <w:rStyle w:val="Hyperlink"/>
                <w:rFonts w:ascii="Arial" w:hAnsi="Arial" w:cs="Arial"/>
                <w:noProof/>
              </w:rPr>
              <w:t>Harvard References</w:t>
            </w:r>
            <w:r>
              <w:rPr>
                <w:noProof/>
                <w:webHidden/>
              </w:rPr>
              <w:tab/>
            </w:r>
            <w:r>
              <w:rPr>
                <w:noProof/>
                <w:webHidden/>
              </w:rPr>
              <w:fldChar w:fldCharType="begin"/>
            </w:r>
            <w:r>
              <w:rPr>
                <w:noProof/>
                <w:webHidden/>
              </w:rPr>
              <w:instrText xml:space="preserve"> PAGEREF _Toc237390244 \h </w:instrText>
            </w:r>
            <w:r>
              <w:rPr>
                <w:noProof/>
                <w:webHidden/>
              </w:rPr>
            </w:r>
            <w:r>
              <w:rPr>
                <w:noProof/>
                <w:webHidden/>
              </w:rPr>
              <w:fldChar w:fldCharType="separate"/>
            </w:r>
            <w:r>
              <w:rPr>
                <w:noProof/>
                <w:webHidden/>
              </w:rPr>
              <w:t>8</w:t>
            </w:r>
            <w:r>
              <w:rPr>
                <w:noProof/>
                <w:webHidden/>
              </w:rPr>
              <w:fldChar w:fldCharType="end"/>
            </w:r>
          </w:hyperlink>
        </w:p>
        <w:p w14:paraId="148BAF40" w14:textId="655CE8F7" w:rsidR="00941E0E" w:rsidRDefault="00941E0E">
          <w:r>
            <w:rPr>
              <w:b/>
              <w:bCs/>
            </w:rPr>
            <w:fldChar w:fldCharType="end"/>
          </w:r>
        </w:p>
      </w:sdtContent>
    </w:sdt>
    <w:p w14:paraId="321EAAFF" w14:textId="77777777" w:rsidR="00A60417" w:rsidRPr="001C4496" w:rsidRDefault="00A60417" w:rsidP="009D5ED6">
      <w:pPr>
        <w:spacing w:after="300" w:line="360" w:lineRule="auto"/>
        <w:jc w:val="both"/>
        <w:rPr>
          <w:rFonts w:ascii="Arial" w:hAnsi="Arial" w:cs="Arial"/>
          <w:b/>
          <w:bCs/>
          <w:sz w:val="22"/>
          <w:szCs w:val="22"/>
        </w:rPr>
      </w:pPr>
    </w:p>
    <w:p w14:paraId="63D82D0B" w14:textId="77777777" w:rsidR="00A60417" w:rsidRDefault="00A60417" w:rsidP="009D5ED6">
      <w:pPr>
        <w:spacing w:after="300" w:line="360" w:lineRule="auto"/>
        <w:jc w:val="both"/>
        <w:rPr>
          <w:b/>
          <w:bCs/>
          <w:sz w:val="32"/>
          <w:szCs w:val="32"/>
        </w:rPr>
      </w:pPr>
    </w:p>
    <w:p w14:paraId="2A2AB9CA" w14:textId="77777777" w:rsidR="00A60417" w:rsidRDefault="00A60417" w:rsidP="009D5ED6">
      <w:pPr>
        <w:spacing w:after="300" w:line="360" w:lineRule="auto"/>
        <w:jc w:val="both"/>
        <w:rPr>
          <w:b/>
          <w:bCs/>
          <w:sz w:val="32"/>
          <w:szCs w:val="32"/>
        </w:rPr>
      </w:pPr>
    </w:p>
    <w:p w14:paraId="46F07148" w14:textId="77777777" w:rsidR="001C2479" w:rsidRDefault="001C2479" w:rsidP="009D5ED6">
      <w:pPr>
        <w:spacing w:after="300" w:line="360" w:lineRule="auto"/>
        <w:jc w:val="both"/>
        <w:rPr>
          <w:b/>
          <w:bCs/>
          <w:sz w:val="32"/>
          <w:szCs w:val="32"/>
        </w:rPr>
      </w:pPr>
    </w:p>
    <w:p w14:paraId="1D3E6F34" w14:textId="77777777" w:rsidR="00A60417" w:rsidRDefault="00A60417" w:rsidP="009D5ED6">
      <w:pPr>
        <w:spacing w:after="300" w:line="360" w:lineRule="auto"/>
        <w:jc w:val="both"/>
        <w:rPr>
          <w:b/>
          <w:bCs/>
          <w:sz w:val="32"/>
          <w:szCs w:val="32"/>
        </w:rPr>
      </w:pPr>
    </w:p>
    <w:p w14:paraId="0C3D2FEE" w14:textId="6BF1FDE0" w:rsidR="001C6928" w:rsidRPr="0043317A" w:rsidRDefault="00524A28" w:rsidP="0043317A">
      <w:pPr>
        <w:spacing w:after="300" w:line="360" w:lineRule="auto"/>
        <w:jc w:val="both"/>
      </w:pPr>
      <w:r>
        <w:rPr>
          <w:b/>
          <w:bCs/>
          <w:sz w:val="32"/>
          <w:szCs w:val="32"/>
        </w:rPr>
        <w:lastRenderedPageBreak/>
        <w:t>Depression in the United Kingdom: A Public Health Perspective</w:t>
      </w:r>
    </w:p>
    <w:p w14:paraId="0A7C6A3D" w14:textId="69B97EAA" w:rsidR="00595A5B" w:rsidRDefault="00524A28" w:rsidP="009D5ED6">
      <w:pPr>
        <w:pStyle w:val="Heading1"/>
        <w:spacing w:before="300" w:after="150" w:line="360" w:lineRule="auto"/>
        <w:jc w:val="both"/>
      </w:pPr>
      <w:bookmarkStart w:id="0" w:name="_Toc237390239"/>
      <w:r>
        <w:t>Introduction</w:t>
      </w:r>
      <w:bookmarkEnd w:id="0"/>
    </w:p>
    <w:p w14:paraId="3BBEFF89" w14:textId="51F514AF" w:rsidR="00B014D5" w:rsidRPr="00293A91" w:rsidRDefault="000C3108" w:rsidP="00293A91">
      <w:pPr>
        <w:spacing w:after="200" w:line="360" w:lineRule="auto"/>
        <w:jc w:val="both"/>
        <w:rPr>
          <w:rFonts w:ascii="Arial" w:hAnsi="Arial" w:cs="Arial"/>
          <w:sz w:val="22"/>
          <w:szCs w:val="22"/>
        </w:rPr>
      </w:pPr>
      <w:r w:rsidRPr="00293A91">
        <w:rPr>
          <w:rFonts w:ascii="Arial" w:hAnsi="Arial" w:cs="Arial"/>
          <w:sz w:val="22"/>
          <w:szCs w:val="22"/>
        </w:rPr>
        <w:t>Depression is defined by the NHS (2023) as a common mental</w:t>
      </w:r>
      <w:r w:rsidRPr="00293A91">
        <w:rPr>
          <w:rFonts w:ascii="Arial" w:hAnsi="Arial" w:cs="Arial"/>
          <w:sz w:val="22"/>
          <w:szCs w:val="22"/>
        </w:rPr>
        <w:noBreakHyphen/>
        <w:t>health disorder characterised by persistent low mood, anhedonia, reduced energy, and impaired daily functioning, often accompanied by sleep disturbance, appetite changes, cognitive difficulties, and suicidal ideation. Globally, the World Health Organization (2021) estimates that depression affects approximately 280 million people, making it one of the leading contributors to disability worldwide. In the UK, around one in six adults experience symptoms of a common mental disorder in any given week (McManus et al., 2016), with prevalence rising since the COVID</w:t>
      </w:r>
      <w:r w:rsidRPr="00293A91">
        <w:rPr>
          <w:rFonts w:ascii="Arial" w:hAnsi="Arial" w:cs="Arial"/>
          <w:sz w:val="22"/>
          <w:szCs w:val="22"/>
        </w:rPr>
        <w:noBreakHyphen/>
        <w:t>19 pandemic (ONS, 2022). Underdiagnosis remains a significant concern: a modelling study of 1.3 million NHS patients found higher underdiagnosis of depression and anxiety in less deprived areas (Anosova et al., 2025), challenging assumptions about deprivation gradients.</w:t>
      </w:r>
    </w:p>
    <w:p w14:paraId="1546A757" w14:textId="06FDDBC7" w:rsidR="00A71B53" w:rsidRPr="00293A91" w:rsidRDefault="001D26CF" w:rsidP="00293A91">
      <w:pPr>
        <w:spacing w:after="200" w:line="360" w:lineRule="auto"/>
        <w:jc w:val="both"/>
        <w:rPr>
          <w:rFonts w:ascii="Arial" w:hAnsi="Arial" w:cs="Arial"/>
          <w:sz w:val="22"/>
          <w:szCs w:val="22"/>
        </w:rPr>
      </w:pPr>
      <w:r w:rsidRPr="00293A91">
        <w:rPr>
          <w:rFonts w:ascii="Arial" w:hAnsi="Arial" w:cs="Arial"/>
          <w:sz w:val="22"/>
          <w:szCs w:val="22"/>
        </w:rPr>
        <w:t>This report examines depression through a public</w:t>
      </w:r>
      <w:r w:rsidRPr="00293A91">
        <w:rPr>
          <w:rFonts w:ascii="Arial" w:hAnsi="Arial" w:cs="Arial"/>
          <w:sz w:val="22"/>
          <w:szCs w:val="22"/>
        </w:rPr>
        <w:noBreakHyphen/>
        <w:t>health and health</w:t>
      </w:r>
      <w:r w:rsidRPr="00293A91">
        <w:rPr>
          <w:rFonts w:ascii="Arial" w:hAnsi="Arial" w:cs="Arial"/>
          <w:sz w:val="22"/>
          <w:szCs w:val="22"/>
        </w:rPr>
        <w:noBreakHyphen/>
        <w:t>equity lens, drawing on the Black Report (1980), Dahlgren and Whitehead’s (1991) social</w:t>
      </w:r>
      <w:r w:rsidRPr="00293A91">
        <w:rPr>
          <w:rFonts w:ascii="Arial" w:hAnsi="Arial" w:cs="Arial"/>
          <w:sz w:val="22"/>
          <w:szCs w:val="22"/>
        </w:rPr>
        <w:noBreakHyphen/>
        <w:t>determinants model, and the Marmot Reviews (2010; 2020) to analyse how structural conditions—including income, housing, education, employment, and community resources—shape risk, diagnosis, treatment access, and outcomes. The main body explores approaches used to measure and monitor depression, mechanisms of disease control, consequences for individuals and communities, and the health and social</w:t>
      </w:r>
      <w:r w:rsidRPr="00293A91">
        <w:rPr>
          <w:rFonts w:ascii="Arial" w:hAnsi="Arial" w:cs="Arial"/>
          <w:sz w:val="22"/>
          <w:szCs w:val="22"/>
        </w:rPr>
        <w:noBreakHyphen/>
        <w:t>care services required. Integrating public</w:t>
      </w:r>
      <w:r w:rsidRPr="00293A91">
        <w:rPr>
          <w:rFonts w:ascii="Arial" w:hAnsi="Arial" w:cs="Arial"/>
          <w:sz w:val="22"/>
          <w:szCs w:val="22"/>
        </w:rPr>
        <w:noBreakHyphen/>
        <w:t>health frameworks and biopsychosocial reasoning highlights how structural inequalities fundamentally influence the burden of</w:t>
      </w:r>
      <w:r w:rsidR="006E57A1" w:rsidRPr="00293A91">
        <w:rPr>
          <w:rFonts w:ascii="Arial" w:hAnsi="Arial" w:cs="Arial"/>
          <w:sz w:val="22"/>
          <w:szCs w:val="22"/>
        </w:rPr>
        <w:t xml:space="preserve"> depression in the United Kingdom.</w:t>
      </w:r>
    </w:p>
    <w:p w14:paraId="5BEF93E3" w14:textId="126E57CF" w:rsidR="00595A5B" w:rsidRDefault="00524A28" w:rsidP="00293A91">
      <w:pPr>
        <w:pStyle w:val="Heading1"/>
        <w:spacing w:before="300" w:after="150" w:line="360" w:lineRule="auto"/>
        <w:jc w:val="both"/>
        <w:rPr>
          <w:rFonts w:ascii="Arial" w:hAnsi="Arial" w:cs="Arial"/>
          <w:sz w:val="22"/>
          <w:szCs w:val="22"/>
        </w:rPr>
      </w:pPr>
      <w:bookmarkStart w:id="1" w:name="_Toc237390240"/>
      <w:r w:rsidRPr="00293A91">
        <w:rPr>
          <w:rFonts w:ascii="Arial" w:hAnsi="Arial" w:cs="Arial"/>
          <w:sz w:val="22"/>
          <w:szCs w:val="22"/>
        </w:rPr>
        <w:t>Approaches Used to Measure and Monitor Depression in the U</w:t>
      </w:r>
      <w:r w:rsidR="00F90242" w:rsidRPr="00293A91">
        <w:rPr>
          <w:rFonts w:ascii="Arial" w:hAnsi="Arial" w:cs="Arial"/>
          <w:sz w:val="22"/>
          <w:szCs w:val="22"/>
        </w:rPr>
        <w:t xml:space="preserve">nited </w:t>
      </w:r>
      <w:r w:rsidRPr="00293A91">
        <w:rPr>
          <w:rFonts w:ascii="Arial" w:hAnsi="Arial" w:cs="Arial"/>
          <w:sz w:val="22"/>
          <w:szCs w:val="22"/>
        </w:rPr>
        <w:t>K</w:t>
      </w:r>
      <w:r w:rsidR="00F90242" w:rsidRPr="00293A91">
        <w:rPr>
          <w:rFonts w:ascii="Arial" w:hAnsi="Arial" w:cs="Arial"/>
          <w:sz w:val="22"/>
          <w:szCs w:val="22"/>
        </w:rPr>
        <w:t>ingdom</w:t>
      </w:r>
      <w:bookmarkEnd w:id="1"/>
    </w:p>
    <w:p w14:paraId="7EE18E50" w14:textId="0F11571D" w:rsidR="004B615B" w:rsidRPr="00293A91" w:rsidRDefault="0056775C" w:rsidP="00293A91">
      <w:pPr>
        <w:spacing w:after="200" w:line="360" w:lineRule="auto"/>
        <w:jc w:val="both"/>
        <w:rPr>
          <w:rFonts w:ascii="Arial" w:hAnsi="Arial" w:cs="Arial"/>
          <w:sz w:val="22"/>
          <w:szCs w:val="22"/>
        </w:rPr>
      </w:pPr>
      <w:r w:rsidRPr="00293A91">
        <w:rPr>
          <w:rFonts w:ascii="Arial" w:hAnsi="Arial" w:cs="Arial"/>
          <w:sz w:val="22"/>
          <w:szCs w:val="22"/>
        </w:rPr>
        <w:t xml:space="preserve">Kroenke et al., (2001) </w:t>
      </w:r>
      <w:r w:rsidR="00DB07C3" w:rsidRPr="00293A91">
        <w:rPr>
          <w:rFonts w:ascii="Arial" w:hAnsi="Arial" w:cs="Arial"/>
          <w:sz w:val="22"/>
          <w:szCs w:val="22"/>
        </w:rPr>
        <w:t>explain that m</w:t>
      </w:r>
      <w:r w:rsidR="004B615B" w:rsidRPr="00293A91">
        <w:rPr>
          <w:rFonts w:ascii="Arial" w:hAnsi="Arial" w:cs="Arial"/>
          <w:sz w:val="22"/>
          <w:szCs w:val="22"/>
        </w:rPr>
        <w:t>onitor</w:t>
      </w:r>
      <w:r w:rsidR="00DB07C3" w:rsidRPr="00293A91">
        <w:rPr>
          <w:rFonts w:ascii="Arial" w:hAnsi="Arial" w:cs="Arial"/>
          <w:sz w:val="22"/>
          <w:szCs w:val="22"/>
        </w:rPr>
        <w:t>ing</w:t>
      </w:r>
      <w:r w:rsidR="004B615B" w:rsidRPr="00293A91">
        <w:rPr>
          <w:rFonts w:ascii="Arial" w:hAnsi="Arial" w:cs="Arial"/>
          <w:sz w:val="22"/>
          <w:szCs w:val="22"/>
        </w:rPr>
        <w:t xml:space="preserve"> depression requires triangulating clinical data, population surveys, and modelling techniques. In primary care, validated tools such as the PHQ</w:t>
      </w:r>
      <w:r w:rsidR="004B615B" w:rsidRPr="00293A91">
        <w:rPr>
          <w:rFonts w:ascii="Arial" w:hAnsi="Arial" w:cs="Arial"/>
          <w:sz w:val="22"/>
          <w:szCs w:val="22"/>
        </w:rPr>
        <w:noBreakHyphen/>
        <w:t>9 support diagnosis and measure symptom severity</w:t>
      </w:r>
      <w:r w:rsidR="006B098E">
        <w:rPr>
          <w:rFonts w:ascii="Arial" w:hAnsi="Arial" w:cs="Arial"/>
          <w:sz w:val="22"/>
          <w:szCs w:val="22"/>
        </w:rPr>
        <w:t xml:space="preserve">. </w:t>
      </w:r>
      <w:r w:rsidR="004B615B" w:rsidRPr="00293A91">
        <w:rPr>
          <w:rFonts w:ascii="Arial" w:hAnsi="Arial" w:cs="Arial"/>
          <w:sz w:val="22"/>
          <w:szCs w:val="22"/>
        </w:rPr>
        <w:t>GP diagnoses recorded through Read Codes or SNOMED CT feed into national datasets that track incidence and treatment patterns.</w:t>
      </w:r>
      <w:r w:rsidR="00F97B9E" w:rsidRPr="00293A91">
        <w:rPr>
          <w:rFonts w:ascii="Arial" w:hAnsi="Arial" w:cs="Arial"/>
          <w:sz w:val="22"/>
          <w:szCs w:val="22"/>
        </w:rPr>
        <w:t xml:space="preserve"> </w:t>
      </w:r>
      <w:r w:rsidR="004B615B" w:rsidRPr="00293A91">
        <w:rPr>
          <w:rFonts w:ascii="Arial" w:hAnsi="Arial" w:cs="Arial"/>
          <w:sz w:val="22"/>
          <w:szCs w:val="22"/>
        </w:rPr>
        <w:t>Large</w:t>
      </w:r>
      <w:r w:rsidR="004B615B" w:rsidRPr="00293A91">
        <w:rPr>
          <w:rFonts w:ascii="Arial" w:hAnsi="Arial" w:cs="Arial"/>
          <w:sz w:val="22"/>
          <w:szCs w:val="22"/>
        </w:rPr>
        <w:noBreakHyphen/>
        <w:t xml:space="preserve">scale datasets such as the Clinical Practice Research Datalink (CPRD) link GP records with hospital admissions and mortality data. </w:t>
      </w:r>
      <w:r w:rsidR="008B4438">
        <w:rPr>
          <w:rFonts w:ascii="Arial" w:hAnsi="Arial" w:cs="Arial"/>
          <w:sz w:val="22"/>
          <w:szCs w:val="22"/>
        </w:rPr>
        <w:t>Se</w:t>
      </w:r>
      <w:r w:rsidR="00025B25">
        <w:rPr>
          <w:rFonts w:ascii="Arial" w:hAnsi="Arial" w:cs="Arial"/>
          <w:sz w:val="22"/>
          <w:szCs w:val="22"/>
        </w:rPr>
        <w:t xml:space="preserve">veral </w:t>
      </w:r>
      <w:r w:rsidR="006302DC">
        <w:rPr>
          <w:rFonts w:ascii="Arial" w:hAnsi="Arial" w:cs="Arial"/>
          <w:sz w:val="22"/>
          <w:szCs w:val="22"/>
        </w:rPr>
        <w:t>explanations</w:t>
      </w:r>
      <w:r w:rsidR="001A5142">
        <w:rPr>
          <w:rFonts w:ascii="Arial" w:hAnsi="Arial" w:cs="Arial"/>
          <w:sz w:val="22"/>
          <w:szCs w:val="22"/>
        </w:rPr>
        <w:t xml:space="preserve"> may reconcile the two positions rather than contradict them.  </w:t>
      </w:r>
      <w:r w:rsidR="004B615B" w:rsidRPr="00293A91">
        <w:rPr>
          <w:rFonts w:ascii="Arial" w:hAnsi="Arial" w:cs="Arial"/>
          <w:sz w:val="22"/>
          <w:szCs w:val="22"/>
        </w:rPr>
        <w:t xml:space="preserve"> This challenges the social gradient in mental health described in the </w:t>
      </w:r>
      <w:r w:rsidR="004B615B" w:rsidRPr="00293A91">
        <w:rPr>
          <w:rFonts w:ascii="Arial" w:hAnsi="Arial" w:cs="Arial"/>
          <w:sz w:val="22"/>
          <w:szCs w:val="22"/>
        </w:rPr>
        <w:lastRenderedPageBreak/>
        <w:t>Black Report (1980) and reinforced by Marmot (2010), who argues that poorer mental</w:t>
      </w:r>
      <w:r w:rsidR="004B615B" w:rsidRPr="00293A91">
        <w:rPr>
          <w:rFonts w:ascii="Arial" w:hAnsi="Arial" w:cs="Arial"/>
          <w:sz w:val="22"/>
          <w:szCs w:val="22"/>
        </w:rPr>
        <w:noBreakHyphen/>
        <w:t>health outcomes are strongly associate</w:t>
      </w:r>
      <w:r w:rsidR="00326719" w:rsidRPr="00293A91">
        <w:rPr>
          <w:rFonts w:ascii="Arial" w:hAnsi="Arial" w:cs="Arial"/>
          <w:sz w:val="22"/>
          <w:szCs w:val="22"/>
        </w:rPr>
        <w:t>d</w:t>
      </w:r>
      <w:r w:rsidR="001B6534" w:rsidRPr="00293A91">
        <w:rPr>
          <w:rFonts w:ascii="Arial" w:hAnsi="Arial" w:cs="Arial"/>
          <w:sz w:val="22"/>
          <w:szCs w:val="22"/>
        </w:rPr>
        <w:t xml:space="preserve"> with socioeconomic disadvantage. The CPRD findings highlight the complexity of diagnostic behaviour, help</w:t>
      </w:r>
      <w:r w:rsidR="001B6534" w:rsidRPr="00293A91">
        <w:rPr>
          <w:rFonts w:ascii="Arial" w:hAnsi="Arial" w:cs="Arial"/>
          <w:sz w:val="22"/>
          <w:szCs w:val="22"/>
        </w:rPr>
        <w:noBreakHyphen/>
        <w:t>seeking patterns, and service access across different communities.</w:t>
      </w:r>
    </w:p>
    <w:p w14:paraId="72EA282D" w14:textId="294720F8" w:rsidR="004B615B" w:rsidRPr="00293A91" w:rsidRDefault="003302F9" w:rsidP="00293A91">
      <w:pPr>
        <w:spacing w:after="200" w:line="360" w:lineRule="auto"/>
        <w:jc w:val="both"/>
        <w:rPr>
          <w:rFonts w:ascii="Arial" w:hAnsi="Arial" w:cs="Arial"/>
          <w:sz w:val="22"/>
          <w:szCs w:val="22"/>
        </w:rPr>
      </w:pPr>
      <w:r w:rsidRPr="00293A91">
        <w:rPr>
          <w:rFonts w:ascii="Arial" w:hAnsi="Arial" w:cs="Arial"/>
          <w:sz w:val="22"/>
          <w:szCs w:val="22"/>
        </w:rPr>
        <w:t>Population</w:t>
      </w:r>
      <w:r w:rsidRPr="00293A91">
        <w:rPr>
          <w:rFonts w:ascii="Arial" w:hAnsi="Arial" w:cs="Arial"/>
          <w:sz w:val="22"/>
          <w:szCs w:val="22"/>
        </w:rPr>
        <w:noBreakHyphen/>
        <w:t>level monitoring is supported by the Adult Psychiatric Morbidity Survey (APMS), which provides detailed prevalence data (NHS England, 2025). ONS wellbeing surveys consistently show higher rates of depression among women, younger adults, and people living in deprived areas (ONS, 2022). These patterns align with Dahlgren and Whitehead’s (1991) model, which illustrates how individual lifestyle factors, social networks, living conditions, and broader socioeconomic environments shape mental</w:t>
      </w:r>
      <w:r w:rsidRPr="00293A91">
        <w:rPr>
          <w:rFonts w:ascii="Arial" w:hAnsi="Arial" w:cs="Arial"/>
          <w:sz w:val="22"/>
          <w:szCs w:val="22"/>
        </w:rPr>
        <w:noBreakHyphen/>
        <w:t>health outcomes.</w:t>
      </w:r>
    </w:p>
    <w:p w14:paraId="69496DB0" w14:textId="57D278F5" w:rsidR="00D44D71" w:rsidRPr="00293A91" w:rsidRDefault="00D44D71" w:rsidP="00293A91">
      <w:pPr>
        <w:spacing w:after="200" w:line="360" w:lineRule="auto"/>
        <w:jc w:val="both"/>
        <w:rPr>
          <w:rFonts w:ascii="Arial" w:hAnsi="Arial" w:cs="Arial"/>
          <w:sz w:val="22"/>
          <w:szCs w:val="22"/>
        </w:rPr>
      </w:pPr>
      <w:r w:rsidRPr="00293A91">
        <w:rPr>
          <w:rFonts w:ascii="Arial" w:hAnsi="Arial" w:cs="Arial"/>
          <w:sz w:val="22"/>
          <w:szCs w:val="22"/>
        </w:rPr>
        <w:t>Sentinel surveillance in high</w:t>
      </w:r>
      <w:r w:rsidRPr="00293A91">
        <w:rPr>
          <w:rFonts w:ascii="Arial" w:hAnsi="Arial" w:cs="Arial"/>
          <w:sz w:val="22"/>
          <w:szCs w:val="22"/>
        </w:rPr>
        <w:noBreakHyphen/>
        <w:t>risk groups—such as perinatal mental</w:t>
      </w:r>
      <w:r w:rsidRPr="00293A91">
        <w:rPr>
          <w:rFonts w:ascii="Arial" w:hAnsi="Arial" w:cs="Arial"/>
          <w:sz w:val="22"/>
          <w:szCs w:val="22"/>
        </w:rPr>
        <w:noBreakHyphen/>
        <w:t>health services and older</w:t>
      </w:r>
      <w:r w:rsidRPr="00293A91">
        <w:rPr>
          <w:rFonts w:ascii="Arial" w:hAnsi="Arial" w:cs="Arial"/>
          <w:sz w:val="22"/>
          <w:szCs w:val="22"/>
        </w:rPr>
        <w:noBreakHyphen/>
        <w:t>adult teams—adds further granularity. Marmot (2010) emphasises the importance of early</w:t>
      </w:r>
      <w:r w:rsidRPr="00293A91">
        <w:rPr>
          <w:rFonts w:ascii="Arial" w:hAnsi="Arial" w:cs="Arial"/>
          <w:sz w:val="22"/>
          <w:szCs w:val="22"/>
        </w:rPr>
        <w:noBreakHyphen/>
        <w:t>life and later</w:t>
      </w:r>
      <w:r w:rsidRPr="00293A91">
        <w:rPr>
          <w:rFonts w:ascii="Arial" w:hAnsi="Arial" w:cs="Arial"/>
          <w:sz w:val="22"/>
          <w:szCs w:val="22"/>
        </w:rPr>
        <w:noBreakHyphen/>
        <w:t>life conditions in shaping mental</w:t>
      </w:r>
      <w:r w:rsidRPr="00293A91">
        <w:rPr>
          <w:rFonts w:ascii="Arial" w:hAnsi="Arial" w:cs="Arial"/>
          <w:sz w:val="22"/>
          <w:szCs w:val="22"/>
        </w:rPr>
        <w:noBreakHyphen/>
        <w:t>health trajectories, reinforcing the need for targeted monitoring in these populations. NHS England’s Long</w:t>
      </w:r>
      <w:r w:rsidRPr="00293A91">
        <w:rPr>
          <w:rFonts w:ascii="Arial" w:hAnsi="Arial" w:cs="Arial"/>
          <w:sz w:val="22"/>
          <w:szCs w:val="22"/>
        </w:rPr>
        <w:noBreakHyphen/>
        <w:t>Term Plan includes waiting</w:t>
      </w:r>
      <w:r w:rsidRPr="00293A91">
        <w:rPr>
          <w:rFonts w:ascii="Arial" w:hAnsi="Arial" w:cs="Arial"/>
          <w:sz w:val="22"/>
          <w:szCs w:val="22"/>
        </w:rPr>
        <w:noBreakHyphen/>
        <w:t>time standards for psychological therapies, functioning as indirect performance metrics (NHS England, 2019). Marmot et al. (2020) highlight that access to timely care is unevenly distributed, with deprived areas often facing longer waits and fewer resources.</w:t>
      </w:r>
      <w:r w:rsidR="00EA6BCD" w:rsidRPr="00293A91">
        <w:rPr>
          <w:rFonts w:ascii="Arial" w:hAnsi="Arial" w:cs="Arial"/>
          <w:sz w:val="22"/>
          <w:szCs w:val="22"/>
        </w:rPr>
        <w:t xml:space="preserve"> Taken together, these approaches demonstrate that monitoring depression requires a multi</w:t>
      </w:r>
      <w:r w:rsidR="00EA6BCD" w:rsidRPr="00293A91">
        <w:rPr>
          <w:rFonts w:ascii="Arial" w:hAnsi="Arial" w:cs="Arial"/>
          <w:sz w:val="22"/>
          <w:szCs w:val="22"/>
        </w:rPr>
        <w:noBreakHyphen/>
        <w:t>layered public</w:t>
      </w:r>
      <w:r w:rsidR="00EA6BCD" w:rsidRPr="00293A91">
        <w:rPr>
          <w:rFonts w:ascii="Arial" w:hAnsi="Arial" w:cs="Arial"/>
          <w:sz w:val="22"/>
          <w:szCs w:val="22"/>
        </w:rPr>
        <w:noBreakHyphen/>
        <w:t>health strategy informed by epidemiological data, social</w:t>
      </w:r>
      <w:r w:rsidR="00EA6BCD" w:rsidRPr="00293A91">
        <w:rPr>
          <w:rFonts w:ascii="Arial" w:hAnsi="Arial" w:cs="Arial"/>
          <w:sz w:val="22"/>
          <w:szCs w:val="22"/>
        </w:rPr>
        <w:noBreakHyphen/>
        <w:t>determinants analysis, and health</w:t>
      </w:r>
      <w:r w:rsidR="00EA6BCD" w:rsidRPr="00293A91">
        <w:rPr>
          <w:rFonts w:ascii="Arial" w:hAnsi="Arial" w:cs="Arial"/>
          <w:sz w:val="22"/>
          <w:szCs w:val="22"/>
        </w:rPr>
        <w:noBreakHyphen/>
        <w:t>equity frameworks.</w:t>
      </w:r>
    </w:p>
    <w:p w14:paraId="32491063" w14:textId="77777777" w:rsidR="00D44D71" w:rsidRPr="00293A91" w:rsidRDefault="00D44D71" w:rsidP="00293A91">
      <w:pPr>
        <w:spacing w:after="200" w:line="360" w:lineRule="auto"/>
        <w:jc w:val="both"/>
        <w:rPr>
          <w:rFonts w:ascii="Arial" w:hAnsi="Arial" w:cs="Arial"/>
          <w:sz w:val="22"/>
          <w:szCs w:val="22"/>
        </w:rPr>
      </w:pPr>
    </w:p>
    <w:p w14:paraId="55C3FE5A" w14:textId="056B30A7" w:rsidR="00E6198D" w:rsidRPr="004F64C8" w:rsidRDefault="001D119C" w:rsidP="00293A91">
      <w:pPr>
        <w:spacing w:after="200" w:line="360" w:lineRule="auto"/>
        <w:jc w:val="both"/>
        <w:rPr>
          <w:rFonts w:ascii="Arial" w:hAnsi="Arial" w:cs="Arial"/>
          <w:color w:val="215E99" w:themeColor="text2" w:themeTint="BF"/>
          <w:sz w:val="22"/>
          <w:szCs w:val="22"/>
        </w:rPr>
      </w:pPr>
      <w:r w:rsidRPr="00A51DFB">
        <w:rPr>
          <w:rFonts w:ascii="Arial" w:hAnsi="Arial" w:cs="Arial"/>
          <w:color w:val="215E99" w:themeColor="text2" w:themeTint="BF"/>
          <w:sz w:val="22"/>
          <w:szCs w:val="22"/>
        </w:rPr>
        <w:t>How Depression Is Controlled</w:t>
      </w:r>
    </w:p>
    <w:p w14:paraId="4B45A8CD" w14:textId="6BD31C40" w:rsidR="00EE1FB6" w:rsidRDefault="007A61F7" w:rsidP="00293A91">
      <w:pPr>
        <w:spacing w:after="200" w:line="360" w:lineRule="auto"/>
        <w:jc w:val="both"/>
        <w:rPr>
          <w:rFonts w:ascii="Arial" w:hAnsi="Arial" w:cs="Arial"/>
          <w:sz w:val="22"/>
          <w:szCs w:val="22"/>
        </w:rPr>
      </w:pPr>
      <w:r w:rsidRPr="00293A91">
        <w:rPr>
          <w:rFonts w:ascii="Arial" w:hAnsi="Arial" w:cs="Arial"/>
          <w:sz w:val="22"/>
          <w:szCs w:val="22"/>
        </w:rPr>
        <w:t>NHS Digital, (2023)</w:t>
      </w:r>
      <w:r w:rsidR="00EE7877" w:rsidRPr="00293A91">
        <w:rPr>
          <w:rFonts w:ascii="Arial" w:hAnsi="Arial" w:cs="Arial"/>
          <w:sz w:val="22"/>
          <w:szCs w:val="22"/>
        </w:rPr>
        <w:t xml:space="preserve"> defined that</w:t>
      </w:r>
      <w:r w:rsidRPr="00293A91">
        <w:rPr>
          <w:rFonts w:ascii="Arial" w:hAnsi="Arial" w:cs="Arial"/>
          <w:sz w:val="22"/>
          <w:szCs w:val="22"/>
        </w:rPr>
        <w:t xml:space="preserve"> </w:t>
      </w:r>
      <w:r w:rsidR="00EE7877" w:rsidRPr="00293A91">
        <w:rPr>
          <w:rFonts w:ascii="Arial" w:hAnsi="Arial" w:cs="Arial"/>
          <w:sz w:val="22"/>
          <w:szCs w:val="22"/>
        </w:rPr>
        <w:t>c</w:t>
      </w:r>
      <w:r w:rsidR="00524A28" w:rsidRPr="00293A91">
        <w:rPr>
          <w:rFonts w:ascii="Arial" w:hAnsi="Arial" w:cs="Arial"/>
          <w:sz w:val="22"/>
          <w:szCs w:val="22"/>
        </w:rPr>
        <w:t>ontrolling depression requires a combination of clinical treatment, community support, and public health strategies</w:t>
      </w:r>
      <w:r w:rsidR="00E84DCF" w:rsidRPr="00293A91">
        <w:rPr>
          <w:rFonts w:ascii="Arial" w:hAnsi="Arial" w:cs="Arial"/>
          <w:sz w:val="22"/>
          <w:szCs w:val="22"/>
        </w:rPr>
        <w:t xml:space="preserve"> </w:t>
      </w:r>
      <w:r w:rsidR="00524A28" w:rsidRPr="00293A91">
        <w:rPr>
          <w:rFonts w:ascii="Arial" w:hAnsi="Arial" w:cs="Arial"/>
          <w:sz w:val="22"/>
          <w:szCs w:val="22"/>
        </w:rPr>
        <w:t>Early identification is essential. GPs play a central role in recognising symptoms, conducting assessments, and initiating treatment. Screening is increasingly used in settings such as maternity services, chronic illness clinics, and workplaces to identify individuals at risk.</w:t>
      </w:r>
      <w:r w:rsidR="00B6482A" w:rsidRPr="00293A91">
        <w:rPr>
          <w:rFonts w:ascii="Arial" w:hAnsi="Arial" w:cs="Arial"/>
          <w:sz w:val="22"/>
          <w:szCs w:val="22"/>
        </w:rPr>
        <w:t xml:space="preserve"> </w:t>
      </w:r>
      <w:r w:rsidR="00524A28" w:rsidRPr="00293A91">
        <w:rPr>
          <w:rFonts w:ascii="Arial" w:hAnsi="Arial" w:cs="Arial"/>
          <w:sz w:val="22"/>
          <w:szCs w:val="22"/>
        </w:rPr>
        <w:t xml:space="preserve">Treatment typically involves psychological therapies, pharmacological interventions, or a combination of both. The NHS Talking Therapies programme (formerly IAPT) provides evidence-based therapies such as cognitive behavioural therapy (CBT), counselling, and interpersonal therapy. </w:t>
      </w:r>
      <w:r w:rsidR="00EE1FB6" w:rsidRPr="00293A91">
        <w:rPr>
          <w:rFonts w:ascii="Arial" w:hAnsi="Arial" w:cs="Arial"/>
          <w:sz w:val="22"/>
          <w:szCs w:val="22"/>
        </w:rPr>
        <w:t>Beck’s (1967) cognitive theory of depression underpins CBT, which targets maladaptive thought patterns. However, Marmot (2010) emphasises that access to high</w:t>
      </w:r>
      <w:r w:rsidR="00EE1FB6" w:rsidRPr="00293A91">
        <w:rPr>
          <w:rFonts w:ascii="Arial" w:hAnsi="Arial" w:cs="Arial"/>
          <w:sz w:val="22"/>
          <w:szCs w:val="22"/>
        </w:rPr>
        <w:noBreakHyphen/>
        <w:t>quality mental</w:t>
      </w:r>
      <w:r w:rsidR="00EE1FB6" w:rsidRPr="00293A91">
        <w:rPr>
          <w:rFonts w:ascii="Arial" w:hAnsi="Arial" w:cs="Arial"/>
          <w:sz w:val="22"/>
          <w:szCs w:val="22"/>
        </w:rPr>
        <w:noBreakHyphen/>
        <w:t xml:space="preserve">health services is socially patterned, with deprived communities </w:t>
      </w:r>
      <w:r w:rsidR="00EE1FB6" w:rsidRPr="00293A91">
        <w:rPr>
          <w:rFonts w:ascii="Arial" w:hAnsi="Arial" w:cs="Arial"/>
          <w:sz w:val="22"/>
          <w:szCs w:val="22"/>
        </w:rPr>
        <w:lastRenderedPageBreak/>
        <w:t>facing greater barriers.</w:t>
      </w:r>
      <w:r w:rsidR="006023E8" w:rsidRPr="00293A91">
        <w:rPr>
          <w:rFonts w:ascii="Arial" w:hAnsi="Arial" w:cs="Arial"/>
          <w:sz w:val="22"/>
          <w:szCs w:val="22"/>
        </w:rPr>
        <w:t xml:space="preserve"> </w:t>
      </w:r>
      <w:r w:rsidR="00EE1FB6" w:rsidRPr="00293A91">
        <w:rPr>
          <w:rFonts w:ascii="Arial" w:hAnsi="Arial" w:cs="Arial"/>
          <w:sz w:val="22"/>
          <w:szCs w:val="22"/>
        </w:rPr>
        <w:t>The NHS Long Term Plan’s Community Mental Health Transformation Programme aims to reduce fragmentation and improve access through a “no wrong door” model (NHS England, 2019). Marmot et al</w:t>
      </w:r>
      <w:r w:rsidR="00E02D4B" w:rsidRPr="00293A91">
        <w:rPr>
          <w:rFonts w:ascii="Arial" w:hAnsi="Arial" w:cs="Arial"/>
          <w:sz w:val="22"/>
          <w:szCs w:val="22"/>
        </w:rPr>
        <w:t>. (2020) argue that such integrated approaches are essential to addressing structural inequalities in mental</w:t>
      </w:r>
      <w:r w:rsidR="00E02D4B" w:rsidRPr="00293A91">
        <w:rPr>
          <w:rFonts w:ascii="Arial" w:hAnsi="Arial" w:cs="Arial"/>
          <w:sz w:val="22"/>
          <w:szCs w:val="22"/>
        </w:rPr>
        <w:noBreakHyphen/>
        <w:t>health care.</w:t>
      </w:r>
    </w:p>
    <w:p w14:paraId="2BFEB9F1" w14:textId="06A0B8E6" w:rsidR="000437F4" w:rsidRPr="00C1001C" w:rsidRDefault="000437F4" w:rsidP="00C1001C">
      <w:pPr>
        <w:spacing w:after="120" w:line="360" w:lineRule="auto"/>
        <w:ind w:left="720" w:hanging="720"/>
        <w:jc w:val="both"/>
        <w:rPr>
          <w:rFonts w:ascii="Arial" w:hAnsi="Arial" w:cs="Arial"/>
          <w:b/>
          <w:bCs/>
          <w:sz w:val="22"/>
          <w:szCs w:val="22"/>
        </w:rPr>
      </w:pPr>
      <w:r w:rsidRPr="009D3106">
        <w:rPr>
          <w:rFonts w:ascii="Arial" w:hAnsi="Arial" w:cs="Arial"/>
          <w:b/>
          <w:bCs/>
          <w:sz w:val="22"/>
          <w:szCs w:val="22"/>
        </w:rPr>
        <w:t>Figure 1. Dahlgren &amp; Whitehead (1991) Model of the Social Determinants of Health</w:t>
      </w:r>
    </w:p>
    <w:p w14:paraId="5D63AA3D" w14:textId="080126B7" w:rsidR="008460B0" w:rsidRDefault="00A45090" w:rsidP="00293A91">
      <w:pPr>
        <w:spacing w:after="200" w:line="360" w:lineRule="auto"/>
        <w:jc w:val="both"/>
        <w:rPr>
          <w:rFonts w:ascii="Arial" w:hAnsi="Arial" w:cs="Arial"/>
          <w:sz w:val="22"/>
          <w:szCs w:val="22"/>
        </w:rPr>
      </w:pPr>
      <w:r w:rsidRPr="009D3106">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3C582263" wp14:editId="2F36F873">
                <wp:simplePos x="0" y="0"/>
                <wp:positionH relativeFrom="margin">
                  <wp:align>right</wp:align>
                </wp:positionH>
                <wp:positionV relativeFrom="paragraph">
                  <wp:posOffset>13970</wp:posOffset>
                </wp:positionV>
                <wp:extent cx="5918200" cy="4508500"/>
                <wp:effectExtent l="0" t="0" r="25400" b="25400"/>
                <wp:wrapNone/>
                <wp:docPr id="705904294" name="Rectangle 2"/>
                <wp:cNvGraphicFramePr/>
                <a:graphic xmlns:a="http://schemas.openxmlformats.org/drawingml/2006/main">
                  <a:graphicData uri="http://schemas.microsoft.com/office/word/2010/wordprocessingShape">
                    <wps:wsp>
                      <wps:cNvSpPr/>
                      <wps:spPr>
                        <a:xfrm>
                          <a:off x="0" y="0"/>
                          <a:ext cx="5918200" cy="4508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DB9DC0" w14:textId="77777777" w:rsidR="00A3508E" w:rsidRPr="000437F4" w:rsidRDefault="00A3508E" w:rsidP="00A3508E">
                            <w:pPr>
                              <w:spacing w:after="120" w:line="360" w:lineRule="auto"/>
                              <w:ind w:left="720" w:hanging="720"/>
                              <w:jc w:val="both"/>
                              <w:rPr>
                                <w:rFonts w:ascii="Arial" w:hAnsi="Arial" w:cs="Arial"/>
                                <w:sz w:val="22"/>
                                <w:szCs w:val="22"/>
                              </w:rPr>
                            </w:pPr>
                            <w:r w:rsidRPr="000437F4">
                              <w:rPr>
                                <w:rFonts w:ascii="Arial" w:hAnsi="Arial" w:cs="Arial"/>
                                <w:sz w:val="22"/>
                                <w:szCs w:val="22"/>
                              </w:rPr>
                              <w:t xml:space="preserve">                     Wider Socioeconomic, Cultural &amp; Environmental Conditions</w:t>
                            </w:r>
                          </w:p>
                          <w:p w14:paraId="2E3F98DB" w14:textId="77777777" w:rsidR="00A3508E" w:rsidRPr="000437F4" w:rsidRDefault="00A3508E" w:rsidP="00A3508E">
                            <w:pPr>
                              <w:spacing w:after="120" w:line="360" w:lineRule="auto"/>
                              <w:ind w:left="720" w:hanging="720"/>
                              <w:jc w:val="both"/>
                              <w:rPr>
                                <w:rFonts w:ascii="Arial" w:hAnsi="Arial" w:cs="Arial"/>
                                <w:sz w:val="22"/>
                                <w:szCs w:val="22"/>
                              </w:rPr>
                            </w:pPr>
                            <w:r w:rsidRPr="000437F4">
                              <w:rPr>
                                <w:rFonts w:ascii="Arial" w:hAnsi="Arial" w:cs="Arial"/>
                                <w:sz w:val="22"/>
                                <w:szCs w:val="22"/>
                              </w:rPr>
                              <w:t xml:space="preserve">   -----------------------------------------------------------------------------------------</w:t>
                            </w:r>
                          </w:p>
                          <w:p w14:paraId="58D7D5A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6B2D896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Living &amp; Working Conditions:                                                       |</w:t>
                            </w:r>
                          </w:p>
                          <w:p w14:paraId="4CFCB3F8"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Housing                                                                          |</w:t>
                            </w:r>
                          </w:p>
                          <w:p w14:paraId="159107A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Employment &amp; Work Environment                                                    |</w:t>
                            </w:r>
                          </w:p>
                          <w:p w14:paraId="77DECA2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Education                                                                        |</w:t>
                            </w:r>
                          </w:p>
                          <w:p w14:paraId="38FF6256"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Health &amp; Social Care Services                                                    |</w:t>
                            </w:r>
                          </w:p>
                          <w:p w14:paraId="386C616C"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Water &amp; Sanitation                                                               |</w:t>
                            </w:r>
                          </w:p>
                          <w:p w14:paraId="30E2407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Food Availability                                                                 |</w:t>
                            </w:r>
                          </w:p>
                          <w:p w14:paraId="72CF8245"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1DC592F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Social &amp; Community Networks                                                         |</w:t>
                            </w:r>
                          </w:p>
                          <w:p w14:paraId="3FA4F2EA"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3607D047"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Individual Lifestyle Factors                                                        |</w:t>
                            </w:r>
                          </w:p>
                          <w:p w14:paraId="64CE026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4E3EA4EC"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Age, Sex &amp; Hereditary Factors                                                       |</w:t>
                            </w:r>
                          </w:p>
                          <w:p w14:paraId="5449CF78" w14:textId="77777777" w:rsidR="00A3508E" w:rsidRDefault="00A3508E" w:rsidP="00A3508E">
                            <w:pPr>
                              <w:spacing w:after="120" w:line="360" w:lineRule="auto"/>
                              <w:ind w:left="720" w:hanging="720"/>
                              <w:jc w:val="both"/>
                              <w:rPr>
                                <w:rFonts w:ascii="Arial" w:hAnsi="Arial" w:cs="Arial"/>
                                <w:sz w:val="16"/>
                                <w:szCs w:val="16"/>
                              </w:rPr>
                            </w:pPr>
                            <w:r w:rsidRPr="00CB71FC">
                              <w:rPr>
                                <w:rFonts w:ascii="Arial" w:hAnsi="Arial" w:cs="Arial"/>
                                <w:sz w:val="16"/>
                                <w:szCs w:val="16"/>
                              </w:rPr>
                              <w:t xml:space="preserve">   -----------------------------------------------------------------------------------------</w:t>
                            </w:r>
                          </w:p>
                          <w:p w14:paraId="2EA9115A" w14:textId="7B848152" w:rsidR="00A3508E" w:rsidRPr="00FF464B" w:rsidRDefault="00A3508E" w:rsidP="00A3508E">
                            <w:pPr>
                              <w:spacing w:after="120" w:line="360" w:lineRule="auto"/>
                              <w:ind w:left="720" w:hanging="720"/>
                              <w:jc w:val="both"/>
                              <w:rPr>
                                <w:rFonts w:ascii="Arial" w:hAnsi="Arial" w:cs="Arial"/>
                                <w:sz w:val="16"/>
                                <w:szCs w:val="16"/>
                              </w:rPr>
                            </w:pPr>
                            <w:r w:rsidRPr="00FF464B">
                              <w:rPr>
                                <w:rFonts w:ascii="Arial" w:hAnsi="Arial" w:cs="Arial"/>
                                <w:sz w:val="16"/>
                                <w:szCs w:val="16"/>
                              </w:rPr>
                              <w:t xml:space="preserve"> </w:t>
                            </w:r>
                          </w:p>
                          <w:p w14:paraId="7BF8DCF8" w14:textId="77777777" w:rsidR="00A3508E" w:rsidRDefault="00A3508E" w:rsidP="00A350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82263" id="Rectangle 2" o:spid="_x0000_s1026" style="position:absolute;left:0;text-align:left;margin-left:414.8pt;margin-top:1.1pt;width:466pt;height:35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" fillcolor="white [3201]" strokecolor="#4ea72e [3209]" strokeweight="1.5pt">
                <v:textbox>
                  <w:txbxContent>
                    <w:p w14:paraId="32DB9DC0" w14:textId="77777777" w:rsidR="00A3508E" w:rsidRPr="000437F4" w:rsidRDefault="00A3508E" w:rsidP="00A3508E">
                      <w:pPr>
                        <w:spacing w:after="120" w:line="360" w:lineRule="auto"/>
                        <w:ind w:left="720" w:hanging="720"/>
                        <w:jc w:val="both"/>
                        <w:rPr>
                          <w:rFonts w:ascii="Arial" w:hAnsi="Arial" w:cs="Arial"/>
                          <w:sz w:val="22"/>
                          <w:szCs w:val="22"/>
                        </w:rPr>
                      </w:pPr>
                      <w:r w:rsidRPr="000437F4">
                        <w:rPr>
                          <w:rFonts w:ascii="Arial" w:hAnsi="Arial" w:cs="Arial"/>
                          <w:sz w:val="22"/>
                          <w:szCs w:val="22"/>
                        </w:rPr>
                        <w:t xml:space="preserve">                     Wider Socioeconomic, Cultural &amp; Environmental Conditions</w:t>
                      </w:r>
                    </w:p>
                    <w:p w14:paraId="2E3F98DB" w14:textId="77777777" w:rsidR="00A3508E" w:rsidRPr="000437F4" w:rsidRDefault="00A3508E" w:rsidP="00A3508E">
                      <w:pPr>
                        <w:spacing w:after="120" w:line="360" w:lineRule="auto"/>
                        <w:ind w:left="720" w:hanging="720"/>
                        <w:jc w:val="both"/>
                        <w:rPr>
                          <w:rFonts w:ascii="Arial" w:hAnsi="Arial" w:cs="Arial"/>
                          <w:sz w:val="22"/>
                          <w:szCs w:val="22"/>
                        </w:rPr>
                      </w:pPr>
                      <w:r w:rsidRPr="000437F4">
                        <w:rPr>
                          <w:rFonts w:ascii="Arial" w:hAnsi="Arial" w:cs="Arial"/>
                          <w:sz w:val="22"/>
                          <w:szCs w:val="22"/>
                        </w:rPr>
                        <w:t xml:space="preserve">   -----------------------------------------------------------------------------------------</w:t>
                      </w:r>
                    </w:p>
                    <w:p w14:paraId="58D7D5A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6B2D896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Living &amp; Working Conditions:                                                       |</w:t>
                      </w:r>
                    </w:p>
                    <w:p w14:paraId="4CFCB3F8"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Housing                                                                          |</w:t>
                      </w:r>
                    </w:p>
                    <w:p w14:paraId="159107A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Employment &amp; Work Environment                                                    |</w:t>
                      </w:r>
                    </w:p>
                    <w:p w14:paraId="77DECA2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Education                                                                        |</w:t>
                      </w:r>
                    </w:p>
                    <w:p w14:paraId="38FF6256"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Health &amp; Social Care Services                                                    |</w:t>
                      </w:r>
                    </w:p>
                    <w:p w14:paraId="386C616C"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Water &amp; Sanitation                                                               |</w:t>
                      </w:r>
                    </w:p>
                    <w:p w14:paraId="30E2407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 Food Availability                                                                 |</w:t>
                      </w:r>
                    </w:p>
                    <w:p w14:paraId="72CF8245"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1DC592FF"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Social &amp; Community Networks                                                         |</w:t>
                      </w:r>
                    </w:p>
                    <w:p w14:paraId="3FA4F2EA"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3607D047"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Individual Lifestyle Factors                                                        |</w:t>
                      </w:r>
                    </w:p>
                    <w:p w14:paraId="64CE0264"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w:t>
                      </w:r>
                    </w:p>
                    <w:p w14:paraId="4E3EA4EC" w14:textId="77777777" w:rsidR="00A3508E" w:rsidRPr="00031CF5" w:rsidRDefault="00A3508E" w:rsidP="00A3508E">
                      <w:pPr>
                        <w:spacing w:after="120" w:line="360" w:lineRule="auto"/>
                        <w:ind w:left="720" w:hanging="720"/>
                        <w:jc w:val="both"/>
                        <w:rPr>
                          <w:rFonts w:ascii="Arial" w:hAnsi="Arial" w:cs="Arial"/>
                          <w:sz w:val="16"/>
                          <w:szCs w:val="16"/>
                        </w:rPr>
                      </w:pPr>
                      <w:r w:rsidRPr="00031CF5">
                        <w:rPr>
                          <w:rFonts w:ascii="Arial" w:hAnsi="Arial" w:cs="Arial"/>
                          <w:sz w:val="16"/>
                          <w:szCs w:val="16"/>
                        </w:rPr>
                        <w:t xml:space="preserve">   |   Age, Sex &amp; Hereditary Factors                                                       |</w:t>
                      </w:r>
                    </w:p>
                    <w:p w14:paraId="5449CF78" w14:textId="77777777" w:rsidR="00A3508E" w:rsidRDefault="00A3508E" w:rsidP="00A3508E">
                      <w:pPr>
                        <w:spacing w:after="120" w:line="360" w:lineRule="auto"/>
                        <w:ind w:left="720" w:hanging="720"/>
                        <w:jc w:val="both"/>
                        <w:rPr>
                          <w:rFonts w:ascii="Arial" w:hAnsi="Arial" w:cs="Arial"/>
                          <w:sz w:val="16"/>
                          <w:szCs w:val="16"/>
                        </w:rPr>
                      </w:pPr>
                      <w:r w:rsidRPr="00CB71FC">
                        <w:rPr>
                          <w:rFonts w:ascii="Arial" w:hAnsi="Arial" w:cs="Arial"/>
                          <w:sz w:val="16"/>
                          <w:szCs w:val="16"/>
                        </w:rPr>
                        <w:t xml:space="preserve">   -----------------------------------------------------------------------------------------</w:t>
                      </w:r>
                    </w:p>
                    <w:p w14:paraId="2EA9115A" w14:textId="7B848152" w:rsidR="00A3508E" w:rsidRPr="00FF464B" w:rsidRDefault="00A3508E" w:rsidP="00A3508E">
                      <w:pPr>
                        <w:spacing w:after="120" w:line="360" w:lineRule="auto"/>
                        <w:ind w:left="720" w:hanging="720"/>
                        <w:jc w:val="both"/>
                        <w:rPr>
                          <w:rFonts w:ascii="Arial" w:hAnsi="Arial" w:cs="Arial"/>
                          <w:sz w:val="16"/>
                          <w:szCs w:val="16"/>
                        </w:rPr>
                      </w:pPr>
                      <w:r w:rsidRPr="00FF464B">
                        <w:rPr>
                          <w:rFonts w:ascii="Arial" w:hAnsi="Arial" w:cs="Arial"/>
                          <w:sz w:val="16"/>
                          <w:szCs w:val="16"/>
                        </w:rPr>
                        <w:t xml:space="preserve"> </w:t>
                      </w:r>
                    </w:p>
                    <w:p w14:paraId="7BF8DCF8" w14:textId="77777777" w:rsidR="00A3508E" w:rsidRDefault="00A3508E" w:rsidP="00A3508E">
                      <w:pPr>
                        <w:jc w:val="center"/>
                      </w:pPr>
                    </w:p>
                  </w:txbxContent>
                </v:textbox>
                <w10:wrap anchorx="margin"/>
              </v:rect>
            </w:pict>
          </mc:Fallback>
        </mc:AlternateContent>
      </w:r>
    </w:p>
    <w:p w14:paraId="67446780" w14:textId="77777777" w:rsidR="008460B0" w:rsidRDefault="008460B0" w:rsidP="00293A91">
      <w:pPr>
        <w:spacing w:after="200" w:line="360" w:lineRule="auto"/>
        <w:jc w:val="both"/>
        <w:rPr>
          <w:rFonts w:ascii="Arial" w:hAnsi="Arial" w:cs="Arial"/>
          <w:sz w:val="22"/>
          <w:szCs w:val="22"/>
        </w:rPr>
      </w:pPr>
    </w:p>
    <w:p w14:paraId="7E462767" w14:textId="43E0FA03" w:rsidR="009E4D97" w:rsidRDefault="009E4D97" w:rsidP="00293A91">
      <w:pPr>
        <w:spacing w:after="200" w:line="360" w:lineRule="auto"/>
        <w:jc w:val="both"/>
        <w:rPr>
          <w:rFonts w:ascii="Arial" w:hAnsi="Arial" w:cs="Arial"/>
          <w:sz w:val="22"/>
          <w:szCs w:val="22"/>
        </w:rPr>
      </w:pPr>
    </w:p>
    <w:p w14:paraId="04EE57F3" w14:textId="36F63DC7" w:rsidR="00C27C2F" w:rsidRPr="00C27C2F" w:rsidRDefault="00C27C2F" w:rsidP="00C27C2F">
      <w:pPr>
        <w:spacing w:after="200" w:line="360" w:lineRule="auto"/>
        <w:jc w:val="both"/>
        <w:rPr>
          <w:rFonts w:ascii="Arial" w:hAnsi="Arial" w:cs="Arial"/>
          <w:sz w:val="22"/>
          <w:szCs w:val="22"/>
        </w:rPr>
      </w:pPr>
    </w:p>
    <w:p w14:paraId="46B0A5A5" w14:textId="77777777" w:rsidR="00C27C2F" w:rsidRPr="00C27C2F" w:rsidRDefault="00C27C2F" w:rsidP="00C27C2F">
      <w:pPr>
        <w:spacing w:after="200" w:line="360" w:lineRule="auto"/>
        <w:jc w:val="both"/>
        <w:rPr>
          <w:rFonts w:ascii="Arial" w:hAnsi="Arial" w:cs="Arial"/>
          <w:sz w:val="22"/>
          <w:szCs w:val="22"/>
        </w:rPr>
      </w:pPr>
    </w:p>
    <w:p w14:paraId="3F8B0E07" w14:textId="77777777" w:rsidR="00CE092B" w:rsidRDefault="00CE092B" w:rsidP="00293A91">
      <w:pPr>
        <w:spacing w:after="200" w:line="360" w:lineRule="auto"/>
        <w:jc w:val="both"/>
        <w:rPr>
          <w:rFonts w:ascii="Arial" w:hAnsi="Arial" w:cs="Arial"/>
          <w:sz w:val="22"/>
          <w:szCs w:val="22"/>
        </w:rPr>
      </w:pPr>
    </w:p>
    <w:p w14:paraId="006DFAA8" w14:textId="77777777" w:rsidR="00CE092B" w:rsidRDefault="00CE092B" w:rsidP="00293A91">
      <w:pPr>
        <w:spacing w:after="200" w:line="360" w:lineRule="auto"/>
        <w:jc w:val="both"/>
        <w:rPr>
          <w:rFonts w:ascii="Arial" w:hAnsi="Arial" w:cs="Arial"/>
          <w:sz w:val="22"/>
          <w:szCs w:val="22"/>
        </w:rPr>
      </w:pPr>
    </w:p>
    <w:p w14:paraId="224AD6B7" w14:textId="77777777" w:rsidR="00CE092B" w:rsidRDefault="00CE092B" w:rsidP="00293A91">
      <w:pPr>
        <w:spacing w:after="200" w:line="360" w:lineRule="auto"/>
        <w:jc w:val="both"/>
        <w:rPr>
          <w:rFonts w:ascii="Arial" w:hAnsi="Arial" w:cs="Arial"/>
          <w:sz w:val="22"/>
          <w:szCs w:val="22"/>
        </w:rPr>
      </w:pPr>
    </w:p>
    <w:p w14:paraId="66F05772" w14:textId="77777777" w:rsidR="007A7241" w:rsidRDefault="007A7241" w:rsidP="00293A91">
      <w:pPr>
        <w:spacing w:after="200" w:line="360" w:lineRule="auto"/>
        <w:jc w:val="both"/>
        <w:rPr>
          <w:rFonts w:ascii="Arial" w:hAnsi="Arial" w:cs="Arial"/>
          <w:sz w:val="22"/>
          <w:szCs w:val="22"/>
        </w:rPr>
      </w:pPr>
    </w:p>
    <w:p w14:paraId="134E468E" w14:textId="77777777" w:rsidR="007A7241" w:rsidRDefault="007A7241" w:rsidP="00293A91">
      <w:pPr>
        <w:spacing w:after="200" w:line="360" w:lineRule="auto"/>
        <w:jc w:val="both"/>
        <w:rPr>
          <w:rFonts w:ascii="Arial" w:hAnsi="Arial" w:cs="Arial"/>
          <w:sz w:val="22"/>
          <w:szCs w:val="22"/>
        </w:rPr>
      </w:pPr>
    </w:p>
    <w:p w14:paraId="01DF1783" w14:textId="77777777" w:rsidR="007A7241" w:rsidRDefault="007A7241" w:rsidP="00293A91">
      <w:pPr>
        <w:spacing w:after="200" w:line="360" w:lineRule="auto"/>
        <w:jc w:val="both"/>
        <w:rPr>
          <w:rFonts w:ascii="Arial" w:hAnsi="Arial" w:cs="Arial"/>
          <w:sz w:val="22"/>
          <w:szCs w:val="22"/>
        </w:rPr>
      </w:pPr>
    </w:p>
    <w:p w14:paraId="7A213A6B" w14:textId="77777777" w:rsidR="008521E4" w:rsidRDefault="008521E4" w:rsidP="00031CF5">
      <w:pPr>
        <w:spacing w:after="120" w:line="360" w:lineRule="auto"/>
        <w:jc w:val="both"/>
        <w:rPr>
          <w:rFonts w:ascii="Arial" w:hAnsi="Arial" w:cs="Arial"/>
          <w:sz w:val="22"/>
          <w:szCs w:val="22"/>
        </w:rPr>
      </w:pPr>
    </w:p>
    <w:p w14:paraId="74452BF5" w14:textId="77777777" w:rsidR="008521E4" w:rsidRDefault="008521E4" w:rsidP="00031CF5">
      <w:pPr>
        <w:spacing w:after="120" w:line="360" w:lineRule="auto"/>
        <w:jc w:val="both"/>
        <w:rPr>
          <w:rFonts w:ascii="Arial" w:hAnsi="Arial" w:cs="Arial"/>
          <w:sz w:val="22"/>
          <w:szCs w:val="22"/>
        </w:rPr>
      </w:pPr>
    </w:p>
    <w:p w14:paraId="5817073E" w14:textId="67CB1082" w:rsidR="00703FBC" w:rsidRPr="00130476" w:rsidRDefault="00703FBC" w:rsidP="00031CF5">
      <w:pPr>
        <w:spacing w:after="120" w:line="360" w:lineRule="auto"/>
        <w:jc w:val="both"/>
        <w:rPr>
          <w:rFonts w:ascii="Arial" w:hAnsi="Arial" w:cs="Arial"/>
          <w:sz w:val="22"/>
          <w:szCs w:val="22"/>
        </w:rPr>
      </w:pPr>
      <w:r w:rsidRPr="00130476">
        <w:rPr>
          <w:rFonts w:ascii="Arial" w:hAnsi="Arial" w:cs="Arial"/>
          <w:sz w:val="22"/>
          <w:szCs w:val="22"/>
        </w:rPr>
        <w:t xml:space="preserve">Dahlgren, G. and Whitehead, M. (1991) </w:t>
      </w:r>
      <w:r w:rsidRPr="00130476">
        <w:rPr>
          <w:rFonts w:ascii="Arial" w:hAnsi="Arial" w:cs="Arial"/>
          <w:i/>
          <w:iCs/>
          <w:sz w:val="22"/>
          <w:szCs w:val="22"/>
        </w:rPr>
        <w:t>Policies and Strategies to Promote Social Equity in Health</w:t>
      </w:r>
      <w:r w:rsidRPr="00130476">
        <w:rPr>
          <w:rFonts w:ascii="Arial" w:hAnsi="Arial" w:cs="Arial"/>
          <w:sz w:val="22"/>
          <w:szCs w:val="22"/>
        </w:rPr>
        <w:t>. Stockholm: Institute for Futures Studies.</w:t>
      </w:r>
    </w:p>
    <w:p w14:paraId="251227D2" w14:textId="77777777" w:rsidR="008460B0" w:rsidRDefault="008460B0" w:rsidP="00293A91">
      <w:pPr>
        <w:spacing w:after="200" w:line="360" w:lineRule="auto"/>
        <w:jc w:val="both"/>
        <w:rPr>
          <w:rFonts w:ascii="Arial" w:hAnsi="Arial" w:cs="Arial"/>
          <w:sz w:val="22"/>
          <w:szCs w:val="22"/>
        </w:rPr>
      </w:pPr>
    </w:p>
    <w:p w14:paraId="27CAFF07" w14:textId="77777777" w:rsidR="008460B0" w:rsidRDefault="008460B0" w:rsidP="00293A91">
      <w:pPr>
        <w:spacing w:after="200" w:line="360" w:lineRule="auto"/>
        <w:jc w:val="both"/>
        <w:rPr>
          <w:rFonts w:ascii="Arial" w:hAnsi="Arial" w:cs="Arial"/>
          <w:sz w:val="22"/>
          <w:szCs w:val="22"/>
        </w:rPr>
      </w:pPr>
    </w:p>
    <w:p w14:paraId="420812A9" w14:textId="435E802F" w:rsidR="00F97D3A" w:rsidRPr="00293A91" w:rsidRDefault="008441E4" w:rsidP="00293A91">
      <w:pPr>
        <w:spacing w:after="200" w:line="360" w:lineRule="auto"/>
        <w:jc w:val="both"/>
        <w:rPr>
          <w:rFonts w:ascii="Arial" w:hAnsi="Arial" w:cs="Arial"/>
          <w:sz w:val="22"/>
          <w:szCs w:val="22"/>
        </w:rPr>
      </w:pPr>
      <w:r w:rsidRPr="008441E4">
        <w:rPr>
          <w:rFonts w:ascii="Arial" w:hAnsi="Arial" w:cs="Arial"/>
          <w:sz w:val="22"/>
          <w:szCs w:val="22"/>
        </w:rPr>
        <w:t xml:space="preserve">Figure 1 illustrates that depression does not occur in isolation but is shaped by structural, community, and lifestyle determinants across </w:t>
      </w:r>
      <w:r w:rsidRPr="00AE46B0">
        <w:rPr>
          <w:rFonts w:ascii="Arial" w:hAnsi="Arial" w:cs="Arial"/>
          <w:sz w:val="22"/>
          <w:szCs w:val="22"/>
        </w:rPr>
        <w:t>society</w:t>
      </w:r>
      <w:r w:rsidR="007164CC" w:rsidRPr="00AE46B0">
        <w:rPr>
          <w:rFonts w:ascii="Arial" w:hAnsi="Arial" w:cs="Arial"/>
          <w:sz w:val="22"/>
          <w:szCs w:val="22"/>
        </w:rPr>
        <w:t xml:space="preserve"> </w:t>
      </w:r>
      <w:r w:rsidR="007F6ABF" w:rsidRPr="00AE46B0">
        <w:rPr>
          <w:rFonts w:ascii="Arial" w:hAnsi="Arial" w:cs="Arial"/>
          <w:sz w:val="22"/>
          <w:szCs w:val="22"/>
        </w:rPr>
        <w:t>(Dahlgren</w:t>
      </w:r>
      <w:r w:rsidR="007F6ABF">
        <w:rPr>
          <w:rFonts w:ascii="Arial" w:hAnsi="Arial" w:cs="Arial"/>
          <w:sz w:val="22"/>
          <w:szCs w:val="22"/>
        </w:rPr>
        <w:t xml:space="preserve"> </w:t>
      </w:r>
      <w:r w:rsidR="007F6ABF" w:rsidRPr="00130476">
        <w:rPr>
          <w:rFonts w:ascii="Arial" w:hAnsi="Arial" w:cs="Arial"/>
          <w:sz w:val="22"/>
          <w:szCs w:val="22"/>
        </w:rPr>
        <w:t>and Whitehead</w:t>
      </w:r>
      <w:r w:rsidR="007F6ABF">
        <w:rPr>
          <w:rFonts w:ascii="Arial" w:hAnsi="Arial" w:cs="Arial"/>
          <w:sz w:val="22"/>
          <w:szCs w:val="22"/>
        </w:rPr>
        <w:t xml:space="preserve">, </w:t>
      </w:r>
      <w:r w:rsidR="007164CC" w:rsidRPr="00AE46B0">
        <w:rPr>
          <w:rFonts w:ascii="Arial" w:hAnsi="Arial" w:cs="Arial"/>
          <w:sz w:val="22"/>
          <w:szCs w:val="22"/>
        </w:rPr>
        <w:t>1991</w:t>
      </w:r>
      <w:r w:rsidR="00AE46B0" w:rsidRPr="00AE46B0">
        <w:rPr>
          <w:rFonts w:ascii="Arial" w:hAnsi="Arial" w:cs="Arial"/>
          <w:sz w:val="22"/>
          <w:szCs w:val="22"/>
        </w:rPr>
        <w:t>)</w:t>
      </w:r>
      <w:r w:rsidR="00AE46B0">
        <w:rPr>
          <w:rFonts w:ascii="Arial" w:hAnsi="Arial" w:cs="Arial"/>
          <w:sz w:val="22"/>
          <w:szCs w:val="22"/>
        </w:rPr>
        <w:t xml:space="preserve">. </w:t>
      </w:r>
      <w:r w:rsidR="00AE46B0" w:rsidRPr="00FF464B">
        <w:rPr>
          <w:rFonts w:ascii="Arial" w:hAnsi="Arial" w:cs="Arial"/>
          <w:sz w:val="16"/>
          <w:szCs w:val="16"/>
        </w:rPr>
        <w:t xml:space="preserve"> </w:t>
      </w:r>
      <w:r w:rsidR="00AE46B0">
        <w:rPr>
          <w:rFonts w:ascii="Arial" w:hAnsi="Arial" w:cs="Arial"/>
          <w:sz w:val="22"/>
          <w:szCs w:val="22"/>
        </w:rPr>
        <w:t>Medication</w:t>
      </w:r>
      <w:r w:rsidR="000F5167" w:rsidRPr="00293A91">
        <w:rPr>
          <w:rFonts w:ascii="Arial" w:hAnsi="Arial" w:cs="Arial"/>
          <w:sz w:val="22"/>
          <w:szCs w:val="22"/>
        </w:rPr>
        <w:t>, particularly SS</w:t>
      </w:r>
      <w:r w:rsidR="00BB17C5" w:rsidRPr="00293A91">
        <w:rPr>
          <w:rFonts w:ascii="Arial" w:hAnsi="Arial" w:cs="Arial"/>
          <w:sz w:val="22"/>
          <w:szCs w:val="22"/>
        </w:rPr>
        <w:t xml:space="preserve">RIs, is commonly prescribed for moderate to severe depression (NICE, </w:t>
      </w:r>
      <w:r w:rsidR="00BB17C5" w:rsidRPr="00293A91">
        <w:rPr>
          <w:rFonts w:ascii="Arial" w:hAnsi="Arial" w:cs="Arial"/>
          <w:sz w:val="22"/>
          <w:szCs w:val="22"/>
        </w:rPr>
        <w:lastRenderedPageBreak/>
        <w:t>2022). Crisis services—including crisis resolution teams, psychiatric liaison, and helplines—support individuals experiencing severe symptoms. The National Suicide Prevention Strategy (DHSC, 2023) aligns with the WHO Commission (2008), which emphasises proportionate universalism, ensuring targeted support for high</w:t>
      </w:r>
      <w:r w:rsidR="00BB17C5" w:rsidRPr="00293A91">
        <w:rPr>
          <w:rFonts w:ascii="Arial" w:hAnsi="Arial" w:cs="Arial"/>
          <w:sz w:val="22"/>
          <w:szCs w:val="22"/>
        </w:rPr>
        <w:noBreakHyphen/>
        <w:t>risk groups.</w:t>
      </w:r>
      <w:r w:rsidR="002E43FF" w:rsidRPr="00293A91">
        <w:rPr>
          <w:rFonts w:ascii="Arial" w:hAnsi="Arial" w:cs="Arial"/>
          <w:sz w:val="22"/>
          <w:szCs w:val="22"/>
        </w:rPr>
        <w:t xml:space="preserve"> </w:t>
      </w:r>
      <w:r w:rsidR="00BB17C5" w:rsidRPr="00293A91">
        <w:rPr>
          <w:rFonts w:ascii="Arial" w:hAnsi="Arial" w:cs="Arial"/>
          <w:sz w:val="22"/>
          <w:szCs w:val="22"/>
        </w:rPr>
        <w:t>Social prescribing has become an important tool for addressing social determinants of health, such as isolation, inactivity, and lack of community engagement. Antonovsky’s (1987) salutogenic model highlights the importance of coherence, meaning, and manageability in protecting mental health, supporting the rationale for community</w:t>
      </w:r>
      <w:r w:rsidR="00BB17C5" w:rsidRPr="00293A91">
        <w:rPr>
          <w:rFonts w:ascii="Arial" w:hAnsi="Arial" w:cs="Arial"/>
          <w:sz w:val="22"/>
          <w:szCs w:val="22"/>
        </w:rPr>
        <w:noBreakHyphen/>
        <w:t>based interventions.</w:t>
      </w:r>
      <w:r w:rsidR="00F97D3A">
        <w:rPr>
          <w:rFonts w:ascii="Arial" w:hAnsi="Arial" w:cs="Arial"/>
          <w:sz w:val="22"/>
          <w:szCs w:val="22"/>
        </w:rPr>
        <w:t xml:space="preserve"> Therefore, </w:t>
      </w:r>
      <w:r w:rsidR="00F97D3A" w:rsidRPr="00F97D3A">
        <w:rPr>
          <w:rFonts w:ascii="Arial" w:hAnsi="Arial" w:cs="Arial"/>
          <w:sz w:val="22"/>
          <w:szCs w:val="22"/>
        </w:rPr>
        <w:t>Public</w:t>
      </w:r>
      <w:r w:rsidR="00F97D3A" w:rsidRPr="00F97D3A">
        <w:rPr>
          <w:rFonts w:ascii="Arial" w:hAnsi="Arial" w:cs="Arial"/>
          <w:sz w:val="22"/>
          <w:szCs w:val="22"/>
        </w:rPr>
        <w:noBreakHyphen/>
        <w:t>health campaigns such as Time to Change reduce stigma and encourage help</w:t>
      </w:r>
      <w:r w:rsidR="00F97D3A" w:rsidRPr="00F97D3A">
        <w:rPr>
          <w:rFonts w:ascii="Arial" w:hAnsi="Arial" w:cs="Arial"/>
          <w:sz w:val="22"/>
          <w:szCs w:val="22"/>
        </w:rPr>
        <w:noBreakHyphen/>
        <w:t>seeking. Engel’s (1977) biopsychosocial model reinforces the importance of addressing psychological and social factors alongside biological symptoms</w:t>
      </w:r>
      <w:r w:rsidR="00E33EFE">
        <w:rPr>
          <w:rFonts w:ascii="Arial" w:hAnsi="Arial" w:cs="Arial"/>
          <w:sz w:val="22"/>
          <w:szCs w:val="22"/>
        </w:rPr>
        <w:t xml:space="preserve"> and </w:t>
      </w:r>
      <w:r w:rsidR="00E33EFE" w:rsidRPr="00293A91">
        <w:rPr>
          <w:rFonts w:ascii="Arial" w:hAnsi="Arial" w:cs="Arial"/>
          <w:sz w:val="22"/>
          <w:szCs w:val="22"/>
        </w:rPr>
        <w:t>Marmot’s framework emphasises empowerment and improving health literacy as key components of mental</w:t>
      </w:r>
      <w:r w:rsidR="00E33EFE" w:rsidRPr="00293A91">
        <w:rPr>
          <w:rFonts w:ascii="Arial" w:hAnsi="Arial" w:cs="Arial"/>
          <w:sz w:val="22"/>
          <w:szCs w:val="22"/>
        </w:rPr>
        <w:noBreakHyphen/>
        <w:t>health equity</w:t>
      </w:r>
      <w:r w:rsidR="00A011F5">
        <w:rPr>
          <w:rFonts w:ascii="Arial" w:hAnsi="Arial" w:cs="Arial"/>
          <w:sz w:val="22"/>
          <w:szCs w:val="22"/>
        </w:rPr>
        <w:t xml:space="preserve"> (Marmot</w:t>
      </w:r>
      <w:r w:rsidR="005F1949">
        <w:rPr>
          <w:rFonts w:ascii="Arial" w:hAnsi="Arial" w:cs="Arial"/>
          <w:sz w:val="22"/>
          <w:szCs w:val="22"/>
        </w:rPr>
        <w:t xml:space="preserve">, </w:t>
      </w:r>
      <w:r w:rsidR="005013B8">
        <w:rPr>
          <w:rFonts w:ascii="Arial" w:hAnsi="Arial" w:cs="Arial"/>
          <w:sz w:val="22"/>
          <w:szCs w:val="22"/>
        </w:rPr>
        <w:t>2010).</w:t>
      </w:r>
    </w:p>
    <w:p w14:paraId="33DC5F9C" w14:textId="77777777" w:rsidR="00595A5B" w:rsidRPr="00293A91" w:rsidRDefault="00524A28" w:rsidP="00293A91">
      <w:pPr>
        <w:pStyle w:val="Heading1"/>
        <w:spacing w:before="300" w:after="150" w:line="360" w:lineRule="auto"/>
        <w:jc w:val="both"/>
        <w:rPr>
          <w:rFonts w:ascii="Arial" w:hAnsi="Arial" w:cs="Arial"/>
          <w:sz w:val="22"/>
          <w:szCs w:val="22"/>
        </w:rPr>
      </w:pPr>
      <w:bookmarkStart w:id="2" w:name="_Toc237390241"/>
      <w:r w:rsidRPr="00293A91">
        <w:rPr>
          <w:rFonts w:ascii="Arial" w:hAnsi="Arial" w:cs="Arial"/>
          <w:sz w:val="22"/>
          <w:szCs w:val="22"/>
        </w:rPr>
        <w:t>Consequences of Depression on Individuals and Communities</w:t>
      </w:r>
      <w:bookmarkEnd w:id="2"/>
    </w:p>
    <w:p w14:paraId="203F6C53" w14:textId="66E0995E" w:rsidR="00F50568" w:rsidRPr="00293A91" w:rsidRDefault="00524A28" w:rsidP="00293A91">
      <w:pPr>
        <w:spacing w:after="200" w:line="360" w:lineRule="auto"/>
        <w:jc w:val="both"/>
        <w:rPr>
          <w:rFonts w:ascii="Arial" w:hAnsi="Arial" w:cs="Arial"/>
          <w:sz w:val="22"/>
          <w:szCs w:val="22"/>
        </w:rPr>
      </w:pPr>
      <w:r w:rsidRPr="00293A91">
        <w:rPr>
          <w:rFonts w:ascii="Arial" w:hAnsi="Arial" w:cs="Arial"/>
          <w:sz w:val="22"/>
          <w:szCs w:val="22"/>
        </w:rPr>
        <w:t>Depression has wide-ranging consequences</w:t>
      </w:r>
      <w:r w:rsidR="00951D04" w:rsidRPr="00293A91">
        <w:rPr>
          <w:rFonts w:ascii="Arial" w:hAnsi="Arial" w:cs="Arial"/>
          <w:sz w:val="22"/>
          <w:szCs w:val="22"/>
        </w:rPr>
        <w:t xml:space="preserve"> (Penninx et al., 2013) </w:t>
      </w:r>
      <w:r w:rsidR="00AA3DCB">
        <w:rPr>
          <w:rFonts w:ascii="Arial" w:hAnsi="Arial" w:cs="Arial"/>
          <w:sz w:val="22"/>
          <w:szCs w:val="22"/>
        </w:rPr>
        <w:t>affecting</w:t>
      </w:r>
      <w:r w:rsidRPr="00293A91">
        <w:rPr>
          <w:rFonts w:ascii="Arial" w:hAnsi="Arial" w:cs="Arial"/>
          <w:sz w:val="22"/>
          <w:szCs w:val="22"/>
        </w:rPr>
        <w:t xml:space="preserve"> individuals, families, and communities. At the individual level, depression can impair physical health, cognitive functioning, and emotional wellbeing. Symptoms such as fatigue, poor sleep, and reduced concentration can limit daily activities and reduce quality of life. Depression is also associated with increased risk of chronic illnesses, including cardiovascular disease and diabetes, due to behavioural and physiological pathways</w:t>
      </w:r>
      <w:r w:rsidR="005D1928" w:rsidRPr="00293A91">
        <w:rPr>
          <w:rFonts w:ascii="Arial" w:hAnsi="Arial" w:cs="Arial"/>
          <w:sz w:val="22"/>
          <w:szCs w:val="22"/>
        </w:rPr>
        <w:t xml:space="preserve"> </w:t>
      </w:r>
      <w:r w:rsidR="00B170FC" w:rsidRPr="00293A91">
        <w:rPr>
          <w:rFonts w:ascii="Arial" w:hAnsi="Arial" w:cs="Arial"/>
          <w:sz w:val="22"/>
          <w:szCs w:val="22"/>
        </w:rPr>
        <w:t>(Engel, 1977).</w:t>
      </w:r>
    </w:p>
    <w:p w14:paraId="5C5832B5" w14:textId="77777777" w:rsidR="00362F56" w:rsidRPr="00293A91" w:rsidRDefault="00B02848" w:rsidP="00293A91">
      <w:pPr>
        <w:spacing w:after="200" w:line="360" w:lineRule="auto"/>
        <w:jc w:val="both"/>
        <w:rPr>
          <w:rFonts w:ascii="Arial" w:hAnsi="Arial" w:cs="Arial"/>
          <w:sz w:val="22"/>
          <w:szCs w:val="22"/>
        </w:rPr>
      </w:pPr>
      <w:r w:rsidRPr="00293A91">
        <w:rPr>
          <w:rFonts w:ascii="Arial" w:hAnsi="Arial" w:cs="Arial"/>
          <w:sz w:val="22"/>
          <w:szCs w:val="22"/>
        </w:rPr>
        <w:t>Social consequences include withdrawal from relationships, reduced parenting capacity, and increased family conflict. Bronfenbrenner’s (1979) ecological systems theory illustrates how family, school, and community environments shape mental</w:t>
      </w:r>
      <w:r w:rsidRPr="00293A91">
        <w:rPr>
          <w:rFonts w:ascii="Arial" w:hAnsi="Arial" w:cs="Arial"/>
          <w:sz w:val="22"/>
          <w:szCs w:val="22"/>
        </w:rPr>
        <w:noBreakHyphen/>
        <w:t xml:space="preserve">health outcomes. Marmot (2010) highlights </w:t>
      </w:r>
      <w:r w:rsidR="004D1625" w:rsidRPr="00293A91">
        <w:rPr>
          <w:rFonts w:ascii="Arial" w:hAnsi="Arial" w:cs="Arial"/>
          <w:sz w:val="22"/>
          <w:szCs w:val="22"/>
        </w:rPr>
        <w:t>that psychosocial stressor</w:t>
      </w:r>
      <w:r w:rsidRPr="00293A91">
        <w:rPr>
          <w:rFonts w:ascii="Arial" w:hAnsi="Arial" w:cs="Arial"/>
          <w:sz w:val="22"/>
          <w:szCs w:val="22"/>
        </w:rPr>
        <w:t xml:space="preserve"> such as insecure employment, low income, and poor housing, exacerbate mental</w:t>
      </w:r>
      <w:r w:rsidRPr="00293A91">
        <w:rPr>
          <w:rFonts w:ascii="Arial" w:hAnsi="Arial" w:cs="Arial"/>
          <w:sz w:val="22"/>
          <w:szCs w:val="22"/>
        </w:rPr>
        <w:noBreakHyphen/>
        <w:t>health conditions.</w:t>
      </w:r>
      <w:r w:rsidR="004D1625" w:rsidRPr="00293A91">
        <w:rPr>
          <w:rFonts w:ascii="Arial" w:hAnsi="Arial" w:cs="Arial"/>
          <w:sz w:val="22"/>
          <w:szCs w:val="22"/>
        </w:rPr>
        <w:t xml:space="preserve"> Mental Health Foundation &amp; LSE, </w:t>
      </w:r>
      <w:r w:rsidR="00D94E7A" w:rsidRPr="00293A91">
        <w:rPr>
          <w:rFonts w:ascii="Arial" w:hAnsi="Arial" w:cs="Arial"/>
          <w:sz w:val="22"/>
          <w:szCs w:val="22"/>
        </w:rPr>
        <w:t>(</w:t>
      </w:r>
      <w:r w:rsidR="004D1625" w:rsidRPr="00293A91">
        <w:rPr>
          <w:rFonts w:ascii="Arial" w:hAnsi="Arial" w:cs="Arial"/>
          <w:sz w:val="22"/>
          <w:szCs w:val="22"/>
        </w:rPr>
        <w:t>2022)</w:t>
      </w:r>
      <w:r w:rsidR="00D94E7A" w:rsidRPr="00293A91">
        <w:rPr>
          <w:rFonts w:ascii="Arial" w:hAnsi="Arial" w:cs="Arial"/>
          <w:sz w:val="22"/>
          <w:szCs w:val="22"/>
        </w:rPr>
        <w:t xml:space="preserve"> show that e</w:t>
      </w:r>
      <w:r w:rsidRPr="00293A91">
        <w:rPr>
          <w:rFonts w:ascii="Arial" w:hAnsi="Arial" w:cs="Arial"/>
          <w:sz w:val="22"/>
          <w:szCs w:val="22"/>
        </w:rPr>
        <w:t>conomic consequences are substantial: mental</w:t>
      </w:r>
      <w:r w:rsidRPr="00293A91">
        <w:rPr>
          <w:rFonts w:ascii="Arial" w:hAnsi="Arial" w:cs="Arial"/>
          <w:sz w:val="22"/>
          <w:szCs w:val="22"/>
        </w:rPr>
        <w:noBreakHyphen/>
        <w:t>health conditions cost the UK economy at least £117.9 billion annually. Layard (2013) argues that investing in mental</w:t>
      </w:r>
      <w:r w:rsidRPr="00293A91">
        <w:rPr>
          <w:rFonts w:ascii="Arial" w:hAnsi="Arial" w:cs="Arial"/>
          <w:sz w:val="22"/>
          <w:szCs w:val="22"/>
        </w:rPr>
        <w:noBreakHyphen/>
        <w:t>health prevention yields significant economic returns by improving wellbeing and productivity.</w:t>
      </w:r>
      <w:r w:rsidR="00362F56" w:rsidRPr="00293A91">
        <w:rPr>
          <w:rFonts w:ascii="Arial" w:hAnsi="Arial" w:cs="Arial"/>
          <w:sz w:val="22"/>
          <w:szCs w:val="22"/>
        </w:rPr>
        <w:t xml:space="preserve"> Wilkinson and Pickett (2009) demonstrate that societies with higher income inequality experience greater mental</w:t>
      </w:r>
      <w:r w:rsidR="00362F56" w:rsidRPr="00293A91">
        <w:rPr>
          <w:rFonts w:ascii="Arial" w:hAnsi="Arial" w:cs="Arial"/>
          <w:sz w:val="22"/>
          <w:szCs w:val="22"/>
        </w:rPr>
        <w:noBreakHyphen/>
        <w:t>health burdens due to weaker social cohesion and increased stress.</w:t>
      </w:r>
    </w:p>
    <w:p w14:paraId="3631F017" w14:textId="129EE5F7" w:rsidR="00C15DAA" w:rsidRDefault="00362F56" w:rsidP="00293A91">
      <w:pPr>
        <w:spacing w:after="200" w:line="360" w:lineRule="auto"/>
        <w:jc w:val="both"/>
        <w:rPr>
          <w:rFonts w:ascii="Arial" w:hAnsi="Arial" w:cs="Arial"/>
          <w:sz w:val="22"/>
          <w:szCs w:val="22"/>
        </w:rPr>
      </w:pPr>
      <w:r w:rsidRPr="00293A91">
        <w:rPr>
          <w:rFonts w:ascii="Arial" w:hAnsi="Arial" w:cs="Arial"/>
          <w:sz w:val="22"/>
          <w:szCs w:val="22"/>
        </w:rPr>
        <w:t>Inequalities shape the consequences of depressio</w:t>
      </w:r>
      <w:r w:rsidR="00B76308" w:rsidRPr="00293A91">
        <w:rPr>
          <w:rFonts w:ascii="Arial" w:hAnsi="Arial" w:cs="Arial"/>
          <w:sz w:val="22"/>
          <w:szCs w:val="22"/>
        </w:rPr>
        <w:t xml:space="preserve">n </w:t>
      </w:r>
      <w:r w:rsidR="00D6371F" w:rsidRPr="00293A91">
        <w:rPr>
          <w:rFonts w:ascii="Arial" w:hAnsi="Arial" w:cs="Arial"/>
          <w:sz w:val="22"/>
          <w:szCs w:val="22"/>
        </w:rPr>
        <w:t>(ONS, 2022).</w:t>
      </w:r>
      <w:r w:rsidRPr="00293A91">
        <w:rPr>
          <w:rFonts w:ascii="Arial" w:hAnsi="Arial" w:cs="Arial"/>
          <w:sz w:val="22"/>
          <w:szCs w:val="22"/>
        </w:rPr>
        <w:t xml:space="preserve"> People in deprived areas experience higher rates and face greater barriers to accessing treatment</w:t>
      </w:r>
      <w:r w:rsidR="004E3E87" w:rsidRPr="00293A91">
        <w:rPr>
          <w:rFonts w:ascii="Arial" w:hAnsi="Arial" w:cs="Arial"/>
          <w:sz w:val="22"/>
          <w:szCs w:val="22"/>
        </w:rPr>
        <w:t>.</w:t>
      </w:r>
      <w:r w:rsidRPr="00293A91">
        <w:rPr>
          <w:rFonts w:ascii="Arial" w:hAnsi="Arial" w:cs="Arial"/>
          <w:sz w:val="22"/>
          <w:szCs w:val="22"/>
        </w:rPr>
        <w:t xml:space="preserve"> Although Anosova et </w:t>
      </w:r>
      <w:r w:rsidRPr="00293A91">
        <w:rPr>
          <w:rFonts w:ascii="Arial" w:hAnsi="Arial" w:cs="Arial"/>
          <w:sz w:val="22"/>
          <w:szCs w:val="22"/>
        </w:rPr>
        <w:lastRenderedPageBreak/>
        <w:t>al. (2025) found higher underdiagnosis in less deprived areas</w:t>
      </w:r>
      <w:r w:rsidR="00D84A12">
        <w:rPr>
          <w:rFonts w:ascii="Arial" w:hAnsi="Arial" w:cs="Arial"/>
          <w:sz w:val="22"/>
          <w:szCs w:val="22"/>
        </w:rPr>
        <w:t xml:space="preserve">. </w:t>
      </w:r>
      <w:r w:rsidR="00C15DAA" w:rsidRPr="00C15DAA">
        <w:rPr>
          <w:rFonts w:ascii="Arial" w:hAnsi="Arial" w:cs="Arial"/>
          <w:sz w:val="22"/>
          <w:szCs w:val="22"/>
        </w:rPr>
        <w:t>Marmot (2010) stresses that the overall burden remains disproportionately concentrated in disadvantaged communities, acting as a key driver of long</w:t>
      </w:r>
      <w:r w:rsidR="00C15DAA" w:rsidRPr="00C15DAA">
        <w:rPr>
          <w:rFonts w:ascii="Arial" w:hAnsi="Arial" w:cs="Arial"/>
          <w:sz w:val="22"/>
          <w:szCs w:val="22"/>
        </w:rPr>
        <w:noBreakHyphen/>
        <w:t>term health inequalities.</w:t>
      </w:r>
    </w:p>
    <w:p w14:paraId="676467C8" w14:textId="77777777" w:rsidR="00595A5B" w:rsidRPr="00293A91" w:rsidRDefault="00524A28" w:rsidP="00293A91">
      <w:pPr>
        <w:pStyle w:val="Heading1"/>
        <w:spacing w:before="300" w:after="150" w:line="360" w:lineRule="auto"/>
        <w:jc w:val="both"/>
        <w:rPr>
          <w:rFonts w:ascii="Arial" w:hAnsi="Arial" w:cs="Arial"/>
          <w:sz w:val="22"/>
          <w:szCs w:val="22"/>
        </w:rPr>
      </w:pPr>
      <w:bookmarkStart w:id="3" w:name="_Toc237390242"/>
      <w:r w:rsidRPr="00293A91">
        <w:rPr>
          <w:rFonts w:ascii="Arial" w:hAnsi="Arial" w:cs="Arial"/>
          <w:sz w:val="22"/>
          <w:szCs w:val="22"/>
        </w:rPr>
        <w:t>Health and Social Care Support Services Required</w:t>
      </w:r>
      <w:bookmarkEnd w:id="3"/>
    </w:p>
    <w:p w14:paraId="6E170F67" w14:textId="60ADE3EC" w:rsidR="00E86713" w:rsidRPr="00E86713" w:rsidRDefault="00671B00" w:rsidP="00F5169B">
      <w:pPr>
        <w:spacing w:after="120" w:line="360" w:lineRule="auto"/>
        <w:ind w:left="720"/>
        <w:jc w:val="both"/>
        <w:rPr>
          <w:rFonts w:ascii="Arial" w:hAnsi="Arial" w:cs="Arial"/>
          <w:sz w:val="22"/>
          <w:szCs w:val="22"/>
        </w:rPr>
      </w:pPr>
      <w:r w:rsidRPr="00293A91">
        <w:rPr>
          <w:rFonts w:ascii="Arial" w:hAnsi="Arial" w:cs="Arial"/>
          <w:sz w:val="22"/>
          <w:szCs w:val="22"/>
        </w:rPr>
        <w:t>Primary care provides assessment, medication management, and referrals. Marmot (2010)</w:t>
      </w:r>
      <w:r w:rsidR="00F5169B">
        <w:rPr>
          <w:rFonts w:ascii="Arial" w:hAnsi="Arial" w:cs="Arial"/>
          <w:sz w:val="22"/>
          <w:szCs w:val="22"/>
        </w:rPr>
        <w:t xml:space="preserve"> </w:t>
      </w:r>
      <w:r w:rsidRPr="00293A91">
        <w:rPr>
          <w:rFonts w:ascii="Arial" w:hAnsi="Arial" w:cs="Arial"/>
          <w:sz w:val="22"/>
          <w:szCs w:val="22"/>
        </w:rPr>
        <w:t>stresses that equitable access to primary care is essential for reducing mental</w:t>
      </w:r>
      <w:r w:rsidRPr="00293A91">
        <w:rPr>
          <w:rFonts w:ascii="Arial" w:hAnsi="Arial" w:cs="Arial"/>
          <w:sz w:val="22"/>
          <w:szCs w:val="22"/>
        </w:rPr>
        <w:noBreakHyphen/>
        <w:t>health inequalities.</w:t>
      </w:r>
      <w:r w:rsidR="0096603E" w:rsidRPr="00293A91">
        <w:rPr>
          <w:rFonts w:ascii="Arial" w:hAnsi="Arial" w:cs="Arial"/>
          <w:sz w:val="22"/>
          <w:szCs w:val="22"/>
        </w:rPr>
        <w:t xml:space="preserve"> Community mental</w:t>
      </w:r>
      <w:r w:rsidR="0096603E" w:rsidRPr="00293A91">
        <w:rPr>
          <w:rFonts w:ascii="Arial" w:hAnsi="Arial" w:cs="Arial"/>
          <w:sz w:val="22"/>
          <w:szCs w:val="22"/>
        </w:rPr>
        <w:noBreakHyphen/>
        <w:t>health teams offer specialist support for complex or severe depression. Integrated working between NHS, local authorities, and voluntary organisations reflects Marmot’s call for whole</w:t>
      </w:r>
      <w:r w:rsidR="0096603E" w:rsidRPr="00293A91">
        <w:rPr>
          <w:rFonts w:ascii="Arial" w:hAnsi="Arial" w:cs="Arial"/>
          <w:sz w:val="22"/>
          <w:szCs w:val="22"/>
        </w:rPr>
        <w:noBreakHyphen/>
        <w:t xml:space="preserve">system approaches to health equity. </w:t>
      </w:r>
      <w:r w:rsidR="00D84FD2" w:rsidRPr="00293A91">
        <w:rPr>
          <w:rFonts w:ascii="Arial" w:hAnsi="Arial" w:cs="Arial"/>
          <w:sz w:val="22"/>
          <w:szCs w:val="22"/>
        </w:rPr>
        <w:t>Marmot et al. (2020) highlight that deprived communities often experience longer waits and fewer therapy options, reinforcing inequities.</w:t>
      </w:r>
      <w:r w:rsidR="00B9234E" w:rsidRPr="00293A91">
        <w:rPr>
          <w:rFonts w:ascii="Arial" w:hAnsi="Arial" w:cs="Arial"/>
          <w:sz w:val="22"/>
          <w:szCs w:val="22"/>
        </w:rPr>
        <w:t xml:space="preserve"> NHS Talking Therapies provide accessible psychological interventions, though waiting times vary.</w:t>
      </w:r>
      <w:r w:rsidR="00015A8A" w:rsidRPr="00293A91">
        <w:rPr>
          <w:rFonts w:ascii="Arial" w:hAnsi="Arial" w:cs="Arial"/>
          <w:sz w:val="22"/>
          <w:szCs w:val="22"/>
        </w:rPr>
        <w:t xml:space="preserve"> </w:t>
      </w:r>
      <w:r w:rsidR="00B53B37" w:rsidRPr="00B53B37">
        <w:rPr>
          <w:rFonts w:ascii="Arial" w:hAnsi="Arial" w:cs="Arial"/>
          <w:sz w:val="22"/>
          <w:szCs w:val="22"/>
        </w:rPr>
        <w:t>Social</w:t>
      </w:r>
      <w:r w:rsidR="00B53B37" w:rsidRPr="00B53B37">
        <w:rPr>
          <w:rFonts w:ascii="Arial" w:hAnsi="Arial" w:cs="Arial"/>
          <w:sz w:val="22"/>
          <w:szCs w:val="22"/>
        </w:rPr>
        <w:noBreakHyphen/>
        <w:t>care services, consistent with Dahlgren and Whitehead’s (1991) framework, support individuals whose depression affects daily functioning</w:t>
      </w:r>
      <w:r w:rsidR="00DA0752">
        <w:rPr>
          <w:rFonts w:ascii="Arial" w:hAnsi="Arial" w:cs="Arial"/>
          <w:sz w:val="22"/>
          <w:szCs w:val="22"/>
        </w:rPr>
        <w:t xml:space="preserve">, </w:t>
      </w:r>
      <w:r w:rsidR="00665E79" w:rsidRPr="00293A91">
        <w:rPr>
          <w:rFonts w:ascii="Arial" w:hAnsi="Arial" w:cs="Arial"/>
          <w:sz w:val="22"/>
          <w:szCs w:val="22"/>
        </w:rPr>
        <w:t>addressing housing, financial insecurity, safeguarding, and domestic abuse—key social determinants</w:t>
      </w:r>
      <w:r w:rsidR="00976E13" w:rsidRPr="00E86713">
        <w:rPr>
          <w:rFonts w:ascii="Arial" w:hAnsi="Arial" w:cs="Arial"/>
          <w:sz w:val="22"/>
          <w:szCs w:val="22"/>
        </w:rPr>
        <w:t>.</w:t>
      </w:r>
      <w:r w:rsidR="00E86713" w:rsidRPr="00E86713">
        <w:rPr>
          <w:rFonts w:ascii="Arial" w:hAnsi="Arial" w:cs="Arial"/>
          <w:sz w:val="22"/>
          <w:szCs w:val="22"/>
        </w:rPr>
        <w:t xml:space="preserve"> </w:t>
      </w:r>
      <w:r w:rsidR="00E86713" w:rsidRPr="00E86713">
        <w:rPr>
          <w:rFonts w:ascii="Arial" w:hAnsi="Arial" w:cs="Arial"/>
          <w:sz w:val="22"/>
          <w:szCs w:val="22"/>
        </w:rPr>
        <w:t>Figure 1: Dahlgren and Whitehead’s (1991) model illustrates how health outcomes, including depression, are shaped by multiple layers of influence—from individual factors to wider socioeconomic and environmental conditions.</w:t>
      </w:r>
    </w:p>
    <w:p w14:paraId="68775AF9" w14:textId="05B6DFC7" w:rsidR="007816BB" w:rsidRPr="00293A91" w:rsidRDefault="00665E79" w:rsidP="00F5169B">
      <w:pPr>
        <w:spacing w:after="200" w:line="360" w:lineRule="auto"/>
        <w:jc w:val="both"/>
        <w:rPr>
          <w:rFonts w:ascii="Arial" w:hAnsi="Arial" w:cs="Arial"/>
          <w:sz w:val="22"/>
          <w:szCs w:val="22"/>
        </w:rPr>
      </w:pPr>
      <w:r w:rsidRPr="00293A91">
        <w:rPr>
          <w:rFonts w:ascii="Arial" w:hAnsi="Arial" w:cs="Arial"/>
          <w:sz w:val="22"/>
          <w:szCs w:val="22"/>
        </w:rPr>
        <w:t xml:space="preserve"> </w:t>
      </w:r>
      <w:r w:rsidR="00FF7EAD" w:rsidRPr="00293A91">
        <w:rPr>
          <w:rFonts w:ascii="Arial" w:hAnsi="Arial" w:cs="Arial"/>
          <w:sz w:val="22"/>
          <w:szCs w:val="22"/>
        </w:rPr>
        <w:t>Voluntary organisations such as Mind, Rethink, and Samaritans provide essential community</w:t>
      </w:r>
      <w:r w:rsidR="00FF7EAD" w:rsidRPr="00293A91">
        <w:rPr>
          <w:rFonts w:ascii="Arial" w:hAnsi="Arial" w:cs="Arial"/>
          <w:sz w:val="22"/>
          <w:szCs w:val="22"/>
        </w:rPr>
        <w:noBreakHyphen/>
        <w:t>based support. Antonovsky’s (1987) model highlights the importance of strengthening community assets to promote resilience.</w:t>
      </w:r>
      <w:r w:rsidR="007816BB" w:rsidRPr="00293A91">
        <w:rPr>
          <w:rFonts w:ascii="Arial" w:hAnsi="Arial" w:cs="Arial"/>
          <w:sz w:val="22"/>
          <w:szCs w:val="22"/>
        </w:rPr>
        <w:t xml:space="preserve"> Specialist services—including perinatal mental</w:t>
      </w:r>
      <w:r w:rsidR="007816BB" w:rsidRPr="00293A91">
        <w:rPr>
          <w:rFonts w:ascii="Arial" w:hAnsi="Arial" w:cs="Arial"/>
          <w:sz w:val="22"/>
          <w:szCs w:val="22"/>
        </w:rPr>
        <w:noBreakHyphen/>
        <w:t>health teams, CAMHS, and older</w:t>
      </w:r>
      <w:r w:rsidR="007816BB" w:rsidRPr="00293A91">
        <w:rPr>
          <w:rFonts w:ascii="Arial" w:hAnsi="Arial" w:cs="Arial"/>
          <w:sz w:val="22"/>
          <w:szCs w:val="22"/>
        </w:rPr>
        <w:noBreakHyphen/>
        <w:t>adult services—address population</w:t>
      </w:r>
      <w:r w:rsidR="007816BB" w:rsidRPr="00293A91">
        <w:rPr>
          <w:rFonts w:ascii="Arial" w:hAnsi="Arial" w:cs="Arial"/>
          <w:sz w:val="22"/>
          <w:szCs w:val="22"/>
        </w:rPr>
        <w:noBreakHyphen/>
        <w:t xml:space="preserve">specific needs. Marmot’s </w:t>
      </w:r>
      <w:r w:rsidR="006C67DF">
        <w:rPr>
          <w:rFonts w:ascii="Arial" w:hAnsi="Arial" w:cs="Arial"/>
          <w:sz w:val="22"/>
          <w:szCs w:val="22"/>
        </w:rPr>
        <w:t>(2010</w:t>
      </w:r>
      <w:r w:rsidR="00D1095B">
        <w:rPr>
          <w:rFonts w:ascii="Arial" w:hAnsi="Arial" w:cs="Arial"/>
          <w:sz w:val="22"/>
          <w:szCs w:val="22"/>
        </w:rPr>
        <w:t xml:space="preserve">) </w:t>
      </w:r>
      <w:r w:rsidR="007816BB" w:rsidRPr="00293A91">
        <w:rPr>
          <w:rFonts w:ascii="Arial" w:hAnsi="Arial" w:cs="Arial"/>
          <w:sz w:val="22"/>
          <w:szCs w:val="22"/>
        </w:rPr>
        <w:t>framework highlights the importance of early</w:t>
      </w:r>
      <w:r w:rsidR="007816BB" w:rsidRPr="00293A91">
        <w:rPr>
          <w:rFonts w:ascii="Arial" w:hAnsi="Arial" w:cs="Arial"/>
          <w:sz w:val="22"/>
          <w:szCs w:val="22"/>
        </w:rPr>
        <w:noBreakHyphen/>
        <w:t>life and later</w:t>
      </w:r>
      <w:r w:rsidR="007816BB" w:rsidRPr="00293A91">
        <w:rPr>
          <w:rFonts w:ascii="Arial" w:hAnsi="Arial" w:cs="Arial"/>
          <w:sz w:val="22"/>
          <w:szCs w:val="22"/>
        </w:rPr>
        <w:noBreakHyphen/>
        <w:t>life interventions.</w:t>
      </w:r>
      <w:r w:rsidR="000F5DB9" w:rsidRPr="00293A91">
        <w:rPr>
          <w:rFonts w:ascii="Arial" w:hAnsi="Arial" w:cs="Arial"/>
          <w:sz w:val="22"/>
          <w:szCs w:val="22"/>
        </w:rPr>
        <w:t xml:space="preserve"> </w:t>
      </w:r>
      <w:r w:rsidR="007816BB" w:rsidRPr="00293A91">
        <w:rPr>
          <w:rFonts w:ascii="Arial" w:hAnsi="Arial" w:cs="Arial"/>
          <w:sz w:val="22"/>
          <w:szCs w:val="22"/>
        </w:rPr>
        <w:t>Digital mental</w:t>
      </w:r>
      <w:r w:rsidR="007816BB" w:rsidRPr="00293A91">
        <w:rPr>
          <w:rFonts w:ascii="Arial" w:hAnsi="Arial" w:cs="Arial"/>
          <w:sz w:val="22"/>
          <w:szCs w:val="22"/>
        </w:rPr>
        <w:noBreakHyphen/>
        <w:t>health tools expand access but risk excluding digitally disadvantaged groups. The WHO Commission (2008) emphasises reducing digital inequality as part of modern public</w:t>
      </w:r>
      <w:r w:rsidR="007816BB" w:rsidRPr="00293A91">
        <w:rPr>
          <w:rFonts w:ascii="Arial" w:hAnsi="Arial" w:cs="Arial"/>
          <w:sz w:val="22"/>
          <w:szCs w:val="22"/>
        </w:rPr>
        <w:noBreakHyphen/>
        <w:t>health strategy.</w:t>
      </w:r>
    </w:p>
    <w:p w14:paraId="70F7323E" w14:textId="77777777" w:rsidR="00E72B50" w:rsidRPr="00293A91" w:rsidRDefault="00E72B50" w:rsidP="00293A91">
      <w:pPr>
        <w:pStyle w:val="Heading1"/>
        <w:spacing w:before="300" w:after="150" w:line="360" w:lineRule="auto"/>
        <w:jc w:val="both"/>
        <w:rPr>
          <w:rFonts w:ascii="Arial" w:hAnsi="Arial" w:cs="Arial"/>
          <w:sz w:val="22"/>
          <w:szCs w:val="22"/>
        </w:rPr>
      </w:pPr>
    </w:p>
    <w:p w14:paraId="22F05A99" w14:textId="79F617AD" w:rsidR="00595A5B" w:rsidRPr="00293A91" w:rsidRDefault="00524A28" w:rsidP="00293A91">
      <w:pPr>
        <w:pStyle w:val="Heading1"/>
        <w:spacing w:before="300" w:after="150" w:line="360" w:lineRule="auto"/>
        <w:jc w:val="both"/>
        <w:rPr>
          <w:rFonts w:ascii="Arial" w:hAnsi="Arial" w:cs="Arial"/>
          <w:sz w:val="22"/>
          <w:szCs w:val="22"/>
        </w:rPr>
      </w:pPr>
      <w:bookmarkStart w:id="4" w:name="_Toc237390243"/>
      <w:r w:rsidRPr="00293A91">
        <w:rPr>
          <w:rFonts w:ascii="Arial" w:hAnsi="Arial" w:cs="Arial"/>
          <w:sz w:val="22"/>
          <w:szCs w:val="22"/>
        </w:rPr>
        <w:t>Conclusion</w:t>
      </w:r>
      <w:bookmarkEnd w:id="4"/>
    </w:p>
    <w:p w14:paraId="11B7515D" w14:textId="7BC7C896" w:rsidR="000C4A11" w:rsidRPr="00293A91" w:rsidRDefault="00524A28" w:rsidP="00293A91">
      <w:pPr>
        <w:spacing w:after="200" w:line="360" w:lineRule="auto"/>
        <w:jc w:val="both"/>
        <w:rPr>
          <w:rFonts w:ascii="Arial" w:hAnsi="Arial" w:cs="Arial"/>
          <w:sz w:val="22"/>
          <w:szCs w:val="22"/>
        </w:rPr>
      </w:pPr>
      <w:r w:rsidRPr="00293A91">
        <w:rPr>
          <w:rFonts w:ascii="Arial" w:hAnsi="Arial" w:cs="Arial"/>
          <w:sz w:val="22"/>
          <w:szCs w:val="22"/>
        </w:rPr>
        <w:t>Depression is a major public health issue in the U</w:t>
      </w:r>
      <w:r w:rsidR="00E41478" w:rsidRPr="00293A91">
        <w:rPr>
          <w:rFonts w:ascii="Arial" w:hAnsi="Arial" w:cs="Arial"/>
          <w:sz w:val="22"/>
          <w:szCs w:val="22"/>
        </w:rPr>
        <w:t xml:space="preserve">nited </w:t>
      </w:r>
      <w:r w:rsidRPr="00293A91">
        <w:rPr>
          <w:rFonts w:ascii="Arial" w:hAnsi="Arial" w:cs="Arial"/>
          <w:sz w:val="22"/>
          <w:szCs w:val="22"/>
        </w:rPr>
        <w:t>K</w:t>
      </w:r>
      <w:r w:rsidR="00E41478" w:rsidRPr="00293A91">
        <w:rPr>
          <w:rFonts w:ascii="Arial" w:hAnsi="Arial" w:cs="Arial"/>
          <w:sz w:val="22"/>
          <w:szCs w:val="22"/>
        </w:rPr>
        <w:t>ingdom</w:t>
      </w:r>
      <w:r w:rsidRPr="00293A91">
        <w:rPr>
          <w:rFonts w:ascii="Arial" w:hAnsi="Arial" w:cs="Arial"/>
          <w:sz w:val="22"/>
          <w:szCs w:val="22"/>
        </w:rPr>
        <w:t xml:space="preserve"> due to its high prevalence, significant underdiagnosis, and wide-ranging consequences for individuals and communities. Monitoring relies on clinical data, national surveys, and modelling studies, such as the CPRD-</w:t>
      </w:r>
      <w:r w:rsidRPr="00293A91">
        <w:rPr>
          <w:rFonts w:ascii="Arial" w:hAnsi="Arial" w:cs="Arial"/>
          <w:sz w:val="22"/>
          <w:szCs w:val="22"/>
        </w:rPr>
        <w:lastRenderedPageBreak/>
        <w:t xml:space="preserve">based analysis by Anosova et al. (2025), </w:t>
      </w:r>
      <w:r w:rsidR="00E7413C" w:rsidRPr="00293A91">
        <w:rPr>
          <w:rFonts w:ascii="Arial" w:hAnsi="Arial" w:cs="Arial"/>
          <w:sz w:val="22"/>
          <w:szCs w:val="22"/>
        </w:rPr>
        <w:t>which highlight complex diagnostic patterns. Effective control requires early identification, accessible therapies, medication, crisis intervention, and community</w:t>
      </w:r>
      <w:r w:rsidR="00E7413C" w:rsidRPr="00293A91">
        <w:rPr>
          <w:rFonts w:ascii="Arial" w:hAnsi="Arial" w:cs="Arial"/>
          <w:sz w:val="22"/>
          <w:szCs w:val="22"/>
        </w:rPr>
        <w:noBreakHyphen/>
        <w:t>based support.</w:t>
      </w:r>
      <w:r w:rsidR="00F95D7E">
        <w:rPr>
          <w:rFonts w:ascii="Arial" w:hAnsi="Arial" w:cs="Arial"/>
          <w:sz w:val="22"/>
          <w:szCs w:val="22"/>
        </w:rPr>
        <w:t xml:space="preserve"> </w:t>
      </w:r>
      <w:r w:rsidR="003D315E">
        <w:rPr>
          <w:rFonts w:ascii="Arial" w:hAnsi="Arial" w:cs="Arial"/>
          <w:sz w:val="22"/>
          <w:szCs w:val="22"/>
        </w:rPr>
        <w:t>As</w:t>
      </w:r>
      <w:r w:rsidR="00F95D7E">
        <w:rPr>
          <w:rFonts w:ascii="Arial" w:hAnsi="Arial" w:cs="Arial"/>
          <w:sz w:val="22"/>
          <w:szCs w:val="22"/>
        </w:rPr>
        <w:t xml:space="preserve"> </w:t>
      </w:r>
      <w:r w:rsidR="00516CE4" w:rsidRPr="00516CE4">
        <w:rPr>
          <w:rFonts w:ascii="Arial" w:hAnsi="Arial" w:cs="Arial"/>
          <w:sz w:val="22"/>
          <w:szCs w:val="22"/>
        </w:rPr>
        <w:t>Figure 1 shows depression is influenced by layered social determinants, from individual factors to wider socioeconomic conditions.</w:t>
      </w:r>
      <w:r w:rsidR="00E7413C" w:rsidRPr="00293A91">
        <w:rPr>
          <w:rFonts w:ascii="Arial" w:hAnsi="Arial" w:cs="Arial"/>
          <w:sz w:val="22"/>
          <w:szCs w:val="22"/>
        </w:rPr>
        <w:t xml:space="preserve"> The Black Report (1980), Dahlgren and Whitehead (1991), and the Marmot Reviews (2010; 2020) demonstrate that depression is profoundly shaped by social determinants—including income, housing, education, and community resources—and that health follows a social gradient. Inequalities influence risk, diagnosis, treatment access, and outcomes. Comprehensive health and social</w:t>
      </w:r>
      <w:r w:rsidR="00E7413C" w:rsidRPr="00293A91">
        <w:rPr>
          <w:rFonts w:ascii="Arial" w:hAnsi="Arial" w:cs="Arial"/>
          <w:sz w:val="22"/>
          <w:szCs w:val="22"/>
        </w:rPr>
        <w:noBreakHyphen/>
        <w:t>care services—including primary care, community mental</w:t>
      </w:r>
      <w:r w:rsidR="00E7413C" w:rsidRPr="00293A91">
        <w:rPr>
          <w:rFonts w:ascii="Arial" w:hAnsi="Arial" w:cs="Arial"/>
          <w:sz w:val="22"/>
          <w:szCs w:val="22"/>
        </w:rPr>
        <w:noBreakHyphen/>
        <w:t>health teams, social prescribing, voluntary organisations, and specialist services—are essential. Strengthening integrated care pathways, reducing stigma, and addressing structural inequalities are crucial for improving outcomes and reducing the burden of depression across the United Kingdom.</w:t>
      </w:r>
    </w:p>
    <w:p w14:paraId="1A71C0D2" w14:textId="77777777" w:rsidR="000C4A11" w:rsidRPr="00293A91" w:rsidRDefault="000C4A11" w:rsidP="00293A91">
      <w:pPr>
        <w:spacing w:after="200" w:line="360" w:lineRule="auto"/>
        <w:jc w:val="both"/>
        <w:rPr>
          <w:rFonts w:ascii="Arial" w:hAnsi="Arial" w:cs="Arial"/>
          <w:sz w:val="22"/>
          <w:szCs w:val="22"/>
        </w:rPr>
      </w:pPr>
    </w:p>
    <w:p w14:paraId="074888A3" w14:textId="77777777" w:rsidR="000C4A11" w:rsidRPr="00293A91" w:rsidRDefault="000C4A11" w:rsidP="00293A91">
      <w:pPr>
        <w:spacing w:after="200" w:line="360" w:lineRule="auto"/>
        <w:jc w:val="both"/>
        <w:rPr>
          <w:rFonts w:ascii="Arial" w:hAnsi="Arial" w:cs="Arial"/>
          <w:sz w:val="22"/>
          <w:szCs w:val="22"/>
        </w:rPr>
      </w:pPr>
    </w:p>
    <w:p w14:paraId="730F6148" w14:textId="0FF6D7A8" w:rsidR="00A1231D" w:rsidRPr="00293A91" w:rsidRDefault="005B153E" w:rsidP="00293A91">
      <w:pPr>
        <w:tabs>
          <w:tab w:val="left" w:pos="3153"/>
        </w:tabs>
        <w:spacing w:after="200" w:line="360" w:lineRule="auto"/>
        <w:jc w:val="both"/>
        <w:rPr>
          <w:rFonts w:ascii="Arial" w:hAnsi="Arial" w:cs="Arial"/>
          <w:sz w:val="22"/>
          <w:szCs w:val="22"/>
        </w:rPr>
      </w:pPr>
      <w:r w:rsidRPr="00293A91">
        <w:rPr>
          <w:rFonts w:ascii="Arial" w:hAnsi="Arial" w:cs="Arial"/>
          <w:sz w:val="22"/>
          <w:szCs w:val="22"/>
        </w:rPr>
        <w:tab/>
      </w:r>
    </w:p>
    <w:p w14:paraId="5D7F213B" w14:textId="77777777" w:rsidR="00A1231D" w:rsidRPr="00293A91" w:rsidRDefault="00A1231D" w:rsidP="00293A91">
      <w:pPr>
        <w:spacing w:after="200" w:line="360" w:lineRule="auto"/>
        <w:jc w:val="both"/>
        <w:rPr>
          <w:rFonts w:ascii="Arial" w:eastAsiaTheme="minorHAnsi" w:hAnsi="Arial" w:cs="Arial"/>
          <w:sz w:val="22"/>
          <w:szCs w:val="22"/>
          <w:lang w:eastAsia="en-US"/>
        </w:rPr>
      </w:pPr>
    </w:p>
    <w:p w14:paraId="436A65D7" w14:textId="77777777" w:rsidR="003473CC" w:rsidRDefault="003473CC" w:rsidP="00293A91">
      <w:pPr>
        <w:spacing w:after="200" w:line="360" w:lineRule="auto"/>
        <w:jc w:val="both"/>
        <w:rPr>
          <w:rFonts w:ascii="Arial" w:hAnsi="Arial" w:cs="Arial"/>
          <w:sz w:val="22"/>
          <w:szCs w:val="22"/>
        </w:rPr>
      </w:pPr>
    </w:p>
    <w:p w14:paraId="4F729636" w14:textId="77777777" w:rsidR="00B077A9" w:rsidRDefault="00B077A9" w:rsidP="00293A91">
      <w:pPr>
        <w:spacing w:after="200" w:line="360" w:lineRule="auto"/>
        <w:jc w:val="both"/>
        <w:rPr>
          <w:rFonts w:ascii="Arial" w:hAnsi="Arial" w:cs="Arial"/>
          <w:sz w:val="22"/>
          <w:szCs w:val="22"/>
        </w:rPr>
      </w:pPr>
    </w:p>
    <w:p w14:paraId="7385D288" w14:textId="77777777" w:rsidR="00B077A9" w:rsidRDefault="00B077A9" w:rsidP="00293A91">
      <w:pPr>
        <w:spacing w:after="200" w:line="360" w:lineRule="auto"/>
        <w:jc w:val="both"/>
        <w:rPr>
          <w:rFonts w:ascii="Arial" w:hAnsi="Arial" w:cs="Arial"/>
          <w:sz w:val="22"/>
          <w:szCs w:val="22"/>
        </w:rPr>
      </w:pPr>
    </w:p>
    <w:p w14:paraId="47ED9015" w14:textId="77777777" w:rsidR="00B077A9" w:rsidRDefault="00B077A9" w:rsidP="00293A91">
      <w:pPr>
        <w:spacing w:after="200" w:line="360" w:lineRule="auto"/>
        <w:jc w:val="both"/>
        <w:rPr>
          <w:rFonts w:ascii="Arial" w:hAnsi="Arial" w:cs="Arial"/>
          <w:sz w:val="22"/>
          <w:szCs w:val="22"/>
        </w:rPr>
      </w:pPr>
    </w:p>
    <w:p w14:paraId="372E3459" w14:textId="77777777" w:rsidR="00B077A9" w:rsidRDefault="00B077A9" w:rsidP="00293A91">
      <w:pPr>
        <w:spacing w:after="200" w:line="360" w:lineRule="auto"/>
        <w:jc w:val="both"/>
        <w:rPr>
          <w:rFonts w:ascii="Arial" w:hAnsi="Arial" w:cs="Arial"/>
          <w:sz w:val="22"/>
          <w:szCs w:val="22"/>
        </w:rPr>
      </w:pPr>
    </w:p>
    <w:p w14:paraId="30F41275" w14:textId="77777777" w:rsidR="00B077A9" w:rsidRDefault="00B077A9" w:rsidP="00293A91">
      <w:pPr>
        <w:spacing w:after="200" w:line="360" w:lineRule="auto"/>
        <w:jc w:val="both"/>
        <w:rPr>
          <w:rFonts w:ascii="Arial" w:hAnsi="Arial" w:cs="Arial"/>
          <w:sz w:val="22"/>
          <w:szCs w:val="22"/>
        </w:rPr>
      </w:pPr>
    </w:p>
    <w:p w14:paraId="297F6A33" w14:textId="77777777" w:rsidR="00AF4002" w:rsidRDefault="00AF4002" w:rsidP="00293A91">
      <w:pPr>
        <w:spacing w:after="200" w:line="360" w:lineRule="auto"/>
        <w:jc w:val="both"/>
        <w:rPr>
          <w:rFonts w:ascii="Arial" w:hAnsi="Arial" w:cs="Arial"/>
          <w:sz w:val="22"/>
          <w:szCs w:val="22"/>
        </w:rPr>
      </w:pPr>
    </w:p>
    <w:p w14:paraId="3748166F" w14:textId="77777777" w:rsidR="00AF4002" w:rsidRDefault="00AF4002" w:rsidP="00293A91">
      <w:pPr>
        <w:spacing w:after="200" w:line="360" w:lineRule="auto"/>
        <w:jc w:val="both"/>
        <w:rPr>
          <w:rFonts w:ascii="Arial" w:hAnsi="Arial" w:cs="Arial"/>
          <w:sz w:val="22"/>
          <w:szCs w:val="22"/>
        </w:rPr>
      </w:pPr>
    </w:p>
    <w:p w14:paraId="5FC34686" w14:textId="77777777" w:rsidR="00AF4002" w:rsidRDefault="00AF4002" w:rsidP="00293A91">
      <w:pPr>
        <w:spacing w:after="200" w:line="360" w:lineRule="auto"/>
        <w:jc w:val="both"/>
        <w:rPr>
          <w:rFonts w:ascii="Arial" w:hAnsi="Arial" w:cs="Arial"/>
          <w:sz w:val="22"/>
          <w:szCs w:val="22"/>
        </w:rPr>
      </w:pPr>
    </w:p>
    <w:p w14:paraId="5C451A3F" w14:textId="77777777" w:rsidR="00236838" w:rsidRDefault="00236838" w:rsidP="00293A91">
      <w:pPr>
        <w:spacing w:after="200" w:line="360" w:lineRule="auto"/>
        <w:jc w:val="both"/>
        <w:rPr>
          <w:rFonts w:ascii="Arial" w:hAnsi="Arial" w:cs="Arial"/>
          <w:sz w:val="22"/>
          <w:szCs w:val="22"/>
        </w:rPr>
      </w:pPr>
    </w:p>
    <w:p w14:paraId="457794DF" w14:textId="0F5B78BC" w:rsidR="004A2DA7" w:rsidRPr="00293A91" w:rsidRDefault="00524A28" w:rsidP="00293A91">
      <w:pPr>
        <w:pStyle w:val="Heading1"/>
        <w:spacing w:before="300" w:after="150" w:line="360" w:lineRule="auto"/>
        <w:jc w:val="both"/>
        <w:rPr>
          <w:rFonts w:ascii="Arial" w:hAnsi="Arial" w:cs="Arial"/>
          <w:sz w:val="22"/>
          <w:szCs w:val="22"/>
        </w:rPr>
      </w:pPr>
      <w:bookmarkStart w:id="5" w:name="_Toc237390244"/>
      <w:r w:rsidRPr="00293A91">
        <w:rPr>
          <w:rFonts w:ascii="Arial" w:hAnsi="Arial" w:cs="Arial"/>
          <w:sz w:val="22"/>
          <w:szCs w:val="22"/>
        </w:rPr>
        <w:lastRenderedPageBreak/>
        <w:t>Harvard References</w:t>
      </w:r>
      <w:bookmarkEnd w:id="5"/>
    </w:p>
    <w:p w14:paraId="41ECB459"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Antonovsky, A. (1987) </w:t>
      </w:r>
      <w:r w:rsidRPr="007F48C2">
        <w:rPr>
          <w:rFonts w:ascii="Arial" w:hAnsi="Arial" w:cs="Arial"/>
          <w:i/>
          <w:iCs/>
          <w:sz w:val="16"/>
          <w:szCs w:val="16"/>
        </w:rPr>
        <w:t>Unraveling the Mystery of Health: How People Manage Stress and Stay Well</w:t>
      </w:r>
      <w:r w:rsidRPr="007F48C2">
        <w:rPr>
          <w:rFonts w:ascii="Arial" w:hAnsi="Arial" w:cs="Arial"/>
          <w:sz w:val="16"/>
          <w:szCs w:val="16"/>
        </w:rPr>
        <w:t>. San Francisco: Jossey</w:t>
      </w:r>
      <w:r w:rsidRPr="007F48C2">
        <w:rPr>
          <w:rFonts w:ascii="Arial" w:hAnsi="Arial" w:cs="Arial"/>
          <w:sz w:val="16"/>
          <w:szCs w:val="16"/>
        </w:rPr>
        <w:noBreakHyphen/>
        <w:t>Bass.</w:t>
      </w:r>
    </w:p>
    <w:p w14:paraId="30CF8D94"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Anosova, O. et al. (2025) ‘Estimating the burden of underdiagnosis within England: A modelling study of linked primary care data’, </w:t>
      </w:r>
      <w:r w:rsidRPr="007F48C2">
        <w:rPr>
          <w:rFonts w:ascii="Arial" w:hAnsi="Arial" w:cs="Arial"/>
          <w:i/>
          <w:iCs/>
          <w:sz w:val="16"/>
          <w:szCs w:val="16"/>
        </w:rPr>
        <w:t>PLOS ONE</w:t>
      </w:r>
      <w:r w:rsidRPr="007F48C2">
        <w:rPr>
          <w:rFonts w:ascii="Arial" w:hAnsi="Arial" w:cs="Arial"/>
          <w:sz w:val="16"/>
          <w:szCs w:val="16"/>
        </w:rPr>
        <w:t>, 20(1), e0313877.</w:t>
      </w:r>
    </w:p>
    <w:p w14:paraId="2577390A"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Beck, A.T. (1967) </w:t>
      </w:r>
      <w:r w:rsidRPr="007F48C2">
        <w:rPr>
          <w:rFonts w:ascii="Arial" w:hAnsi="Arial" w:cs="Arial"/>
          <w:i/>
          <w:iCs/>
          <w:sz w:val="16"/>
          <w:szCs w:val="16"/>
        </w:rPr>
        <w:t>Depression: Clinical, Experimental, and Theoretical Aspects</w:t>
      </w:r>
      <w:r w:rsidRPr="007F48C2">
        <w:rPr>
          <w:rFonts w:ascii="Arial" w:hAnsi="Arial" w:cs="Arial"/>
          <w:sz w:val="16"/>
          <w:szCs w:val="16"/>
        </w:rPr>
        <w:t>. New York: Harper &amp; Row.</w:t>
      </w:r>
    </w:p>
    <w:p w14:paraId="5A9FE28F"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Black, D. (1980) </w:t>
      </w:r>
      <w:r w:rsidRPr="007F48C2">
        <w:rPr>
          <w:rFonts w:ascii="Arial" w:hAnsi="Arial" w:cs="Arial"/>
          <w:i/>
          <w:iCs/>
          <w:sz w:val="16"/>
          <w:szCs w:val="16"/>
        </w:rPr>
        <w:t>Inequalities in Health: The Black Report</w:t>
      </w:r>
      <w:r w:rsidRPr="007F48C2">
        <w:rPr>
          <w:rFonts w:ascii="Arial" w:hAnsi="Arial" w:cs="Arial"/>
          <w:sz w:val="16"/>
          <w:szCs w:val="16"/>
        </w:rPr>
        <w:t>. London: Department of Health and Social Security (DHSS).</w:t>
      </w:r>
    </w:p>
    <w:p w14:paraId="42C36276"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Bronfenbrenner, U. (1979) </w:t>
      </w:r>
      <w:r w:rsidRPr="007F48C2">
        <w:rPr>
          <w:rFonts w:ascii="Arial" w:hAnsi="Arial" w:cs="Arial"/>
          <w:i/>
          <w:iCs/>
          <w:sz w:val="16"/>
          <w:szCs w:val="16"/>
        </w:rPr>
        <w:t>The Ecology of Human Development: Experiments by Nature and Design</w:t>
      </w:r>
      <w:r w:rsidRPr="007F48C2">
        <w:rPr>
          <w:rFonts w:ascii="Arial" w:hAnsi="Arial" w:cs="Arial"/>
          <w:sz w:val="16"/>
          <w:szCs w:val="16"/>
        </w:rPr>
        <w:t>. Cambridge, MA: Harvard University Press.</w:t>
      </w:r>
    </w:p>
    <w:p w14:paraId="5CA532E4"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Dahlgren, G. and Whitehead, M. (1991) </w:t>
      </w:r>
      <w:r w:rsidRPr="007F48C2">
        <w:rPr>
          <w:rFonts w:ascii="Arial" w:hAnsi="Arial" w:cs="Arial"/>
          <w:i/>
          <w:iCs/>
          <w:sz w:val="16"/>
          <w:szCs w:val="16"/>
        </w:rPr>
        <w:t>Policies and Strategies to Promote Social Equity in Health</w:t>
      </w:r>
      <w:r w:rsidRPr="007F48C2">
        <w:rPr>
          <w:rFonts w:ascii="Arial" w:hAnsi="Arial" w:cs="Arial"/>
          <w:sz w:val="16"/>
          <w:szCs w:val="16"/>
        </w:rPr>
        <w:t>. Stockholm: Institute for Futures Studies.</w:t>
      </w:r>
    </w:p>
    <w:p w14:paraId="489E2F7E"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Department of Health and Social Care (2023) </w:t>
      </w:r>
      <w:r w:rsidRPr="007F48C2">
        <w:rPr>
          <w:rFonts w:ascii="Arial" w:hAnsi="Arial" w:cs="Arial"/>
          <w:i/>
          <w:iCs/>
          <w:sz w:val="16"/>
          <w:szCs w:val="16"/>
        </w:rPr>
        <w:t>National Suicide Prevention Strategy</w:t>
      </w:r>
      <w:r w:rsidRPr="007F48C2">
        <w:rPr>
          <w:rFonts w:ascii="Arial" w:hAnsi="Arial" w:cs="Arial"/>
          <w:sz w:val="16"/>
          <w:szCs w:val="16"/>
        </w:rPr>
        <w:t>. London: DHSC.</w:t>
      </w:r>
    </w:p>
    <w:p w14:paraId="7790C65E" w14:textId="77777777" w:rsidR="008D4217" w:rsidRPr="007F48C2" w:rsidRDefault="008D4217"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Engel, G.L. (1977) ‘The need for a new medical model: A challenge for biomedicine’, </w:t>
      </w:r>
      <w:r w:rsidRPr="007F48C2">
        <w:rPr>
          <w:rFonts w:ascii="Arial" w:hAnsi="Arial" w:cs="Arial"/>
          <w:i/>
          <w:iCs/>
          <w:sz w:val="16"/>
          <w:szCs w:val="16"/>
        </w:rPr>
        <w:t>Science</w:t>
      </w:r>
      <w:r w:rsidRPr="007F48C2">
        <w:rPr>
          <w:rFonts w:ascii="Arial" w:hAnsi="Arial" w:cs="Arial"/>
          <w:sz w:val="16"/>
          <w:szCs w:val="16"/>
        </w:rPr>
        <w:t>, 196(4286), pp. 129–136.</w:t>
      </w:r>
    </w:p>
    <w:p w14:paraId="20CCE8C9" w14:textId="77777777" w:rsidR="00CD40A8" w:rsidRPr="007F48C2" w:rsidRDefault="00CD40A8" w:rsidP="00293A91">
      <w:pPr>
        <w:spacing w:after="120" w:line="360" w:lineRule="auto"/>
        <w:ind w:left="720" w:hanging="720"/>
        <w:jc w:val="both"/>
        <w:rPr>
          <w:rFonts w:ascii="Arial" w:hAnsi="Arial" w:cs="Arial"/>
          <w:sz w:val="16"/>
          <w:szCs w:val="16"/>
        </w:rPr>
      </w:pPr>
      <w:r w:rsidRPr="007F48C2">
        <w:rPr>
          <w:rFonts w:ascii="Arial" w:hAnsi="Arial" w:cs="Arial"/>
          <w:sz w:val="16"/>
          <w:szCs w:val="16"/>
          <w:lang w:val="nl-NL"/>
        </w:rPr>
        <w:t xml:space="preserve">Goodman, S.H. et al. </w:t>
      </w:r>
      <w:r w:rsidRPr="007F48C2">
        <w:rPr>
          <w:rFonts w:ascii="Arial" w:hAnsi="Arial" w:cs="Arial"/>
          <w:sz w:val="16"/>
          <w:szCs w:val="16"/>
        </w:rPr>
        <w:t xml:space="preserve">(2011) ‘Maternal depression and child psychopathology’, </w:t>
      </w:r>
      <w:r w:rsidRPr="007F48C2">
        <w:rPr>
          <w:rFonts w:ascii="Arial" w:hAnsi="Arial" w:cs="Arial"/>
          <w:i/>
          <w:iCs/>
          <w:sz w:val="16"/>
          <w:szCs w:val="16"/>
        </w:rPr>
        <w:t>Journal of Clinical Child &amp; Adolescent Psychology</w:t>
      </w:r>
      <w:r w:rsidRPr="007F48C2">
        <w:rPr>
          <w:rFonts w:ascii="Arial" w:hAnsi="Arial" w:cs="Arial"/>
          <w:sz w:val="16"/>
          <w:szCs w:val="16"/>
        </w:rPr>
        <w:t>, 40(1), pp. 37–41.</w:t>
      </w:r>
    </w:p>
    <w:p w14:paraId="700B2309" w14:textId="77777777" w:rsidR="00CD40A8" w:rsidRPr="007F48C2" w:rsidRDefault="00CD40A8" w:rsidP="00293A91">
      <w:pPr>
        <w:spacing w:after="120" w:line="360" w:lineRule="auto"/>
        <w:ind w:left="720" w:hanging="720"/>
        <w:jc w:val="both"/>
        <w:rPr>
          <w:rFonts w:ascii="Arial" w:hAnsi="Arial" w:cs="Arial"/>
          <w:sz w:val="16"/>
          <w:szCs w:val="16"/>
        </w:rPr>
      </w:pPr>
      <w:r w:rsidRPr="007F48C2">
        <w:rPr>
          <w:rFonts w:ascii="Arial" w:hAnsi="Arial" w:cs="Arial"/>
          <w:sz w:val="16"/>
          <w:szCs w:val="16"/>
        </w:rPr>
        <w:t>Kroenke, K., Spitzer, R.L. and Williams, J.B.W. (2001) ‘The PHQ</w:t>
      </w:r>
      <w:r w:rsidRPr="007F48C2">
        <w:rPr>
          <w:rFonts w:ascii="Arial" w:hAnsi="Arial" w:cs="Arial"/>
          <w:sz w:val="16"/>
          <w:szCs w:val="16"/>
        </w:rPr>
        <w:noBreakHyphen/>
        <w:t xml:space="preserve">9: Validity of a brief depression severity measure’, </w:t>
      </w:r>
      <w:r w:rsidRPr="007F48C2">
        <w:rPr>
          <w:rFonts w:ascii="Arial" w:hAnsi="Arial" w:cs="Arial"/>
          <w:i/>
          <w:iCs/>
          <w:sz w:val="16"/>
          <w:szCs w:val="16"/>
        </w:rPr>
        <w:t>Journal of General Internal Medicine</w:t>
      </w:r>
      <w:r w:rsidRPr="007F48C2">
        <w:rPr>
          <w:rFonts w:ascii="Arial" w:hAnsi="Arial" w:cs="Arial"/>
          <w:sz w:val="16"/>
          <w:szCs w:val="16"/>
        </w:rPr>
        <w:t>, 16(9), pp. 606–613.</w:t>
      </w:r>
    </w:p>
    <w:p w14:paraId="764BFD10" w14:textId="77777777" w:rsidR="00CD40A8" w:rsidRPr="007F48C2" w:rsidRDefault="00CD40A8"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Layard, R. (2013) </w:t>
      </w:r>
      <w:r w:rsidRPr="007F48C2">
        <w:rPr>
          <w:rFonts w:ascii="Arial" w:hAnsi="Arial" w:cs="Arial"/>
          <w:i/>
          <w:iCs/>
          <w:sz w:val="16"/>
          <w:szCs w:val="16"/>
        </w:rPr>
        <w:t>Happiness: Lessons from a New Science</w:t>
      </w:r>
      <w:r w:rsidRPr="007F48C2">
        <w:rPr>
          <w:rFonts w:ascii="Arial" w:hAnsi="Arial" w:cs="Arial"/>
          <w:sz w:val="16"/>
          <w:szCs w:val="16"/>
        </w:rPr>
        <w:t>. London: Penguin.</w:t>
      </w:r>
    </w:p>
    <w:p w14:paraId="5C38451F" w14:textId="77777777" w:rsidR="00CD40A8" w:rsidRPr="007F48C2" w:rsidRDefault="00CD40A8"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McManus, S., Bebbington, P., Jenkins, R. and Brugha, T. (eds.) (2016) </w:t>
      </w:r>
      <w:r w:rsidRPr="007F48C2">
        <w:rPr>
          <w:rFonts w:ascii="Arial" w:hAnsi="Arial" w:cs="Arial"/>
          <w:i/>
          <w:iCs/>
          <w:sz w:val="16"/>
          <w:szCs w:val="16"/>
        </w:rPr>
        <w:t>Mental Health and Wellbeing in England: Adult Psychiatric Morbidity Survey 2014</w:t>
      </w:r>
      <w:r w:rsidRPr="007F48C2">
        <w:rPr>
          <w:rFonts w:ascii="Arial" w:hAnsi="Arial" w:cs="Arial"/>
          <w:sz w:val="16"/>
          <w:szCs w:val="16"/>
        </w:rPr>
        <w:t>. Leeds: NHS Digital.</w:t>
      </w:r>
    </w:p>
    <w:p w14:paraId="2ECEE8B2" w14:textId="733178D6" w:rsidR="000E0FB3" w:rsidRPr="007F48C2" w:rsidRDefault="000E0FB3"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Marmot, M. (2010) </w:t>
      </w:r>
      <w:r w:rsidRPr="007F48C2">
        <w:rPr>
          <w:rFonts w:ascii="Arial" w:hAnsi="Arial" w:cs="Arial"/>
          <w:i/>
          <w:iCs/>
          <w:sz w:val="16"/>
          <w:szCs w:val="16"/>
        </w:rPr>
        <w:t>Fair Society, Healthy Lives: The Marmot Review</w:t>
      </w:r>
      <w:r w:rsidRPr="007F48C2">
        <w:rPr>
          <w:rFonts w:ascii="Arial" w:hAnsi="Arial" w:cs="Arial"/>
          <w:sz w:val="16"/>
          <w:szCs w:val="16"/>
        </w:rPr>
        <w:t>. London: UCL Institute of Health Equity.</w:t>
      </w:r>
    </w:p>
    <w:p w14:paraId="70420493" w14:textId="77777777" w:rsidR="000A6218" w:rsidRDefault="000E0FB3" w:rsidP="000A6218">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Marmot, M., Allen, J., Boyce, T., Goldblatt, P. and Morrison, J. (2020) </w:t>
      </w:r>
      <w:r w:rsidRPr="007F48C2">
        <w:rPr>
          <w:rFonts w:ascii="Arial" w:hAnsi="Arial" w:cs="Arial"/>
          <w:i/>
          <w:iCs/>
          <w:sz w:val="16"/>
          <w:szCs w:val="16"/>
        </w:rPr>
        <w:t>Health Equity in England: The Marmot Review 10 Years On</w:t>
      </w:r>
      <w:r w:rsidRPr="007F48C2">
        <w:rPr>
          <w:rFonts w:ascii="Arial" w:hAnsi="Arial" w:cs="Arial"/>
          <w:sz w:val="16"/>
          <w:szCs w:val="16"/>
        </w:rPr>
        <w:t>. London: UCL Institute of Health Equity.</w:t>
      </w:r>
    </w:p>
    <w:p w14:paraId="7E506F59" w14:textId="60C0472B" w:rsidR="000E0FB3" w:rsidRPr="007F48C2" w:rsidRDefault="000A6218" w:rsidP="000A6218">
      <w:pPr>
        <w:spacing w:after="120" w:line="360" w:lineRule="auto"/>
        <w:ind w:left="720" w:hanging="720"/>
        <w:jc w:val="both"/>
        <w:rPr>
          <w:rFonts w:ascii="Arial" w:hAnsi="Arial" w:cs="Arial"/>
          <w:sz w:val="16"/>
          <w:szCs w:val="16"/>
        </w:rPr>
      </w:pPr>
      <w:r w:rsidRPr="000A6218">
        <w:rPr>
          <w:rFonts w:ascii="Arial" w:hAnsi="Arial" w:cs="Arial"/>
          <w:sz w:val="16"/>
          <w:szCs w:val="16"/>
        </w:rPr>
        <w:t xml:space="preserve"> </w:t>
      </w:r>
      <w:r w:rsidRPr="007F48C2">
        <w:rPr>
          <w:rFonts w:ascii="Arial" w:hAnsi="Arial" w:cs="Arial"/>
          <w:sz w:val="16"/>
          <w:szCs w:val="16"/>
        </w:rPr>
        <w:t xml:space="preserve">Mental Health Foundation and London School of Economics and Political Science (2022) </w:t>
      </w:r>
      <w:r w:rsidRPr="007F48C2">
        <w:rPr>
          <w:rFonts w:ascii="Arial" w:hAnsi="Arial" w:cs="Arial"/>
          <w:i/>
          <w:iCs/>
          <w:sz w:val="16"/>
          <w:szCs w:val="16"/>
        </w:rPr>
        <w:t>The Economic Case for Investing in the Prevention of Mental Health Conditions in the UK</w:t>
      </w:r>
      <w:r w:rsidRPr="007F48C2">
        <w:rPr>
          <w:rFonts w:ascii="Arial" w:hAnsi="Arial" w:cs="Arial"/>
          <w:sz w:val="16"/>
          <w:szCs w:val="16"/>
        </w:rPr>
        <w:t>. London: Mental Health Foundation.</w:t>
      </w:r>
    </w:p>
    <w:p w14:paraId="6D5A18BB" w14:textId="77777777" w:rsidR="00407EC2" w:rsidRPr="007F48C2" w:rsidRDefault="00407EC2"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NHS (2023) </w:t>
      </w:r>
      <w:r w:rsidRPr="007F48C2">
        <w:rPr>
          <w:rFonts w:ascii="Arial" w:hAnsi="Arial" w:cs="Arial"/>
          <w:i/>
          <w:iCs/>
          <w:sz w:val="16"/>
          <w:szCs w:val="16"/>
        </w:rPr>
        <w:t>Depression Overview</w:t>
      </w:r>
      <w:r w:rsidRPr="007F48C2">
        <w:rPr>
          <w:rFonts w:ascii="Arial" w:hAnsi="Arial" w:cs="Arial"/>
          <w:sz w:val="16"/>
          <w:szCs w:val="16"/>
        </w:rPr>
        <w:t xml:space="preserve">. Available at: </w:t>
      </w:r>
      <w:hyperlink r:id="rId8" w:tgtFrame="_blank" w:tooltip="www.nhs.uk" w:history="1">
        <w:r w:rsidRPr="007F48C2">
          <w:rPr>
            <w:rStyle w:val="Hyperlink"/>
            <w:rFonts w:ascii="Arial" w:hAnsi="Arial" w:cs="Arial"/>
            <w:sz w:val="16"/>
            <w:szCs w:val="16"/>
          </w:rPr>
          <w:t>https://www.nhs.uk</w:t>
        </w:r>
      </w:hyperlink>
      <w:r w:rsidRPr="007F48C2">
        <w:rPr>
          <w:rFonts w:ascii="Arial" w:hAnsi="Arial" w:cs="Arial"/>
          <w:sz w:val="16"/>
          <w:szCs w:val="16"/>
        </w:rPr>
        <w:t xml:space="preserve"> (Accessed: 20 July 2026).</w:t>
      </w:r>
    </w:p>
    <w:p w14:paraId="3473B00D" w14:textId="77777777" w:rsidR="00407EC2" w:rsidRPr="007F48C2" w:rsidRDefault="00407EC2"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NHS Digital (2023) </w:t>
      </w:r>
      <w:r w:rsidRPr="007F48C2">
        <w:rPr>
          <w:rFonts w:ascii="Arial" w:hAnsi="Arial" w:cs="Arial"/>
          <w:i/>
          <w:iCs/>
          <w:sz w:val="16"/>
          <w:szCs w:val="16"/>
        </w:rPr>
        <w:t>NHS Talking Therapies Annual Report</w:t>
      </w:r>
      <w:r w:rsidRPr="007F48C2">
        <w:rPr>
          <w:rFonts w:ascii="Arial" w:hAnsi="Arial" w:cs="Arial"/>
          <w:sz w:val="16"/>
          <w:szCs w:val="16"/>
        </w:rPr>
        <w:t>. Leeds: NHS Digital.</w:t>
      </w:r>
    </w:p>
    <w:p w14:paraId="5535AEC6" w14:textId="77777777" w:rsidR="00407EC2" w:rsidRPr="007F48C2" w:rsidRDefault="00407EC2"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NHS England (2019) </w:t>
      </w:r>
      <w:r w:rsidRPr="007F48C2">
        <w:rPr>
          <w:rFonts w:ascii="Arial" w:hAnsi="Arial" w:cs="Arial"/>
          <w:i/>
          <w:iCs/>
          <w:sz w:val="16"/>
          <w:szCs w:val="16"/>
        </w:rPr>
        <w:t>The NHS Long Term Plan</w:t>
      </w:r>
      <w:r w:rsidRPr="007F48C2">
        <w:rPr>
          <w:rFonts w:ascii="Arial" w:hAnsi="Arial" w:cs="Arial"/>
          <w:sz w:val="16"/>
          <w:szCs w:val="16"/>
        </w:rPr>
        <w:t>. London: NHS England.</w:t>
      </w:r>
    </w:p>
    <w:p w14:paraId="077EC9C9" w14:textId="77777777" w:rsidR="00407EC2" w:rsidRPr="007F48C2" w:rsidRDefault="00407EC2"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NHS England (2025) </w:t>
      </w:r>
      <w:r w:rsidRPr="007F48C2">
        <w:rPr>
          <w:rFonts w:ascii="Arial" w:hAnsi="Arial" w:cs="Arial"/>
          <w:i/>
          <w:iCs/>
          <w:sz w:val="16"/>
          <w:szCs w:val="16"/>
        </w:rPr>
        <w:t>Adult Psychiatric Morbidity Survey: Survey of Mental Health and Wellbeing, England, 2023/24</w:t>
      </w:r>
      <w:r w:rsidRPr="007F48C2">
        <w:rPr>
          <w:rFonts w:ascii="Arial" w:hAnsi="Arial" w:cs="Arial"/>
          <w:sz w:val="16"/>
          <w:szCs w:val="16"/>
        </w:rPr>
        <w:t>. Leeds: NHS England Digital.</w:t>
      </w:r>
    </w:p>
    <w:p w14:paraId="260FCE0E" w14:textId="77777777" w:rsidR="00407EC2" w:rsidRPr="007F48C2" w:rsidRDefault="00407EC2"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NICE (2022) </w:t>
      </w:r>
      <w:r w:rsidRPr="007F48C2">
        <w:rPr>
          <w:rFonts w:ascii="Arial" w:hAnsi="Arial" w:cs="Arial"/>
          <w:i/>
          <w:iCs/>
          <w:sz w:val="16"/>
          <w:szCs w:val="16"/>
        </w:rPr>
        <w:t>Depression in Adults: Treatment and Management</w:t>
      </w:r>
      <w:r w:rsidRPr="007F48C2">
        <w:rPr>
          <w:rFonts w:ascii="Arial" w:hAnsi="Arial" w:cs="Arial"/>
          <w:sz w:val="16"/>
          <w:szCs w:val="16"/>
        </w:rPr>
        <w:t>. London: National Institute for Health and Care Excellence.</w:t>
      </w:r>
    </w:p>
    <w:p w14:paraId="14B3DD8D" w14:textId="77777777" w:rsidR="00293A91" w:rsidRPr="007F48C2" w:rsidRDefault="00293A91"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Office for National Statistics (ONS) (2022) </w:t>
      </w:r>
      <w:r w:rsidRPr="007F48C2">
        <w:rPr>
          <w:rFonts w:ascii="Arial" w:hAnsi="Arial" w:cs="Arial"/>
          <w:i/>
          <w:iCs/>
          <w:sz w:val="16"/>
          <w:szCs w:val="16"/>
        </w:rPr>
        <w:t>Personal Well</w:t>
      </w:r>
      <w:r w:rsidRPr="007F48C2">
        <w:rPr>
          <w:rFonts w:ascii="Arial" w:hAnsi="Arial" w:cs="Arial"/>
          <w:i/>
          <w:iCs/>
          <w:sz w:val="16"/>
          <w:szCs w:val="16"/>
        </w:rPr>
        <w:noBreakHyphen/>
        <w:t>Being in the UK</w:t>
      </w:r>
      <w:r w:rsidRPr="007F48C2">
        <w:rPr>
          <w:rFonts w:ascii="Arial" w:hAnsi="Arial" w:cs="Arial"/>
          <w:sz w:val="16"/>
          <w:szCs w:val="16"/>
        </w:rPr>
        <w:t>. Newport: Office for National Statistics.</w:t>
      </w:r>
    </w:p>
    <w:p w14:paraId="534714B5" w14:textId="77777777" w:rsidR="00293A91" w:rsidRPr="007F48C2" w:rsidRDefault="00293A91"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Penninx, B.W.J.H. et al. (2013) ‘Depression and cardiovascular disease: Epidemiological evidence’, </w:t>
      </w:r>
      <w:r w:rsidRPr="007F48C2">
        <w:rPr>
          <w:rFonts w:ascii="Arial" w:hAnsi="Arial" w:cs="Arial"/>
          <w:i/>
          <w:iCs/>
          <w:sz w:val="16"/>
          <w:szCs w:val="16"/>
        </w:rPr>
        <w:t>European Heart Journal</w:t>
      </w:r>
      <w:r w:rsidRPr="007F48C2">
        <w:rPr>
          <w:rFonts w:ascii="Arial" w:hAnsi="Arial" w:cs="Arial"/>
          <w:sz w:val="16"/>
          <w:szCs w:val="16"/>
        </w:rPr>
        <w:t>, 34(4), pp. 294–302.</w:t>
      </w:r>
    </w:p>
    <w:p w14:paraId="68F23D37" w14:textId="77777777" w:rsidR="00293A91" w:rsidRPr="007F48C2" w:rsidRDefault="00293A91"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Wilkinson, R. and Pickett, K. (2009) </w:t>
      </w:r>
      <w:r w:rsidRPr="007F48C2">
        <w:rPr>
          <w:rFonts w:ascii="Arial" w:hAnsi="Arial" w:cs="Arial"/>
          <w:i/>
          <w:iCs/>
          <w:sz w:val="16"/>
          <w:szCs w:val="16"/>
        </w:rPr>
        <w:t>The Spirit Level: Why More Equal Societies Almost Always Do Better</w:t>
      </w:r>
      <w:r w:rsidRPr="007F48C2">
        <w:rPr>
          <w:rFonts w:ascii="Arial" w:hAnsi="Arial" w:cs="Arial"/>
          <w:sz w:val="16"/>
          <w:szCs w:val="16"/>
        </w:rPr>
        <w:t>. London: Allen Lane.</w:t>
      </w:r>
    </w:p>
    <w:p w14:paraId="3023628A" w14:textId="77777777" w:rsidR="00293A91" w:rsidRPr="007F48C2" w:rsidRDefault="00293A91" w:rsidP="00293A91">
      <w:pPr>
        <w:spacing w:after="120" w:line="360" w:lineRule="auto"/>
        <w:ind w:left="720" w:hanging="720"/>
        <w:jc w:val="both"/>
        <w:rPr>
          <w:rFonts w:ascii="Arial" w:hAnsi="Arial" w:cs="Arial"/>
          <w:sz w:val="16"/>
          <w:szCs w:val="16"/>
        </w:rPr>
      </w:pPr>
      <w:r w:rsidRPr="007F48C2">
        <w:rPr>
          <w:rFonts w:ascii="Arial" w:hAnsi="Arial" w:cs="Arial"/>
          <w:sz w:val="16"/>
          <w:szCs w:val="16"/>
        </w:rPr>
        <w:lastRenderedPageBreak/>
        <w:t xml:space="preserve">World Health Organization (2008) </w:t>
      </w:r>
      <w:r w:rsidRPr="007F48C2">
        <w:rPr>
          <w:rFonts w:ascii="Arial" w:hAnsi="Arial" w:cs="Arial"/>
          <w:i/>
          <w:iCs/>
          <w:sz w:val="16"/>
          <w:szCs w:val="16"/>
        </w:rPr>
        <w:t>Closing the Gap in a Generation: Health Equity Through Action on the Social Determinants of Health</w:t>
      </w:r>
      <w:r w:rsidRPr="007F48C2">
        <w:rPr>
          <w:rFonts w:ascii="Arial" w:hAnsi="Arial" w:cs="Arial"/>
          <w:sz w:val="16"/>
          <w:szCs w:val="16"/>
        </w:rPr>
        <w:t>. Geneva: WHO.</w:t>
      </w:r>
    </w:p>
    <w:p w14:paraId="58880FC3" w14:textId="77777777" w:rsidR="00293A91" w:rsidRPr="007F48C2" w:rsidRDefault="00293A91" w:rsidP="00293A91">
      <w:pPr>
        <w:spacing w:after="120" w:line="360" w:lineRule="auto"/>
        <w:ind w:left="720" w:hanging="720"/>
        <w:jc w:val="both"/>
        <w:rPr>
          <w:rFonts w:ascii="Arial" w:hAnsi="Arial" w:cs="Arial"/>
          <w:sz w:val="16"/>
          <w:szCs w:val="16"/>
        </w:rPr>
      </w:pPr>
      <w:r w:rsidRPr="007F48C2">
        <w:rPr>
          <w:rFonts w:ascii="Arial" w:hAnsi="Arial" w:cs="Arial"/>
          <w:sz w:val="16"/>
          <w:szCs w:val="16"/>
        </w:rPr>
        <w:t xml:space="preserve">World Health Organization (2021) </w:t>
      </w:r>
      <w:r w:rsidRPr="007F48C2">
        <w:rPr>
          <w:rFonts w:ascii="Arial" w:hAnsi="Arial" w:cs="Arial"/>
          <w:i/>
          <w:iCs/>
          <w:sz w:val="16"/>
          <w:szCs w:val="16"/>
        </w:rPr>
        <w:t>Depression Fact Sheet</w:t>
      </w:r>
      <w:r w:rsidRPr="007F48C2">
        <w:rPr>
          <w:rFonts w:ascii="Arial" w:hAnsi="Arial" w:cs="Arial"/>
          <w:sz w:val="16"/>
          <w:szCs w:val="16"/>
        </w:rPr>
        <w:t>. Geneva: WHO.</w:t>
      </w:r>
    </w:p>
    <w:p w14:paraId="7D672D8D" w14:textId="77777777" w:rsidR="006F329D" w:rsidRPr="007F48C2" w:rsidRDefault="006F329D" w:rsidP="00293A91">
      <w:pPr>
        <w:spacing w:after="120" w:line="360" w:lineRule="auto"/>
        <w:ind w:left="720" w:hanging="720"/>
        <w:jc w:val="both"/>
        <w:rPr>
          <w:rFonts w:ascii="Arial" w:hAnsi="Arial" w:cs="Arial"/>
          <w:sz w:val="16"/>
          <w:szCs w:val="16"/>
        </w:rPr>
      </w:pPr>
    </w:p>
    <w:p w14:paraId="3976FDDF" w14:textId="77777777" w:rsidR="006F329D" w:rsidRPr="007F48C2" w:rsidRDefault="006F329D" w:rsidP="00293A91">
      <w:pPr>
        <w:spacing w:after="120" w:line="360" w:lineRule="auto"/>
        <w:ind w:left="720" w:hanging="720"/>
        <w:jc w:val="both"/>
        <w:rPr>
          <w:rFonts w:ascii="Arial" w:hAnsi="Arial" w:cs="Arial"/>
          <w:sz w:val="16"/>
          <w:szCs w:val="16"/>
        </w:rPr>
      </w:pPr>
    </w:p>
    <w:p w14:paraId="54E128F4" w14:textId="77777777" w:rsidR="00416E89" w:rsidRPr="007F48C2" w:rsidRDefault="00416E89" w:rsidP="00293A91">
      <w:pPr>
        <w:spacing w:after="120" w:line="360" w:lineRule="auto"/>
        <w:ind w:left="720" w:hanging="720"/>
        <w:jc w:val="both"/>
        <w:rPr>
          <w:rFonts w:ascii="Arial" w:hAnsi="Arial" w:cs="Arial"/>
          <w:sz w:val="16"/>
          <w:szCs w:val="16"/>
        </w:rPr>
      </w:pPr>
    </w:p>
    <w:p w14:paraId="3425C779" w14:textId="77777777" w:rsidR="00CD40A8" w:rsidRPr="00542B00" w:rsidRDefault="00CD40A8" w:rsidP="00CD40A8">
      <w:pPr>
        <w:spacing w:after="120" w:line="360" w:lineRule="auto"/>
        <w:ind w:left="720" w:hanging="720"/>
        <w:jc w:val="both"/>
        <w:rPr>
          <w:rFonts w:ascii="Arial" w:hAnsi="Arial" w:cs="Arial"/>
        </w:rPr>
      </w:pPr>
    </w:p>
    <w:p w14:paraId="36DA0A22" w14:textId="77777777" w:rsidR="00CD40A8" w:rsidRPr="00542B00" w:rsidRDefault="00CD40A8" w:rsidP="008D4217">
      <w:pPr>
        <w:spacing w:after="120" w:line="360" w:lineRule="auto"/>
        <w:ind w:left="720" w:hanging="720"/>
        <w:jc w:val="both"/>
        <w:rPr>
          <w:rFonts w:ascii="Arial" w:hAnsi="Arial" w:cs="Arial"/>
        </w:rPr>
      </w:pPr>
    </w:p>
    <w:p w14:paraId="2AB75663" w14:textId="77777777" w:rsidR="004A2DA7" w:rsidRPr="00542B00" w:rsidRDefault="004A2DA7" w:rsidP="00B04E55">
      <w:pPr>
        <w:spacing w:after="120" w:line="360" w:lineRule="auto"/>
        <w:ind w:left="720" w:hanging="720"/>
        <w:jc w:val="both"/>
        <w:rPr>
          <w:rFonts w:ascii="Arial" w:hAnsi="Arial" w:cs="Arial"/>
        </w:rPr>
      </w:pPr>
    </w:p>
    <w:p w14:paraId="1D855671" w14:textId="77777777" w:rsidR="004A2DA7" w:rsidRPr="00542B00" w:rsidRDefault="004A2DA7" w:rsidP="00B04E55">
      <w:pPr>
        <w:spacing w:after="120" w:line="360" w:lineRule="auto"/>
        <w:ind w:left="720" w:hanging="720"/>
        <w:jc w:val="both"/>
        <w:rPr>
          <w:rFonts w:ascii="Arial" w:hAnsi="Arial" w:cs="Arial"/>
        </w:rPr>
      </w:pPr>
    </w:p>
    <w:p w14:paraId="27527C59" w14:textId="77777777" w:rsidR="004A2DA7" w:rsidRPr="00542B00" w:rsidRDefault="004A2DA7" w:rsidP="00B04E55">
      <w:pPr>
        <w:spacing w:after="120" w:line="360" w:lineRule="auto"/>
        <w:ind w:left="720" w:hanging="720"/>
        <w:jc w:val="both"/>
        <w:rPr>
          <w:rFonts w:ascii="Arial" w:hAnsi="Arial" w:cs="Arial"/>
        </w:rPr>
      </w:pPr>
    </w:p>
    <w:p w14:paraId="1EF24213" w14:textId="77777777" w:rsidR="004A2DA7" w:rsidRPr="00542B00" w:rsidRDefault="004A2DA7" w:rsidP="00B04E55">
      <w:pPr>
        <w:spacing w:after="120" w:line="360" w:lineRule="auto"/>
        <w:ind w:left="720" w:hanging="720"/>
        <w:jc w:val="both"/>
        <w:rPr>
          <w:rFonts w:ascii="Arial" w:hAnsi="Arial" w:cs="Arial"/>
        </w:rPr>
      </w:pPr>
    </w:p>
    <w:p w14:paraId="6E3012C6" w14:textId="7362C593" w:rsidR="00595A5B" w:rsidRPr="00542B00" w:rsidRDefault="00595A5B" w:rsidP="00B04E55">
      <w:pPr>
        <w:spacing w:after="120" w:line="360" w:lineRule="auto"/>
        <w:ind w:left="720" w:hanging="720"/>
        <w:jc w:val="both"/>
        <w:rPr>
          <w:rFonts w:ascii="Arial" w:hAnsi="Arial" w:cs="Arial"/>
        </w:rPr>
      </w:pPr>
    </w:p>
    <w:sectPr w:rsidR="00595A5B" w:rsidRPr="00542B00">
      <w:headerReference w:type="default" r:id="rId9"/>
      <w:footerReference w:type="default" r:id="rId10"/>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06171" w14:textId="77777777" w:rsidR="00445477" w:rsidRDefault="00445477" w:rsidP="001C6928">
      <w:r>
        <w:separator/>
      </w:r>
    </w:p>
  </w:endnote>
  <w:endnote w:type="continuationSeparator" w:id="0">
    <w:p w14:paraId="0D8C2257" w14:textId="77777777" w:rsidR="00445477" w:rsidRDefault="00445477" w:rsidP="001C6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619475"/>
      <w:docPartObj>
        <w:docPartGallery w:val="Page Numbers (Bottom of Page)"/>
        <w:docPartUnique/>
      </w:docPartObj>
    </w:sdtPr>
    <w:sdtContent>
      <w:p w14:paraId="195D1B44" w14:textId="77777777" w:rsidR="001C6928" w:rsidRDefault="001C6928">
        <w:pPr>
          <w:pStyle w:val="Footer"/>
          <w:jc w:val="center"/>
        </w:pPr>
        <w:r>
          <w:fldChar w:fldCharType="begin"/>
        </w:r>
        <w:r>
          <w:instrText>PAGE   \* MERGEFORMAT</w:instrText>
        </w:r>
        <w:r>
          <w:fldChar w:fldCharType="separate"/>
        </w:r>
        <w:r>
          <w:t>2</w:t>
        </w:r>
        <w:r>
          <w:fldChar w:fldCharType="end"/>
        </w:r>
      </w:p>
    </w:sdtContent>
  </w:sdt>
  <w:p w14:paraId="7CF3A505" w14:textId="77777777" w:rsidR="001C6928" w:rsidRDefault="001C6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823DD" w14:textId="77777777" w:rsidR="00445477" w:rsidRDefault="00445477" w:rsidP="001C6928">
      <w:r>
        <w:separator/>
      </w:r>
    </w:p>
  </w:footnote>
  <w:footnote w:type="continuationSeparator" w:id="0">
    <w:p w14:paraId="151C3139" w14:textId="77777777" w:rsidR="00445477" w:rsidRDefault="00445477" w:rsidP="001C69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0CF87D" w14:textId="77777777" w:rsidR="00503F4A" w:rsidRPr="00074402" w:rsidRDefault="00503F4A" w:rsidP="00503F4A">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52C3BB24" wp14:editId="6C30229E">
          <wp:simplePos x="0" y="0"/>
          <wp:positionH relativeFrom="margin">
            <wp:align>right</wp:align>
          </wp:positionH>
          <wp:positionV relativeFrom="paragraph">
            <wp:posOffset>3810</wp:posOffset>
          </wp:positionV>
          <wp:extent cx="2230120" cy="602615"/>
          <wp:effectExtent l="0" t="0" r="0" b="6985"/>
          <wp:wrapSquare wrapText="bothSides"/>
          <wp:docPr id="808742917" name="Picture 8087429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230120" cy="602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A59EA4" w14:textId="77777777" w:rsidR="00503F4A" w:rsidRDefault="00503F4A" w:rsidP="00503F4A">
    <w:pPr>
      <w:pStyle w:val="Header"/>
    </w:pPr>
    <w:r w:rsidRPr="00E20413">
      <w:rPr>
        <w:b/>
        <w:bCs/>
      </w:rPr>
      <w:t>Student Name:</w:t>
    </w:r>
    <w:r w:rsidRPr="00E20413">
      <w:t xml:space="preserve"> Chantal Montille</w:t>
    </w:r>
    <w:r>
      <w:t xml:space="preserve"> - 2532540</w:t>
    </w:r>
    <w:r w:rsidRPr="00E20413">
      <w:br/>
    </w:r>
    <w:r w:rsidRPr="00E20413">
      <w:rPr>
        <w:b/>
        <w:bCs/>
      </w:rPr>
      <w:t>Course:</w:t>
    </w:r>
    <w:r w:rsidRPr="00E20413">
      <w:t xml:space="preserve"> </w:t>
    </w:r>
    <w:r>
      <w:t>LCHS- 4008- Depression Essay- Public Health</w:t>
    </w:r>
  </w:p>
  <w:p w14:paraId="346EFC04" w14:textId="77777777" w:rsidR="00503F4A" w:rsidRPr="00503F4A" w:rsidRDefault="00503F4A" w:rsidP="00503F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8019F4"/>
    <w:multiLevelType w:val="hybridMultilevel"/>
    <w:tmpl w:val="C8A6399C"/>
    <w:lvl w:ilvl="0" w:tplc="63B6ACFE">
      <w:start w:val="1"/>
      <w:numFmt w:val="bullet"/>
      <w:lvlText w:val="●"/>
      <w:lvlJc w:val="left"/>
      <w:pPr>
        <w:ind w:left="720" w:hanging="360"/>
      </w:pPr>
    </w:lvl>
    <w:lvl w:ilvl="1" w:tplc="3E28DE86">
      <w:start w:val="1"/>
      <w:numFmt w:val="bullet"/>
      <w:lvlText w:val="○"/>
      <w:lvlJc w:val="left"/>
      <w:pPr>
        <w:ind w:left="1440" w:hanging="360"/>
      </w:pPr>
    </w:lvl>
    <w:lvl w:ilvl="2" w:tplc="6E424538">
      <w:start w:val="1"/>
      <w:numFmt w:val="bullet"/>
      <w:lvlText w:val="■"/>
      <w:lvlJc w:val="left"/>
      <w:pPr>
        <w:ind w:left="2160" w:hanging="360"/>
      </w:pPr>
    </w:lvl>
    <w:lvl w:ilvl="3" w:tplc="CE7E55C4">
      <w:start w:val="1"/>
      <w:numFmt w:val="bullet"/>
      <w:lvlText w:val="●"/>
      <w:lvlJc w:val="left"/>
      <w:pPr>
        <w:ind w:left="2880" w:hanging="360"/>
      </w:pPr>
    </w:lvl>
    <w:lvl w:ilvl="4" w:tplc="B66AA0DA">
      <w:start w:val="1"/>
      <w:numFmt w:val="bullet"/>
      <w:lvlText w:val="○"/>
      <w:lvlJc w:val="left"/>
      <w:pPr>
        <w:ind w:left="3600" w:hanging="360"/>
      </w:pPr>
    </w:lvl>
    <w:lvl w:ilvl="5" w:tplc="40FEB5E8">
      <w:start w:val="1"/>
      <w:numFmt w:val="bullet"/>
      <w:lvlText w:val="■"/>
      <w:lvlJc w:val="left"/>
      <w:pPr>
        <w:ind w:left="4320" w:hanging="360"/>
      </w:pPr>
    </w:lvl>
    <w:lvl w:ilvl="6" w:tplc="2528BAF2">
      <w:start w:val="1"/>
      <w:numFmt w:val="bullet"/>
      <w:lvlText w:val="●"/>
      <w:lvlJc w:val="left"/>
      <w:pPr>
        <w:ind w:left="5040" w:hanging="360"/>
      </w:pPr>
    </w:lvl>
    <w:lvl w:ilvl="7" w:tplc="7FAECBDE">
      <w:start w:val="1"/>
      <w:numFmt w:val="bullet"/>
      <w:lvlText w:val="●"/>
      <w:lvlJc w:val="left"/>
      <w:pPr>
        <w:ind w:left="5760" w:hanging="360"/>
      </w:pPr>
    </w:lvl>
    <w:lvl w:ilvl="8" w:tplc="AB1A80AE">
      <w:start w:val="1"/>
      <w:numFmt w:val="bullet"/>
      <w:lvlText w:val="●"/>
      <w:lvlJc w:val="left"/>
      <w:pPr>
        <w:ind w:left="6480" w:hanging="360"/>
      </w:pPr>
    </w:lvl>
  </w:abstractNum>
  <w:num w:numId="1" w16cid:durableId="212395960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A5B"/>
    <w:rsid w:val="00004EC7"/>
    <w:rsid w:val="00015A8A"/>
    <w:rsid w:val="00025B25"/>
    <w:rsid w:val="00026BA2"/>
    <w:rsid w:val="00031CF5"/>
    <w:rsid w:val="000437F4"/>
    <w:rsid w:val="00056A2D"/>
    <w:rsid w:val="00074E0A"/>
    <w:rsid w:val="000856F6"/>
    <w:rsid w:val="00093855"/>
    <w:rsid w:val="000941C3"/>
    <w:rsid w:val="000A08A3"/>
    <w:rsid w:val="000A6218"/>
    <w:rsid w:val="000B2BAD"/>
    <w:rsid w:val="000C2FFE"/>
    <w:rsid w:val="000C3108"/>
    <w:rsid w:val="000C4A11"/>
    <w:rsid w:val="000E0FB3"/>
    <w:rsid w:val="000E3676"/>
    <w:rsid w:val="000E657E"/>
    <w:rsid w:val="000F5167"/>
    <w:rsid w:val="000F5DB9"/>
    <w:rsid w:val="0011346A"/>
    <w:rsid w:val="00130476"/>
    <w:rsid w:val="00131599"/>
    <w:rsid w:val="00163E50"/>
    <w:rsid w:val="001A5142"/>
    <w:rsid w:val="001B6534"/>
    <w:rsid w:val="001C2479"/>
    <w:rsid w:val="001C4496"/>
    <w:rsid w:val="001C6928"/>
    <w:rsid w:val="001C7049"/>
    <w:rsid w:val="001D119C"/>
    <w:rsid w:val="001D26CF"/>
    <w:rsid w:val="001D4108"/>
    <w:rsid w:val="001E4BA1"/>
    <w:rsid w:val="001F435B"/>
    <w:rsid w:val="00226D29"/>
    <w:rsid w:val="00236838"/>
    <w:rsid w:val="00293A91"/>
    <w:rsid w:val="002E20A9"/>
    <w:rsid w:val="002E43FF"/>
    <w:rsid w:val="00304EA2"/>
    <w:rsid w:val="00323943"/>
    <w:rsid w:val="00326719"/>
    <w:rsid w:val="003302F9"/>
    <w:rsid w:val="00340209"/>
    <w:rsid w:val="0034584D"/>
    <w:rsid w:val="003473CC"/>
    <w:rsid w:val="00362F56"/>
    <w:rsid w:val="00365444"/>
    <w:rsid w:val="003867BF"/>
    <w:rsid w:val="003B46C9"/>
    <w:rsid w:val="003B6BA1"/>
    <w:rsid w:val="003C6438"/>
    <w:rsid w:val="003D315E"/>
    <w:rsid w:val="003E0E67"/>
    <w:rsid w:val="00407EC2"/>
    <w:rsid w:val="00416E89"/>
    <w:rsid w:val="00422087"/>
    <w:rsid w:val="00430A61"/>
    <w:rsid w:val="0043317A"/>
    <w:rsid w:val="00445477"/>
    <w:rsid w:val="00447064"/>
    <w:rsid w:val="00486B4F"/>
    <w:rsid w:val="004A2DA7"/>
    <w:rsid w:val="004B615B"/>
    <w:rsid w:val="004C0F2D"/>
    <w:rsid w:val="004C394B"/>
    <w:rsid w:val="004D1625"/>
    <w:rsid w:val="004D4E0C"/>
    <w:rsid w:val="004E3E87"/>
    <w:rsid w:val="004F64C8"/>
    <w:rsid w:val="005013B8"/>
    <w:rsid w:val="00503F4A"/>
    <w:rsid w:val="00505FCF"/>
    <w:rsid w:val="00513F80"/>
    <w:rsid w:val="00516CE4"/>
    <w:rsid w:val="00524A28"/>
    <w:rsid w:val="00542B00"/>
    <w:rsid w:val="0056775C"/>
    <w:rsid w:val="00595A5B"/>
    <w:rsid w:val="005B153E"/>
    <w:rsid w:val="005D1928"/>
    <w:rsid w:val="005E3E4D"/>
    <w:rsid w:val="005F1949"/>
    <w:rsid w:val="005F5AA6"/>
    <w:rsid w:val="006018DB"/>
    <w:rsid w:val="006023E8"/>
    <w:rsid w:val="006302DC"/>
    <w:rsid w:val="00636E58"/>
    <w:rsid w:val="0064605E"/>
    <w:rsid w:val="00665E79"/>
    <w:rsid w:val="00671B00"/>
    <w:rsid w:val="006855E8"/>
    <w:rsid w:val="00696845"/>
    <w:rsid w:val="006B098E"/>
    <w:rsid w:val="006C67DF"/>
    <w:rsid w:val="006D61A2"/>
    <w:rsid w:val="006D7154"/>
    <w:rsid w:val="006E57A1"/>
    <w:rsid w:val="006F329D"/>
    <w:rsid w:val="00703FBC"/>
    <w:rsid w:val="007164CC"/>
    <w:rsid w:val="00731678"/>
    <w:rsid w:val="0074434E"/>
    <w:rsid w:val="007607B2"/>
    <w:rsid w:val="007816BB"/>
    <w:rsid w:val="007A61F7"/>
    <w:rsid w:val="007A7241"/>
    <w:rsid w:val="007B2CE9"/>
    <w:rsid w:val="007B7B3C"/>
    <w:rsid w:val="007C6F37"/>
    <w:rsid w:val="007D462F"/>
    <w:rsid w:val="007E4FD1"/>
    <w:rsid w:val="007E63E0"/>
    <w:rsid w:val="007F15DD"/>
    <w:rsid w:val="007F48C2"/>
    <w:rsid w:val="007F6ABF"/>
    <w:rsid w:val="00821A66"/>
    <w:rsid w:val="008441E4"/>
    <w:rsid w:val="008460B0"/>
    <w:rsid w:val="008521E4"/>
    <w:rsid w:val="00884DDD"/>
    <w:rsid w:val="008B30E4"/>
    <w:rsid w:val="008B4438"/>
    <w:rsid w:val="008C7C61"/>
    <w:rsid w:val="008D4217"/>
    <w:rsid w:val="0090424A"/>
    <w:rsid w:val="00941E0E"/>
    <w:rsid w:val="00951D04"/>
    <w:rsid w:val="0095232A"/>
    <w:rsid w:val="009630E6"/>
    <w:rsid w:val="0096603E"/>
    <w:rsid w:val="009747F7"/>
    <w:rsid w:val="00975105"/>
    <w:rsid w:val="00976E13"/>
    <w:rsid w:val="009953B6"/>
    <w:rsid w:val="009A760B"/>
    <w:rsid w:val="009D3106"/>
    <w:rsid w:val="009D5ED6"/>
    <w:rsid w:val="009D720B"/>
    <w:rsid w:val="009E4D97"/>
    <w:rsid w:val="009E78ED"/>
    <w:rsid w:val="009E7BD5"/>
    <w:rsid w:val="00A011F5"/>
    <w:rsid w:val="00A105C5"/>
    <w:rsid w:val="00A1231D"/>
    <w:rsid w:val="00A2378C"/>
    <w:rsid w:val="00A31820"/>
    <w:rsid w:val="00A3508E"/>
    <w:rsid w:val="00A45090"/>
    <w:rsid w:val="00A51DFB"/>
    <w:rsid w:val="00A60417"/>
    <w:rsid w:val="00A71B53"/>
    <w:rsid w:val="00A84A75"/>
    <w:rsid w:val="00AA3DCB"/>
    <w:rsid w:val="00AA5CB4"/>
    <w:rsid w:val="00AC14AF"/>
    <w:rsid w:val="00AC25AB"/>
    <w:rsid w:val="00AE46B0"/>
    <w:rsid w:val="00AF4002"/>
    <w:rsid w:val="00B00192"/>
    <w:rsid w:val="00B014D5"/>
    <w:rsid w:val="00B02848"/>
    <w:rsid w:val="00B04E55"/>
    <w:rsid w:val="00B077A9"/>
    <w:rsid w:val="00B170FC"/>
    <w:rsid w:val="00B3718D"/>
    <w:rsid w:val="00B53B37"/>
    <w:rsid w:val="00B6482A"/>
    <w:rsid w:val="00B76308"/>
    <w:rsid w:val="00B82BF3"/>
    <w:rsid w:val="00B9234E"/>
    <w:rsid w:val="00BA5F51"/>
    <w:rsid w:val="00BA773C"/>
    <w:rsid w:val="00BB17C5"/>
    <w:rsid w:val="00BB44C8"/>
    <w:rsid w:val="00BD4881"/>
    <w:rsid w:val="00BE577A"/>
    <w:rsid w:val="00BF59CA"/>
    <w:rsid w:val="00C1001C"/>
    <w:rsid w:val="00C132D9"/>
    <w:rsid w:val="00C15DAA"/>
    <w:rsid w:val="00C27C2F"/>
    <w:rsid w:val="00C32AD6"/>
    <w:rsid w:val="00C3431B"/>
    <w:rsid w:val="00C41259"/>
    <w:rsid w:val="00C430B9"/>
    <w:rsid w:val="00C4606A"/>
    <w:rsid w:val="00C94112"/>
    <w:rsid w:val="00CB71FC"/>
    <w:rsid w:val="00CD40A8"/>
    <w:rsid w:val="00CE092B"/>
    <w:rsid w:val="00D1095B"/>
    <w:rsid w:val="00D1243C"/>
    <w:rsid w:val="00D17F50"/>
    <w:rsid w:val="00D310D5"/>
    <w:rsid w:val="00D44D71"/>
    <w:rsid w:val="00D5082B"/>
    <w:rsid w:val="00D5603E"/>
    <w:rsid w:val="00D56950"/>
    <w:rsid w:val="00D6371F"/>
    <w:rsid w:val="00D81B2F"/>
    <w:rsid w:val="00D84A12"/>
    <w:rsid w:val="00D84FD2"/>
    <w:rsid w:val="00D94E7A"/>
    <w:rsid w:val="00DA0752"/>
    <w:rsid w:val="00DB07C3"/>
    <w:rsid w:val="00DD0891"/>
    <w:rsid w:val="00E01940"/>
    <w:rsid w:val="00E02D4B"/>
    <w:rsid w:val="00E33EFE"/>
    <w:rsid w:val="00E41478"/>
    <w:rsid w:val="00E51044"/>
    <w:rsid w:val="00E56028"/>
    <w:rsid w:val="00E6198D"/>
    <w:rsid w:val="00E63560"/>
    <w:rsid w:val="00E72B50"/>
    <w:rsid w:val="00E7386E"/>
    <w:rsid w:val="00E7413C"/>
    <w:rsid w:val="00E84DCF"/>
    <w:rsid w:val="00E86713"/>
    <w:rsid w:val="00EA6BCD"/>
    <w:rsid w:val="00EB1AB0"/>
    <w:rsid w:val="00EE1FB6"/>
    <w:rsid w:val="00EE7877"/>
    <w:rsid w:val="00F20851"/>
    <w:rsid w:val="00F50568"/>
    <w:rsid w:val="00F5169B"/>
    <w:rsid w:val="00F85DA6"/>
    <w:rsid w:val="00F90242"/>
    <w:rsid w:val="00F95D7E"/>
    <w:rsid w:val="00F97B9E"/>
    <w:rsid w:val="00F97D3A"/>
    <w:rsid w:val="00FE0120"/>
    <w:rsid w:val="00FF3DD6"/>
    <w:rsid w:val="00FF464B"/>
    <w:rsid w:val="00FF7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2DCC75"/>
  <w15:docId w15:val="{A684308D-1169-4A05-85B2-428324ADC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C6928"/>
    <w:pPr>
      <w:tabs>
        <w:tab w:val="center" w:pos="4513"/>
        <w:tab w:val="right" w:pos="9026"/>
      </w:tabs>
    </w:pPr>
  </w:style>
  <w:style w:type="character" w:customStyle="1" w:styleId="HeaderChar">
    <w:name w:val="Header Char"/>
    <w:basedOn w:val="DefaultParagraphFont"/>
    <w:link w:val="Header"/>
    <w:uiPriority w:val="99"/>
    <w:rsid w:val="001C6928"/>
  </w:style>
  <w:style w:type="paragraph" w:styleId="Footer">
    <w:name w:val="footer"/>
    <w:basedOn w:val="Normal"/>
    <w:link w:val="FooterChar"/>
    <w:uiPriority w:val="99"/>
    <w:unhideWhenUsed/>
    <w:rsid w:val="001C6928"/>
    <w:pPr>
      <w:tabs>
        <w:tab w:val="center" w:pos="4513"/>
        <w:tab w:val="right" w:pos="9026"/>
      </w:tabs>
    </w:pPr>
  </w:style>
  <w:style w:type="character" w:customStyle="1" w:styleId="FooterChar">
    <w:name w:val="Footer Char"/>
    <w:basedOn w:val="DefaultParagraphFont"/>
    <w:link w:val="Footer"/>
    <w:uiPriority w:val="99"/>
    <w:rsid w:val="001C6928"/>
  </w:style>
  <w:style w:type="paragraph" w:styleId="TOCHeading">
    <w:name w:val="TOC Heading"/>
    <w:basedOn w:val="Heading1"/>
    <w:next w:val="Normal"/>
    <w:uiPriority w:val="39"/>
    <w:unhideWhenUsed/>
    <w:qFormat/>
    <w:rsid w:val="0064605E"/>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64605E"/>
    <w:pPr>
      <w:spacing w:after="100"/>
    </w:pPr>
  </w:style>
  <w:style w:type="character" w:styleId="CommentReference">
    <w:name w:val="annotation reference"/>
    <w:basedOn w:val="DefaultParagraphFont"/>
    <w:uiPriority w:val="99"/>
    <w:semiHidden/>
    <w:unhideWhenUsed/>
    <w:rsid w:val="00975105"/>
    <w:rPr>
      <w:sz w:val="16"/>
      <w:szCs w:val="16"/>
    </w:rPr>
  </w:style>
  <w:style w:type="paragraph" w:styleId="CommentText">
    <w:name w:val="annotation text"/>
    <w:basedOn w:val="Normal"/>
    <w:link w:val="CommentTextChar"/>
    <w:uiPriority w:val="99"/>
    <w:unhideWhenUsed/>
    <w:rsid w:val="00975105"/>
  </w:style>
  <w:style w:type="character" w:customStyle="1" w:styleId="CommentTextChar">
    <w:name w:val="Comment Text Char"/>
    <w:basedOn w:val="DefaultParagraphFont"/>
    <w:link w:val="CommentText"/>
    <w:uiPriority w:val="99"/>
    <w:rsid w:val="00975105"/>
  </w:style>
  <w:style w:type="paragraph" w:styleId="CommentSubject">
    <w:name w:val="annotation subject"/>
    <w:basedOn w:val="CommentText"/>
    <w:next w:val="CommentText"/>
    <w:link w:val="CommentSubjectChar"/>
    <w:uiPriority w:val="99"/>
    <w:semiHidden/>
    <w:unhideWhenUsed/>
    <w:rsid w:val="00975105"/>
    <w:rPr>
      <w:b/>
      <w:bCs/>
    </w:rPr>
  </w:style>
  <w:style w:type="character" w:customStyle="1" w:styleId="CommentSubjectChar">
    <w:name w:val="Comment Subject Char"/>
    <w:basedOn w:val="CommentTextChar"/>
    <w:link w:val="CommentSubject"/>
    <w:uiPriority w:val="99"/>
    <w:semiHidden/>
    <w:rsid w:val="00975105"/>
    <w:rPr>
      <w:b/>
      <w:bCs/>
    </w:rPr>
  </w:style>
  <w:style w:type="paragraph" w:styleId="PlainText">
    <w:name w:val="Plain Text"/>
    <w:basedOn w:val="Normal"/>
    <w:link w:val="PlainTextChar"/>
    <w:uiPriority w:val="99"/>
    <w:unhideWhenUsed/>
    <w:rsid w:val="003867BF"/>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3867BF"/>
    <w:rPr>
      <w:rFonts w:ascii="Consolas" w:eastAsiaTheme="minorHAnsi" w:hAnsi="Consolas" w:cstheme="minorBidi"/>
      <w:sz w:val="21"/>
      <w:szCs w:val="21"/>
      <w:lang w:eastAsia="en-US"/>
    </w:rPr>
  </w:style>
  <w:style w:type="paragraph" w:styleId="NormalWeb">
    <w:name w:val="Normal (Web)"/>
    <w:basedOn w:val="Normal"/>
    <w:uiPriority w:val="99"/>
    <w:semiHidden/>
    <w:unhideWhenUsed/>
    <w:rsid w:val="00EE1FB6"/>
    <w:rPr>
      <w:sz w:val="24"/>
      <w:szCs w:val="24"/>
    </w:rPr>
  </w:style>
  <w:style w:type="character" w:styleId="UnresolvedMention">
    <w:name w:val="Unresolved Mention"/>
    <w:basedOn w:val="DefaultParagraphFont"/>
    <w:uiPriority w:val="99"/>
    <w:semiHidden/>
    <w:unhideWhenUsed/>
    <w:rsid w:val="00407E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AB917-ED72-4383-AC05-F05DD2D70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9</Pages>
  <Words>2419</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Chantal Montille</cp:lastModifiedBy>
  <cp:revision>239</cp:revision>
  <dcterms:created xsi:type="dcterms:W3CDTF">2026-07-23T23:39:00Z</dcterms:created>
  <dcterms:modified xsi:type="dcterms:W3CDTF">2026-08-12T00:24:00Z</dcterms:modified>
</cp:coreProperties>
</file>