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14:paraId="48E3FB31" wp14:textId="21F307C6">
      <w:pPr>
        <w:pStyle w:val="Heading1"/>
      </w:pPr>
      <w:r w:rsidR="6F3D070E">
        <w:rPr/>
        <w:t>Case Study: Amina’s Story.</w:t>
      </w:r>
    </w:p>
    <w:p xmlns:wp14="http://schemas.microsoft.com/office/word/2010/wordml" w14:paraId="2E0A6F91" wp14:textId="77777777">
      <w:pPr>
        <w:pStyle w:val="Heading2"/>
      </w:pPr>
      <w:r>
        <w:t>Background</w:t>
      </w:r>
    </w:p>
    <w:p xmlns:wp14="http://schemas.microsoft.com/office/word/2010/wordml" w14:paraId="2C7B55F7" wp14:textId="77777777">
      <w:r>
        <w:t>Amina is a 42-year-old woman originally from Somalia. She now lives in Cardiff, South Wales, with her husband and three children aged 6, 9, and 13. The family was granted refugee status six years ago and were resettled through a local authority housing scheme. They currently live in a two-bedroom council flat on the fifth floor of a high-rise block with no lift access. The building is poorly maintained, and their flat suffers from damp and inadequate heating.</w:t>
      </w:r>
    </w:p>
    <w:p xmlns:wp14="http://schemas.microsoft.com/office/word/2010/wordml" w14:paraId="0A677053" wp14:textId="77777777">
      <w:r>
        <w:t>Amina’s husband lost his job during the COVID-19 pandemic and has struggled to find new employment. The family now relies entirely on Universal Credit, and Amina is increasingly anxious about money, food costs, and energy bills. She finds it difficult to access support services, as she speaks very limited English and has not been offered an interpreter. Her eldest child often has to translate letters and attend appointments to interpret for her.</w:t>
      </w:r>
    </w:p>
    <w:p xmlns:wp14="http://schemas.microsoft.com/office/word/2010/wordml" w14:paraId="413F45DD" wp14:textId="77777777">
      <w:pPr>
        <w:pStyle w:val="Heading2"/>
      </w:pPr>
      <w:r>
        <w:t>Health and Wellbeing Challenges</w:t>
      </w:r>
    </w:p>
    <w:p xmlns:wp14="http://schemas.microsoft.com/office/word/2010/wordml" w14:paraId="79E0107A" wp14:textId="77777777">
      <w:r>
        <w:t>Amina has recently been diagnosed with type 2 diabetes, following several months of fatigue, thirst, and weight fluctuations. She was advised to change her diet, monitor her blood sugar levels, and take regular exercise. However, she has struggled to understand this advice due to language barriers and a lack of culturally appropriate guidance.</w:t>
      </w:r>
    </w:p>
    <w:p xmlns:wp14="http://schemas.microsoft.com/office/word/2010/wordml" w14:paraId="750AE975" wp14:textId="77777777">
      <w:r>
        <w:t>Amina’s mobility has worsened over the past year. She now experiences joint pain in her knees and hips, especially when climbing stairs. Her physical activity has reduced significantly as she avoids leaving the flat unless absolutely necessary. As a result, she has become increasingly socially isolated, and her mood has declined.</w:t>
      </w:r>
    </w:p>
    <w:p xmlns:wp14="http://schemas.microsoft.com/office/word/2010/wordml" w14:paraId="4A7EABD1" wp14:textId="77777777">
      <w:pPr>
        <w:pStyle w:val="Heading2"/>
      </w:pPr>
      <w:r>
        <w:t>Physical Aspects</w:t>
      </w:r>
    </w:p>
    <w:p xmlns:wp14="http://schemas.microsoft.com/office/word/2010/wordml" w14:paraId="0687A8A4" wp14:textId="77777777">
      <w:r>
        <w:t>Amina is experiencing physical symptoms linked to unmanaged diabetes, including tiredness, dizziness, joint pain, and poor wound healing. Her living environment, particularly the number of stairs and absence of a lift, has discouraged her from leaving home. Her diet, while culturally important, includes foods that may not align with her diabetic care plan. Due to financial hardship, she struggles to buy fresh and healthy food regularly. The cold, damp environment may also be contributing to aches and respiratory issues.</w:t>
      </w:r>
    </w:p>
    <w:p xmlns:wp14="http://schemas.microsoft.com/office/word/2010/wordml" w14:paraId="2397C308" wp14:textId="77777777">
      <w:pPr>
        <w:pStyle w:val="Heading2"/>
      </w:pPr>
      <w:r>
        <w:t>Intellectual Aspects</w:t>
      </w:r>
    </w:p>
    <w:p xmlns:wp14="http://schemas.microsoft.com/office/word/2010/wordml" w14:paraId="3B9B1B65" wp14:textId="77777777">
      <w:r>
        <w:t>Amina has had limited formal education and is not literate in English. She finds health information difficult to understand and has not been provided with any translated materials or visual guides. Her health literacy is low, which affects her ability to make informed decisions about her care. She often feels confused during appointments and relies on her 13-year-old daughter to interpret, which adds pressure to the child and raises concerns about confidentiality and safeguarding.</w:t>
      </w:r>
    </w:p>
    <w:p xmlns:wp14="http://schemas.microsoft.com/office/word/2010/wordml" w14:paraId="17DA4EEB" wp14:textId="77777777">
      <w:pPr>
        <w:pStyle w:val="Heading2"/>
      </w:pPr>
      <w:r>
        <w:t>Psychosocial Aspects</w:t>
      </w:r>
    </w:p>
    <w:p xmlns:wp14="http://schemas.microsoft.com/office/word/2010/wordml" w14:paraId="2022D2F8" wp14:textId="77777777">
      <w:r>
        <w:t>Amina is experiencing low mood and symptoms of anxiety. She reports difficulty sleeping, lack of motivation, and feelings of loneliness. Since moving to the UK, she has struggled to build a social network and often feels isolated. She does not attend community groups or social activities, partly due to mobility issues, but also because of language barriers and low confidence. Cultural stigma around mental health makes her reluctant to seek emotional support, and she has not shared these feelings with her GP. She also feels guilt about relying on her daughter, and worries about being a burden on her family.</w:t>
      </w:r>
    </w:p>
    <w:p xmlns:wp14="http://schemas.microsoft.com/office/word/2010/wordml" w14:paraId="13F1AFCE" wp14:textId="77777777">
      <w:pPr>
        <w:pStyle w:val="Heading2"/>
      </w:pPr>
      <w:r>
        <w:t>Cultural and Social Barriers</w:t>
      </w:r>
    </w:p>
    <w:p xmlns:wp14="http://schemas.microsoft.com/office/word/2010/wordml" w14:paraId="40DD628E" wp14:textId="77777777">
      <w:r>
        <w:t>Amina’s experience is shaped by a number of interrelated social and cultural factors. She does not feel understood or respected in healthcare settings and believes her needs are often overlooked. She has not been offered culturally sensitive dietary support and does not know how to adapt traditional Somali meals for her condition. There is limited trust in professionals, and she has a poor understanding of her rights and entitlements under Welsh health and social care systems. Language remains a significant barrier, and without an interpreter, she cannot fully engage in care planning.</w:t>
      </w:r>
    </w:p>
    <w:p xmlns:wp14="http://schemas.microsoft.com/office/word/2010/wordml" w14:paraId="42444C19" wp14:textId="77777777">
      <w:pPr>
        <w:pStyle w:val="Heading2"/>
      </w:pPr>
      <w:r>
        <w:t>Key Barriers to Health and Wellbeing</w:t>
      </w:r>
    </w:p>
    <w:p xmlns:wp14="http://schemas.microsoft.com/office/word/2010/wordml" w14:paraId="53CFD3C4" wp14:textId="77777777">
      <w:r>
        <w:t>- Limited access to interpreter services and translated materials</w:t>
      </w:r>
      <w:r>
        <w:br/>
      </w:r>
      <w:r>
        <w:t>- Living in unsuitable housing that restricts her independence</w:t>
      </w:r>
      <w:r>
        <w:br/>
      </w:r>
      <w:r>
        <w:t>- Poverty, unemployment, and food insecurity</w:t>
      </w:r>
      <w:r>
        <w:br/>
      </w:r>
      <w:r>
        <w:t>- Poor access to health education tailored to her cultural and linguistic needs</w:t>
      </w:r>
      <w:r>
        <w:br/>
      </w:r>
      <w:r>
        <w:t>- Social isolation and a lack of community support</w:t>
      </w:r>
      <w:r>
        <w:br/>
      </w:r>
      <w:r>
        <w:t>- Fear of stigma and discrimination around mental health and disability</w:t>
      </w:r>
    </w:p>
    <w:p xmlns:wp14="http://schemas.microsoft.com/office/word/2010/wordml" w14:paraId="525A87E2" wp14:textId="77777777">
      <w:pPr>
        <w:pStyle w:val="Heading2"/>
      </w:pPr>
      <w:r>
        <w:t>Key Areas for Group Analysis</w:t>
      </w:r>
    </w:p>
    <w:p xmlns:wp14="http://schemas.microsoft.com/office/word/2010/wordml" w14:paraId="210EDC11" wp14:textId="77777777">
      <w:r>
        <w:t>1. Social Determinants of Health:</w:t>
      </w:r>
      <w:r>
        <w:br/>
      </w:r>
      <w:r>
        <w:t xml:space="preserve">   These include poverty, poor housing, unemployment, social exclusion, limited education, and lack of access to appropriate services.</w:t>
      </w:r>
    </w:p>
    <w:p xmlns:wp14="http://schemas.microsoft.com/office/word/2010/wordml" w14:paraId="68588A2F" wp14:textId="77777777">
      <w:r>
        <w:t>2. Cultural Diversity:</w:t>
      </w:r>
      <w:r>
        <w:br/>
      </w:r>
      <w:r>
        <w:t xml:space="preserve">   Amina’s case illustrates how cultural beliefs, dietary preferences, mental health stigma, and language barriers affect access to care. It also raises issues around reliance on children as interpreters.</w:t>
      </w:r>
    </w:p>
    <w:p xmlns:wp14="http://schemas.microsoft.com/office/word/2010/wordml" w14:paraId="41EDEEB2" wp14:textId="77777777">
      <w:r>
        <w:t>3. Relevant Policies and Practice in Wales:</w:t>
      </w:r>
      <w:r>
        <w:br/>
      </w:r>
      <w:r>
        <w:t xml:space="preserve">   - Equality Act 2010: Protects individuals from discrimination and requires reasonable adjustments, including language access.</w:t>
      </w:r>
      <w:r>
        <w:br/>
      </w:r>
      <w:r>
        <w:t xml:space="preserve">   - NHS Wales Core Principles: Emphasise respect, communication, dignity, and person-centred care.</w:t>
      </w:r>
      <w:r>
        <w:br/>
      </w:r>
      <w:r>
        <w:t xml:space="preserve">   - Social Services and Well-being (Wales) Act 2014: Aims to ensure people have a voice in decisions about their care and promotes well-being across physical, mental, and social domains.</w:t>
      </w:r>
      <w:r>
        <w:br/>
      </w:r>
      <w:r>
        <w:t xml:space="preserve">   - Accessible Information Standard: Requires services to communicate with people in ways they can understand.</w:t>
      </w:r>
      <w:r>
        <w:br/>
      </w:r>
      <w:r>
        <w:t xml:space="preserve">   - Public Health Wales initiatives: Encourage inclusive approaches to diabetes care, community health, and mental well-being.</w:t>
      </w:r>
      <w:r>
        <w:br/>
      </w:r>
      <w:r>
        <w:t xml:space="preserve">   - Importance of social prescribing and culturally appropriate health promotion interventions.</w:t>
      </w:r>
    </w:p>
    <w:sectPr w:rsidRPr="0006063C" w:rsidR="00FC693F"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6F3D07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5FB4460C-CB93-43E4-A2A6-B38C6EED9C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rPr>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webSettings" Target="webSettings.xml" Id="rId6" /><Relationship Type="http://schemas.openxmlformats.org/officeDocument/2006/relationships/customXml" Target="../customXml/item1.xml" Id="rId1" /><Relationship Type="http://schemas.openxmlformats.org/officeDocument/2006/relationships/customXml" Target="../customXml/item4.xml" Id="rId11" /><Relationship Type="http://schemas.openxmlformats.org/officeDocument/2006/relationships/settings" Target="settings.xml" Id="rId5" /><Relationship Type="http://schemas.openxmlformats.org/officeDocument/2006/relationships/customXml" Target="../customXml/item3.xml" Id="rId10" /><Relationship Type="http://schemas.microsoft.com/office/2007/relationships/stylesWithEffects" Target="stylesWithEffects.xml" Id="rId4" /><Relationship Type="http://schemas.openxmlformats.org/officeDocument/2006/relationships/customXml" Target="../customXml/item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8" ma:contentTypeDescription="Create a new document." ma:contentTypeScope="" ma:versionID="460069bb8f31f31e6c1ac15173e2d838">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a82491691a3dc552cd9a9df2b62a8c27"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41788848-1F88-498E-9548-1F124D3E5373}"/>
</file>

<file path=customXml/itemProps3.xml><?xml version="1.0" encoding="utf-8"?>
<ds:datastoreItem xmlns:ds="http://schemas.openxmlformats.org/officeDocument/2006/customXml" ds:itemID="{A682AA82-221A-41BB-BA15-06C16475366F}"/>
</file>

<file path=customXml/itemProps4.xml><?xml version="1.0" encoding="utf-8"?>
<ds:datastoreItem xmlns:ds="http://schemas.openxmlformats.org/officeDocument/2006/customXml" ds:itemID="{917787C5-0C56-403A-BD72-FE0E5373238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Felicity Peacock</lastModifiedBy>
  <revision>2</revision>
  <dcterms:created xsi:type="dcterms:W3CDTF">2013-12-23T23:15:00.0000000Z</dcterms:created>
  <dcterms:modified xsi:type="dcterms:W3CDTF">2025-07-17T09:33:15.7297955Z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ies>
</file>