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CFE435" w14:textId="77777777" w:rsidR="00E81F69" w:rsidRDefault="00E81F69" w:rsidP="00E81F69">
      <w:r>
        <w:t xml:space="preserve">           </w:t>
      </w:r>
      <w:r w:rsidRPr="0032545F">
        <w:rPr>
          <w:rFonts w:cs="Times New Roman"/>
          <w:noProof/>
          <w:szCs w:val="24"/>
        </w:rPr>
        <w:drawing>
          <wp:inline distT="0" distB="0" distL="0" distR="0" wp14:anchorId="02195F3C" wp14:editId="22672630">
            <wp:extent cx="2819400" cy="1291590"/>
            <wp:effectExtent l="0" t="0" r="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37957" cy="1300091"/>
                    </a:xfrm>
                    <a:prstGeom prst="rect">
                      <a:avLst/>
                    </a:prstGeom>
                    <a:noFill/>
                    <a:ln>
                      <a:noFill/>
                    </a:ln>
                  </pic:spPr>
                </pic:pic>
              </a:graphicData>
            </a:graphic>
          </wp:inline>
        </w:drawing>
      </w:r>
      <w:r>
        <w:t xml:space="preserve">          </w:t>
      </w:r>
    </w:p>
    <w:p w14:paraId="0019663C" w14:textId="77777777" w:rsidR="00E81F69" w:rsidRDefault="00E81F69" w:rsidP="00E81F69">
      <w:pPr>
        <w:shd w:val="clear" w:color="auto" w:fill="FFFFFF"/>
        <w:spacing w:after="100" w:afterAutospacing="1" w:line="240" w:lineRule="auto"/>
        <w:outlineLvl w:val="0"/>
      </w:pPr>
    </w:p>
    <w:p w14:paraId="4F729F60" w14:textId="5193E4CB" w:rsidR="00E81F69" w:rsidRPr="00E81F69" w:rsidRDefault="00E81F69" w:rsidP="00E81F69">
      <w:pPr>
        <w:shd w:val="clear" w:color="auto" w:fill="FFFFFF"/>
        <w:spacing w:after="100" w:afterAutospacing="1" w:line="240" w:lineRule="auto"/>
        <w:outlineLvl w:val="0"/>
        <w:rPr>
          <w:rFonts w:ascii="Segoe UI" w:eastAsia="Times New Roman" w:hAnsi="Segoe UI" w:cs="Segoe UI"/>
          <w:color w:val="1D2125"/>
          <w:kern w:val="36"/>
          <w:sz w:val="40"/>
          <w:szCs w:val="40"/>
          <w:lang w:eastAsia="en-GB"/>
          <w14:ligatures w14:val="none"/>
        </w:rPr>
      </w:pPr>
      <w:r w:rsidRPr="00E81F69">
        <w:rPr>
          <w:rFonts w:ascii="Segoe UI" w:eastAsia="Times New Roman" w:hAnsi="Segoe UI" w:cs="Segoe UI"/>
          <w:color w:val="1D2125"/>
          <w:kern w:val="36"/>
          <w:sz w:val="48"/>
          <w:szCs w:val="48"/>
          <w:lang w:eastAsia="en-GB"/>
          <w14:ligatures w14:val="none"/>
        </w:rPr>
        <w:t xml:space="preserve"> Sustainable Hospitality &amp; Tourism            Management</w:t>
      </w:r>
    </w:p>
    <w:p w14:paraId="1F15341F" w14:textId="72E44C82" w:rsidR="00E81F69" w:rsidRPr="00E81F69" w:rsidRDefault="00E81F69" w:rsidP="00E81F69">
      <w:pPr>
        <w:shd w:val="clear" w:color="auto" w:fill="FFFFFF"/>
        <w:spacing w:after="100" w:afterAutospacing="1" w:line="240" w:lineRule="auto"/>
        <w:outlineLvl w:val="0"/>
        <w:rPr>
          <w:rFonts w:ascii="Segoe UI" w:eastAsia="Times New Roman" w:hAnsi="Segoe UI" w:cs="Segoe UI"/>
          <w:color w:val="1D2125"/>
          <w:kern w:val="36"/>
          <w:sz w:val="40"/>
          <w:szCs w:val="40"/>
          <w:lang w:eastAsia="en-GB"/>
          <w14:ligatures w14:val="none"/>
        </w:rPr>
      </w:pPr>
      <w:r>
        <w:rPr>
          <w:rFonts w:ascii="Segoe UI" w:eastAsia="Times New Roman" w:hAnsi="Segoe UI" w:cs="Segoe UI"/>
          <w:color w:val="1D2125"/>
          <w:kern w:val="36"/>
          <w:sz w:val="40"/>
          <w:szCs w:val="40"/>
          <w:lang w:eastAsia="en-GB"/>
          <w14:ligatures w14:val="none"/>
        </w:rPr>
        <w:t xml:space="preserve"> </w:t>
      </w:r>
      <w:r w:rsidRPr="00E81F69">
        <w:rPr>
          <w:rFonts w:ascii="Segoe UI" w:eastAsia="Times New Roman" w:hAnsi="Segoe UI" w:cs="Segoe UI"/>
          <w:color w:val="1D2125"/>
          <w:kern w:val="36"/>
          <w:sz w:val="40"/>
          <w:szCs w:val="40"/>
          <w:lang w:eastAsia="en-GB"/>
          <w14:ligatures w14:val="none"/>
        </w:rPr>
        <w:t>BMIH5006</w:t>
      </w:r>
    </w:p>
    <w:p w14:paraId="452359D4" w14:textId="166965B3" w:rsidR="00E81F69" w:rsidRDefault="00E81F69" w:rsidP="00E81F69">
      <w:pPr>
        <w:rPr>
          <w:sz w:val="36"/>
          <w:szCs w:val="36"/>
        </w:rPr>
      </w:pPr>
    </w:p>
    <w:p w14:paraId="43600BBB" w14:textId="3E14F5B8" w:rsidR="00E81F69" w:rsidRDefault="00E81F69" w:rsidP="00E81F69">
      <w:pPr>
        <w:rPr>
          <w:sz w:val="36"/>
          <w:szCs w:val="36"/>
        </w:rPr>
      </w:pPr>
      <w:r w:rsidRPr="00E81F69">
        <w:rPr>
          <w:sz w:val="36"/>
          <w:szCs w:val="36"/>
        </w:rPr>
        <w:t xml:space="preserve">    </w:t>
      </w:r>
    </w:p>
    <w:p w14:paraId="7F27F8C8" w14:textId="1609E1D5" w:rsidR="00E81F69" w:rsidRDefault="00E81F69" w:rsidP="00E81F69">
      <w:pPr>
        <w:rPr>
          <w:sz w:val="36"/>
          <w:szCs w:val="36"/>
        </w:rPr>
      </w:pPr>
      <w:r>
        <w:rPr>
          <w:sz w:val="36"/>
          <w:szCs w:val="36"/>
        </w:rPr>
        <w:t xml:space="preserve">                                               </w:t>
      </w:r>
      <w:r w:rsidRPr="00E81F69">
        <w:rPr>
          <w:sz w:val="36"/>
          <w:szCs w:val="36"/>
        </w:rPr>
        <w:t xml:space="preserve">    ESSAY</w:t>
      </w:r>
    </w:p>
    <w:p w14:paraId="2D922DE7" w14:textId="77777777" w:rsidR="00E81F69" w:rsidRDefault="00E81F69" w:rsidP="00E81F69">
      <w:pPr>
        <w:jc w:val="center"/>
        <w:rPr>
          <w:sz w:val="28"/>
          <w:szCs w:val="28"/>
        </w:rPr>
      </w:pPr>
      <w:r w:rsidRPr="00E81F69">
        <w:rPr>
          <w:sz w:val="28"/>
          <w:szCs w:val="28"/>
        </w:rPr>
        <w:t>Addressing Gaps in Green Practices at Claridge's London</w:t>
      </w:r>
    </w:p>
    <w:p w14:paraId="604D4140" w14:textId="77777777" w:rsidR="00E81F69" w:rsidRDefault="00E81F69" w:rsidP="00E81F69">
      <w:pPr>
        <w:jc w:val="center"/>
        <w:rPr>
          <w:sz w:val="28"/>
          <w:szCs w:val="28"/>
        </w:rPr>
      </w:pPr>
    </w:p>
    <w:p w14:paraId="6C4352C8" w14:textId="77777777" w:rsidR="00E81F69" w:rsidRDefault="00E81F69" w:rsidP="00E81F69">
      <w:pPr>
        <w:jc w:val="center"/>
        <w:rPr>
          <w:sz w:val="28"/>
          <w:szCs w:val="28"/>
        </w:rPr>
      </w:pPr>
    </w:p>
    <w:p w14:paraId="3CD7057B" w14:textId="77777777" w:rsidR="00E81F69" w:rsidRDefault="00E81F69" w:rsidP="00E81F69">
      <w:pPr>
        <w:jc w:val="center"/>
        <w:rPr>
          <w:sz w:val="28"/>
          <w:szCs w:val="28"/>
        </w:rPr>
      </w:pPr>
    </w:p>
    <w:p w14:paraId="56D4D0D2" w14:textId="77777777" w:rsidR="00E81F69" w:rsidRDefault="00E81F69" w:rsidP="00E81F69">
      <w:pPr>
        <w:jc w:val="center"/>
        <w:rPr>
          <w:sz w:val="28"/>
          <w:szCs w:val="28"/>
        </w:rPr>
      </w:pPr>
    </w:p>
    <w:p w14:paraId="07F66990" w14:textId="77777777" w:rsidR="00E81F69" w:rsidRDefault="00E81F69" w:rsidP="00E81F69">
      <w:pPr>
        <w:jc w:val="center"/>
        <w:rPr>
          <w:sz w:val="28"/>
          <w:szCs w:val="28"/>
        </w:rPr>
      </w:pPr>
    </w:p>
    <w:p w14:paraId="3A9CE4AF" w14:textId="77777777" w:rsidR="00E81F69" w:rsidRDefault="00E81F69" w:rsidP="00E81F69">
      <w:pPr>
        <w:jc w:val="center"/>
        <w:rPr>
          <w:sz w:val="28"/>
          <w:szCs w:val="28"/>
        </w:rPr>
      </w:pPr>
    </w:p>
    <w:p w14:paraId="1D1FC431" w14:textId="77777777" w:rsidR="00E81F69" w:rsidRPr="00E81F69" w:rsidRDefault="00E81F69" w:rsidP="00E81F69">
      <w:pPr>
        <w:jc w:val="center"/>
        <w:rPr>
          <w:sz w:val="28"/>
          <w:szCs w:val="28"/>
        </w:rPr>
      </w:pPr>
    </w:p>
    <w:p w14:paraId="159E053A" w14:textId="10289C1B" w:rsidR="00E81F69" w:rsidRPr="003F1726" w:rsidRDefault="00E81F69" w:rsidP="00E81F69">
      <w:pPr>
        <w:rPr>
          <w:sz w:val="24"/>
          <w:szCs w:val="24"/>
          <w:lang w:val="nl-NL"/>
        </w:rPr>
      </w:pPr>
      <w:r w:rsidRPr="003F1726">
        <w:rPr>
          <w:sz w:val="24"/>
          <w:szCs w:val="24"/>
          <w:lang w:val="nl-NL"/>
        </w:rPr>
        <w:t>Student Name: Adriana Mitran</w:t>
      </w:r>
    </w:p>
    <w:p w14:paraId="7F24D831" w14:textId="7F4DA39B" w:rsidR="00E81F69" w:rsidRPr="003F1726" w:rsidRDefault="00E81F69" w:rsidP="00E81F69">
      <w:pPr>
        <w:rPr>
          <w:sz w:val="24"/>
          <w:szCs w:val="24"/>
          <w:lang w:val="nl-NL"/>
        </w:rPr>
      </w:pPr>
      <w:r w:rsidRPr="003F1726">
        <w:rPr>
          <w:sz w:val="24"/>
          <w:szCs w:val="24"/>
          <w:lang w:val="nl-NL"/>
        </w:rPr>
        <w:t>Student ID:1920087</w:t>
      </w:r>
    </w:p>
    <w:p w14:paraId="384036C9" w14:textId="6ECD3815" w:rsidR="00E81F69" w:rsidRDefault="00E81F69" w:rsidP="00E81F69">
      <w:pPr>
        <w:rPr>
          <w:sz w:val="24"/>
          <w:szCs w:val="24"/>
        </w:rPr>
      </w:pPr>
      <w:r>
        <w:rPr>
          <w:sz w:val="24"/>
          <w:szCs w:val="24"/>
        </w:rPr>
        <w:t xml:space="preserve">Lecturer’s name: Christopher Wilkin </w:t>
      </w:r>
    </w:p>
    <w:p w14:paraId="1D9CB62A" w14:textId="5028CB5E" w:rsidR="00E81F69" w:rsidRDefault="00E81F69" w:rsidP="00E81F69">
      <w:pPr>
        <w:rPr>
          <w:sz w:val="24"/>
          <w:szCs w:val="24"/>
        </w:rPr>
      </w:pPr>
      <w:r>
        <w:rPr>
          <w:sz w:val="24"/>
          <w:szCs w:val="24"/>
        </w:rPr>
        <w:t>Word Count:</w:t>
      </w:r>
      <w:r w:rsidR="00320C6F">
        <w:rPr>
          <w:sz w:val="24"/>
          <w:szCs w:val="24"/>
        </w:rPr>
        <w:t>1984</w:t>
      </w:r>
    </w:p>
    <w:p w14:paraId="1D2F1951" w14:textId="77777777" w:rsidR="00E81F69" w:rsidRDefault="00E81F69" w:rsidP="00E81F69">
      <w:pPr>
        <w:rPr>
          <w:sz w:val="24"/>
          <w:szCs w:val="24"/>
        </w:rPr>
      </w:pPr>
    </w:p>
    <w:p w14:paraId="7CBE882D" w14:textId="77777777" w:rsidR="00E81F69" w:rsidRDefault="00E81F69" w:rsidP="00E81F69">
      <w:pPr>
        <w:rPr>
          <w:sz w:val="24"/>
          <w:szCs w:val="24"/>
        </w:rPr>
      </w:pPr>
    </w:p>
    <w:p w14:paraId="7B79B876" w14:textId="77777777" w:rsidR="00636E0D" w:rsidRDefault="007F0459" w:rsidP="00636E0D">
      <w:pPr>
        <w:spacing w:after="240" w:line="360" w:lineRule="auto"/>
        <w:rPr>
          <w:rFonts w:asciiTheme="minorBidi" w:eastAsia="Times New Roman" w:hAnsiTheme="minorBidi"/>
          <w:kern w:val="0"/>
          <w:sz w:val="24"/>
          <w:szCs w:val="24"/>
          <w:lang w:eastAsia="en-GB"/>
          <w14:ligatures w14:val="none"/>
        </w:rPr>
      </w:pPr>
      <w:r w:rsidRPr="007F0459">
        <w:rPr>
          <w:rFonts w:asciiTheme="minorBidi" w:eastAsia="Times New Roman" w:hAnsiTheme="minorBidi"/>
          <w:kern w:val="0"/>
          <w:sz w:val="24"/>
          <w:szCs w:val="24"/>
          <w:lang w:eastAsia="en-GB"/>
          <w14:ligatures w14:val="none"/>
        </w:rPr>
        <w:lastRenderedPageBreak/>
        <w:t xml:space="preserve">In the hospitality industry, green practices are environmentally friendly, conserve resources, reduce ecological impact, and improve operational efficiency (Cooper, 2021). Energy-efficient technologies, waste management systems, and the utilisation of renewable energy sources comprise sustainable practices. A study conducted by Pereira et al. (2021) has confirmed the significance of green initiatives for luxury hotels, as they are required to fulfil their environmental responsibilities in addition to providing the </w:t>
      </w:r>
      <w:r w:rsidR="00636E0D" w:rsidRPr="00636E0D">
        <w:rPr>
          <w:rFonts w:asciiTheme="minorBidi" w:eastAsia="Times New Roman" w:hAnsiTheme="minorBidi"/>
          <w:kern w:val="0"/>
          <w:sz w:val="24"/>
          <w:szCs w:val="24"/>
          <w:lang w:eastAsia="en-GB"/>
          <w14:ligatures w14:val="none"/>
        </w:rPr>
        <w:t>elevated level</w:t>
      </w:r>
      <w:r w:rsidRPr="007F0459">
        <w:rPr>
          <w:rFonts w:asciiTheme="minorBidi" w:eastAsia="Times New Roman" w:hAnsiTheme="minorBidi"/>
          <w:kern w:val="0"/>
          <w:sz w:val="24"/>
          <w:szCs w:val="24"/>
          <w:lang w:eastAsia="en-GB"/>
          <w14:ligatures w14:val="none"/>
        </w:rPr>
        <w:t xml:space="preserve"> of comfort and service that their clients expect. Hotels accomplish this by engaging in more sustainable practices that reduce their environmental impact and meet the growing demand for eco-friendly accommodations. Additionally, Hoare (2021) has proposed that Claridge's London, a luxury hotel that is globally recognised for its exceptional service and long-standing tradition, has implemented sustainability initiatives in response. </w:t>
      </w:r>
      <w:r w:rsidRPr="007F0459">
        <w:rPr>
          <w:rFonts w:asciiTheme="minorBidi" w:eastAsia="Times New Roman" w:hAnsiTheme="minorBidi"/>
          <w:kern w:val="0"/>
          <w:sz w:val="24"/>
          <w:szCs w:val="24"/>
          <w:lang w:eastAsia="en-GB"/>
          <w14:ligatures w14:val="none"/>
        </w:rPr>
        <w:br/>
        <w:t xml:space="preserve">Furthermore, these are employing energy-efficient lighting, sophisticated waste management systems, and locally sourced food. </w:t>
      </w:r>
      <w:r w:rsidR="00636E0D" w:rsidRPr="00636E0D">
        <w:rPr>
          <w:rFonts w:asciiTheme="minorBidi" w:eastAsia="Times New Roman" w:hAnsiTheme="minorBidi"/>
          <w:kern w:val="0"/>
          <w:sz w:val="24"/>
          <w:szCs w:val="24"/>
          <w:lang w:eastAsia="en-GB"/>
          <w14:ligatures w14:val="none"/>
        </w:rPr>
        <w:t>Even though</w:t>
      </w:r>
      <w:r w:rsidRPr="007F0459">
        <w:rPr>
          <w:rFonts w:asciiTheme="minorBidi" w:eastAsia="Times New Roman" w:hAnsiTheme="minorBidi"/>
          <w:kern w:val="0"/>
          <w:sz w:val="24"/>
          <w:szCs w:val="24"/>
          <w:lang w:eastAsia="en-GB"/>
          <w14:ligatures w14:val="none"/>
        </w:rPr>
        <w:t xml:space="preserve"> these objectives may appear to be quite challenging to accomplish, there is potential for development, such as the hotel's energy consumption behaviour (Khalil et al., 2024). This substantial difference in external, non-renewable energy sources is significantly influenced by a factor that is in direct opposition to Claridge's overarching sustainability objectives. The objective of this paper is to address this deficit by advocating for the installation of rooftop solar panels at Claridge's London. In turn, </w:t>
      </w:r>
      <w:proofErr w:type="spellStart"/>
      <w:r w:rsidRPr="007F0459">
        <w:rPr>
          <w:rFonts w:asciiTheme="minorBidi" w:eastAsia="Times New Roman" w:hAnsiTheme="minorBidi"/>
          <w:kern w:val="0"/>
          <w:sz w:val="24"/>
          <w:szCs w:val="24"/>
          <w:lang w:eastAsia="en-GB"/>
          <w14:ligatures w14:val="none"/>
        </w:rPr>
        <w:t>Abazaj</w:t>
      </w:r>
      <w:proofErr w:type="spellEnd"/>
      <w:r w:rsidRPr="007F0459">
        <w:rPr>
          <w:rFonts w:asciiTheme="minorBidi" w:eastAsia="Times New Roman" w:hAnsiTheme="minorBidi"/>
          <w:kern w:val="0"/>
          <w:sz w:val="24"/>
          <w:szCs w:val="24"/>
          <w:lang w:eastAsia="en-GB"/>
          <w14:ligatures w14:val="none"/>
        </w:rPr>
        <w:t xml:space="preserve"> (2024) has suggested in his research that the hotel should strive to align its operations with global sustainability standards, reduce its carbon footprint, and maintain its position in the luxury and exceptional guest experience league. </w:t>
      </w:r>
    </w:p>
    <w:p w14:paraId="4480D018" w14:textId="39BB2B5B" w:rsidR="005C668E" w:rsidRPr="005C668E" w:rsidRDefault="005C668E" w:rsidP="005C668E">
      <w:pPr>
        <w:spacing w:after="240" w:line="360" w:lineRule="auto"/>
        <w:rPr>
          <w:rFonts w:asciiTheme="minorBidi" w:eastAsia="Times New Roman" w:hAnsiTheme="minorBidi"/>
          <w:kern w:val="0"/>
          <w:sz w:val="24"/>
          <w:szCs w:val="24"/>
          <w:lang w:eastAsia="en-GB"/>
          <w14:ligatures w14:val="none"/>
        </w:rPr>
      </w:pPr>
      <w:r w:rsidRPr="005C668E">
        <w:rPr>
          <w:rFonts w:asciiTheme="minorBidi" w:eastAsia="Times New Roman" w:hAnsiTheme="minorBidi"/>
          <w:kern w:val="0"/>
          <w:sz w:val="24"/>
          <w:szCs w:val="24"/>
          <w:lang w:eastAsia="en-GB"/>
          <w14:ligatures w14:val="none"/>
        </w:rPr>
        <w:t xml:space="preserve">Kuo et al. (2022) assert that sustainable practices in the hotel business provide benefits while also confronting certain problems. Businesses aiming to comply with global sustainability objectives must increasingly use measures that minimise environmental impact and enhance operational sustainability. Nevertheless, obstacles often arise despite the substantial advantages of implementing green projects. Environmental practices are a primary benefit of conserving energy and water resources (Makanda et al., 2022). Hotels are notoriously resource-intensive; a luxury hotel may use up to seven hundred litres of water per person every night, along with substantial electricity for heating, cooling, and lighting. Hotels may significantly reduce resource usage by using low-flow plumbing fixtures, water </w:t>
      </w:r>
      <w:r w:rsidRPr="005C668E">
        <w:rPr>
          <w:rFonts w:asciiTheme="minorBidi" w:eastAsia="Times New Roman" w:hAnsiTheme="minorBidi"/>
          <w:kern w:val="0"/>
          <w:sz w:val="24"/>
          <w:szCs w:val="24"/>
          <w:lang w:eastAsia="en-GB"/>
          <w14:ligatures w14:val="none"/>
        </w:rPr>
        <w:lastRenderedPageBreak/>
        <w:t xml:space="preserve">recycling systems, and energy-efficient technology. </w:t>
      </w:r>
      <w:r w:rsidRPr="005C668E">
        <w:rPr>
          <w:rFonts w:asciiTheme="minorBidi" w:eastAsia="Times New Roman" w:hAnsiTheme="minorBidi"/>
          <w:kern w:val="0"/>
          <w:sz w:val="24"/>
          <w:szCs w:val="24"/>
          <w:lang w:eastAsia="en-GB"/>
          <w14:ligatures w14:val="none"/>
        </w:rPr>
        <w:br/>
        <w:t>It also provides another essential advantage, namely the reduction of carbon emissions and pollution. Approximately 60% of energy use in hotels is allocated to heating, cooling, and lighting (</w:t>
      </w:r>
      <w:proofErr w:type="spellStart"/>
      <w:r w:rsidRPr="005C668E">
        <w:rPr>
          <w:rFonts w:asciiTheme="minorBidi" w:eastAsia="Times New Roman" w:hAnsiTheme="minorBidi"/>
          <w:kern w:val="0"/>
          <w:sz w:val="24"/>
          <w:szCs w:val="24"/>
          <w:lang w:eastAsia="en-GB"/>
          <w14:ligatures w14:val="none"/>
        </w:rPr>
        <w:t>Orynycz</w:t>
      </w:r>
      <w:proofErr w:type="spellEnd"/>
      <w:r w:rsidRPr="005C668E">
        <w:rPr>
          <w:rFonts w:asciiTheme="minorBidi" w:eastAsia="Times New Roman" w:hAnsiTheme="minorBidi"/>
          <w:kern w:val="0"/>
          <w:sz w:val="24"/>
          <w:szCs w:val="24"/>
          <w:lang w:eastAsia="en-GB"/>
          <w14:ligatures w14:val="none"/>
        </w:rPr>
        <w:t xml:space="preserve"> and </w:t>
      </w:r>
      <w:proofErr w:type="spellStart"/>
      <w:r w:rsidRPr="005C668E">
        <w:rPr>
          <w:rFonts w:asciiTheme="minorBidi" w:eastAsia="Times New Roman" w:hAnsiTheme="minorBidi"/>
          <w:kern w:val="0"/>
          <w:sz w:val="24"/>
          <w:szCs w:val="24"/>
          <w:lang w:eastAsia="en-GB"/>
          <w14:ligatures w14:val="none"/>
        </w:rPr>
        <w:t>Tucki</w:t>
      </w:r>
      <w:proofErr w:type="spellEnd"/>
      <w:r w:rsidRPr="005C668E">
        <w:rPr>
          <w:rFonts w:asciiTheme="minorBidi" w:eastAsia="Times New Roman" w:hAnsiTheme="minorBidi"/>
          <w:kern w:val="0"/>
          <w:sz w:val="24"/>
          <w:szCs w:val="24"/>
          <w:lang w:eastAsia="en-GB"/>
          <w14:ligatures w14:val="none"/>
        </w:rPr>
        <w:t xml:space="preserve">, 2021). Establishments may significantly reduce their environmental impact by switching to renewable energy sources, such as solar panels or wind turbines. The International Energy Agency anticipates, as per the research of Adu et al. (2024), that the utilisation of renewable energy might decrease energy-related carbon emissions by up to 70%. Moreover, effective waste management strategies, such as composting organic waste or using single-use plastics, may significantly reduce pollution. They increase the hotel’s capacity to comply with rules and fulfil contemporary customer expectations for sustainable operations. </w:t>
      </w:r>
      <w:r w:rsidRPr="005C668E">
        <w:rPr>
          <w:rFonts w:asciiTheme="minorBidi" w:eastAsia="Times New Roman" w:hAnsiTheme="minorBidi"/>
          <w:kern w:val="0"/>
          <w:sz w:val="24"/>
          <w:szCs w:val="24"/>
          <w:lang w:eastAsia="en-GB"/>
          <w14:ligatures w14:val="none"/>
        </w:rPr>
        <w:br/>
        <w:t>Hossain and Hasan (2024) suggest that, at the operational level, green practices may provide significant long-term cost savings. Despite the high upfront costs of sustainable solutions, the long-term gains in energy efficiency and waste reduction often overcome the original expense. Hilton Hotels decreased their energy costs by 22 percent with the implementation of energy-efficient equipment, including LED lighting and automated energy management tools (</w:t>
      </w:r>
      <w:proofErr w:type="spellStart"/>
      <w:r w:rsidRPr="005C668E">
        <w:rPr>
          <w:rFonts w:asciiTheme="minorBidi" w:eastAsia="Times New Roman" w:hAnsiTheme="minorBidi"/>
          <w:kern w:val="0"/>
          <w:sz w:val="24"/>
          <w:szCs w:val="24"/>
          <w:lang w:eastAsia="en-GB"/>
          <w14:ligatures w14:val="none"/>
        </w:rPr>
        <w:t>Haski</w:t>
      </w:r>
      <w:proofErr w:type="spellEnd"/>
      <w:r w:rsidRPr="005C668E">
        <w:rPr>
          <w:rFonts w:asciiTheme="minorBidi" w:eastAsia="Times New Roman" w:hAnsiTheme="minorBidi"/>
          <w:kern w:val="0"/>
          <w:sz w:val="24"/>
          <w:szCs w:val="24"/>
          <w:lang w:eastAsia="en-GB"/>
          <w14:ligatures w14:val="none"/>
        </w:rPr>
        <w:t xml:space="preserve">-Leventhal, 2018). Waste management methods, such as recycling and food waste reduction programs, also decrease disposal costs and facilitate efficient hotel operations, resulting in profitability. </w:t>
      </w:r>
      <w:r w:rsidRPr="005C668E">
        <w:rPr>
          <w:rFonts w:asciiTheme="minorBidi" w:eastAsia="Times New Roman" w:hAnsiTheme="minorBidi"/>
          <w:kern w:val="0"/>
          <w:sz w:val="24"/>
          <w:szCs w:val="24"/>
          <w:lang w:eastAsia="en-GB"/>
          <w14:ligatures w14:val="none"/>
        </w:rPr>
        <w:br/>
        <w:t>Moreover, from a marketing standpoint, sustainable practices provide a competitive edge. In response to the growing demand for sustainability among contemporary travellers, a 2022 Booking.com survey revealed that 83% of global travellers prioritise sustainability, with 69% willing to pay a premium for eco-friendly accommodations. Luxury hotels such as Claridge’s, which serve affluent clientele, can enhance their appeal to ecotourists and elevate their brand reputation by implementing sustainability initiatives (</w:t>
      </w:r>
      <w:proofErr w:type="spellStart"/>
      <w:r w:rsidRPr="005C668E">
        <w:rPr>
          <w:rFonts w:asciiTheme="minorBidi" w:eastAsia="Times New Roman" w:hAnsiTheme="minorBidi"/>
          <w:kern w:val="0"/>
          <w:sz w:val="24"/>
          <w:szCs w:val="24"/>
          <w:lang w:eastAsia="en-GB"/>
          <w14:ligatures w14:val="none"/>
        </w:rPr>
        <w:t>Bardukova</w:t>
      </w:r>
      <w:proofErr w:type="spellEnd"/>
      <w:r w:rsidRPr="005C668E">
        <w:rPr>
          <w:rFonts w:asciiTheme="minorBidi" w:eastAsia="Times New Roman" w:hAnsiTheme="minorBidi"/>
          <w:kern w:val="0"/>
          <w:sz w:val="24"/>
          <w:szCs w:val="24"/>
          <w:lang w:eastAsia="en-GB"/>
          <w14:ligatures w14:val="none"/>
        </w:rPr>
        <w:t xml:space="preserve">, 2023). However, the implementation of sustainable practices within the hotel sector presents problems. Moreover, Willar et al. (2021) assert that a significant barrier is the high initial cost of implementing sustainable infrastructure. Investing in energy-efficient technology or renewable energy systems in historic buildings like Claridge’s is substantial and requires preservation. </w:t>
      </w:r>
    </w:p>
    <w:p w14:paraId="7338459E" w14:textId="7DD43689" w:rsidR="00E6704B" w:rsidRDefault="00E6704B" w:rsidP="00E6704B">
      <w:pPr>
        <w:spacing w:after="240" w:line="360" w:lineRule="auto"/>
        <w:rPr>
          <w:rFonts w:asciiTheme="minorBidi" w:eastAsia="Times New Roman" w:hAnsiTheme="minorBidi"/>
          <w:kern w:val="0"/>
          <w:sz w:val="24"/>
          <w:szCs w:val="24"/>
          <w:lang w:eastAsia="en-GB"/>
          <w14:ligatures w14:val="none"/>
        </w:rPr>
      </w:pPr>
      <w:r w:rsidRPr="00E6704B">
        <w:rPr>
          <w:rFonts w:asciiTheme="minorBidi" w:eastAsia="Times New Roman" w:hAnsiTheme="minorBidi"/>
          <w:kern w:val="0"/>
          <w:sz w:val="24"/>
          <w:szCs w:val="24"/>
          <w:lang w:eastAsia="en-GB"/>
          <w14:ligatures w14:val="none"/>
        </w:rPr>
        <w:lastRenderedPageBreak/>
        <w:t>On the other hand, McMillan (2024) states that the luxury hotel Claridge’s London has effectively integrated sustainability into its operations. To enhance energy efficiency, they have implemented energy-efficient lighting, modern waste management systems, and are dedicated to procuring food locally. The measures correspond with extensive environmental initiatives aimed at reducing carbon footprints and fostering sustainable activities. For instance, LED lighting significantly decreases energy use; enhanced waste management practices minimise the volume of rubbish deposited in landfills. Claridge’s emphasis on locally and sustainably produced food guarantees support for area suppliers while reducing carbon emissions associated with long-distance transit (</w:t>
      </w:r>
      <w:proofErr w:type="spellStart"/>
      <w:r w:rsidRPr="00E6704B">
        <w:rPr>
          <w:rFonts w:asciiTheme="minorBidi" w:eastAsia="Times New Roman" w:hAnsiTheme="minorBidi"/>
          <w:kern w:val="0"/>
          <w:sz w:val="24"/>
          <w:szCs w:val="24"/>
          <w:lang w:eastAsia="en-GB"/>
          <w14:ligatures w14:val="none"/>
        </w:rPr>
        <w:t>Mourhrib</w:t>
      </w:r>
      <w:proofErr w:type="spellEnd"/>
      <w:r w:rsidRPr="00E6704B">
        <w:rPr>
          <w:rFonts w:asciiTheme="minorBidi" w:eastAsia="Times New Roman" w:hAnsiTheme="minorBidi"/>
          <w:kern w:val="0"/>
          <w:sz w:val="24"/>
          <w:szCs w:val="24"/>
          <w:lang w:eastAsia="en-GB"/>
          <w14:ligatures w14:val="none"/>
        </w:rPr>
        <w:t xml:space="preserve">, 2021). </w:t>
      </w:r>
      <w:r w:rsidRPr="00E6704B">
        <w:rPr>
          <w:rFonts w:asciiTheme="minorBidi" w:eastAsia="Times New Roman" w:hAnsiTheme="minorBidi"/>
          <w:kern w:val="0"/>
          <w:sz w:val="24"/>
          <w:szCs w:val="24"/>
          <w:lang w:eastAsia="en-GB"/>
          <w14:ligatures w14:val="none"/>
        </w:rPr>
        <w:br/>
        <w:t>Despite Claridge's efforts, significant weaknesses remain in its sustainability strategy, especially regarding energy use. An essential area requiring improvement is the lack of on-site renewable energy production (Ahmed et al., 2022). Claridge depends significantly on external energy sources to operate its luxury services in spas, restaurants, and guest rooms, resulting in a substantial carbon footprint. The lack of renewable energy solutions, such as solar panels and geothermal heating, represents a significant opportunity for the hotel to reduce its reliance on non-renewable energy sources. Prakash et al. (2023) emphasise that dependence on this sector is problematic, since hospitality accounts for around 1% of global carbon emissions, with energy consumption being a significant contributor to this effect.</w:t>
      </w:r>
      <w:r w:rsidRPr="00E6704B">
        <w:rPr>
          <w:rFonts w:asciiTheme="minorBidi" w:eastAsia="Times New Roman" w:hAnsiTheme="minorBidi"/>
          <w:kern w:val="0"/>
          <w:sz w:val="24"/>
          <w:szCs w:val="24"/>
          <w:lang w:eastAsia="en-GB"/>
          <w14:ligatures w14:val="none"/>
        </w:rPr>
        <w:br/>
        <w:t xml:space="preserve">The magnitude of energy use at Claridge’s is substantial. As a luxury hotel, it must provide a reliable energy supply to satisfy the continuous energy requirements of its high-end amenities operating around the clock (GUPTA, 2024). Luxury hotels use, on average, 50% more energy per square meter than budget hotels, mostly due to their extensive facilities and services. Excessive energy usage adds to greenhouse gas emissions, a major challenge in combating climate change. The study conducted by Isazadeh et al. (2023) indicates that Claridge’s dependence on non-renewable energy sources exacerbates its environmental effect. Traditional energy sources produce significant CO2 emissions, and the hotel faces volatility in pricing and regulatory uncertainties around energy expenses and carbon emission reduction mandates. </w:t>
      </w:r>
      <w:r w:rsidRPr="00E6704B">
        <w:rPr>
          <w:rFonts w:asciiTheme="minorBidi" w:eastAsia="Times New Roman" w:hAnsiTheme="minorBidi"/>
          <w:kern w:val="0"/>
          <w:sz w:val="24"/>
          <w:szCs w:val="24"/>
          <w:lang w:eastAsia="en-GB"/>
          <w14:ligatures w14:val="none"/>
        </w:rPr>
        <w:br/>
      </w:r>
      <w:r w:rsidRPr="00E6704B">
        <w:rPr>
          <w:rFonts w:asciiTheme="minorBidi" w:eastAsia="Times New Roman" w:hAnsiTheme="minorBidi"/>
          <w:kern w:val="0"/>
          <w:sz w:val="24"/>
          <w:szCs w:val="24"/>
          <w:lang w:eastAsia="en-GB"/>
          <w14:ligatures w14:val="none"/>
        </w:rPr>
        <w:br/>
        <w:t xml:space="preserve">Furthermore, the study conducted by </w:t>
      </w:r>
      <w:proofErr w:type="spellStart"/>
      <w:r w:rsidRPr="00E6704B">
        <w:rPr>
          <w:rFonts w:asciiTheme="minorBidi" w:eastAsia="Times New Roman" w:hAnsiTheme="minorBidi"/>
          <w:kern w:val="0"/>
          <w:sz w:val="24"/>
          <w:szCs w:val="24"/>
          <w:lang w:eastAsia="en-GB"/>
          <w14:ligatures w14:val="none"/>
        </w:rPr>
        <w:t>Inkson</w:t>
      </w:r>
      <w:proofErr w:type="spellEnd"/>
      <w:r w:rsidRPr="00E6704B">
        <w:rPr>
          <w:rFonts w:asciiTheme="minorBidi" w:eastAsia="Times New Roman" w:hAnsiTheme="minorBidi"/>
          <w:kern w:val="0"/>
          <w:sz w:val="24"/>
          <w:szCs w:val="24"/>
          <w:lang w:eastAsia="en-GB"/>
          <w14:ligatures w14:val="none"/>
        </w:rPr>
        <w:t xml:space="preserve"> and Minnaert (2018) indicates that this energy reliance is a significant environmental concern. In the absence of on-site </w:t>
      </w:r>
      <w:r w:rsidRPr="00E6704B">
        <w:rPr>
          <w:rFonts w:asciiTheme="minorBidi" w:eastAsia="Times New Roman" w:hAnsiTheme="minorBidi"/>
          <w:kern w:val="0"/>
          <w:sz w:val="24"/>
          <w:szCs w:val="24"/>
          <w:lang w:eastAsia="en-GB"/>
          <w14:ligatures w14:val="none"/>
        </w:rPr>
        <w:lastRenderedPageBreak/>
        <w:t xml:space="preserve">renewable energy options, Claridge is mostly dependent on the national grid, which, despite improvements, continues to significantly rely on fossil fuels. The hotel's dependence exacerbates its carbon emissions, undermining its efforts to present itself as a sustainability-oriented brand. The carbon intensity of electricity in London is around 233 grammes of CO2 per kilowatt-hour, sufficient for the energy use of a big hotel like Claridge’s to generate substantial carbon emissions (GUPTA, 2024). Claridge’s omission of renewable energy sources in its energy portfolio exacerbates the city's overall carbon footprint compared to the integration of on-site renewable energy alternatives. </w:t>
      </w:r>
    </w:p>
    <w:p w14:paraId="27BAFFC6" w14:textId="261E637B" w:rsidR="00E6704B" w:rsidRPr="00320C6F" w:rsidRDefault="00E6704B" w:rsidP="00320C6F">
      <w:pPr>
        <w:spacing w:after="240" w:line="360" w:lineRule="auto"/>
        <w:rPr>
          <w:rFonts w:asciiTheme="minorBidi" w:eastAsia="Times New Roman" w:hAnsiTheme="minorBidi"/>
          <w:kern w:val="0"/>
          <w:sz w:val="24"/>
          <w:szCs w:val="24"/>
          <w:lang w:eastAsia="en-GB"/>
          <w14:ligatures w14:val="none"/>
        </w:rPr>
      </w:pPr>
      <w:r w:rsidRPr="00E6704B">
        <w:rPr>
          <w:rFonts w:asciiTheme="minorBidi" w:eastAsia="Times New Roman" w:hAnsiTheme="minorBidi"/>
          <w:kern w:val="0"/>
          <w:sz w:val="24"/>
          <w:szCs w:val="24"/>
          <w:lang w:eastAsia="en-GB"/>
          <w14:ligatures w14:val="none"/>
        </w:rPr>
        <w:t xml:space="preserve">Additionally, Claridge incurs substantial opportunity costs due to its absence of renewable energy initiatives. Over the past decade, the cost of solar panels has decreased by approximately 89%, making them a more affordable renewable energy technology (Tabassum et al., 2021). Despite the substantial initial investment, these technologies are highly appealing due to the long-term financial benefits of reduced energy costs and an absence of energy price volatility. Renewable energy systems also offer attractive marketing benefits, particularly in terms of a hotel's environmental credentials, according to </w:t>
      </w:r>
      <w:proofErr w:type="spellStart"/>
      <w:r w:rsidRPr="00E6704B">
        <w:rPr>
          <w:rFonts w:asciiTheme="minorBidi" w:eastAsia="Times New Roman" w:hAnsiTheme="minorBidi"/>
          <w:kern w:val="0"/>
          <w:sz w:val="24"/>
          <w:szCs w:val="24"/>
          <w:lang w:eastAsia="en-GB"/>
          <w14:ligatures w14:val="none"/>
        </w:rPr>
        <w:t>Qubbaj</w:t>
      </w:r>
      <w:proofErr w:type="spellEnd"/>
      <w:r w:rsidRPr="00E6704B">
        <w:rPr>
          <w:rFonts w:asciiTheme="minorBidi" w:eastAsia="Times New Roman" w:hAnsiTheme="minorBidi"/>
          <w:kern w:val="0"/>
          <w:sz w:val="24"/>
          <w:szCs w:val="24"/>
          <w:lang w:eastAsia="en-GB"/>
          <w14:ligatures w14:val="none"/>
        </w:rPr>
        <w:t xml:space="preserve"> (2024). </w:t>
      </w:r>
      <w:r w:rsidR="00320C6F" w:rsidRPr="00E6704B">
        <w:rPr>
          <w:rFonts w:asciiTheme="minorBidi" w:eastAsia="Times New Roman" w:hAnsiTheme="minorBidi"/>
          <w:kern w:val="0"/>
          <w:sz w:val="24"/>
          <w:szCs w:val="24"/>
          <w:lang w:eastAsia="en-GB"/>
          <w14:ligatures w14:val="none"/>
        </w:rPr>
        <w:t>To</w:t>
      </w:r>
      <w:r w:rsidRPr="00E6704B">
        <w:rPr>
          <w:rFonts w:asciiTheme="minorBidi" w:eastAsia="Times New Roman" w:hAnsiTheme="minorBidi"/>
          <w:kern w:val="0"/>
          <w:sz w:val="24"/>
          <w:szCs w:val="24"/>
          <w:lang w:eastAsia="en-GB"/>
          <w14:ligatures w14:val="none"/>
        </w:rPr>
        <w:t xml:space="preserve"> differentiate itself in the competitive prestige market, Claridge's could implement renewable energy sources, as 60% of travellers prefer eco-friendly accommodations. </w:t>
      </w:r>
      <w:r w:rsidRPr="00E6704B">
        <w:rPr>
          <w:rFonts w:asciiTheme="minorBidi" w:eastAsia="Times New Roman" w:hAnsiTheme="minorBidi"/>
          <w:kern w:val="0"/>
          <w:sz w:val="24"/>
          <w:szCs w:val="24"/>
          <w:lang w:eastAsia="en-GB"/>
          <w14:ligatures w14:val="none"/>
        </w:rPr>
        <w:br/>
        <w:t>Additionally, the implementation of renewable energy systems may serve as a strategic investment that aligns with emerging trends and regulations. Barrett et al. (2021) have elucidated in their study that the United Kingdom government has set a goal of achieving net zero carbon emissions by 2050. This objective necessitates significant reductions in energy-related carbon outcomes in all other sectors, including hospitality. Claridge may be subject to regulatory pressures and fall behind industry standards if it fails to implement on-site renewable energy solutions. This could have adverse effects on its operational costs and reputation (Liu et al., 2023). The hotel's environmental impact could be mitigated by utilising renewable energy, which would allow it to comply with future regulatory frameworks that prioritise sustainability.</w:t>
      </w:r>
      <w:r w:rsidRPr="00E6704B">
        <w:rPr>
          <w:rFonts w:asciiTheme="minorBidi" w:eastAsia="Times New Roman" w:hAnsiTheme="minorBidi"/>
          <w:kern w:val="0"/>
          <w:sz w:val="24"/>
          <w:szCs w:val="24"/>
          <w:lang w:eastAsia="en-GB"/>
          <w14:ligatures w14:val="none"/>
        </w:rPr>
        <w:br/>
        <w:t xml:space="preserve">It is clear that Claridge's sustainability strategy disparity is quite extensive in comparison to other hotel industry leaders, who have already implemented renewable energy solutions (Sloan et al., 2017). For instance, The Savoy in London </w:t>
      </w:r>
      <w:r w:rsidRPr="00E6704B">
        <w:rPr>
          <w:rFonts w:asciiTheme="minorBidi" w:eastAsia="Times New Roman" w:hAnsiTheme="minorBidi"/>
          <w:kern w:val="0"/>
          <w:sz w:val="24"/>
          <w:szCs w:val="24"/>
          <w:lang w:eastAsia="en-GB"/>
          <w14:ligatures w14:val="none"/>
        </w:rPr>
        <w:lastRenderedPageBreak/>
        <w:t xml:space="preserve">has instituted energy-efficient systems and is currently exploring on-site renewable energy options as part of its sustainability initiative. Nevertheless, Rana et al. (2022, May) have discussed in </w:t>
      </w:r>
      <w:r w:rsidR="00320C6F" w:rsidRPr="00E6704B">
        <w:rPr>
          <w:rFonts w:asciiTheme="minorBidi" w:eastAsia="Times New Roman" w:hAnsiTheme="minorBidi"/>
          <w:kern w:val="0"/>
          <w:sz w:val="24"/>
          <w:szCs w:val="24"/>
          <w:lang w:eastAsia="en-GB"/>
          <w14:ligatures w14:val="none"/>
        </w:rPr>
        <w:t>them</w:t>
      </w:r>
      <w:r w:rsidRPr="00E6704B">
        <w:rPr>
          <w:rFonts w:asciiTheme="minorBidi" w:eastAsia="Times New Roman" w:hAnsiTheme="minorBidi"/>
          <w:kern w:val="0"/>
          <w:sz w:val="24"/>
          <w:szCs w:val="24"/>
          <w:lang w:eastAsia="en-GB"/>
          <w14:ligatures w14:val="none"/>
        </w:rPr>
        <w:t xml:space="preserve"> at Claridge's has not made progress yet, leaving itself at a disadvantage in terms of consumer perception and environmental performance. </w:t>
      </w:r>
    </w:p>
    <w:p w14:paraId="5DE2C49D" w14:textId="43F8C0EB" w:rsidR="00320C6F" w:rsidRPr="00320C6F" w:rsidRDefault="00320C6F" w:rsidP="00320C6F">
      <w:pPr>
        <w:spacing w:after="240" w:line="360" w:lineRule="auto"/>
        <w:rPr>
          <w:rFonts w:asciiTheme="minorBidi" w:eastAsia="Times New Roman" w:hAnsiTheme="minorBidi"/>
          <w:kern w:val="0"/>
          <w:sz w:val="24"/>
          <w:szCs w:val="24"/>
          <w:lang w:eastAsia="en-GB"/>
          <w14:ligatures w14:val="none"/>
        </w:rPr>
      </w:pPr>
      <w:r w:rsidRPr="00320C6F">
        <w:rPr>
          <w:rFonts w:asciiTheme="minorBidi" w:eastAsia="Times New Roman" w:hAnsiTheme="minorBidi"/>
          <w:kern w:val="0"/>
          <w:sz w:val="24"/>
          <w:szCs w:val="24"/>
          <w:lang w:val="it-IT" w:eastAsia="en-GB"/>
          <w14:ligatures w14:val="none"/>
        </w:rPr>
        <w:t xml:space="preserve">In contrast, Pelella et al. </w:t>
      </w:r>
      <w:r w:rsidRPr="00320C6F">
        <w:rPr>
          <w:rFonts w:asciiTheme="minorBidi" w:eastAsia="Times New Roman" w:hAnsiTheme="minorBidi"/>
          <w:kern w:val="0"/>
          <w:sz w:val="24"/>
          <w:szCs w:val="24"/>
          <w:lang w:eastAsia="en-GB"/>
          <w14:ligatures w14:val="none"/>
        </w:rPr>
        <w:t>(2023) contended in their study that the concept of installing rooftop solar panels at Claridge's London provides a straightforward yet effective solution to the gap in their sustainability strategy that was previously identified. Solar panels, which convert sunlight into electricity using photovoltaic cells, are renewable and pure energy sources that reduce the nation's dependence on fossil fuels. These panels can capture solar radiation and generating a substantial amount of energy to operate a variety of hotel operations, including guest rooms and facilities (</w:t>
      </w:r>
      <w:proofErr w:type="spellStart"/>
      <w:r w:rsidRPr="00320C6F">
        <w:rPr>
          <w:rFonts w:asciiTheme="minorBidi" w:eastAsia="Times New Roman" w:hAnsiTheme="minorBidi"/>
          <w:kern w:val="0"/>
          <w:sz w:val="24"/>
          <w:szCs w:val="24"/>
          <w:lang w:eastAsia="en-GB"/>
          <w14:ligatures w14:val="none"/>
        </w:rPr>
        <w:t>Gunasegaran</w:t>
      </w:r>
      <w:proofErr w:type="spellEnd"/>
      <w:r w:rsidRPr="00320C6F">
        <w:rPr>
          <w:rFonts w:asciiTheme="minorBidi" w:eastAsia="Times New Roman" w:hAnsiTheme="minorBidi"/>
          <w:kern w:val="0"/>
          <w:sz w:val="24"/>
          <w:szCs w:val="24"/>
          <w:lang w:eastAsia="en-GB"/>
          <w14:ligatures w14:val="none"/>
        </w:rPr>
        <w:t xml:space="preserve"> et al., 2023). Sustainability and adaptability are essential attributes for a property such as Claridge's. Solar panel installations can be designed to accommodate the available rooftop space and to ensure that the solar system is compatible with the hotel's energy requirements without interfering with the hotel's aesthetic or operational integrity. </w:t>
      </w:r>
      <w:r w:rsidRPr="00320C6F">
        <w:rPr>
          <w:rFonts w:asciiTheme="minorBidi" w:eastAsia="Times New Roman" w:hAnsiTheme="minorBidi"/>
          <w:kern w:val="0"/>
          <w:sz w:val="24"/>
          <w:szCs w:val="24"/>
          <w:lang w:eastAsia="en-GB"/>
          <w14:ligatures w14:val="none"/>
        </w:rPr>
        <w:br/>
        <w:t>The installation of rooftop solar panels at Claridge's would provide the hotel and the environment with</w:t>
      </w:r>
      <w:r>
        <w:rPr>
          <w:rFonts w:asciiTheme="minorBidi" w:eastAsia="Times New Roman" w:hAnsiTheme="minorBidi"/>
          <w:kern w:val="0"/>
          <w:sz w:val="24"/>
          <w:szCs w:val="24"/>
          <w:lang w:eastAsia="en-GB"/>
          <w14:ligatures w14:val="none"/>
        </w:rPr>
        <w:t xml:space="preserve"> multiple</w:t>
      </w:r>
      <w:r w:rsidRPr="00320C6F">
        <w:rPr>
          <w:rFonts w:asciiTheme="minorBidi" w:eastAsia="Times New Roman" w:hAnsiTheme="minorBidi"/>
          <w:kern w:val="0"/>
          <w:sz w:val="24"/>
          <w:szCs w:val="24"/>
          <w:lang w:eastAsia="en-GB"/>
          <w14:ligatures w14:val="none"/>
        </w:rPr>
        <w:t xml:space="preserve"> advantages (Huang and Gu, 2024). The hotel will mitigate the risk of energy price volatility and supply chain disruptions by decreasing its reliance on non-renewable energy sources from a business perspective. Another significant advantage of solar energy systems is their long-term cost reductions, as research conducted by </w:t>
      </w:r>
      <w:proofErr w:type="spellStart"/>
      <w:r w:rsidRPr="00320C6F">
        <w:rPr>
          <w:rFonts w:asciiTheme="minorBidi" w:eastAsia="Times New Roman" w:hAnsiTheme="minorBidi"/>
          <w:kern w:val="0"/>
          <w:sz w:val="24"/>
          <w:szCs w:val="24"/>
          <w:lang w:eastAsia="en-GB"/>
          <w14:ligatures w14:val="none"/>
        </w:rPr>
        <w:t>Breyer</w:t>
      </w:r>
      <w:proofErr w:type="spellEnd"/>
      <w:r w:rsidRPr="00320C6F">
        <w:rPr>
          <w:rFonts w:asciiTheme="minorBidi" w:eastAsia="Times New Roman" w:hAnsiTheme="minorBidi"/>
          <w:kern w:val="0"/>
          <w:sz w:val="24"/>
          <w:szCs w:val="24"/>
          <w:lang w:eastAsia="en-GB"/>
          <w14:ligatures w14:val="none"/>
        </w:rPr>
        <w:t xml:space="preserve"> et al. (2022) has demonstrated that they typically pay for themselves within 5-7 years and then operate free for the subsequent few decades. For example, a comparable installation at The Ritz-Carlton in California resulted in a 20% reduction in annual energy expenses and demonstrated the economic viability of such an installation. In addition to financial advantages, Claridge's reputation as a leader in sustainable luxury hospitality would be enhanced by the implementation of solar panels (Cassidy, 2021). </w:t>
      </w:r>
      <w:r w:rsidRPr="00320C6F">
        <w:rPr>
          <w:rFonts w:asciiTheme="minorBidi" w:eastAsia="Times New Roman" w:hAnsiTheme="minorBidi"/>
          <w:kern w:val="0"/>
          <w:sz w:val="24"/>
          <w:szCs w:val="24"/>
          <w:lang w:eastAsia="en-GB"/>
          <w14:ligatures w14:val="none"/>
        </w:rPr>
        <w:br/>
      </w:r>
    </w:p>
    <w:p w14:paraId="4223F5F1" w14:textId="206DFF3E"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r w:rsidRPr="00320C6F">
        <w:rPr>
          <w:rFonts w:asciiTheme="minorBidi" w:eastAsia="Times New Roman" w:hAnsiTheme="minorBidi"/>
          <w:kern w:val="0"/>
          <w:sz w:val="24"/>
          <w:szCs w:val="24"/>
          <w:lang w:eastAsia="en-GB"/>
          <w14:ligatures w14:val="none"/>
        </w:rPr>
        <w:t xml:space="preserve">It has been determined that green practices are an essential component of the hospitality industry, serving to improve operational efficiency, enhance brand reputation, and promote sustainability. Energy-efficient lighting, management </w:t>
      </w:r>
      <w:r w:rsidRPr="00320C6F">
        <w:rPr>
          <w:rFonts w:asciiTheme="minorBidi" w:eastAsia="Times New Roman" w:hAnsiTheme="minorBidi"/>
          <w:kern w:val="0"/>
          <w:sz w:val="24"/>
          <w:szCs w:val="24"/>
          <w:lang w:eastAsia="en-GB"/>
          <w14:ligatures w14:val="none"/>
        </w:rPr>
        <w:lastRenderedPageBreak/>
        <w:t>systems, and locally sourced cuisine are all examples of Claridge's London's dedication to sustainability, as noted by Severinsen (2023). Nevertheless, it has not yet addressed a critical void in its sustainability strategy: it does not possess on-site renewable energy generation. In addition, the hotel is excessively reliant on conventional energy sources, which contribute to the hotel's susceptibility to energy market fluctuations and release a significant quantity of carbon into the atmosphere. A viable and transformative solution to this issue would be the installation of rooftop solar panels (Brown et al., 2021). Claridge's implementation of solar panels will reduce its dependence on non-renewable energy sources, minimise its carbon imprint, and generate long-term financial savings. Additionally, this would boost the hotel's reputation as a sustainability leader in luxury hospitality and attract a clientele that is increasingly environmentally conscious. To ensure cost management, it is advised that the solar panels be implemented in phases, with each phase implementing a portion of the solar panels without exceeding the available resources (Al-</w:t>
      </w:r>
      <w:proofErr w:type="spellStart"/>
      <w:r w:rsidRPr="00320C6F">
        <w:rPr>
          <w:rFonts w:asciiTheme="minorBidi" w:eastAsia="Times New Roman" w:hAnsiTheme="minorBidi"/>
          <w:kern w:val="0"/>
          <w:sz w:val="24"/>
          <w:szCs w:val="24"/>
          <w:lang w:eastAsia="en-GB"/>
          <w14:ligatures w14:val="none"/>
        </w:rPr>
        <w:t>Shahri</w:t>
      </w:r>
      <w:proofErr w:type="spellEnd"/>
      <w:r w:rsidRPr="00320C6F">
        <w:rPr>
          <w:rFonts w:asciiTheme="minorBidi" w:eastAsia="Times New Roman" w:hAnsiTheme="minorBidi"/>
          <w:kern w:val="0"/>
          <w:sz w:val="24"/>
          <w:szCs w:val="24"/>
          <w:lang w:eastAsia="en-GB"/>
          <w14:ligatures w14:val="none"/>
        </w:rPr>
        <w:t xml:space="preserve"> et al., 2021). Additionally, </w:t>
      </w:r>
      <w:proofErr w:type="spellStart"/>
      <w:r w:rsidRPr="00320C6F">
        <w:rPr>
          <w:rFonts w:asciiTheme="minorBidi" w:eastAsia="Times New Roman" w:hAnsiTheme="minorBidi"/>
          <w:kern w:val="0"/>
          <w:sz w:val="24"/>
          <w:szCs w:val="24"/>
          <w:lang w:eastAsia="en-GB"/>
          <w14:ligatures w14:val="none"/>
        </w:rPr>
        <w:t>Gawusu</w:t>
      </w:r>
      <w:proofErr w:type="spellEnd"/>
      <w:r w:rsidRPr="00320C6F">
        <w:rPr>
          <w:rFonts w:asciiTheme="minorBidi" w:eastAsia="Times New Roman" w:hAnsiTheme="minorBidi"/>
          <w:kern w:val="0"/>
          <w:sz w:val="24"/>
          <w:szCs w:val="24"/>
          <w:lang w:eastAsia="en-GB"/>
          <w14:ligatures w14:val="none"/>
        </w:rPr>
        <w:t xml:space="preserve"> et al. (2022) have mentioned in their research that energy storage systems could be incorporated, and there would be an opportunity to collaborate with renewable energy suppliers. If Claridge can accomplish this, it will establish a standard for sustainable luxury and demonstrate that operational excellence and environmental responsibility can coexist peacefully</w:t>
      </w:r>
      <w:r w:rsidRPr="00320C6F">
        <w:rPr>
          <w:rFonts w:ascii="Times New Roman" w:eastAsia="Times New Roman" w:hAnsi="Times New Roman" w:cs="Times New Roman"/>
          <w:kern w:val="0"/>
          <w:sz w:val="24"/>
          <w:szCs w:val="24"/>
          <w:lang w:eastAsia="en-GB"/>
          <w14:ligatures w14:val="none"/>
        </w:rPr>
        <w:t>.</w:t>
      </w:r>
    </w:p>
    <w:p w14:paraId="791C31E5"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75BC105E"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2ED69D3D"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0E739BD8"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0197BD9C"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19CCC3C2"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1AEE74FF"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491D9537"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7CA8CB66"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199F88E7"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60EA931E"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7A2BA572"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2B5FB77E"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6B560639"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66C55C68" w14:textId="77777777" w:rsidR="00320C6F" w:rsidRDefault="00320C6F" w:rsidP="00320C6F">
      <w:pPr>
        <w:spacing w:after="0" w:line="360" w:lineRule="auto"/>
        <w:rPr>
          <w:rFonts w:ascii="Times New Roman" w:eastAsia="Times New Roman" w:hAnsi="Times New Roman" w:cs="Times New Roman"/>
          <w:kern w:val="0"/>
          <w:sz w:val="24"/>
          <w:szCs w:val="24"/>
          <w:lang w:eastAsia="en-GB"/>
          <w14:ligatures w14:val="none"/>
        </w:rPr>
      </w:pPr>
    </w:p>
    <w:p w14:paraId="51D1E3E1" w14:textId="109821E1" w:rsidR="00320C6F" w:rsidRDefault="00320C6F" w:rsidP="00320C6F">
      <w:pPr>
        <w:spacing w:after="0" w:line="360" w:lineRule="auto"/>
        <w:rPr>
          <w:rFonts w:asciiTheme="minorBidi" w:eastAsia="Times New Roman" w:hAnsiTheme="minorBidi"/>
          <w:kern w:val="0"/>
          <w:sz w:val="24"/>
          <w:szCs w:val="24"/>
          <w:lang w:eastAsia="en-GB"/>
          <w14:ligatures w14:val="none"/>
        </w:rPr>
      </w:pPr>
      <w:r>
        <w:rPr>
          <w:rFonts w:asciiTheme="minorBidi" w:eastAsia="Times New Roman" w:hAnsiTheme="minorBidi"/>
          <w:kern w:val="0"/>
          <w:sz w:val="24"/>
          <w:szCs w:val="24"/>
          <w:lang w:eastAsia="en-GB"/>
          <w14:ligatures w14:val="none"/>
        </w:rPr>
        <w:lastRenderedPageBreak/>
        <w:t xml:space="preserve">References </w:t>
      </w:r>
    </w:p>
    <w:p w14:paraId="5574D9B8" w14:textId="77777777" w:rsidR="00320C6F" w:rsidRDefault="00320C6F" w:rsidP="00320C6F">
      <w:pPr>
        <w:spacing w:after="0" w:line="360" w:lineRule="auto"/>
        <w:rPr>
          <w:rFonts w:asciiTheme="minorBidi" w:eastAsia="Times New Roman" w:hAnsiTheme="minorBidi"/>
          <w:kern w:val="0"/>
          <w:sz w:val="24"/>
          <w:szCs w:val="24"/>
          <w:lang w:eastAsia="en-GB"/>
          <w14:ligatures w14:val="none"/>
        </w:rPr>
      </w:pPr>
    </w:p>
    <w:p w14:paraId="6E20B95A"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proofErr w:type="spellStart"/>
      <w:r w:rsidRPr="00A600A2">
        <w:rPr>
          <w:rFonts w:asciiTheme="minorBidi" w:hAnsiTheme="minorBidi"/>
          <w:sz w:val="24"/>
          <w:szCs w:val="24"/>
        </w:rPr>
        <w:t>Abazaj</w:t>
      </w:r>
      <w:proofErr w:type="spellEnd"/>
      <w:r w:rsidRPr="00A600A2">
        <w:rPr>
          <w:rFonts w:asciiTheme="minorBidi" w:hAnsiTheme="minorBidi"/>
          <w:sz w:val="24"/>
          <w:szCs w:val="24"/>
        </w:rPr>
        <w:t xml:space="preserve">, L. (2024). Exploring the path to Sustainable Hospitality and ESG integration. Case: </w:t>
      </w:r>
      <w:proofErr w:type="spellStart"/>
      <w:r w:rsidRPr="00A600A2">
        <w:rPr>
          <w:rFonts w:asciiTheme="minorBidi" w:hAnsiTheme="minorBidi"/>
          <w:sz w:val="24"/>
          <w:szCs w:val="24"/>
        </w:rPr>
        <w:t>Mainport</w:t>
      </w:r>
      <w:proofErr w:type="spellEnd"/>
      <w:r w:rsidRPr="00A600A2">
        <w:rPr>
          <w:rFonts w:asciiTheme="minorBidi" w:hAnsiTheme="minorBidi"/>
          <w:sz w:val="24"/>
          <w:szCs w:val="24"/>
        </w:rPr>
        <w:t xml:space="preserve"> Hotel, Rotterdam.</w:t>
      </w:r>
    </w:p>
    <w:p w14:paraId="787398B8"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 xml:space="preserve">Adu, D., Jianguo, D., </w:t>
      </w:r>
      <w:proofErr w:type="spellStart"/>
      <w:r w:rsidRPr="00A600A2">
        <w:rPr>
          <w:rFonts w:asciiTheme="minorBidi" w:hAnsiTheme="minorBidi"/>
          <w:sz w:val="24"/>
          <w:szCs w:val="24"/>
        </w:rPr>
        <w:t>Asomani</w:t>
      </w:r>
      <w:proofErr w:type="spellEnd"/>
      <w:r w:rsidRPr="00A600A2">
        <w:rPr>
          <w:rFonts w:asciiTheme="minorBidi" w:hAnsiTheme="minorBidi"/>
          <w:sz w:val="24"/>
          <w:szCs w:val="24"/>
        </w:rPr>
        <w:t>, S. N., and Abbey, A. (2024). Energy generation and carbon dioxide emission—The role of renewable energy for green development. </w:t>
      </w:r>
      <w:r w:rsidRPr="00A600A2">
        <w:rPr>
          <w:rFonts w:asciiTheme="minorBidi" w:hAnsiTheme="minorBidi"/>
          <w:i/>
          <w:iCs/>
          <w:sz w:val="24"/>
          <w:szCs w:val="24"/>
        </w:rPr>
        <w:t>Energy Reports</w:t>
      </w:r>
      <w:r w:rsidRPr="00A600A2">
        <w:rPr>
          <w:rFonts w:asciiTheme="minorBidi" w:hAnsiTheme="minorBidi"/>
          <w:sz w:val="24"/>
          <w:szCs w:val="24"/>
        </w:rPr>
        <w:t>, </w:t>
      </w:r>
      <w:r w:rsidRPr="00A600A2">
        <w:rPr>
          <w:rFonts w:asciiTheme="minorBidi" w:hAnsiTheme="minorBidi"/>
          <w:i/>
          <w:iCs/>
          <w:sz w:val="24"/>
          <w:szCs w:val="24"/>
        </w:rPr>
        <w:t>12</w:t>
      </w:r>
      <w:r w:rsidRPr="00A600A2">
        <w:rPr>
          <w:rFonts w:asciiTheme="minorBidi" w:hAnsiTheme="minorBidi"/>
          <w:sz w:val="24"/>
          <w:szCs w:val="24"/>
        </w:rPr>
        <w:t>, 1420-1430.</w:t>
      </w:r>
    </w:p>
    <w:p w14:paraId="05B6C1C2"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Ahmed, A., Ge, T., Peng, J., Yan, W. C., Tee, B. T., and You, S. (2022). Assessment of the renewable energy generation towards net-zero energy buildings: A review. </w:t>
      </w:r>
      <w:r w:rsidRPr="00A600A2">
        <w:rPr>
          <w:rFonts w:asciiTheme="minorBidi" w:hAnsiTheme="minorBidi"/>
          <w:i/>
          <w:iCs/>
          <w:sz w:val="24"/>
          <w:szCs w:val="24"/>
        </w:rPr>
        <w:t>Energy and Buildings</w:t>
      </w:r>
      <w:r w:rsidRPr="00A600A2">
        <w:rPr>
          <w:rFonts w:asciiTheme="minorBidi" w:hAnsiTheme="minorBidi"/>
          <w:sz w:val="24"/>
          <w:szCs w:val="24"/>
        </w:rPr>
        <w:t>, </w:t>
      </w:r>
      <w:r w:rsidRPr="00A600A2">
        <w:rPr>
          <w:rFonts w:asciiTheme="minorBidi" w:hAnsiTheme="minorBidi"/>
          <w:i/>
          <w:iCs/>
          <w:sz w:val="24"/>
          <w:szCs w:val="24"/>
        </w:rPr>
        <w:t>256</w:t>
      </w:r>
      <w:r w:rsidRPr="00A600A2">
        <w:rPr>
          <w:rFonts w:asciiTheme="minorBidi" w:hAnsiTheme="minorBidi"/>
          <w:sz w:val="24"/>
          <w:szCs w:val="24"/>
        </w:rPr>
        <w:t>, 111755.</w:t>
      </w:r>
    </w:p>
    <w:p w14:paraId="4F33ED24" w14:textId="1FF79916" w:rsidR="00F2777D" w:rsidRPr="00A600A2" w:rsidRDefault="00F2777D" w:rsidP="00A600A2">
      <w:pPr>
        <w:pStyle w:val="ListParagraph"/>
        <w:numPr>
          <w:ilvl w:val="0"/>
          <w:numId w:val="2"/>
        </w:numPr>
        <w:spacing w:line="360" w:lineRule="auto"/>
        <w:jc w:val="both"/>
        <w:rPr>
          <w:rFonts w:asciiTheme="minorBidi" w:hAnsiTheme="minorBidi"/>
          <w:sz w:val="24"/>
          <w:szCs w:val="24"/>
          <w:shd w:val="clear" w:color="auto" w:fill="FFFFFF"/>
        </w:rPr>
      </w:pPr>
      <w:r w:rsidRPr="00A600A2">
        <w:rPr>
          <w:rFonts w:asciiTheme="minorBidi" w:hAnsiTheme="minorBidi"/>
          <w:sz w:val="24"/>
          <w:szCs w:val="24"/>
          <w:shd w:val="clear" w:color="auto" w:fill="FFFFFF"/>
        </w:rPr>
        <w:t>Al-</w:t>
      </w:r>
      <w:proofErr w:type="spellStart"/>
      <w:r w:rsidRPr="00A600A2">
        <w:rPr>
          <w:rFonts w:asciiTheme="minorBidi" w:hAnsiTheme="minorBidi"/>
          <w:sz w:val="24"/>
          <w:szCs w:val="24"/>
          <w:shd w:val="clear" w:color="auto" w:fill="FFFFFF"/>
        </w:rPr>
        <w:t>Shahri</w:t>
      </w:r>
      <w:proofErr w:type="spellEnd"/>
      <w:r w:rsidRPr="00A600A2">
        <w:rPr>
          <w:rFonts w:asciiTheme="minorBidi" w:hAnsiTheme="minorBidi"/>
          <w:sz w:val="24"/>
          <w:szCs w:val="24"/>
          <w:shd w:val="clear" w:color="auto" w:fill="FFFFFF"/>
        </w:rPr>
        <w:t xml:space="preserve">, O. A., Ismail, F. B., Hannan, M. A., </w:t>
      </w:r>
      <w:proofErr w:type="spellStart"/>
      <w:r w:rsidRPr="00A600A2">
        <w:rPr>
          <w:rFonts w:asciiTheme="minorBidi" w:hAnsiTheme="minorBidi"/>
          <w:sz w:val="24"/>
          <w:szCs w:val="24"/>
          <w:shd w:val="clear" w:color="auto" w:fill="FFFFFF"/>
        </w:rPr>
        <w:t>Lipu</w:t>
      </w:r>
      <w:proofErr w:type="spellEnd"/>
      <w:r w:rsidRPr="00A600A2">
        <w:rPr>
          <w:rFonts w:asciiTheme="minorBidi" w:hAnsiTheme="minorBidi"/>
          <w:sz w:val="24"/>
          <w:szCs w:val="24"/>
          <w:shd w:val="clear" w:color="auto" w:fill="FFFFFF"/>
        </w:rPr>
        <w:t>, M. H., Al-</w:t>
      </w:r>
      <w:proofErr w:type="spellStart"/>
      <w:r w:rsidRPr="00A600A2">
        <w:rPr>
          <w:rFonts w:asciiTheme="minorBidi" w:hAnsiTheme="minorBidi"/>
          <w:sz w:val="24"/>
          <w:szCs w:val="24"/>
          <w:shd w:val="clear" w:color="auto" w:fill="FFFFFF"/>
        </w:rPr>
        <w:t>Shetwi</w:t>
      </w:r>
      <w:proofErr w:type="spellEnd"/>
      <w:r w:rsidRPr="00A600A2">
        <w:rPr>
          <w:rFonts w:asciiTheme="minorBidi" w:hAnsiTheme="minorBidi"/>
          <w:sz w:val="24"/>
          <w:szCs w:val="24"/>
          <w:shd w:val="clear" w:color="auto" w:fill="FFFFFF"/>
        </w:rPr>
        <w:t xml:space="preserve">, A. Q., Begum, R. A., and </w:t>
      </w:r>
      <w:proofErr w:type="spellStart"/>
      <w:r w:rsidRPr="00A600A2">
        <w:rPr>
          <w:rFonts w:asciiTheme="minorBidi" w:hAnsiTheme="minorBidi"/>
          <w:sz w:val="24"/>
          <w:szCs w:val="24"/>
          <w:shd w:val="clear" w:color="auto" w:fill="FFFFFF"/>
        </w:rPr>
        <w:t>Soujeri</w:t>
      </w:r>
      <w:proofErr w:type="spellEnd"/>
      <w:r w:rsidRPr="00A600A2">
        <w:rPr>
          <w:rFonts w:asciiTheme="minorBidi" w:hAnsiTheme="minorBidi"/>
          <w:sz w:val="24"/>
          <w:szCs w:val="24"/>
          <w:shd w:val="clear" w:color="auto" w:fill="FFFFFF"/>
        </w:rPr>
        <w:t xml:space="preserve">, E. (2021). Solar photovoltaic </w:t>
      </w:r>
      <w:r w:rsidR="000B1049" w:rsidRPr="00A600A2">
        <w:rPr>
          <w:rFonts w:asciiTheme="minorBidi" w:hAnsiTheme="minorBidi"/>
          <w:sz w:val="24"/>
          <w:szCs w:val="24"/>
          <w:shd w:val="clear" w:color="auto" w:fill="FFFFFF"/>
        </w:rPr>
        <w:t>energy optimization</w:t>
      </w:r>
      <w:r w:rsidRPr="00A600A2">
        <w:rPr>
          <w:rFonts w:asciiTheme="minorBidi" w:hAnsiTheme="minorBidi"/>
          <w:sz w:val="24"/>
          <w:szCs w:val="24"/>
          <w:shd w:val="clear" w:color="auto" w:fill="FFFFFF"/>
        </w:rPr>
        <w:t xml:space="preserve"> methods, </w:t>
      </w:r>
      <w:r w:rsidR="001D67B5" w:rsidRPr="00A600A2">
        <w:rPr>
          <w:rFonts w:asciiTheme="minorBidi" w:hAnsiTheme="minorBidi"/>
          <w:sz w:val="24"/>
          <w:szCs w:val="24"/>
          <w:shd w:val="clear" w:color="auto" w:fill="FFFFFF"/>
        </w:rPr>
        <w:t>challenges,</w:t>
      </w:r>
      <w:r w:rsidRPr="00A600A2">
        <w:rPr>
          <w:rFonts w:asciiTheme="minorBidi" w:hAnsiTheme="minorBidi"/>
          <w:sz w:val="24"/>
          <w:szCs w:val="24"/>
          <w:shd w:val="clear" w:color="auto" w:fill="FFFFFF"/>
        </w:rPr>
        <w:t xml:space="preserve"> and issues: A comprehensive review. </w:t>
      </w:r>
      <w:r w:rsidRPr="00A600A2">
        <w:rPr>
          <w:rFonts w:asciiTheme="minorBidi" w:hAnsiTheme="minorBidi"/>
          <w:i/>
          <w:iCs/>
          <w:sz w:val="24"/>
          <w:szCs w:val="24"/>
          <w:shd w:val="clear" w:color="auto" w:fill="FFFFFF"/>
        </w:rPr>
        <w:t>Journal of Cleaner Production</w:t>
      </w:r>
      <w:r w:rsidRPr="00A600A2">
        <w:rPr>
          <w:rFonts w:asciiTheme="minorBidi" w:hAnsiTheme="minorBidi"/>
          <w:sz w:val="24"/>
          <w:szCs w:val="24"/>
          <w:shd w:val="clear" w:color="auto" w:fill="FFFFFF"/>
        </w:rPr>
        <w:t>, </w:t>
      </w:r>
      <w:r w:rsidRPr="00A600A2">
        <w:rPr>
          <w:rFonts w:asciiTheme="minorBidi" w:hAnsiTheme="minorBidi"/>
          <w:i/>
          <w:iCs/>
          <w:sz w:val="24"/>
          <w:szCs w:val="24"/>
          <w:shd w:val="clear" w:color="auto" w:fill="FFFFFF"/>
        </w:rPr>
        <w:t>284</w:t>
      </w:r>
      <w:r w:rsidRPr="00A600A2">
        <w:rPr>
          <w:rFonts w:asciiTheme="minorBidi" w:hAnsiTheme="minorBidi"/>
          <w:sz w:val="24"/>
          <w:szCs w:val="24"/>
          <w:shd w:val="clear" w:color="auto" w:fill="FFFFFF"/>
        </w:rPr>
        <w:t>, 125465.</w:t>
      </w:r>
    </w:p>
    <w:p w14:paraId="161D6ABA"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proofErr w:type="spellStart"/>
      <w:r w:rsidRPr="00A600A2">
        <w:rPr>
          <w:rFonts w:asciiTheme="minorBidi" w:hAnsiTheme="minorBidi"/>
          <w:sz w:val="24"/>
          <w:szCs w:val="24"/>
        </w:rPr>
        <w:t>Bardukova</w:t>
      </w:r>
      <w:proofErr w:type="spellEnd"/>
      <w:r w:rsidRPr="00A600A2">
        <w:rPr>
          <w:rFonts w:asciiTheme="minorBidi" w:hAnsiTheme="minorBidi"/>
          <w:sz w:val="24"/>
          <w:szCs w:val="24"/>
        </w:rPr>
        <w:t>, L. (2023). Navigating the Hospitality Horizon: Current Trends and Strategies for Customer Attraction and Retention in the Hotel Industry. Economics and computer science, 2, 88-103.</w:t>
      </w:r>
    </w:p>
    <w:p w14:paraId="01942396" w14:textId="6D1B83BF"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 xml:space="preserve">Barrett, J., Pye, S., Betts-Davies, S., Eyre, N., Broad, O., Price, J., ... and Scott, K. (2021). The role of energy demand reduction in </w:t>
      </w:r>
      <w:r w:rsidR="000B1049" w:rsidRPr="00A600A2">
        <w:rPr>
          <w:rFonts w:asciiTheme="minorBidi" w:hAnsiTheme="minorBidi"/>
          <w:sz w:val="24"/>
          <w:szCs w:val="24"/>
        </w:rPr>
        <w:t>achieving net</w:t>
      </w:r>
      <w:r w:rsidRPr="00A600A2">
        <w:rPr>
          <w:rFonts w:asciiTheme="minorBidi" w:hAnsiTheme="minorBidi"/>
          <w:sz w:val="24"/>
          <w:szCs w:val="24"/>
        </w:rPr>
        <w:t xml:space="preserve"> </w:t>
      </w:r>
      <w:r w:rsidR="001D67B5" w:rsidRPr="00A600A2">
        <w:rPr>
          <w:rFonts w:asciiTheme="minorBidi" w:hAnsiTheme="minorBidi"/>
          <w:sz w:val="24"/>
          <w:szCs w:val="24"/>
        </w:rPr>
        <w:t>zero</w:t>
      </w:r>
      <w:r w:rsidRPr="00A600A2">
        <w:rPr>
          <w:rFonts w:asciiTheme="minorBidi" w:hAnsiTheme="minorBidi"/>
          <w:sz w:val="24"/>
          <w:szCs w:val="24"/>
        </w:rPr>
        <w:t xml:space="preserve"> in the UK. </w:t>
      </w:r>
      <w:r w:rsidRPr="00A600A2">
        <w:rPr>
          <w:rFonts w:asciiTheme="minorBidi" w:hAnsiTheme="minorBidi"/>
          <w:i/>
          <w:iCs/>
          <w:sz w:val="24"/>
          <w:szCs w:val="24"/>
        </w:rPr>
        <w:t>Centre for Research into Energy Demand Solutions. Oxford, UK</w:t>
      </w:r>
      <w:r w:rsidRPr="00A600A2">
        <w:rPr>
          <w:rFonts w:asciiTheme="minorBidi" w:hAnsiTheme="minorBidi"/>
          <w:sz w:val="24"/>
          <w:szCs w:val="24"/>
        </w:rPr>
        <w:t xml:space="preserve">. </w:t>
      </w:r>
    </w:p>
    <w:p w14:paraId="2B25E5F2"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shd w:val="clear" w:color="auto" w:fill="FFFFFF"/>
        </w:rPr>
      </w:pPr>
      <w:proofErr w:type="spellStart"/>
      <w:r w:rsidRPr="00A600A2">
        <w:rPr>
          <w:rFonts w:asciiTheme="minorBidi" w:hAnsiTheme="minorBidi"/>
          <w:sz w:val="24"/>
          <w:szCs w:val="24"/>
          <w:shd w:val="clear" w:color="auto" w:fill="FFFFFF"/>
        </w:rPr>
        <w:t>Breyer</w:t>
      </w:r>
      <w:proofErr w:type="spellEnd"/>
      <w:r w:rsidRPr="00A600A2">
        <w:rPr>
          <w:rFonts w:asciiTheme="minorBidi" w:hAnsiTheme="minorBidi"/>
          <w:sz w:val="24"/>
          <w:szCs w:val="24"/>
          <w:shd w:val="clear" w:color="auto" w:fill="FFFFFF"/>
        </w:rPr>
        <w:t xml:space="preserve">, C., Khalili, S., Bogdanov, D., Ram, M., </w:t>
      </w:r>
      <w:proofErr w:type="spellStart"/>
      <w:r w:rsidRPr="00A600A2">
        <w:rPr>
          <w:rFonts w:asciiTheme="minorBidi" w:hAnsiTheme="minorBidi"/>
          <w:sz w:val="24"/>
          <w:szCs w:val="24"/>
          <w:shd w:val="clear" w:color="auto" w:fill="FFFFFF"/>
        </w:rPr>
        <w:t>Oyewo</w:t>
      </w:r>
      <w:proofErr w:type="spellEnd"/>
      <w:r w:rsidRPr="00A600A2">
        <w:rPr>
          <w:rFonts w:asciiTheme="minorBidi" w:hAnsiTheme="minorBidi"/>
          <w:sz w:val="24"/>
          <w:szCs w:val="24"/>
          <w:shd w:val="clear" w:color="auto" w:fill="FFFFFF"/>
        </w:rPr>
        <w:t xml:space="preserve">, A. S., </w:t>
      </w:r>
      <w:proofErr w:type="spellStart"/>
      <w:r w:rsidRPr="00A600A2">
        <w:rPr>
          <w:rFonts w:asciiTheme="minorBidi" w:hAnsiTheme="minorBidi"/>
          <w:sz w:val="24"/>
          <w:szCs w:val="24"/>
          <w:shd w:val="clear" w:color="auto" w:fill="FFFFFF"/>
        </w:rPr>
        <w:t>Aghahosseini</w:t>
      </w:r>
      <w:proofErr w:type="spellEnd"/>
      <w:r w:rsidRPr="00A600A2">
        <w:rPr>
          <w:rFonts w:asciiTheme="minorBidi" w:hAnsiTheme="minorBidi"/>
          <w:sz w:val="24"/>
          <w:szCs w:val="24"/>
          <w:shd w:val="clear" w:color="auto" w:fill="FFFFFF"/>
        </w:rPr>
        <w:t xml:space="preserve">, A., ... and </w:t>
      </w:r>
      <w:proofErr w:type="spellStart"/>
      <w:r w:rsidRPr="00A600A2">
        <w:rPr>
          <w:rFonts w:asciiTheme="minorBidi" w:hAnsiTheme="minorBidi"/>
          <w:sz w:val="24"/>
          <w:szCs w:val="24"/>
          <w:shd w:val="clear" w:color="auto" w:fill="FFFFFF"/>
        </w:rPr>
        <w:t>Sovacool</w:t>
      </w:r>
      <w:proofErr w:type="spellEnd"/>
      <w:r w:rsidRPr="00A600A2">
        <w:rPr>
          <w:rFonts w:asciiTheme="minorBidi" w:hAnsiTheme="minorBidi"/>
          <w:sz w:val="24"/>
          <w:szCs w:val="24"/>
          <w:shd w:val="clear" w:color="auto" w:fill="FFFFFF"/>
        </w:rPr>
        <w:t>, B. K. (2022). On the history and future of 100% renewable energy systems research. </w:t>
      </w:r>
      <w:r w:rsidRPr="00A600A2">
        <w:rPr>
          <w:rFonts w:asciiTheme="minorBidi" w:hAnsiTheme="minorBidi"/>
          <w:i/>
          <w:iCs/>
          <w:sz w:val="24"/>
          <w:szCs w:val="24"/>
          <w:shd w:val="clear" w:color="auto" w:fill="FFFFFF"/>
        </w:rPr>
        <w:t>IEEE Access</w:t>
      </w:r>
      <w:r w:rsidRPr="00A600A2">
        <w:rPr>
          <w:rFonts w:asciiTheme="minorBidi" w:hAnsiTheme="minorBidi"/>
          <w:sz w:val="24"/>
          <w:szCs w:val="24"/>
          <w:shd w:val="clear" w:color="auto" w:fill="FFFFFF"/>
        </w:rPr>
        <w:t>, </w:t>
      </w:r>
      <w:r w:rsidRPr="00A600A2">
        <w:rPr>
          <w:rFonts w:asciiTheme="minorBidi" w:hAnsiTheme="minorBidi"/>
          <w:i/>
          <w:iCs/>
          <w:sz w:val="24"/>
          <w:szCs w:val="24"/>
          <w:shd w:val="clear" w:color="auto" w:fill="FFFFFF"/>
        </w:rPr>
        <w:t>10</w:t>
      </w:r>
      <w:r w:rsidRPr="00A600A2">
        <w:rPr>
          <w:rFonts w:asciiTheme="minorBidi" w:hAnsiTheme="minorBidi"/>
          <w:sz w:val="24"/>
          <w:szCs w:val="24"/>
          <w:shd w:val="clear" w:color="auto" w:fill="FFFFFF"/>
        </w:rPr>
        <w:t>, 78176-78218.</w:t>
      </w:r>
    </w:p>
    <w:p w14:paraId="67F32E15"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shd w:val="clear" w:color="auto" w:fill="FFFFFF"/>
        </w:rPr>
      </w:pPr>
      <w:r w:rsidRPr="00A600A2">
        <w:rPr>
          <w:rFonts w:asciiTheme="minorBidi" w:hAnsiTheme="minorBidi"/>
          <w:sz w:val="24"/>
          <w:szCs w:val="24"/>
          <w:shd w:val="clear" w:color="auto" w:fill="FFFFFF"/>
        </w:rPr>
        <w:t>Brown, M. A., Hubbs, J., Gu, V. X., and Cha, M. K. (2021). Rooftop solar for all: Closing the gap between the technically possible and the achievable. </w:t>
      </w:r>
      <w:r w:rsidRPr="00A600A2">
        <w:rPr>
          <w:rFonts w:asciiTheme="minorBidi" w:hAnsiTheme="minorBidi"/>
          <w:i/>
          <w:iCs/>
          <w:sz w:val="24"/>
          <w:szCs w:val="24"/>
          <w:shd w:val="clear" w:color="auto" w:fill="FFFFFF"/>
        </w:rPr>
        <w:t>Energy Research and Social Science</w:t>
      </w:r>
      <w:r w:rsidRPr="00A600A2">
        <w:rPr>
          <w:rFonts w:asciiTheme="minorBidi" w:hAnsiTheme="minorBidi"/>
          <w:sz w:val="24"/>
          <w:szCs w:val="24"/>
          <w:shd w:val="clear" w:color="auto" w:fill="FFFFFF"/>
        </w:rPr>
        <w:t>, </w:t>
      </w:r>
      <w:r w:rsidRPr="00A600A2">
        <w:rPr>
          <w:rFonts w:asciiTheme="minorBidi" w:hAnsiTheme="minorBidi"/>
          <w:i/>
          <w:iCs/>
          <w:sz w:val="24"/>
          <w:szCs w:val="24"/>
          <w:shd w:val="clear" w:color="auto" w:fill="FFFFFF"/>
        </w:rPr>
        <w:t>80</w:t>
      </w:r>
      <w:r w:rsidRPr="00A600A2">
        <w:rPr>
          <w:rFonts w:asciiTheme="minorBidi" w:hAnsiTheme="minorBidi"/>
          <w:sz w:val="24"/>
          <w:szCs w:val="24"/>
          <w:shd w:val="clear" w:color="auto" w:fill="FFFFFF"/>
        </w:rPr>
        <w:t>, 102203.</w:t>
      </w:r>
    </w:p>
    <w:p w14:paraId="773BD7AB"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shd w:val="clear" w:color="auto" w:fill="FFFFFF"/>
        </w:rPr>
      </w:pPr>
      <w:r w:rsidRPr="00A600A2">
        <w:rPr>
          <w:rFonts w:asciiTheme="minorBidi" w:hAnsiTheme="minorBidi"/>
          <w:sz w:val="24"/>
          <w:szCs w:val="24"/>
          <w:shd w:val="clear" w:color="auto" w:fill="FFFFFF"/>
        </w:rPr>
        <w:t>Cassidy, S. S. (2021). </w:t>
      </w:r>
      <w:r w:rsidRPr="00A600A2">
        <w:rPr>
          <w:rFonts w:asciiTheme="minorBidi" w:hAnsiTheme="minorBidi"/>
          <w:i/>
          <w:iCs/>
          <w:sz w:val="24"/>
          <w:szCs w:val="24"/>
          <w:shd w:val="clear" w:color="auto" w:fill="FFFFFF"/>
        </w:rPr>
        <w:t>Choose Possibility: How to Master Risk and Thrive</w:t>
      </w:r>
      <w:r w:rsidRPr="00A600A2">
        <w:rPr>
          <w:rFonts w:asciiTheme="minorBidi" w:hAnsiTheme="minorBidi"/>
          <w:sz w:val="24"/>
          <w:szCs w:val="24"/>
          <w:shd w:val="clear" w:color="auto" w:fill="FFFFFF"/>
        </w:rPr>
        <w:t>. Pan Macmillan.</w:t>
      </w:r>
    </w:p>
    <w:p w14:paraId="4DCDC331"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lang w:val="en-US"/>
        </w:rPr>
      </w:pPr>
      <w:r w:rsidRPr="00A600A2">
        <w:rPr>
          <w:rFonts w:asciiTheme="minorBidi" w:hAnsiTheme="minorBidi"/>
          <w:bCs/>
          <w:sz w:val="24"/>
          <w:szCs w:val="24"/>
          <w:lang w:val="en-US"/>
        </w:rPr>
        <w:t>Claridge's (2025)</w:t>
      </w:r>
      <w:r w:rsidRPr="00A600A2">
        <w:rPr>
          <w:rFonts w:asciiTheme="minorBidi" w:hAnsiTheme="minorBidi"/>
          <w:sz w:val="24"/>
          <w:szCs w:val="24"/>
          <w:lang w:val="en-US"/>
        </w:rPr>
        <w:t xml:space="preserve"> </w:t>
      </w:r>
      <w:r w:rsidRPr="00A600A2">
        <w:rPr>
          <w:rFonts w:asciiTheme="minorBidi" w:hAnsiTheme="minorBidi"/>
          <w:i/>
          <w:iCs/>
          <w:sz w:val="24"/>
          <w:szCs w:val="24"/>
          <w:lang w:val="en-US"/>
        </w:rPr>
        <w:t>Claridge's Hotel – Timeless Elegance in Mayfair</w:t>
      </w:r>
      <w:r w:rsidRPr="00A600A2">
        <w:rPr>
          <w:rFonts w:asciiTheme="minorBidi" w:hAnsiTheme="minorBidi"/>
          <w:sz w:val="24"/>
          <w:szCs w:val="24"/>
          <w:lang w:val="en-US"/>
        </w:rPr>
        <w:t xml:space="preserve">. Available at: </w:t>
      </w:r>
      <w:hyperlink r:id="rId6" w:history="1">
        <w:r w:rsidRPr="00A600A2">
          <w:rPr>
            <w:rStyle w:val="Hyperlink"/>
            <w:rFonts w:asciiTheme="minorBidi" w:hAnsiTheme="minorBidi"/>
            <w:color w:val="0000FF"/>
            <w:sz w:val="24"/>
            <w:szCs w:val="24"/>
            <w:lang w:val="en-US"/>
          </w:rPr>
          <w:t>https://www.claridges.co.uk/</w:t>
        </w:r>
      </w:hyperlink>
    </w:p>
    <w:p w14:paraId="69C6033E"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 xml:space="preserve">Cooper, C. (2021) Essentials of tourism. Third edition. London: SAGE. </w:t>
      </w:r>
    </w:p>
    <w:p w14:paraId="6C77568F"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shd w:val="clear" w:color="auto" w:fill="FFFFFF"/>
        </w:rPr>
      </w:pPr>
      <w:proofErr w:type="spellStart"/>
      <w:r w:rsidRPr="00A600A2">
        <w:rPr>
          <w:rFonts w:asciiTheme="minorBidi" w:hAnsiTheme="minorBidi"/>
          <w:sz w:val="24"/>
          <w:szCs w:val="24"/>
          <w:shd w:val="clear" w:color="auto" w:fill="FFFFFF"/>
        </w:rPr>
        <w:t>Gawusu</w:t>
      </w:r>
      <w:proofErr w:type="spellEnd"/>
      <w:r w:rsidRPr="00A600A2">
        <w:rPr>
          <w:rFonts w:asciiTheme="minorBidi" w:hAnsiTheme="minorBidi"/>
          <w:sz w:val="24"/>
          <w:szCs w:val="24"/>
          <w:shd w:val="clear" w:color="auto" w:fill="FFFFFF"/>
        </w:rPr>
        <w:t xml:space="preserve">, S., Zhang, X., </w:t>
      </w:r>
      <w:proofErr w:type="spellStart"/>
      <w:r w:rsidRPr="00A600A2">
        <w:rPr>
          <w:rFonts w:asciiTheme="minorBidi" w:hAnsiTheme="minorBidi"/>
          <w:sz w:val="24"/>
          <w:szCs w:val="24"/>
          <w:shd w:val="clear" w:color="auto" w:fill="FFFFFF"/>
        </w:rPr>
        <w:t>Jamatutu</w:t>
      </w:r>
      <w:proofErr w:type="spellEnd"/>
      <w:r w:rsidRPr="00A600A2">
        <w:rPr>
          <w:rFonts w:asciiTheme="minorBidi" w:hAnsiTheme="minorBidi"/>
          <w:sz w:val="24"/>
          <w:szCs w:val="24"/>
          <w:shd w:val="clear" w:color="auto" w:fill="FFFFFF"/>
        </w:rPr>
        <w:t xml:space="preserve">, S. A., Ahmed, A., Amadu, A. A., and Djam </w:t>
      </w:r>
      <w:proofErr w:type="spellStart"/>
      <w:r w:rsidRPr="00A600A2">
        <w:rPr>
          <w:rFonts w:asciiTheme="minorBidi" w:hAnsiTheme="minorBidi"/>
          <w:sz w:val="24"/>
          <w:szCs w:val="24"/>
          <w:shd w:val="clear" w:color="auto" w:fill="FFFFFF"/>
        </w:rPr>
        <w:t>Miensah</w:t>
      </w:r>
      <w:proofErr w:type="spellEnd"/>
      <w:r w:rsidRPr="00A600A2">
        <w:rPr>
          <w:rFonts w:asciiTheme="minorBidi" w:hAnsiTheme="minorBidi"/>
          <w:sz w:val="24"/>
          <w:szCs w:val="24"/>
          <w:shd w:val="clear" w:color="auto" w:fill="FFFFFF"/>
        </w:rPr>
        <w:t xml:space="preserve">, E. (2022). The dynamics of green supply chain management within the </w:t>
      </w:r>
      <w:r w:rsidRPr="00A600A2">
        <w:rPr>
          <w:rFonts w:asciiTheme="minorBidi" w:hAnsiTheme="minorBidi"/>
          <w:sz w:val="24"/>
          <w:szCs w:val="24"/>
          <w:shd w:val="clear" w:color="auto" w:fill="FFFFFF"/>
        </w:rPr>
        <w:lastRenderedPageBreak/>
        <w:t>framework of renewable energy. </w:t>
      </w:r>
      <w:r w:rsidRPr="00A600A2">
        <w:rPr>
          <w:rFonts w:asciiTheme="minorBidi" w:hAnsiTheme="minorBidi"/>
          <w:i/>
          <w:iCs/>
          <w:sz w:val="24"/>
          <w:szCs w:val="24"/>
          <w:shd w:val="clear" w:color="auto" w:fill="FFFFFF"/>
        </w:rPr>
        <w:t>International Journal of Energy Research</w:t>
      </w:r>
      <w:r w:rsidRPr="00A600A2">
        <w:rPr>
          <w:rFonts w:asciiTheme="minorBidi" w:hAnsiTheme="minorBidi"/>
          <w:sz w:val="24"/>
          <w:szCs w:val="24"/>
          <w:shd w:val="clear" w:color="auto" w:fill="FFFFFF"/>
        </w:rPr>
        <w:t>, </w:t>
      </w:r>
      <w:r w:rsidRPr="00A600A2">
        <w:rPr>
          <w:rFonts w:asciiTheme="minorBidi" w:hAnsiTheme="minorBidi"/>
          <w:i/>
          <w:iCs/>
          <w:sz w:val="24"/>
          <w:szCs w:val="24"/>
          <w:shd w:val="clear" w:color="auto" w:fill="FFFFFF"/>
        </w:rPr>
        <w:t>46</w:t>
      </w:r>
      <w:r w:rsidRPr="00A600A2">
        <w:rPr>
          <w:rFonts w:asciiTheme="minorBidi" w:hAnsiTheme="minorBidi"/>
          <w:sz w:val="24"/>
          <w:szCs w:val="24"/>
          <w:shd w:val="clear" w:color="auto" w:fill="FFFFFF"/>
        </w:rPr>
        <w:t>(2), 684-711.</w:t>
      </w:r>
    </w:p>
    <w:p w14:paraId="3940A183"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shd w:val="clear" w:color="auto" w:fill="FFFFFF"/>
        </w:rPr>
      </w:pPr>
      <w:proofErr w:type="spellStart"/>
      <w:r w:rsidRPr="00A600A2">
        <w:rPr>
          <w:rFonts w:asciiTheme="minorBidi" w:hAnsiTheme="minorBidi"/>
          <w:sz w:val="24"/>
          <w:szCs w:val="24"/>
          <w:shd w:val="clear" w:color="auto" w:fill="FFFFFF"/>
        </w:rPr>
        <w:t>Gunasegaran</w:t>
      </w:r>
      <w:proofErr w:type="spellEnd"/>
      <w:r w:rsidRPr="00A600A2">
        <w:rPr>
          <w:rFonts w:asciiTheme="minorBidi" w:hAnsiTheme="minorBidi"/>
          <w:sz w:val="24"/>
          <w:szCs w:val="24"/>
          <w:shd w:val="clear" w:color="auto" w:fill="FFFFFF"/>
        </w:rPr>
        <w:t xml:space="preserve">, M. K., </w:t>
      </w:r>
      <w:proofErr w:type="spellStart"/>
      <w:r w:rsidRPr="00A600A2">
        <w:rPr>
          <w:rFonts w:asciiTheme="minorBidi" w:hAnsiTheme="minorBidi"/>
          <w:sz w:val="24"/>
          <w:szCs w:val="24"/>
          <w:shd w:val="clear" w:color="auto" w:fill="FFFFFF"/>
        </w:rPr>
        <w:t>Hasanuzzaman</w:t>
      </w:r>
      <w:proofErr w:type="spellEnd"/>
      <w:r w:rsidRPr="00A600A2">
        <w:rPr>
          <w:rFonts w:asciiTheme="minorBidi" w:hAnsiTheme="minorBidi"/>
          <w:sz w:val="24"/>
          <w:szCs w:val="24"/>
          <w:shd w:val="clear" w:color="auto" w:fill="FFFFFF"/>
        </w:rPr>
        <w:t>, M., Tan, C., Bakar, A. H. A., and Ponniah, V. (2023). Energy Consumption, Energy Analysis, and Solar Energy Integration for Commercial Building Restaurants. </w:t>
      </w:r>
      <w:r w:rsidRPr="00A600A2">
        <w:rPr>
          <w:rFonts w:asciiTheme="minorBidi" w:hAnsiTheme="minorBidi"/>
          <w:i/>
          <w:iCs/>
          <w:sz w:val="24"/>
          <w:szCs w:val="24"/>
          <w:shd w:val="clear" w:color="auto" w:fill="FFFFFF"/>
        </w:rPr>
        <w:t>Energies</w:t>
      </w:r>
      <w:r w:rsidRPr="00A600A2">
        <w:rPr>
          <w:rFonts w:asciiTheme="minorBidi" w:hAnsiTheme="minorBidi"/>
          <w:sz w:val="24"/>
          <w:szCs w:val="24"/>
          <w:shd w:val="clear" w:color="auto" w:fill="FFFFFF"/>
        </w:rPr>
        <w:t>, </w:t>
      </w:r>
      <w:r w:rsidRPr="00A600A2">
        <w:rPr>
          <w:rFonts w:asciiTheme="minorBidi" w:hAnsiTheme="minorBidi"/>
          <w:i/>
          <w:iCs/>
          <w:sz w:val="24"/>
          <w:szCs w:val="24"/>
          <w:shd w:val="clear" w:color="auto" w:fill="FFFFFF"/>
        </w:rPr>
        <w:t>16</w:t>
      </w:r>
      <w:r w:rsidRPr="00A600A2">
        <w:rPr>
          <w:rFonts w:asciiTheme="minorBidi" w:hAnsiTheme="minorBidi"/>
          <w:sz w:val="24"/>
          <w:szCs w:val="24"/>
          <w:shd w:val="clear" w:color="auto" w:fill="FFFFFF"/>
        </w:rPr>
        <w:t>(20), 7145.</w:t>
      </w:r>
    </w:p>
    <w:p w14:paraId="7F80F847"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GUPTA, R. (2024). </w:t>
      </w:r>
      <w:r w:rsidRPr="00A600A2">
        <w:rPr>
          <w:rFonts w:asciiTheme="minorBidi" w:hAnsiTheme="minorBidi"/>
          <w:i/>
          <w:iCs/>
          <w:sz w:val="24"/>
          <w:szCs w:val="24"/>
        </w:rPr>
        <w:t>Managing hotels: nuts and bolts of hotel management</w:t>
      </w:r>
      <w:r w:rsidRPr="00A600A2">
        <w:rPr>
          <w:rFonts w:asciiTheme="minorBidi" w:hAnsiTheme="minorBidi"/>
          <w:sz w:val="24"/>
          <w:szCs w:val="24"/>
        </w:rPr>
        <w:t>. Notion Press.</w:t>
      </w:r>
    </w:p>
    <w:p w14:paraId="11C1A5E5" w14:textId="5BFF69B1" w:rsidR="00F2777D" w:rsidRPr="00A600A2" w:rsidRDefault="00F2777D" w:rsidP="00A600A2">
      <w:pPr>
        <w:pStyle w:val="ListParagraph"/>
        <w:numPr>
          <w:ilvl w:val="0"/>
          <w:numId w:val="2"/>
        </w:numPr>
        <w:spacing w:line="360" w:lineRule="auto"/>
        <w:jc w:val="both"/>
        <w:rPr>
          <w:rFonts w:asciiTheme="minorBidi" w:hAnsiTheme="minorBidi"/>
          <w:sz w:val="24"/>
          <w:szCs w:val="24"/>
        </w:rPr>
      </w:pPr>
      <w:proofErr w:type="spellStart"/>
      <w:r w:rsidRPr="00A600A2">
        <w:rPr>
          <w:rFonts w:asciiTheme="minorBidi" w:hAnsiTheme="minorBidi"/>
          <w:sz w:val="24"/>
          <w:szCs w:val="24"/>
        </w:rPr>
        <w:t>Haski</w:t>
      </w:r>
      <w:proofErr w:type="spellEnd"/>
      <w:r w:rsidRPr="00A600A2">
        <w:rPr>
          <w:rFonts w:asciiTheme="minorBidi" w:hAnsiTheme="minorBidi"/>
          <w:sz w:val="24"/>
          <w:szCs w:val="24"/>
        </w:rPr>
        <w:t xml:space="preserve">-Leventhal, D. (2018) Strategic corporate social </w:t>
      </w:r>
      <w:r w:rsidR="001D67B5" w:rsidRPr="00A600A2">
        <w:rPr>
          <w:rFonts w:asciiTheme="minorBidi" w:hAnsiTheme="minorBidi"/>
          <w:sz w:val="24"/>
          <w:szCs w:val="24"/>
        </w:rPr>
        <w:t>responsibility:</w:t>
      </w:r>
      <w:r w:rsidRPr="00A600A2">
        <w:rPr>
          <w:rFonts w:asciiTheme="minorBidi" w:hAnsiTheme="minorBidi"/>
          <w:sz w:val="24"/>
          <w:szCs w:val="24"/>
        </w:rPr>
        <w:t xml:space="preserve"> tools &amp; theories for responsible management. London: SAGE. </w:t>
      </w:r>
    </w:p>
    <w:p w14:paraId="4D05FD76"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Hossain, M. Z., and Hasan, L. (2024). Sustainable cost management and green business: The role of managerial accounting innovations. </w:t>
      </w:r>
      <w:r w:rsidRPr="00A600A2">
        <w:rPr>
          <w:rFonts w:asciiTheme="minorBidi" w:hAnsiTheme="minorBidi"/>
          <w:i/>
          <w:iCs/>
          <w:sz w:val="24"/>
          <w:szCs w:val="24"/>
        </w:rPr>
        <w:t>European Modern Studies Journal</w:t>
      </w:r>
      <w:r w:rsidRPr="00A600A2">
        <w:rPr>
          <w:rFonts w:asciiTheme="minorBidi" w:hAnsiTheme="minorBidi"/>
          <w:sz w:val="24"/>
          <w:szCs w:val="24"/>
        </w:rPr>
        <w:t>, </w:t>
      </w:r>
      <w:r w:rsidRPr="00A600A2">
        <w:rPr>
          <w:rFonts w:asciiTheme="minorBidi" w:hAnsiTheme="minorBidi"/>
          <w:i/>
          <w:iCs/>
          <w:sz w:val="24"/>
          <w:szCs w:val="24"/>
        </w:rPr>
        <w:t>8</w:t>
      </w:r>
      <w:r w:rsidRPr="00A600A2">
        <w:rPr>
          <w:rFonts w:asciiTheme="minorBidi" w:hAnsiTheme="minorBidi"/>
          <w:sz w:val="24"/>
          <w:szCs w:val="24"/>
        </w:rPr>
        <w:t>(4), 464-484.</w:t>
      </w:r>
    </w:p>
    <w:p w14:paraId="79D96557" w14:textId="73BCE71A" w:rsidR="00F2777D" w:rsidRPr="00A600A2" w:rsidRDefault="00F2777D" w:rsidP="00A600A2">
      <w:pPr>
        <w:pStyle w:val="ListParagraph"/>
        <w:numPr>
          <w:ilvl w:val="0"/>
          <w:numId w:val="2"/>
        </w:numPr>
        <w:spacing w:line="360" w:lineRule="auto"/>
        <w:jc w:val="both"/>
        <w:rPr>
          <w:rFonts w:asciiTheme="minorBidi" w:hAnsiTheme="minorBidi"/>
          <w:sz w:val="24"/>
          <w:szCs w:val="24"/>
        </w:rPr>
      </w:pPr>
      <w:proofErr w:type="spellStart"/>
      <w:r w:rsidRPr="00A600A2">
        <w:rPr>
          <w:rFonts w:asciiTheme="minorBidi" w:hAnsiTheme="minorBidi"/>
          <w:sz w:val="24"/>
          <w:szCs w:val="24"/>
        </w:rPr>
        <w:t>Inkson</w:t>
      </w:r>
      <w:proofErr w:type="spellEnd"/>
      <w:r w:rsidRPr="00A600A2">
        <w:rPr>
          <w:rFonts w:asciiTheme="minorBidi" w:hAnsiTheme="minorBidi"/>
          <w:sz w:val="24"/>
          <w:szCs w:val="24"/>
        </w:rPr>
        <w:t xml:space="preserve">, C. and Minnaert, L. (2018) Tourism </w:t>
      </w:r>
      <w:r w:rsidR="001D67B5" w:rsidRPr="00A600A2">
        <w:rPr>
          <w:rFonts w:asciiTheme="minorBidi" w:hAnsiTheme="minorBidi"/>
          <w:sz w:val="24"/>
          <w:szCs w:val="24"/>
        </w:rPr>
        <w:t>management:</w:t>
      </w:r>
      <w:r w:rsidRPr="00A600A2">
        <w:rPr>
          <w:rFonts w:asciiTheme="minorBidi" w:hAnsiTheme="minorBidi"/>
          <w:sz w:val="24"/>
          <w:szCs w:val="24"/>
        </w:rPr>
        <w:t xml:space="preserve"> an introduction. 2nd ed. London: SAGE. </w:t>
      </w:r>
    </w:p>
    <w:p w14:paraId="2411B3C4"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Isazadeh, A., Ziviani, D., and Claridge, D. E. (2023). Global trends, performance metrics, and energy reduction measures in datacom facilities. </w:t>
      </w:r>
      <w:r w:rsidRPr="00A600A2">
        <w:rPr>
          <w:rFonts w:asciiTheme="minorBidi" w:hAnsiTheme="minorBidi"/>
          <w:i/>
          <w:iCs/>
          <w:sz w:val="24"/>
          <w:szCs w:val="24"/>
        </w:rPr>
        <w:t>Renewable and sustainable energy reviews</w:t>
      </w:r>
      <w:r w:rsidRPr="00A600A2">
        <w:rPr>
          <w:rFonts w:asciiTheme="minorBidi" w:hAnsiTheme="minorBidi"/>
          <w:sz w:val="24"/>
          <w:szCs w:val="24"/>
        </w:rPr>
        <w:t>, </w:t>
      </w:r>
      <w:r w:rsidRPr="00A600A2">
        <w:rPr>
          <w:rFonts w:asciiTheme="minorBidi" w:hAnsiTheme="minorBidi"/>
          <w:i/>
          <w:iCs/>
          <w:sz w:val="24"/>
          <w:szCs w:val="24"/>
        </w:rPr>
        <w:t>174</w:t>
      </w:r>
      <w:r w:rsidRPr="00A600A2">
        <w:rPr>
          <w:rFonts w:asciiTheme="minorBidi" w:hAnsiTheme="minorBidi"/>
          <w:sz w:val="24"/>
          <w:szCs w:val="24"/>
        </w:rPr>
        <w:t>, 113149.</w:t>
      </w:r>
    </w:p>
    <w:p w14:paraId="562A351A"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Khalil, N., Che Abdullah, S. N., Haron, S. N., and Hamid, M. Y. (2024). A review of green practices and initiatives from stakeholder’s perspectives towards sustainable hotel operations and performance impact. </w:t>
      </w:r>
      <w:r w:rsidRPr="00A600A2">
        <w:rPr>
          <w:rFonts w:asciiTheme="minorBidi" w:hAnsiTheme="minorBidi"/>
          <w:i/>
          <w:iCs/>
          <w:sz w:val="24"/>
          <w:szCs w:val="24"/>
        </w:rPr>
        <w:t>Journal of Facilities Management</w:t>
      </w:r>
      <w:r w:rsidRPr="00A600A2">
        <w:rPr>
          <w:rFonts w:asciiTheme="minorBidi" w:hAnsiTheme="minorBidi"/>
          <w:sz w:val="24"/>
          <w:szCs w:val="24"/>
        </w:rPr>
        <w:t>, </w:t>
      </w:r>
      <w:r w:rsidRPr="00A600A2">
        <w:rPr>
          <w:rFonts w:asciiTheme="minorBidi" w:hAnsiTheme="minorBidi"/>
          <w:i/>
          <w:iCs/>
          <w:sz w:val="24"/>
          <w:szCs w:val="24"/>
        </w:rPr>
        <w:t>22</w:t>
      </w:r>
      <w:r w:rsidRPr="00A600A2">
        <w:rPr>
          <w:rFonts w:asciiTheme="minorBidi" w:hAnsiTheme="minorBidi"/>
          <w:sz w:val="24"/>
          <w:szCs w:val="24"/>
        </w:rPr>
        <w:t>(4), 653-682.</w:t>
      </w:r>
    </w:p>
    <w:p w14:paraId="2C440A8D"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Kuo, F. I., Fang, W. T., and LePage, B. A. (2022). Proactive environmental strategies in the hotel industry: Eco-innovation, green competitive advantage, and green core competence. </w:t>
      </w:r>
      <w:r w:rsidRPr="00A600A2">
        <w:rPr>
          <w:rFonts w:asciiTheme="minorBidi" w:hAnsiTheme="minorBidi"/>
          <w:i/>
          <w:iCs/>
          <w:sz w:val="24"/>
          <w:szCs w:val="24"/>
        </w:rPr>
        <w:t>Journal of Sustainable Tourism</w:t>
      </w:r>
      <w:r w:rsidRPr="00A600A2">
        <w:rPr>
          <w:rFonts w:asciiTheme="minorBidi" w:hAnsiTheme="minorBidi"/>
          <w:sz w:val="24"/>
          <w:szCs w:val="24"/>
        </w:rPr>
        <w:t>, </w:t>
      </w:r>
      <w:r w:rsidRPr="00A600A2">
        <w:rPr>
          <w:rFonts w:asciiTheme="minorBidi" w:hAnsiTheme="minorBidi"/>
          <w:i/>
          <w:iCs/>
          <w:sz w:val="24"/>
          <w:szCs w:val="24"/>
        </w:rPr>
        <w:t>30</w:t>
      </w:r>
      <w:r w:rsidRPr="00A600A2">
        <w:rPr>
          <w:rFonts w:asciiTheme="minorBidi" w:hAnsiTheme="minorBidi"/>
          <w:sz w:val="24"/>
          <w:szCs w:val="24"/>
        </w:rPr>
        <w:t>(6), 1240-1261.</w:t>
      </w:r>
    </w:p>
    <w:p w14:paraId="49559079" w14:textId="43A5FBB2" w:rsidR="00F2777D" w:rsidRPr="00A600A2" w:rsidRDefault="00F2777D" w:rsidP="00A600A2">
      <w:pPr>
        <w:pStyle w:val="ListParagraph"/>
        <w:numPr>
          <w:ilvl w:val="0"/>
          <w:numId w:val="2"/>
        </w:numPr>
        <w:spacing w:line="360" w:lineRule="auto"/>
        <w:jc w:val="both"/>
        <w:rPr>
          <w:rFonts w:asciiTheme="minorBidi" w:hAnsiTheme="minorBidi"/>
          <w:sz w:val="24"/>
          <w:szCs w:val="24"/>
          <w:shd w:val="clear" w:color="auto" w:fill="FFFFFF"/>
        </w:rPr>
      </w:pPr>
      <w:r w:rsidRPr="00A600A2">
        <w:rPr>
          <w:rFonts w:asciiTheme="minorBidi" w:hAnsiTheme="minorBidi"/>
          <w:sz w:val="24"/>
          <w:szCs w:val="24"/>
          <w:shd w:val="clear" w:color="auto" w:fill="FFFFFF"/>
        </w:rPr>
        <w:t xml:space="preserve">Liu, B., Cifuentes-Faura, J., Ding, C. J., and Liu, X. (2023). Toward carbon neutrality: how will environmental regulatory policies affect corporate green </w:t>
      </w:r>
      <w:r w:rsidR="001D67B5" w:rsidRPr="00A600A2">
        <w:rPr>
          <w:rFonts w:asciiTheme="minorBidi" w:hAnsiTheme="minorBidi"/>
          <w:sz w:val="24"/>
          <w:szCs w:val="24"/>
          <w:shd w:val="clear" w:color="auto" w:fill="FFFFFF"/>
        </w:rPr>
        <w:t>innovation.</w:t>
      </w:r>
      <w:r w:rsidRPr="00A600A2">
        <w:rPr>
          <w:rFonts w:asciiTheme="minorBidi" w:hAnsiTheme="minorBidi"/>
          <w:sz w:val="24"/>
          <w:szCs w:val="24"/>
          <w:shd w:val="clear" w:color="auto" w:fill="FFFFFF"/>
        </w:rPr>
        <w:t> </w:t>
      </w:r>
      <w:r w:rsidRPr="00A600A2">
        <w:rPr>
          <w:rFonts w:asciiTheme="minorBidi" w:hAnsiTheme="minorBidi"/>
          <w:i/>
          <w:iCs/>
          <w:sz w:val="24"/>
          <w:szCs w:val="24"/>
          <w:shd w:val="clear" w:color="auto" w:fill="FFFFFF"/>
        </w:rPr>
        <w:t>Economic Analysis and Policy</w:t>
      </w:r>
      <w:r w:rsidRPr="00A600A2">
        <w:rPr>
          <w:rFonts w:asciiTheme="minorBidi" w:hAnsiTheme="minorBidi"/>
          <w:sz w:val="24"/>
          <w:szCs w:val="24"/>
          <w:shd w:val="clear" w:color="auto" w:fill="FFFFFF"/>
        </w:rPr>
        <w:t>, </w:t>
      </w:r>
      <w:r w:rsidRPr="00A600A2">
        <w:rPr>
          <w:rFonts w:asciiTheme="minorBidi" w:hAnsiTheme="minorBidi"/>
          <w:i/>
          <w:iCs/>
          <w:sz w:val="24"/>
          <w:szCs w:val="24"/>
          <w:shd w:val="clear" w:color="auto" w:fill="FFFFFF"/>
        </w:rPr>
        <w:t>80</w:t>
      </w:r>
      <w:r w:rsidRPr="00A600A2">
        <w:rPr>
          <w:rFonts w:asciiTheme="minorBidi" w:hAnsiTheme="minorBidi"/>
          <w:sz w:val="24"/>
          <w:szCs w:val="24"/>
          <w:shd w:val="clear" w:color="auto" w:fill="FFFFFF"/>
        </w:rPr>
        <w:t>, 1006-1020.</w:t>
      </w:r>
    </w:p>
    <w:p w14:paraId="72945635" w14:textId="3464B040"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 xml:space="preserve">Makanda, K., Nzama, S., and </w:t>
      </w:r>
      <w:proofErr w:type="spellStart"/>
      <w:r w:rsidRPr="00A600A2">
        <w:rPr>
          <w:rFonts w:asciiTheme="minorBidi" w:hAnsiTheme="minorBidi"/>
          <w:sz w:val="24"/>
          <w:szCs w:val="24"/>
        </w:rPr>
        <w:t>Kanyerere</w:t>
      </w:r>
      <w:proofErr w:type="spellEnd"/>
      <w:r w:rsidRPr="00A600A2">
        <w:rPr>
          <w:rFonts w:asciiTheme="minorBidi" w:hAnsiTheme="minorBidi"/>
          <w:sz w:val="24"/>
          <w:szCs w:val="24"/>
        </w:rPr>
        <w:t>, T. (</w:t>
      </w:r>
      <w:r w:rsidR="001D67B5" w:rsidRPr="00A600A2">
        <w:rPr>
          <w:rFonts w:asciiTheme="minorBidi" w:hAnsiTheme="minorBidi"/>
          <w:sz w:val="24"/>
          <w:szCs w:val="24"/>
        </w:rPr>
        <w:t>2022) A</w:t>
      </w:r>
      <w:r w:rsidRPr="00A600A2">
        <w:rPr>
          <w:rFonts w:asciiTheme="minorBidi" w:hAnsiTheme="minorBidi"/>
          <w:sz w:val="24"/>
          <w:szCs w:val="24"/>
        </w:rPr>
        <w:t xml:space="preserve"> review of the role of water resources protection practice for sustainable water resources </w:t>
      </w:r>
      <w:r w:rsidR="002C075D" w:rsidRPr="00A600A2">
        <w:rPr>
          <w:rFonts w:asciiTheme="minorBidi" w:hAnsiTheme="minorBidi"/>
          <w:sz w:val="24"/>
          <w:szCs w:val="24"/>
        </w:rPr>
        <w:t>management</w:t>
      </w:r>
      <w:r w:rsidRPr="00A600A2">
        <w:rPr>
          <w:rFonts w:asciiTheme="minorBidi" w:hAnsiTheme="minorBidi"/>
          <w:sz w:val="24"/>
          <w:szCs w:val="24"/>
        </w:rPr>
        <w:t>. </w:t>
      </w:r>
      <w:r w:rsidRPr="00A600A2">
        <w:rPr>
          <w:rFonts w:asciiTheme="minorBidi" w:hAnsiTheme="minorBidi"/>
          <w:i/>
          <w:iCs/>
          <w:sz w:val="24"/>
          <w:szCs w:val="24"/>
        </w:rPr>
        <w:t>Water</w:t>
      </w:r>
      <w:r w:rsidRPr="00A600A2">
        <w:rPr>
          <w:rFonts w:asciiTheme="minorBidi" w:hAnsiTheme="minorBidi"/>
          <w:sz w:val="24"/>
          <w:szCs w:val="24"/>
        </w:rPr>
        <w:t>, </w:t>
      </w:r>
      <w:r w:rsidRPr="00A600A2">
        <w:rPr>
          <w:rFonts w:asciiTheme="minorBidi" w:hAnsiTheme="minorBidi"/>
          <w:i/>
          <w:iCs/>
          <w:sz w:val="24"/>
          <w:szCs w:val="24"/>
        </w:rPr>
        <w:t>14</w:t>
      </w:r>
      <w:r w:rsidRPr="00A600A2">
        <w:rPr>
          <w:rFonts w:asciiTheme="minorBidi" w:hAnsiTheme="minorBidi"/>
          <w:sz w:val="24"/>
          <w:szCs w:val="24"/>
        </w:rPr>
        <w:t>(19), 3153.</w:t>
      </w:r>
    </w:p>
    <w:p w14:paraId="3FBC30CE" w14:textId="300DA036" w:rsidR="00F2777D" w:rsidRPr="00A600A2" w:rsidRDefault="00F2777D" w:rsidP="00A600A2">
      <w:pPr>
        <w:pStyle w:val="ListParagraph"/>
        <w:numPr>
          <w:ilvl w:val="0"/>
          <w:numId w:val="2"/>
        </w:numPr>
        <w:spacing w:line="360" w:lineRule="auto"/>
        <w:jc w:val="both"/>
        <w:rPr>
          <w:rFonts w:asciiTheme="minorBidi" w:hAnsiTheme="minorBidi"/>
          <w:sz w:val="24"/>
          <w:szCs w:val="24"/>
        </w:rPr>
      </w:pPr>
      <w:proofErr w:type="spellStart"/>
      <w:r w:rsidRPr="00A600A2">
        <w:rPr>
          <w:rFonts w:asciiTheme="minorBidi" w:hAnsiTheme="minorBidi"/>
          <w:sz w:val="24"/>
          <w:szCs w:val="24"/>
        </w:rPr>
        <w:t>Orynycz</w:t>
      </w:r>
      <w:proofErr w:type="spellEnd"/>
      <w:r w:rsidRPr="00A600A2">
        <w:rPr>
          <w:rFonts w:asciiTheme="minorBidi" w:hAnsiTheme="minorBidi"/>
          <w:sz w:val="24"/>
          <w:szCs w:val="24"/>
        </w:rPr>
        <w:t xml:space="preserve">, O., and </w:t>
      </w:r>
      <w:proofErr w:type="spellStart"/>
      <w:r w:rsidRPr="00A600A2">
        <w:rPr>
          <w:rFonts w:asciiTheme="minorBidi" w:hAnsiTheme="minorBidi"/>
          <w:sz w:val="24"/>
          <w:szCs w:val="24"/>
        </w:rPr>
        <w:t>Tucki</w:t>
      </w:r>
      <w:proofErr w:type="spellEnd"/>
      <w:r w:rsidRPr="00A600A2">
        <w:rPr>
          <w:rFonts w:asciiTheme="minorBidi" w:hAnsiTheme="minorBidi"/>
          <w:sz w:val="24"/>
          <w:szCs w:val="24"/>
        </w:rPr>
        <w:t xml:space="preserve">, K. (2021). Total productive maintenance approach </w:t>
      </w:r>
      <w:r w:rsidR="002C075D" w:rsidRPr="00A600A2">
        <w:rPr>
          <w:rFonts w:asciiTheme="minorBidi" w:hAnsiTheme="minorBidi"/>
          <w:sz w:val="24"/>
          <w:szCs w:val="24"/>
        </w:rPr>
        <w:t>increasing</w:t>
      </w:r>
      <w:r w:rsidRPr="00A600A2">
        <w:rPr>
          <w:rFonts w:asciiTheme="minorBidi" w:hAnsiTheme="minorBidi"/>
          <w:sz w:val="24"/>
          <w:szCs w:val="24"/>
        </w:rPr>
        <w:t xml:space="preserve"> the energy efficiency of a hotel facility and </w:t>
      </w:r>
      <w:r w:rsidR="002C075D" w:rsidRPr="00A600A2">
        <w:rPr>
          <w:rFonts w:asciiTheme="minorBidi" w:hAnsiTheme="minorBidi"/>
          <w:sz w:val="24"/>
          <w:szCs w:val="24"/>
        </w:rPr>
        <w:t>mitigating of</w:t>
      </w:r>
      <w:r w:rsidRPr="00A600A2">
        <w:rPr>
          <w:rFonts w:asciiTheme="minorBidi" w:hAnsiTheme="minorBidi"/>
          <w:sz w:val="24"/>
          <w:szCs w:val="24"/>
        </w:rPr>
        <w:t xml:space="preserve"> water consumption. </w:t>
      </w:r>
      <w:r w:rsidRPr="00A600A2">
        <w:rPr>
          <w:rFonts w:asciiTheme="minorBidi" w:hAnsiTheme="minorBidi"/>
          <w:i/>
          <w:iCs/>
          <w:sz w:val="24"/>
          <w:szCs w:val="24"/>
        </w:rPr>
        <w:t>Energies</w:t>
      </w:r>
      <w:r w:rsidRPr="00A600A2">
        <w:rPr>
          <w:rFonts w:asciiTheme="minorBidi" w:hAnsiTheme="minorBidi"/>
          <w:sz w:val="24"/>
          <w:szCs w:val="24"/>
        </w:rPr>
        <w:t>, </w:t>
      </w:r>
      <w:r w:rsidRPr="00A600A2">
        <w:rPr>
          <w:rFonts w:asciiTheme="minorBidi" w:hAnsiTheme="minorBidi"/>
          <w:i/>
          <w:iCs/>
          <w:sz w:val="24"/>
          <w:szCs w:val="24"/>
        </w:rPr>
        <w:t>14</w:t>
      </w:r>
      <w:r w:rsidRPr="00A600A2">
        <w:rPr>
          <w:rFonts w:asciiTheme="minorBidi" w:hAnsiTheme="minorBidi"/>
          <w:sz w:val="24"/>
          <w:szCs w:val="24"/>
        </w:rPr>
        <w:t>(6), 1706.</w:t>
      </w:r>
    </w:p>
    <w:p w14:paraId="31A92AED" w14:textId="33F70DD8" w:rsidR="00F2777D" w:rsidRPr="00A600A2" w:rsidRDefault="00F2777D" w:rsidP="00A600A2">
      <w:pPr>
        <w:pStyle w:val="ListParagraph"/>
        <w:numPr>
          <w:ilvl w:val="0"/>
          <w:numId w:val="2"/>
        </w:numPr>
        <w:spacing w:line="360" w:lineRule="auto"/>
        <w:jc w:val="both"/>
        <w:rPr>
          <w:rFonts w:asciiTheme="minorBidi" w:hAnsiTheme="minorBidi"/>
          <w:sz w:val="24"/>
          <w:szCs w:val="24"/>
          <w:shd w:val="clear" w:color="auto" w:fill="FFFFFF"/>
        </w:rPr>
      </w:pPr>
      <w:r w:rsidRPr="00A600A2">
        <w:rPr>
          <w:rFonts w:asciiTheme="minorBidi" w:hAnsiTheme="minorBidi"/>
          <w:sz w:val="24"/>
          <w:szCs w:val="24"/>
          <w:shd w:val="clear" w:color="auto" w:fill="FFFFFF"/>
        </w:rPr>
        <w:lastRenderedPageBreak/>
        <w:t xml:space="preserve">Pelella, F., </w:t>
      </w:r>
      <w:proofErr w:type="spellStart"/>
      <w:r w:rsidRPr="00A600A2">
        <w:rPr>
          <w:rFonts w:asciiTheme="minorBidi" w:hAnsiTheme="minorBidi"/>
          <w:sz w:val="24"/>
          <w:szCs w:val="24"/>
          <w:shd w:val="clear" w:color="auto" w:fill="FFFFFF"/>
        </w:rPr>
        <w:t>Zsembinszki</w:t>
      </w:r>
      <w:proofErr w:type="spellEnd"/>
      <w:r w:rsidRPr="00A600A2">
        <w:rPr>
          <w:rFonts w:asciiTheme="minorBidi" w:hAnsiTheme="minorBidi"/>
          <w:sz w:val="24"/>
          <w:szCs w:val="24"/>
          <w:shd w:val="clear" w:color="auto" w:fill="FFFFFF"/>
        </w:rPr>
        <w:t xml:space="preserve">, G., </w:t>
      </w:r>
      <w:proofErr w:type="spellStart"/>
      <w:r w:rsidRPr="00A600A2">
        <w:rPr>
          <w:rFonts w:asciiTheme="minorBidi" w:hAnsiTheme="minorBidi"/>
          <w:sz w:val="24"/>
          <w:szCs w:val="24"/>
          <w:shd w:val="clear" w:color="auto" w:fill="FFFFFF"/>
        </w:rPr>
        <w:t>Viscito</w:t>
      </w:r>
      <w:proofErr w:type="spellEnd"/>
      <w:r w:rsidRPr="00A600A2">
        <w:rPr>
          <w:rFonts w:asciiTheme="minorBidi" w:hAnsiTheme="minorBidi"/>
          <w:sz w:val="24"/>
          <w:szCs w:val="24"/>
          <w:shd w:val="clear" w:color="auto" w:fill="FFFFFF"/>
        </w:rPr>
        <w:t>, L., Mauro, A. W., and Cabeza, L. F. (2023). Thermo-</w:t>
      </w:r>
      <w:r w:rsidR="002C075D" w:rsidRPr="00A600A2">
        <w:rPr>
          <w:rFonts w:asciiTheme="minorBidi" w:hAnsiTheme="minorBidi"/>
          <w:sz w:val="24"/>
          <w:szCs w:val="24"/>
          <w:shd w:val="clear" w:color="auto" w:fill="FFFFFF"/>
        </w:rPr>
        <w:t>economic optimization</w:t>
      </w:r>
      <w:r w:rsidRPr="00A600A2">
        <w:rPr>
          <w:rFonts w:asciiTheme="minorBidi" w:hAnsiTheme="minorBidi"/>
          <w:sz w:val="24"/>
          <w:szCs w:val="24"/>
          <w:shd w:val="clear" w:color="auto" w:fill="FFFFFF"/>
        </w:rPr>
        <w:t xml:space="preserve"> of a multi-source (air/sun/ground) residential heat pump with a water/PCM thermal storage. </w:t>
      </w:r>
      <w:r w:rsidRPr="00A600A2">
        <w:rPr>
          <w:rFonts w:asciiTheme="minorBidi" w:hAnsiTheme="minorBidi"/>
          <w:i/>
          <w:iCs/>
          <w:sz w:val="24"/>
          <w:szCs w:val="24"/>
          <w:shd w:val="clear" w:color="auto" w:fill="FFFFFF"/>
        </w:rPr>
        <w:t>Applied Energy</w:t>
      </w:r>
      <w:r w:rsidRPr="00A600A2">
        <w:rPr>
          <w:rFonts w:asciiTheme="minorBidi" w:hAnsiTheme="minorBidi"/>
          <w:sz w:val="24"/>
          <w:szCs w:val="24"/>
          <w:shd w:val="clear" w:color="auto" w:fill="FFFFFF"/>
        </w:rPr>
        <w:t>, </w:t>
      </w:r>
      <w:r w:rsidRPr="00A600A2">
        <w:rPr>
          <w:rFonts w:asciiTheme="minorBidi" w:hAnsiTheme="minorBidi"/>
          <w:i/>
          <w:iCs/>
          <w:sz w:val="24"/>
          <w:szCs w:val="24"/>
          <w:shd w:val="clear" w:color="auto" w:fill="FFFFFF"/>
        </w:rPr>
        <w:t>331</w:t>
      </w:r>
      <w:r w:rsidRPr="00A600A2">
        <w:rPr>
          <w:rFonts w:asciiTheme="minorBidi" w:hAnsiTheme="minorBidi"/>
          <w:sz w:val="24"/>
          <w:szCs w:val="24"/>
          <w:shd w:val="clear" w:color="auto" w:fill="FFFFFF"/>
        </w:rPr>
        <w:t xml:space="preserve">, 120398. </w:t>
      </w:r>
    </w:p>
    <w:p w14:paraId="41E082A4" w14:textId="7C557B1A"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lang w:val="pt-PT"/>
        </w:rPr>
        <w:t xml:space="preserve">Pereira, V., Silva, G. M., </w:t>
      </w:r>
      <w:proofErr w:type="spellStart"/>
      <w:r w:rsidRPr="00A600A2">
        <w:rPr>
          <w:rFonts w:asciiTheme="minorBidi" w:hAnsiTheme="minorBidi"/>
          <w:sz w:val="24"/>
          <w:szCs w:val="24"/>
          <w:lang w:val="pt-PT"/>
        </w:rPr>
        <w:t>and</w:t>
      </w:r>
      <w:proofErr w:type="spellEnd"/>
      <w:r w:rsidRPr="00A600A2">
        <w:rPr>
          <w:rFonts w:asciiTheme="minorBidi" w:hAnsiTheme="minorBidi"/>
          <w:sz w:val="24"/>
          <w:szCs w:val="24"/>
          <w:lang w:val="pt-PT"/>
        </w:rPr>
        <w:t xml:space="preserve"> Dias, Á. (2021). </w:t>
      </w:r>
      <w:r w:rsidRPr="00A600A2">
        <w:rPr>
          <w:rFonts w:asciiTheme="minorBidi" w:hAnsiTheme="minorBidi"/>
          <w:sz w:val="24"/>
          <w:szCs w:val="24"/>
        </w:rPr>
        <w:t xml:space="preserve">Sustainability practices in </w:t>
      </w:r>
      <w:r w:rsidR="00C7725B" w:rsidRPr="00A600A2">
        <w:rPr>
          <w:rFonts w:asciiTheme="minorBidi" w:hAnsiTheme="minorBidi"/>
          <w:sz w:val="24"/>
          <w:szCs w:val="24"/>
        </w:rPr>
        <w:t>hospitality</w:t>
      </w:r>
      <w:r w:rsidRPr="00A600A2">
        <w:rPr>
          <w:rFonts w:asciiTheme="minorBidi" w:hAnsiTheme="minorBidi"/>
          <w:sz w:val="24"/>
          <w:szCs w:val="24"/>
        </w:rPr>
        <w:t xml:space="preserve"> </w:t>
      </w:r>
      <w:r w:rsidR="000B1049" w:rsidRPr="00A600A2">
        <w:rPr>
          <w:rFonts w:asciiTheme="minorBidi" w:hAnsiTheme="minorBidi"/>
          <w:sz w:val="24"/>
          <w:szCs w:val="24"/>
        </w:rPr>
        <w:t>case</w:t>
      </w:r>
      <w:r w:rsidRPr="00A600A2">
        <w:rPr>
          <w:rFonts w:asciiTheme="minorBidi" w:hAnsiTheme="minorBidi"/>
          <w:sz w:val="24"/>
          <w:szCs w:val="24"/>
        </w:rPr>
        <w:t xml:space="preserve"> study of a luxury hotel in </w:t>
      </w:r>
      <w:proofErr w:type="spellStart"/>
      <w:r w:rsidRPr="00A600A2">
        <w:rPr>
          <w:rFonts w:asciiTheme="minorBidi" w:hAnsiTheme="minorBidi"/>
          <w:sz w:val="24"/>
          <w:szCs w:val="24"/>
        </w:rPr>
        <w:t>Arrábida</w:t>
      </w:r>
      <w:proofErr w:type="spellEnd"/>
      <w:r w:rsidRPr="00A600A2">
        <w:rPr>
          <w:rFonts w:asciiTheme="minorBidi" w:hAnsiTheme="minorBidi"/>
          <w:sz w:val="24"/>
          <w:szCs w:val="24"/>
        </w:rPr>
        <w:t xml:space="preserve"> Natural Park. </w:t>
      </w:r>
      <w:r w:rsidRPr="00A600A2">
        <w:rPr>
          <w:rFonts w:asciiTheme="minorBidi" w:hAnsiTheme="minorBidi"/>
          <w:i/>
          <w:iCs/>
          <w:sz w:val="24"/>
          <w:szCs w:val="24"/>
        </w:rPr>
        <w:t>Sustainability</w:t>
      </w:r>
      <w:r w:rsidRPr="00A600A2">
        <w:rPr>
          <w:rFonts w:asciiTheme="minorBidi" w:hAnsiTheme="minorBidi"/>
          <w:sz w:val="24"/>
          <w:szCs w:val="24"/>
        </w:rPr>
        <w:t>, </w:t>
      </w:r>
      <w:r w:rsidRPr="00A600A2">
        <w:rPr>
          <w:rFonts w:asciiTheme="minorBidi" w:hAnsiTheme="minorBidi"/>
          <w:i/>
          <w:iCs/>
          <w:sz w:val="24"/>
          <w:szCs w:val="24"/>
        </w:rPr>
        <w:t>13</w:t>
      </w:r>
      <w:r w:rsidRPr="00A600A2">
        <w:rPr>
          <w:rFonts w:asciiTheme="minorBidi" w:hAnsiTheme="minorBidi"/>
          <w:sz w:val="24"/>
          <w:szCs w:val="24"/>
        </w:rPr>
        <w:t>(6), 3164.</w:t>
      </w:r>
    </w:p>
    <w:p w14:paraId="5D009E6D" w14:textId="73AED38C"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 xml:space="preserve">Prakash, S., Sharma, V. P., Singh, R., and </w:t>
      </w:r>
      <w:proofErr w:type="spellStart"/>
      <w:r w:rsidRPr="00A600A2">
        <w:rPr>
          <w:rFonts w:asciiTheme="minorBidi" w:hAnsiTheme="minorBidi"/>
          <w:sz w:val="24"/>
          <w:szCs w:val="24"/>
        </w:rPr>
        <w:t>Vijayvargy</w:t>
      </w:r>
      <w:proofErr w:type="spellEnd"/>
      <w:r w:rsidRPr="00A600A2">
        <w:rPr>
          <w:rFonts w:asciiTheme="minorBidi" w:hAnsiTheme="minorBidi"/>
          <w:sz w:val="24"/>
          <w:szCs w:val="24"/>
        </w:rPr>
        <w:t xml:space="preserve">, L. (2023). Adopting green and sustainable practices in the hotel </w:t>
      </w:r>
      <w:r w:rsidR="00C7725B" w:rsidRPr="00A600A2">
        <w:rPr>
          <w:rFonts w:asciiTheme="minorBidi" w:hAnsiTheme="minorBidi"/>
          <w:sz w:val="24"/>
          <w:szCs w:val="24"/>
        </w:rPr>
        <w:t>industry operations</w:t>
      </w:r>
      <w:r w:rsidRPr="00A600A2">
        <w:rPr>
          <w:rFonts w:asciiTheme="minorBidi" w:hAnsiTheme="minorBidi"/>
          <w:sz w:val="24"/>
          <w:szCs w:val="24"/>
        </w:rPr>
        <w:t xml:space="preserve"> analysis of critical performance indicators for improved environmental quality. </w:t>
      </w:r>
      <w:r w:rsidRPr="00A600A2">
        <w:rPr>
          <w:rFonts w:asciiTheme="minorBidi" w:hAnsiTheme="minorBidi"/>
          <w:i/>
          <w:iCs/>
          <w:sz w:val="24"/>
          <w:szCs w:val="24"/>
        </w:rPr>
        <w:t>Management of Environmental Quality: An International Journal</w:t>
      </w:r>
      <w:r w:rsidRPr="00A600A2">
        <w:rPr>
          <w:rFonts w:asciiTheme="minorBidi" w:hAnsiTheme="minorBidi"/>
          <w:sz w:val="24"/>
          <w:szCs w:val="24"/>
        </w:rPr>
        <w:t>, </w:t>
      </w:r>
      <w:r w:rsidRPr="00A600A2">
        <w:rPr>
          <w:rFonts w:asciiTheme="minorBidi" w:hAnsiTheme="minorBidi"/>
          <w:i/>
          <w:iCs/>
          <w:sz w:val="24"/>
          <w:szCs w:val="24"/>
        </w:rPr>
        <w:t>34</w:t>
      </w:r>
      <w:r w:rsidRPr="00A600A2">
        <w:rPr>
          <w:rFonts w:asciiTheme="minorBidi" w:hAnsiTheme="minorBidi"/>
          <w:sz w:val="24"/>
          <w:szCs w:val="24"/>
        </w:rPr>
        <w:t>(4), 1057-1076.</w:t>
      </w:r>
    </w:p>
    <w:p w14:paraId="7BCA950F" w14:textId="506A02F6" w:rsidR="00F2777D" w:rsidRPr="00A600A2" w:rsidRDefault="00F2777D" w:rsidP="00A600A2">
      <w:pPr>
        <w:pStyle w:val="ListParagraph"/>
        <w:numPr>
          <w:ilvl w:val="0"/>
          <w:numId w:val="2"/>
        </w:numPr>
        <w:spacing w:line="360" w:lineRule="auto"/>
        <w:jc w:val="both"/>
        <w:rPr>
          <w:rFonts w:asciiTheme="minorBidi" w:hAnsiTheme="minorBidi"/>
          <w:sz w:val="24"/>
          <w:szCs w:val="24"/>
        </w:rPr>
      </w:pPr>
      <w:proofErr w:type="spellStart"/>
      <w:r w:rsidRPr="00A600A2">
        <w:rPr>
          <w:rFonts w:asciiTheme="minorBidi" w:hAnsiTheme="minorBidi"/>
          <w:sz w:val="24"/>
          <w:szCs w:val="24"/>
        </w:rPr>
        <w:t>Qubbaj</w:t>
      </w:r>
      <w:proofErr w:type="spellEnd"/>
      <w:r w:rsidRPr="00A600A2">
        <w:rPr>
          <w:rFonts w:asciiTheme="minorBidi" w:hAnsiTheme="minorBidi"/>
          <w:sz w:val="24"/>
          <w:szCs w:val="24"/>
        </w:rPr>
        <w:t>, A. I. S. (2024). </w:t>
      </w:r>
      <w:r w:rsidRPr="00A600A2">
        <w:rPr>
          <w:rFonts w:asciiTheme="minorBidi" w:hAnsiTheme="minorBidi"/>
          <w:i/>
          <w:iCs/>
          <w:sz w:val="24"/>
          <w:szCs w:val="24"/>
        </w:rPr>
        <w:t>The Effect of Environmental Certificates for Hotels on the Purchasing Decision of Online Customers</w:t>
      </w:r>
      <w:r w:rsidRPr="00A600A2">
        <w:rPr>
          <w:rFonts w:asciiTheme="minorBidi" w:hAnsiTheme="minorBidi"/>
          <w:sz w:val="24"/>
          <w:szCs w:val="24"/>
        </w:rPr>
        <w:t xml:space="preserve"> (Doctoral dissertation, </w:t>
      </w:r>
      <w:r w:rsidR="00C7725B" w:rsidRPr="00A600A2">
        <w:rPr>
          <w:rFonts w:asciiTheme="minorBidi" w:hAnsiTheme="minorBidi"/>
          <w:sz w:val="24"/>
          <w:szCs w:val="24"/>
        </w:rPr>
        <w:t>Universität</w:t>
      </w:r>
      <w:r w:rsidRPr="00A600A2">
        <w:rPr>
          <w:rFonts w:asciiTheme="minorBidi" w:hAnsiTheme="minorBidi"/>
          <w:sz w:val="24"/>
          <w:szCs w:val="24"/>
        </w:rPr>
        <w:t xml:space="preserve"> </w:t>
      </w:r>
      <w:proofErr w:type="spellStart"/>
      <w:r w:rsidRPr="00A600A2">
        <w:rPr>
          <w:rFonts w:asciiTheme="minorBidi" w:hAnsiTheme="minorBidi"/>
          <w:sz w:val="24"/>
          <w:szCs w:val="24"/>
        </w:rPr>
        <w:t>Politècnica</w:t>
      </w:r>
      <w:proofErr w:type="spellEnd"/>
      <w:r w:rsidRPr="00A600A2">
        <w:rPr>
          <w:rFonts w:asciiTheme="minorBidi" w:hAnsiTheme="minorBidi"/>
          <w:sz w:val="24"/>
          <w:szCs w:val="24"/>
        </w:rPr>
        <w:t xml:space="preserve"> de València).</w:t>
      </w:r>
    </w:p>
    <w:p w14:paraId="25C55C02"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shd w:val="clear" w:color="auto" w:fill="FFFFFF"/>
        </w:rPr>
      </w:pPr>
      <w:r w:rsidRPr="00A600A2">
        <w:rPr>
          <w:rFonts w:asciiTheme="minorBidi" w:hAnsiTheme="minorBidi"/>
          <w:sz w:val="24"/>
          <w:szCs w:val="24"/>
          <w:shd w:val="clear" w:color="auto" w:fill="FFFFFF"/>
        </w:rPr>
        <w:t>Rana, K. S., Bashir, A., Begum, F., and Bartlett, H. (2022, May). Bridging the BAME attainment gap: Student and staff perspectives on tackling academic bias. In </w:t>
      </w:r>
      <w:r w:rsidRPr="00A600A2">
        <w:rPr>
          <w:rFonts w:asciiTheme="minorBidi" w:hAnsiTheme="minorBidi"/>
          <w:i/>
          <w:iCs/>
          <w:sz w:val="24"/>
          <w:szCs w:val="24"/>
          <w:shd w:val="clear" w:color="auto" w:fill="FFFFFF"/>
        </w:rPr>
        <w:t>Frontiers in Education</w:t>
      </w:r>
      <w:r w:rsidRPr="00A600A2">
        <w:rPr>
          <w:rFonts w:asciiTheme="minorBidi" w:hAnsiTheme="minorBidi"/>
          <w:sz w:val="24"/>
          <w:szCs w:val="24"/>
          <w:shd w:val="clear" w:color="auto" w:fill="FFFFFF"/>
        </w:rPr>
        <w:t xml:space="preserve"> (Vol. 7, p. 868349). Frontiers Media SA. </w:t>
      </w:r>
    </w:p>
    <w:p w14:paraId="1F67806F"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shd w:val="clear" w:color="auto" w:fill="FFFFFF"/>
        </w:rPr>
      </w:pPr>
      <w:r w:rsidRPr="00A600A2">
        <w:rPr>
          <w:rFonts w:asciiTheme="minorBidi" w:hAnsiTheme="minorBidi"/>
          <w:sz w:val="24"/>
          <w:szCs w:val="24"/>
          <w:shd w:val="clear" w:color="auto" w:fill="FFFFFF"/>
        </w:rPr>
        <w:t xml:space="preserve">Severinsen, A. (2023). Increased sustainability in the food retail sector through Measurement and Verification of energy conservation measures. </w:t>
      </w:r>
    </w:p>
    <w:p w14:paraId="60B6F5A5" w14:textId="24FE625B"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 xml:space="preserve">Sloan, P., Legrand, </w:t>
      </w:r>
      <w:r w:rsidR="001D67B5" w:rsidRPr="00A600A2">
        <w:rPr>
          <w:rFonts w:asciiTheme="minorBidi" w:hAnsiTheme="minorBidi"/>
          <w:sz w:val="24"/>
          <w:szCs w:val="24"/>
        </w:rPr>
        <w:t>W.,</w:t>
      </w:r>
      <w:r w:rsidRPr="00A600A2">
        <w:rPr>
          <w:rFonts w:asciiTheme="minorBidi" w:hAnsiTheme="minorBidi"/>
          <w:sz w:val="24"/>
          <w:szCs w:val="24"/>
        </w:rPr>
        <w:t xml:space="preserve"> and Chen, J.S. (2017) Sustainability in the hospitality </w:t>
      </w:r>
      <w:r w:rsidR="00C7725B" w:rsidRPr="00A600A2">
        <w:rPr>
          <w:rFonts w:asciiTheme="minorBidi" w:hAnsiTheme="minorBidi"/>
          <w:sz w:val="24"/>
          <w:szCs w:val="24"/>
        </w:rPr>
        <w:t>industry:</w:t>
      </w:r>
      <w:r w:rsidRPr="00A600A2">
        <w:rPr>
          <w:rFonts w:asciiTheme="minorBidi" w:hAnsiTheme="minorBidi"/>
          <w:sz w:val="24"/>
          <w:szCs w:val="24"/>
        </w:rPr>
        <w:t xml:space="preserve"> principles of sustainable operations. 3rd ed. London: Butterworth-Heinemann.</w:t>
      </w:r>
    </w:p>
    <w:p w14:paraId="65FA942E" w14:textId="50755583"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 xml:space="preserve">Tabassum, S., Rahman, T., Islam, A. U., Rahman, S., Dipta, D. R., Roy, S., ... and Hossain, E. (2021). Solar energy in the United States: Development, </w:t>
      </w:r>
      <w:r w:rsidR="001D67B5" w:rsidRPr="00A600A2">
        <w:rPr>
          <w:rFonts w:asciiTheme="minorBidi" w:hAnsiTheme="minorBidi"/>
          <w:sz w:val="24"/>
          <w:szCs w:val="24"/>
        </w:rPr>
        <w:t>challenges,</w:t>
      </w:r>
      <w:r w:rsidRPr="00A600A2">
        <w:rPr>
          <w:rFonts w:asciiTheme="minorBidi" w:hAnsiTheme="minorBidi"/>
          <w:sz w:val="24"/>
          <w:szCs w:val="24"/>
        </w:rPr>
        <w:t xml:space="preserve"> </w:t>
      </w:r>
      <w:r w:rsidR="00C7725B" w:rsidRPr="00A600A2">
        <w:rPr>
          <w:rFonts w:asciiTheme="minorBidi" w:hAnsiTheme="minorBidi"/>
          <w:sz w:val="24"/>
          <w:szCs w:val="24"/>
        </w:rPr>
        <w:t>and</w:t>
      </w:r>
      <w:r w:rsidRPr="00A600A2">
        <w:rPr>
          <w:rFonts w:asciiTheme="minorBidi" w:hAnsiTheme="minorBidi"/>
          <w:sz w:val="24"/>
          <w:szCs w:val="24"/>
        </w:rPr>
        <w:t xml:space="preserve"> prospects. Energies, 14(23), 8142.</w:t>
      </w:r>
    </w:p>
    <w:p w14:paraId="59138F5D" w14:textId="77777777" w:rsidR="00F2777D" w:rsidRPr="00A600A2" w:rsidRDefault="00F2777D" w:rsidP="00A600A2">
      <w:pPr>
        <w:pStyle w:val="ListParagraph"/>
        <w:numPr>
          <w:ilvl w:val="0"/>
          <w:numId w:val="2"/>
        </w:numPr>
        <w:spacing w:line="360" w:lineRule="auto"/>
        <w:jc w:val="both"/>
        <w:rPr>
          <w:rFonts w:asciiTheme="minorBidi" w:hAnsiTheme="minorBidi"/>
          <w:sz w:val="24"/>
          <w:szCs w:val="24"/>
        </w:rPr>
      </w:pPr>
      <w:r w:rsidRPr="00A600A2">
        <w:rPr>
          <w:rFonts w:asciiTheme="minorBidi" w:hAnsiTheme="minorBidi"/>
          <w:sz w:val="24"/>
          <w:szCs w:val="24"/>
        </w:rPr>
        <w:t xml:space="preserve">Willar, D., Waney, E. V. Y., </w:t>
      </w:r>
      <w:proofErr w:type="spellStart"/>
      <w:r w:rsidRPr="00A600A2">
        <w:rPr>
          <w:rFonts w:asciiTheme="minorBidi" w:hAnsiTheme="minorBidi"/>
          <w:sz w:val="24"/>
          <w:szCs w:val="24"/>
        </w:rPr>
        <w:t>Pangemanan</w:t>
      </w:r>
      <w:proofErr w:type="spellEnd"/>
      <w:r w:rsidRPr="00A600A2">
        <w:rPr>
          <w:rFonts w:asciiTheme="minorBidi" w:hAnsiTheme="minorBidi"/>
          <w:sz w:val="24"/>
          <w:szCs w:val="24"/>
        </w:rPr>
        <w:t>, D. D. G., and Mait, R. E. G. (2021). Sustainable construction practices in the execution of infrastructure projects: The extent of implementation. </w:t>
      </w:r>
      <w:r w:rsidRPr="00A600A2">
        <w:rPr>
          <w:rFonts w:asciiTheme="minorBidi" w:hAnsiTheme="minorBidi"/>
          <w:i/>
          <w:iCs/>
          <w:sz w:val="24"/>
          <w:szCs w:val="24"/>
        </w:rPr>
        <w:t>Smart and Sustainable Built Environment</w:t>
      </w:r>
      <w:r w:rsidRPr="00A600A2">
        <w:rPr>
          <w:rFonts w:asciiTheme="minorBidi" w:hAnsiTheme="minorBidi"/>
          <w:sz w:val="24"/>
          <w:szCs w:val="24"/>
        </w:rPr>
        <w:t>, </w:t>
      </w:r>
      <w:r w:rsidRPr="00A600A2">
        <w:rPr>
          <w:rFonts w:asciiTheme="minorBidi" w:hAnsiTheme="minorBidi"/>
          <w:i/>
          <w:iCs/>
          <w:sz w:val="24"/>
          <w:szCs w:val="24"/>
        </w:rPr>
        <w:t>10</w:t>
      </w:r>
      <w:r w:rsidRPr="00A600A2">
        <w:rPr>
          <w:rFonts w:asciiTheme="minorBidi" w:hAnsiTheme="minorBidi"/>
          <w:sz w:val="24"/>
          <w:szCs w:val="24"/>
        </w:rPr>
        <w:t>(1), 106-124.</w:t>
      </w:r>
    </w:p>
    <w:p w14:paraId="40E2396E" w14:textId="4E8DE14F" w:rsidR="00320C6F" w:rsidRPr="00A600A2" w:rsidRDefault="00320C6F" w:rsidP="00A600A2">
      <w:pPr>
        <w:pStyle w:val="ListParagraph"/>
        <w:spacing w:after="0" w:line="360" w:lineRule="auto"/>
        <w:jc w:val="both"/>
        <w:rPr>
          <w:rFonts w:asciiTheme="minorBidi" w:eastAsia="Times New Roman" w:hAnsiTheme="minorBidi"/>
          <w:kern w:val="0"/>
          <w:sz w:val="24"/>
          <w:szCs w:val="24"/>
          <w:lang w:eastAsia="en-GB"/>
          <w14:ligatures w14:val="none"/>
        </w:rPr>
      </w:pPr>
    </w:p>
    <w:p w14:paraId="7E71ACD5" w14:textId="6C7A37C9" w:rsidR="00E6704B" w:rsidRPr="00E6704B" w:rsidRDefault="00E6704B" w:rsidP="00A600A2">
      <w:pPr>
        <w:spacing w:after="240" w:line="360" w:lineRule="auto"/>
        <w:jc w:val="both"/>
        <w:rPr>
          <w:rFonts w:asciiTheme="minorBidi" w:eastAsia="Times New Roman" w:hAnsiTheme="minorBidi"/>
          <w:kern w:val="0"/>
          <w:sz w:val="24"/>
          <w:szCs w:val="24"/>
          <w:lang w:eastAsia="en-GB"/>
          <w14:ligatures w14:val="none"/>
        </w:rPr>
      </w:pPr>
      <w:r w:rsidRPr="00E6704B">
        <w:rPr>
          <w:rFonts w:asciiTheme="minorBidi" w:eastAsia="Times New Roman" w:hAnsiTheme="minorBidi"/>
          <w:kern w:val="0"/>
          <w:sz w:val="24"/>
          <w:szCs w:val="24"/>
          <w:lang w:eastAsia="en-GB"/>
          <w14:ligatures w14:val="none"/>
        </w:rPr>
        <w:br/>
      </w:r>
    </w:p>
    <w:p w14:paraId="3070E404" w14:textId="77777777" w:rsidR="00E6704B" w:rsidRPr="00E6704B" w:rsidRDefault="00E6704B" w:rsidP="00E6704B">
      <w:pPr>
        <w:spacing w:after="240" w:line="360" w:lineRule="auto"/>
        <w:rPr>
          <w:rFonts w:asciiTheme="minorBidi" w:eastAsia="Times New Roman" w:hAnsiTheme="minorBidi"/>
          <w:kern w:val="0"/>
          <w:sz w:val="24"/>
          <w:szCs w:val="24"/>
          <w:lang w:eastAsia="en-GB"/>
          <w14:ligatures w14:val="none"/>
        </w:rPr>
      </w:pPr>
    </w:p>
    <w:p w14:paraId="3167167D" w14:textId="5751E2E1" w:rsidR="007F0459" w:rsidRPr="007F0459" w:rsidRDefault="007F0459" w:rsidP="00636E0D">
      <w:pPr>
        <w:spacing w:after="240" w:line="360" w:lineRule="auto"/>
        <w:rPr>
          <w:rFonts w:asciiTheme="minorBidi" w:eastAsia="Times New Roman" w:hAnsiTheme="minorBidi"/>
          <w:kern w:val="0"/>
          <w:sz w:val="24"/>
          <w:szCs w:val="24"/>
          <w:lang w:eastAsia="en-GB"/>
          <w14:ligatures w14:val="none"/>
        </w:rPr>
      </w:pPr>
      <w:r w:rsidRPr="007F0459">
        <w:rPr>
          <w:rFonts w:asciiTheme="minorBidi" w:eastAsia="Times New Roman" w:hAnsiTheme="minorBidi"/>
          <w:kern w:val="0"/>
          <w:sz w:val="24"/>
          <w:szCs w:val="24"/>
          <w:lang w:eastAsia="en-GB"/>
          <w14:ligatures w14:val="none"/>
        </w:rPr>
        <w:lastRenderedPageBreak/>
        <w:br/>
      </w:r>
    </w:p>
    <w:p w14:paraId="73FE5B7B" w14:textId="77777777" w:rsidR="00E81F69" w:rsidRPr="00E81F69" w:rsidRDefault="00E81F69" w:rsidP="00E81F69">
      <w:pPr>
        <w:rPr>
          <w:sz w:val="24"/>
          <w:szCs w:val="24"/>
        </w:rPr>
      </w:pPr>
    </w:p>
    <w:sectPr w:rsidR="00E81F69" w:rsidRPr="00E81F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2E25709"/>
    <w:multiLevelType w:val="hybridMultilevel"/>
    <w:tmpl w:val="E13EA8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8891270"/>
    <w:multiLevelType w:val="hybridMultilevel"/>
    <w:tmpl w:val="C4C8E3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56532346">
    <w:abstractNumId w:val="0"/>
  </w:num>
  <w:num w:numId="2" w16cid:durableId="1659654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F69"/>
    <w:rsid w:val="000B1049"/>
    <w:rsid w:val="00155A7E"/>
    <w:rsid w:val="001D67B5"/>
    <w:rsid w:val="002C075D"/>
    <w:rsid w:val="00320C6F"/>
    <w:rsid w:val="003667A9"/>
    <w:rsid w:val="003F1726"/>
    <w:rsid w:val="004C5AA1"/>
    <w:rsid w:val="005C668E"/>
    <w:rsid w:val="006158B2"/>
    <w:rsid w:val="00636E0D"/>
    <w:rsid w:val="007343E8"/>
    <w:rsid w:val="00755794"/>
    <w:rsid w:val="007F0459"/>
    <w:rsid w:val="00A600A2"/>
    <w:rsid w:val="00A874DA"/>
    <w:rsid w:val="00C7725B"/>
    <w:rsid w:val="00E37B59"/>
    <w:rsid w:val="00E6704B"/>
    <w:rsid w:val="00E81F69"/>
    <w:rsid w:val="00F2777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2BC15"/>
  <w15:chartTrackingRefBased/>
  <w15:docId w15:val="{E5BF7F41-06FA-4CC6-A882-7388AFFBAF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1F6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1F6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1F6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1F6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1F6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1F6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1F6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1F6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1F6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1F6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1F6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1F6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1F6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1F6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1F6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1F6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1F6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1F69"/>
    <w:rPr>
      <w:rFonts w:eastAsiaTheme="majorEastAsia" w:cstheme="majorBidi"/>
      <w:color w:val="272727" w:themeColor="text1" w:themeTint="D8"/>
    </w:rPr>
  </w:style>
  <w:style w:type="paragraph" w:styleId="Title">
    <w:name w:val="Title"/>
    <w:basedOn w:val="Normal"/>
    <w:next w:val="Normal"/>
    <w:link w:val="TitleChar"/>
    <w:uiPriority w:val="10"/>
    <w:qFormat/>
    <w:rsid w:val="00E81F6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1F6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1F6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1F6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1F69"/>
    <w:pPr>
      <w:spacing w:before="160"/>
      <w:jc w:val="center"/>
    </w:pPr>
    <w:rPr>
      <w:i/>
      <w:iCs/>
      <w:color w:val="404040" w:themeColor="text1" w:themeTint="BF"/>
    </w:rPr>
  </w:style>
  <w:style w:type="character" w:customStyle="1" w:styleId="QuoteChar">
    <w:name w:val="Quote Char"/>
    <w:basedOn w:val="DefaultParagraphFont"/>
    <w:link w:val="Quote"/>
    <w:uiPriority w:val="29"/>
    <w:rsid w:val="00E81F69"/>
    <w:rPr>
      <w:i/>
      <w:iCs/>
      <w:color w:val="404040" w:themeColor="text1" w:themeTint="BF"/>
    </w:rPr>
  </w:style>
  <w:style w:type="paragraph" w:styleId="ListParagraph">
    <w:name w:val="List Paragraph"/>
    <w:basedOn w:val="Normal"/>
    <w:uiPriority w:val="34"/>
    <w:qFormat/>
    <w:rsid w:val="00E81F69"/>
    <w:pPr>
      <w:ind w:left="720"/>
      <w:contextualSpacing/>
    </w:pPr>
  </w:style>
  <w:style w:type="character" w:styleId="IntenseEmphasis">
    <w:name w:val="Intense Emphasis"/>
    <w:basedOn w:val="DefaultParagraphFont"/>
    <w:uiPriority w:val="21"/>
    <w:qFormat/>
    <w:rsid w:val="00E81F69"/>
    <w:rPr>
      <w:i/>
      <w:iCs/>
      <w:color w:val="0F4761" w:themeColor="accent1" w:themeShade="BF"/>
    </w:rPr>
  </w:style>
  <w:style w:type="paragraph" w:styleId="IntenseQuote">
    <w:name w:val="Intense Quote"/>
    <w:basedOn w:val="Normal"/>
    <w:next w:val="Normal"/>
    <w:link w:val="IntenseQuoteChar"/>
    <w:uiPriority w:val="30"/>
    <w:qFormat/>
    <w:rsid w:val="00E81F6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1F69"/>
    <w:rPr>
      <w:i/>
      <w:iCs/>
      <w:color w:val="0F4761" w:themeColor="accent1" w:themeShade="BF"/>
    </w:rPr>
  </w:style>
  <w:style w:type="character" w:styleId="IntenseReference">
    <w:name w:val="Intense Reference"/>
    <w:basedOn w:val="DefaultParagraphFont"/>
    <w:uiPriority w:val="32"/>
    <w:qFormat/>
    <w:rsid w:val="00E81F69"/>
    <w:rPr>
      <w:b/>
      <w:bCs/>
      <w:smallCaps/>
      <w:color w:val="0F4761" w:themeColor="accent1" w:themeShade="BF"/>
      <w:spacing w:val="5"/>
    </w:rPr>
  </w:style>
  <w:style w:type="character" w:styleId="Hyperlink">
    <w:name w:val="Hyperlink"/>
    <w:basedOn w:val="DefaultParagraphFont"/>
    <w:uiPriority w:val="99"/>
    <w:semiHidden/>
    <w:unhideWhenUsed/>
    <w:rsid w:val="00F2777D"/>
    <w:rPr>
      <w:color w:val="467886" w:themeColor="hyperlink"/>
      <w:u w:val="single"/>
    </w:rPr>
  </w:style>
  <w:style w:type="character" w:styleId="FollowedHyperlink">
    <w:name w:val="FollowedHyperlink"/>
    <w:basedOn w:val="DefaultParagraphFont"/>
    <w:uiPriority w:val="99"/>
    <w:semiHidden/>
    <w:unhideWhenUsed/>
    <w:rsid w:val="003667A9"/>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7730885">
      <w:bodyDiv w:val="1"/>
      <w:marLeft w:val="0"/>
      <w:marRight w:val="0"/>
      <w:marTop w:val="0"/>
      <w:marBottom w:val="0"/>
      <w:divBdr>
        <w:top w:val="none" w:sz="0" w:space="0" w:color="auto"/>
        <w:left w:val="none" w:sz="0" w:space="0" w:color="auto"/>
        <w:bottom w:val="none" w:sz="0" w:space="0" w:color="auto"/>
        <w:right w:val="none" w:sz="0" w:space="0" w:color="auto"/>
      </w:divBdr>
    </w:div>
    <w:div w:id="1156645720">
      <w:bodyDiv w:val="1"/>
      <w:marLeft w:val="0"/>
      <w:marRight w:val="0"/>
      <w:marTop w:val="0"/>
      <w:marBottom w:val="0"/>
      <w:divBdr>
        <w:top w:val="none" w:sz="0" w:space="0" w:color="auto"/>
        <w:left w:val="none" w:sz="0" w:space="0" w:color="auto"/>
        <w:bottom w:val="none" w:sz="0" w:space="0" w:color="auto"/>
        <w:right w:val="none" w:sz="0" w:space="0" w:color="auto"/>
      </w:divBdr>
    </w:div>
    <w:div w:id="1162283665">
      <w:bodyDiv w:val="1"/>
      <w:marLeft w:val="0"/>
      <w:marRight w:val="0"/>
      <w:marTop w:val="0"/>
      <w:marBottom w:val="0"/>
      <w:divBdr>
        <w:top w:val="none" w:sz="0" w:space="0" w:color="auto"/>
        <w:left w:val="none" w:sz="0" w:space="0" w:color="auto"/>
        <w:bottom w:val="none" w:sz="0" w:space="0" w:color="auto"/>
        <w:right w:val="none" w:sz="0" w:space="0" w:color="auto"/>
      </w:divBdr>
    </w:div>
    <w:div w:id="1254237686">
      <w:bodyDiv w:val="1"/>
      <w:marLeft w:val="0"/>
      <w:marRight w:val="0"/>
      <w:marTop w:val="0"/>
      <w:marBottom w:val="0"/>
      <w:divBdr>
        <w:top w:val="none" w:sz="0" w:space="0" w:color="auto"/>
        <w:left w:val="none" w:sz="0" w:space="0" w:color="auto"/>
        <w:bottom w:val="none" w:sz="0" w:space="0" w:color="auto"/>
        <w:right w:val="none" w:sz="0" w:space="0" w:color="auto"/>
      </w:divBdr>
    </w:div>
    <w:div w:id="1367487832">
      <w:bodyDiv w:val="1"/>
      <w:marLeft w:val="0"/>
      <w:marRight w:val="0"/>
      <w:marTop w:val="0"/>
      <w:marBottom w:val="0"/>
      <w:divBdr>
        <w:top w:val="none" w:sz="0" w:space="0" w:color="auto"/>
        <w:left w:val="none" w:sz="0" w:space="0" w:color="auto"/>
        <w:bottom w:val="none" w:sz="0" w:space="0" w:color="auto"/>
        <w:right w:val="none" w:sz="0" w:space="0" w:color="auto"/>
      </w:divBdr>
    </w:div>
    <w:div w:id="1417098087">
      <w:bodyDiv w:val="1"/>
      <w:marLeft w:val="0"/>
      <w:marRight w:val="0"/>
      <w:marTop w:val="0"/>
      <w:marBottom w:val="0"/>
      <w:divBdr>
        <w:top w:val="none" w:sz="0" w:space="0" w:color="auto"/>
        <w:left w:val="none" w:sz="0" w:space="0" w:color="auto"/>
        <w:bottom w:val="none" w:sz="0" w:space="0" w:color="auto"/>
        <w:right w:val="none" w:sz="0" w:space="0" w:color="auto"/>
      </w:divBdr>
    </w:div>
    <w:div w:id="1451051252">
      <w:bodyDiv w:val="1"/>
      <w:marLeft w:val="0"/>
      <w:marRight w:val="0"/>
      <w:marTop w:val="0"/>
      <w:marBottom w:val="0"/>
      <w:divBdr>
        <w:top w:val="none" w:sz="0" w:space="0" w:color="auto"/>
        <w:left w:val="none" w:sz="0" w:space="0" w:color="auto"/>
        <w:bottom w:val="none" w:sz="0" w:space="0" w:color="auto"/>
        <w:right w:val="none" w:sz="0" w:space="0" w:color="auto"/>
      </w:divBdr>
    </w:div>
    <w:div w:id="1704596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laridges.co.uk/"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3093</Words>
  <Characters>17633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Adriana mitran</dc:creator>
  <cp:keywords/>
  <dc:description/>
  <cp:lastModifiedBy>Adriana mitran</cp:lastModifiedBy>
  <cp:revision>10</cp:revision>
  <dcterms:created xsi:type="dcterms:W3CDTF">2025-02-04T08:07:00Z</dcterms:created>
  <dcterms:modified xsi:type="dcterms:W3CDTF">2025-02-05T19:35:00Z</dcterms:modified>
</cp:coreProperties>
</file>