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674AA" w14:textId="248164A3" w:rsidR="00925514" w:rsidRPr="00140B79" w:rsidRDefault="00C7593A" w:rsidP="00C7593A">
      <w:pPr>
        <w:jc w:val="center"/>
        <w:rPr>
          <w:rFonts w:ascii="Times New Roman" w:hAnsi="Times New Roman" w:cs="Times New Roman"/>
          <w:b/>
          <w:bCs/>
          <w:sz w:val="24"/>
          <w:szCs w:val="24"/>
        </w:rPr>
      </w:pPr>
      <w:r w:rsidRPr="00140B79">
        <w:rPr>
          <w:rFonts w:ascii="Times New Roman" w:hAnsi="Times New Roman" w:cs="Times New Roman"/>
          <w:b/>
          <w:bCs/>
          <w:sz w:val="24"/>
          <w:szCs w:val="24"/>
        </w:rPr>
        <w:t>Combustion and emission simulation of methane-gasoline dual fuel SI engine</w:t>
      </w:r>
    </w:p>
    <w:p w14:paraId="4CC3BCAC" w14:textId="1E29B542" w:rsidR="00140B79" w:rsidRPr="002C3CE5" w:rsidRDefault="00140B79" w:rsidP="006C74CA">
      <w:pPr>
        <w:spacing w:beforeLines="50" w:before="156"/>
        <w:jc w:val="center"/>
        <w:rPr>
          <w:rFonts w:ascii="Times New Roman" w:hAnsi="Times New Roman" w:cs="Times New Roman" w:hint="eastAsia"/>
          <w:szCs w:val="21"/>
        </w:rPr>
      </w:pPr>
      <w:r>
        <w:rPr>
          <w:rFonts w:ascii="Times New Roman" w:hAnsi="Times New Roman" w:cs="Times New Roman" w:hint="eastAsia"/>
          <w:szCs w:val="21"/>
        </w:rPr>
        <w:t>Zihao Wen 2300258</w:t>
      </w:r>
    </w:p>
    <w:p w14:paraId="5F82E39D" w14:textId="32DD7A5E" w:rsidR="00C7593A" w:rsidRPr="00140B79" w:rsidRDefault="00C7593A" w:rsidP="00140B79">
      <w:pPr>
        <w:spacing w:beforeLines="50" w:before="156"/>
        <w:rPr>
          <w:rFonts w:ascii="Times New Roman" w:hAnsi="Times New Roman" w:cs="Times New Roman"/>
          <w:b/>
          <w:bCs/>
          <w:szCs w:val="21"/>
        </w:rPr>
      </w:pPr>
      <w:r w:rsidRPr="00140B79">
        <w:rPr>
          <w:rFonts w:ascii="Times New Roman" w:hAnsi="Times New Roman" w:cs="Times New Roman"/>
          <w:b/>
          <w:bCs/>
          <w:szCs w:val="21"/>
        </w:rPr>
        <w:t>Abstract</w:t>
      </w:r>
    </w:p>
    <w:p w14:paraId="5E8CA4C6" w14:textId="6B5D3489" w:rsidR="00C7593A" w:rsidRPr="002C3CE5" w:rsidRDefault="00C7593A" w:rsidP="00C7593A">
      <w:pPr>
        <w:rPr>
          <w:rFonts w:ascii="Times New Roman" w:hAnsi="Times New Roman" w:cs="Times New Roman" w:hint="eastAsia"/>
          <w:szCs w:val="21"/>
        </w:rPr>
      </w:pPr>
      <w:r w:rsidRPr="002C3CE5">
        <w:rPr>
          <w:rFonts w:ascii="Times New Roman" w:hAnsi="Times New Roman" w:cs="Times New Roman"/>
          <w:szCs w:val="21"/>
        </w:rPr>
        <w:t xml:space="preserve">Under the background of increasingly tight oil resources and increasingly serious environmental pollution, the search for efficient and environmentally friendly engine fuel has become an important research direction in the field of internal combustion engine. Based on ANSYS Forte and Ricardo WAVE software, combustion and emission characteristics of a methane-gasoline dual-fuel SI engine </w:t>
      </w:r>
      <w:proofErr w:type="gramStart"/>
      <w:r w:rsidRPr="002C3CE5">
        <w:rPr>
          <w:rFonts w:ascii="Times New Roman" w:hAnsi="Times New Roman" w:cs="Times New Roman"/>
          <w:szCs w:val="21"/>
        </w:rPr>
        <w:t>are</w:t>
      </w:r>
      <w:proofErr w:type="gramEnd"/>
      <w:r w:rsidRPr="002C3CE5">
        <w:rPr>
          <w:rFonts w:ascii="Times New Roman" w:hAnsi="Times New Roman" w:cs="Times New Roman"/>
          <w:szCs w:val="21"/>
        </w:rPr>
        <w:t xml:space="preserve"> constructed and simulated. Through the simulation of single cylinder and </w:t>
      </w:r>
      <w:proofErr w:type="gramStart"/>
      <w:r w:rsidRPr="002C3CE5">
        <w:rPr>
          <w:rFonts w:ascii="Times New Roman" w:hAnsi="Times New Roman" w:cs="Times New Roman"/>
          <w:szCs w:val="21"/>
        </w:rPr>
        <w:t>four cylinder</w:t>
      </w:r>
      <w:proofErr w:type="gramEnd"/>
      <w:r w:rsidRPr="002C3CE5">
        <w:rPr>
          <w:rFonts w:ascii="Times New Roman" w:hAnsi="Times New Roman" w:cs="Times New Roman"/>
          <w:szCs w:val="21"/>
        </w:rPr>
        <w:t xml:space="preserve"> engine models, the effects of methane addition on engine performance were studied and the emission products were compared. The results show that the addition of methane has NO negative impact on engine performance in terms of torque and pressure performance, while effectively reducing CO, NO and NO2 emissions. The results indicate that methane-gasoline hybrid fuel has a significant contribution to reducing greenhouse gas emissions and improving combustion cleanliness. This study provides some data and theoretical support for the development of alternative fuels and emission control of internal combustion engine, which is of great significance for promoting the green transformation of internal combustion engine technology.</w:t>
      </w:r>
    </w:p>
    <w:p w14:paraId="73312A85" w14:textId="2496C42B" w:rsidR="00C7593A" w:rsidRPr="00140B79" w:rsidRDefault="00C7593A" w:rsidP="00140B79">
      <w:pPr>
        <w:spacing w:beforeLines="50" w:before="156"/>
        <w:rPr>
          <w:rFonts w:ascii="Times New Roman" w:hAnsi="Times New Roman" w:cs="Times New Roman"/>
          <w:b/>
          <w:bCs/>
          <w:szCs w:val="21"/>
        </w:rPr>
      </w:pPr>
      <w:r w:rsidRPr="00140B79">
        <w:rPr>
          <w:rFonts w:ascii="Times New Roman" w:hAnsi="Times New Roman" w:cs="Times New Roman"/>
          <w:b/>
          <w:bCs/>
          <w:szCs w:val="21"/>
        </w:rPr>
        <w:t>Introduction</w:t>
      </w:r>
    </w:p>
    <w:p w14:paraId="3998CCAF" w14:textId="413F50B2" w:rsidR="00C7593A" w:rsidRPr="002C3CE5" w:rsidRDefault="00C7593A" w:rsidP="00C7593A">
      <w:pPr>
        <w:rPr>
          <w:rFonts w:ascii="Times New Roman" w:hAnsi="Times New Roman" w:cs="Times New Roman"/>
          <w:szCs w:val="21"/>
        </w:rPr>
      </w:pPr>
      <w:r w:rsidRPr="002C3CE5">
        <w:rPr>
          <w:rFonts w:ascii="Times New Roman" w:hAnsi="Times New Roman" w:cs="Times New Roman"/>
          <w:szCs w:val="21"/>
        </w:rPr>
        <w:t xml:space="preserve">One of the greatest inventions of the 20th century was the automobile, the advantages of which became clear due to the long driving range of gasoline cars and later improvements in thermal efficiency, starting power, and noise emissions. Subsequently, oil has been recognized as the main fuel of motor vehicles in the world, thus determining the dominant position of gasoline vehicles, making the internal combustion engine has been rapidly developed. However, with the development of society and economy, the number of motor vehicles is increasing year by year at a high speed. As a non-renewable fossil fuel, oil resources are already stretched, so energy conservation and emission reduction </w:t>
      </w:r>
      <w:proofErr w:type="gramStart"/>
      <w:r w:rsidRPr="002C3CE5">
        <w:rPr>
          <w:rFonts w:ascii="Times New Roman" w:hAnsi="Times New Roman" w:cs="Times New Roman"/>
          <w:szCs w:val="21"/>
        </w:rPr>
        <w:t>is</w:t>
      </w:r>
      <w:proofErr w:type="gramEnd"/>
      <w:r w:rsidRPr="002C3CE5">
        <w:rPr>
          <w:rFonts w:ascii="Times New Roman" w:hAnsi="Times New Roman" w:cs="Times New Roman"/>
          <w:szCs w:val="21"/>
        </w:rPr>
        <w:t xml:space="preserve"> an imminent problem.</w:t>
      </w:r>
    </w:p>
    <w:p w14:paraId="7D009D3C" w14:textId="61095750" w:rsidR="00C7593A" w:rsidRPr="002C3CE5" w:rsidRDefault="00C7593A" w:rsidP="00C7593A">
      <w:pPr>
        <w:rPr>
          <w:rFonts w:ascii="Times New Roman" w:hAnsi="Times New Roman" w:cs="Times New Roman"/>
          <w:szCs w:val="21"/>
        </w:rPr>
      </w:pPr>
      <w:r w:rsidRPr="002C3CE5">
        <w:rPr>
          <w:rFonts w:ascii="Times New Roman" w:hAnsi="Times New Roman" w:cs="Times New Roman"/>
          <w:szCs w:val="21"/>
        </w:rPr>
        <w:t>At present, an important measure for gasoline engines to deal with energy saving and emission reduction is small strengthening, that is, gasoline engines are developing in the direction of miniaturization and lightweight, but still to ensure high power, torque and other output, which requires the use of supercharging technology, especially at low speed to maintain the maximum output torque as much as possible. However, the turbocharging technology of gasoline engine will bring the problem of knocking under the condition of large load, especially at low speed, and even early ignition phenomenon. In order to solve this problem, the engine usually adopts measures such as delaying ignition, enriching fuel, or adding additives to gasoline to improve the octane number of gasoline to solve the knock problem.</w:t>
      </w:r>
    </w:p>
    <w:p w14:paraId="613C84ED" w14:textId="7BEF7744" w:rsidR="00C7593A" w:rsidRPr="002C3CE5" w:rsidRDefault="00C7593A" w:rsidP="00C7593A">
      <w:pPr>
        <w:rPr>
          <w:rFonts w:ascii="Times New Roman" w:hAnsi="Times New Roman" w:cs="Times New Roman"/>
          <w:szCs w:val="21"/>
        </w:rPr>
      </w:pPr>
      <w:r w:rsidRPr="002C3CE5">
        <w:rPr>
          <w:rFonts w:ascii="Times New Roman" w:hAnsi="Times New Roman" w:cs="Times New Roman"/>
          <w:szCs w:val="21"/>
        </w:rPr>
        <w:t>On the other hand, the engine is now mainly fueled by oil, and the scarcity of oil and environmental problems caused by internal combustion engine emissions have become a huge challenge for the internal combustion engine industry, so efficient and clean alternative fuels and their utilization efficiency have attracted more and more attention</w:t>
      </w:r>
      <w:r w:rsidR="00486CA7">
        <w:rPr>
          <w:rFonts w:ascii="Times New Roman" w:hAnsi="Times New Roman" w:cs="Times New Roman"/>
          <w:szCs w:val="21"/>
        </w:rPr>
        <w:fldChar w:fldCharType="begin"/>
      </w:r>
      <w:r w:rsidR="00486CA7">
        <w:rPr>
          <w:rFonts w:ascii="Times New Roman" w:hAnsi="Times New Roman" w:cs="Times New Roman"/>
          <w:szCs w:val="21"/>
        </w:rPr>
        <w:instrText xml:space="preserve"> ADDIN ZOTERO_ITEM CSL_CITATION {"citationID":"JE7Kf5lh","properties":{"formattedCitation":"[1]","plainCitation":"[1]","noteIndex":0},"citationItems":[{"id":52,"uris":["http://zotero.org/users/local/5Y2y2iOu/items/WZC3K7TN"],"itemData":{"id":52,"type":"article-journal","abstract":"Bioethanol fuel obtained from biomass and bioenergy crops has been proclaimed as one of the feasible alternative to gasoline fuel, as it is considered to be clean, renewable and green. In this review, the bioethanol production techniques from different lignocellulosic biomass, and its potential ethanol yield are studied. Moreover, this paper has reviewed the effects of bioethanol fuel blends on spark ignition engine combustion characteristics (i.e. cylinder pressure, cylinder temperature, ﬂame speed, combustion efﬁciency, combustion duration, heat release rate, knocking and cold start); engine performance parameters (i.e. torque, brake power, brake speciﬁc fuel consumption, brake mean effective pressure, brake thermal efﬁciency and volumetric efﬁciency); and emission characteristics (i.e. carbon monoxide, oxides of nitrogen, carbon dioxide, unburned hydrocarbon and other unregulated emissions).","container-title":"Renewable and Sustainable Energy Reviews","DOI":"10.1016/j.rser.2015.11.089","ISSN":"13640321","journalAbbreviation":"Renewable and Sustainable Energy Reviews","language":"en","page":"820-835","source":"DOI.org (Crossref)","title":"Review on bioethanol as alternative fuel for spark ignition engines","volume":"56","author":[{"family":"Thangavelu","given":"Saravana Kannan"},{"family":"Ahmed","given":"Abu Saleh"},{"family":"Ani","given":"Farid Nasir"}],"issued":{"date-parts":[["2016",4]]}}}],"schema":"https://github.com/citation-style-language/schema/raw/master/csl-citation.json"} </w:instrText>
      </w:r>
      <w:r w:rsidR="00486CA7">
        <w:rPr>
          <w:rFonts w:ascii="Times New Roman" w:hAnsi="Times New Roman" w:cs="Times New Roman"/>
          <w:szCs w:val="21"/>
        </w:rPr>
        <w:fldChar w:fldCharType="separate"/>
      </w:r>
      <w:r w:rsidR="00486CA7" w:rsidRPr="00486CA7">
        <w:rPr>
          <w:rFonts w:ascii="Times New Roman" w:hAnsi="Times New Roman" w:cs="Times New Roman"/>
        </w:rPr>
        <w:t>[1]</w:t>
      </w:r>
      <w:r w:rsidR="00486CA7">
        <w:rPr>
          <w:rFonts w:ascii="Times New Roman" w:hAnsi="Times New Roman" w:cs="Times New Roman"/>
          <w:szCs w:val="21"/>
        </w:rPr>
        <w:fldChar w:fldCharType="end"/>
      </w:r>
      <w:r w:rsidRPr="002C3CE5">
        <w:rPr>
          <w:rFonts w:ascii="Times New Roman" w:hAnsi="Times New Roman" w:cs="Times New Roman"/>
          <w:szCs w:val="21"/>
        </w:rPr>
        <w:t xml:space="preserve">. Methane (CH4) is a renewable biomass energy source and a major component of natural gas, combustible ice and shale gas, which are currently abundant, cheap and widely used around the world. With the development of combustible ice mining technology, combustible ice will play a huge role in human society. The chemical and physical parameters of methane in gasoline are shown in Table 1. The hydrogen carbon of methane is 40% higher than that of gasoline. Under the same thermal efficiency condition, the theoretical CO2 </w:t>
      </w:r>
      <w:r w:rsidRPr="002C3CE5">
        <w:rPr>
          <w:rFonts w:ascii="Times New Roman" w:hAnsi="Times New Roman" w:cs="Times New Roman"/>
          <w:szCs w:val="21"/>
        </w:rPr>
        <w:lastRenderedPageBreak/>
        <w:t>emission of methane can be reduced by 23% compared with gasoline</w:t>
      </w:r>
      <w:r w:rsidR="00486CA7">
        <w:rPr>
          <w:rFonts w:ascii="Times New Roman" w:hAnsi="Times New Roman" w:cs="Times New Roman"/>
          <w:szCs w:val="21"/>
        </w:rPr>
        <w:fldChar w:fldCharType="begin"/>
      </w:r>
      <w:r w:rsidR="00486CA7">
        <w:rPr>
          <w:rFonts w:ascii="Times New Roman" w:hAnsi="Times New Roman" w:cs="Times New Roman"/>
          <w:szCs w:val="21"/>
        </w:rPr>
        <w:instrText xml:space="preserve"> ADDIN ZOTERO_ITEM CSL_CITATION {"citationID":"ja5f7JhH","properties":{"formattedCitation":"[2]","plainCitation":"[2]","noteIndex":0},"citationItems":[{"id":48,"uris":["http://zotero.org/users/local/5Y2y2iOu/items/AKGP7BV3"],"itemData":{"id":48,"type":"article-journal","abstract":"Natural gas is a fossil fuel that has been used and investigated extensively for use in spark-ignition (SI) and compression-ignition (CI) engines. Compared with conventional gasoline engines, SI engines using natural gas can run at higher compression ratios, thus producing higher thermal efﬁciencies but also increased nitrogen oxide (NOx) emissions, while producing lower emissions of carbon dioxide (CO2), unburned hydrocarbons (HC) and carbon monoxide (CO). These engines also produce relatively less power than gasoline-fueled engines because of the convergence of one or more of three factors: a reduction in volumetric efﬁciency due to natural-gas injection in the intake manifold; the lower stoichiometric fuel/air ratio of natural gas compared to gasoline; and the lower equivalence ratio at which these engines may be run in order to reduce NOx emissions. High NOx emissions, especially at high loads, reduce with exhaust gas recirculation (EGR). However, EGR rates above a maximum value result in misﬁre and erratic engine operation. Hydrogen gas addition increases this EGR threshold signiﬁcantly. In addition, hydrogen increases the ﬂame speed of the natural gasehydrogen mixture. Power levels can be increased with supercharging or turbocharging and intercooling. Natural gas is used to power CI engines via the dual-fuel mode, where a high-cetane fuel is injected along with the natural gas in order to provide a source of ignition for the charge. Thermal efﬁciency levels compared with normal diesel-fueled CI-engine operation are generally maintained with dual-fuel operation, and smoke levels are reduced signiﬁcantly. At the same time, lower NOx and CO2 emissions, as well as higher HC and CO emissions compared with normal CI-engine operation at low and intermediate loads are recorded. These trends are caused by the low charge temperature and increased ignition delay, resulting in low combustion temperatures. Another factor is insufﬁcient penetration and distribution of the pilot fuel in the charge, resulting in a lack of ignition centers. EGR admission at low and intermediate loads increases combustion temperatures, lowering unburned HC and CO emissions. Larger pilot fuel quantities at these load levels and hydrogen gas addition can also help increase combustion efﬁciency. Power output is lower at certain conditions than diesel-fueled engines, for reasons similar to those affecting power output of SI engines. In both cases the power output can be maintained with direct injection. Overall, natural gas can be used in both engine types; however further reﬁnement and optimization of engines and fuel-injection systems is needed. Ó 2010 Elsevier Ltd. All rights reserved.","container-title":"Progress in Energy and Combustion Science","DOI":"10.1016/j.pecs.2010.04.002","ISSN":"03601285","issue":"1","journalAbbreviation":"Progress in Energy and Combustion Science","language":"en","license":"https://www.elsevier.com/tdm/userlicense/1.0/","page":"89-112","source":"DOI.org (Crossref)","title":"Natural-gas fueled spark-ignition (SI) and compression-ignition (CI) engine performance and emissions","volume":"37","author":[{"family":"Korakianitis","given":"T."},{"family":"Namasivayam","given":"A.M."},{"family":"Crookes","given":"R.J."}],"issued":{"date-parts":[["2011",2]]}}}],"schema":"https://github.com/citation-style-language/schema/raw/master/csl-citation.json"} </w:instrText>
      </w:r>
      <w:r w:rsidR="00486CA7">
        <w:rPr>
          <w:rFonts w:ascii="Times New Roman" w:hAnsi="Times New Roman" w:cs="Times New Roman"/>
          <w:szCs w:val="21"/>
        </w:rPr>
        <w:fldChar w:fldCharType="separate"/>
      </w:r>
      <w:r w:rsidR="00486CA7" w:rsidRPr="00486CA7">
        <w:rPr>
          <w:rFonts w:ascii="Times New Roman" w:hAnsi="Times New Roman" w:cs="Times New Roman"/>
        </w:rPr>
        <w:t>[2]</w:t>
      </w:r>
      <w:r w:rsidR="00486CA7">
        <w:rPr>
          <w:rFonts w:ascii="Times New Roman" w:hAnsi="Times New Roman" w:cs="Times New Roman"/>
          <w:szCs w:val="21"/>
        </w:rPr>
        <w:fldChar w:fldCharType="end"/>
      </w:r>
      <w:r w:rsidRPr="002C3CE5">
        <w:rPr>
          <w:rFonts w:ascii="Times New Roman" w:hAnsi="Times New Roman" w:cs="Times New Roman"/>
          <w:szCs w:val="21"/>
        </w:rPr>
        <w:t xml:space="preserve">. At the same time, methane has a </w:t>
      </w:r>
      <w:proofErr w:type="gramStart"/>
      <w:r w:rsidRPr="002C3CE5">
        <w:rPr>
          <w:rFonts w:ascii="Times New Roman" w:hAnsi="Times New Roman" w:cs="Times New Roman"/>
          <w:szCs w:val="21"/>
        </w:rPr>
        <w:t>higher octane</w:t>
      </w:r>
      <w:proofErr w:type="gramEnd"/>
      <w:r w:rsidRPr="002C3CE5">
        <w:rPr>
          <w:rFonts w:ascii="Times New Roman" w:hAnsi="Times New Roman" w:cs="Times New Roman"/>
          <w:szCs w:val="21"/>
        </w:rPr>
        <w:t xml:space="preserve"> number (RON=125), and has better knock resistance than gasoline, which is conducive to solving the knock problem that limits the further improvement of the thermal efficiency of modern high-supercharged SI engines. At the same time, methane is difficult to produce carbon smoke because of its small molecules, so there </w:t>
      </w:r>
      <w:proofErr w:type="gramStart"/>
      <w:r w:rsidRPr="002C3CE5">
        <w:rPr>
          <w:rFonts w:ascii="Times New Roman" w:hAnsi="Times New Roman" w:cs="Times New Roman"/>
          <w:szCs w:val="21"/>
        </w:rPr>
        <w:t>is</w:t>
      </w:r>
      <w:proofErr w:type="gramEnd"/>
      <w:r w:rsidRPr="002C3CE5">
        <w:rPr>
          <w:rFonts w:ascii="Times New Roman" w:hAnsi="Times New Roman" w:cs="Times New Roman"/>
          <w:szCs w:val="21"/>
        </w:rPr>
        <w:t xml:space="preserve"> almost no particulate matter emissions. However, the gas fuel also has some shortcomings, for example, because the gas fuel does not have the cooling and lubrication effect of the liquid fuel, the intake valve is exposed to high temperature, so the wear between the intake valve and the valve seat of the CNG engine is more serious. In addition, poor ignitability and slow flame propagation are also important challenges for the use of methane in internal combustion engines.</w:t>
      </w:r>
    </w:p>
    <w:p w14:paraId="69B19794" w14:textId="77777777" w:rsidR="00C7593A" w:rsidRPr="002C3CE5" w:rsidRDefault="00C7593A" w:rsidP="00C7593A">
      <w:pPr>
        <w:pStyle w:val="a4"/>
        <w:keepNext/>
        <w:jc w:val="center"/>
        <w:rPr>
          <w:rFonts w:ascii="Times New Roman" w:hAnsi="Times New Roman" w:cs="Times New Roman"/>
          <w:sz w:val="21"/>
          <w:szCs w:val="21"/>
        </w:rPr>
      </w:pPr>
      <w:r w:rsidRPr="002C3CE5">
        <w:rPr>
          <w:rFonts w:ascii="Times New Roman" w:hAnsi="Times New Roman" w:cs="Times New Roman"/>
          <w:sz w:val="21"/>
          <w:szCs w:val="21"/>
        </w:rPr>
        <w:t>Table 1 the physical and chemical parameters of gasoline and methane</w:t>
      </w:r>
    </w:p>
    <w:tbl>
      <w:tblPr>
        <w:tblStyle w:val="a3"/>
        <w:tblW w:w="0" w:type="auto"/>
        <w:tblLook w:val="04A0" w:firstRow="1" w:lastRow="0" w:firstColumn="1" w:lastColumn="0" w:noHBand="0" w:noVBand="1"/>
      </w:tblPr>
      <w:tblGrid>
        <w:gridCol w:w="3681"/>
        <w:gridCol w:w="2268"/>
        <w:gridCol w:w="2347"/>
      </w:tblGrid>
      <w:tr w:rsidR="00C7593A" w:rsidRPr="002C3CE5" w14:paraId="71D2A87B" w14:textId="77777777" w:rsidTr="00C24C48">
        <w:tc>
          <w:tcPr>
            <w:tcW w:w="3681" w:type="dxa"/>
            <w:vAlign w:val="center"/>
          </w:tcPr>
          <w:p w14:paraId="5D10FD21"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Fuel type</w:t>
            </w:r>
          </w:p>
        </w:tc>
        <w:tc>
          <w:tcPr>
            <w:tcW w:w="2268" w:type="dxa"/>
            <w:vAlign w:val="center"/>
          </w:tcPr>
          <w:p w14:paraId="6FCBB832"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gasoline</w:t>
            </w:r>
          </w:p>
        </w:tc>
        <w:tc>
          <w:tcPr>
            <w:tcW w:w="2347" w:type="dxa"/>
            <w:vAlign w:val="center"/>
          </w:tcPr>
          <w:p w14:paraId="756654DD"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methane</w:t>
            </w:r>
          </w:p>
        </w:tc>
      </w:tr>
      <w:tr w:rsidR="00C7593A" w:rsidRPr="002C3CE5" w14:paraId="16A1495D" w14:textId="77777777" w:rsidTr="00C24C48">
        <w:tc>
          <w:tcPr>
            <w:tcW w:w="3681" w:type="dxa"/>
            <w:vAlign w:val="center"/>
          </w:tcPr>
          <w:p w14:paraId="39965CD0"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Chemical formula</w:t>
            </w:r>
          </w:p>
        </w:tc>
        <w:tc>
          <w:tcPr>
            <w:tcW w:w="2268" w:type="dxa"/>
            <w:vAlign w:val="center"/>
          </w:tcPr>
          <w:p w14:paraId="58736137"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C4-C12</w:t>
            </w:r>
          </w:p>
        </w:tc>
        <w:tc>
          <w:tcPr>
            <w:tcW w:w="2347" w:type="dxa"/>
            <w:vAlign w:val="center"/>
          </w:tcPr>
          <w:p w14:paraId="5D656A06"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CH4</w:t>
            </w:r>
          </w:p>
        </w:tc>
      </w:tr>
      <w:tr w:rsidR="00C7593A" w:rsidRPr="002C3CE5" w14:paraId="403DA9F1" w14:textId="77777777" w:rsidTr="00C24C48">
        <w:tc>
          <w:tcPr>
            <w:tcW w:w="3681" w:type="dxa"/>
            <w:vAlign w:val="center"/>
          </w:tcPr>
          <w:p w14:paraId="44883ED0"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C/H (%)</w:t>
            </w:r>
          </w:p>
        </w:tc>
        <w:tc>
          <w:tcPr>
            <w:tcW w:w="2268" w:type="dxa"/>
            <w:vAlign w:val="center"/>
          </w:tcPr>
          <w:p w14:paraId="39DE9D16"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0.56</w:t>
            </w:r>
          </w:p>
        </w:tc>
        <w:tc>
          <w:tcPr>
            <w:tcW w:w="2347" w:type="dxa"/>
            <w:vAlign w:val="center"/>
          </w:tcPr>
          <w:p w14:paraId="2C3D2192"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0.25</w:t>
            </w:r>
          </w:p>
        </w:tc>
      </w:tr>
      <w:tr w:rsidR="00C7593A" w:rsidRPr="002C3CE5" w14:paraId="1B7679C2" w14:textId="77777777" w:rsidTr="00C24C48">
        <w:tc>
          <w:tcPr>
            <w:tcW w:w="3681" w:type="dxa"/>
            <w:vAlign w:val="center"/>
          </w:tcPr>
          <w:p w14:paraId="18AD5C78"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Molar mass (kg/mole)</w:t>
            </w:r>
          </w:p>
        </w:tc>
        <w:tc>
          <w:tcPr>
            <w:tcW w:w="2268" w:type="dxa"/>
            <w:vAlign w:val="center"/>
          </w:tcPr>
          <w:p w14:paraId="4DC119DF"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98</w:t>
            </w:r>
          </w:p>
        </w:tc>
        <w:tc>
          <w:tcPr>
            <w:tcW w:w="2347" w:type="dxa"/>
            <w:vAlign w:val="center"/>
          </w:tcPr>
          <w:p w14:paraId="040A5549"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16</w:t>
            </w:r>
          </w:p>
        </w:tc>
      </w:tr>
      <w:tr w:rsidR="00C7593A" w:rsidRPr="002C3CE5" w14:paraId="60BB4AAE" w14:textId="77777777" w:rsidTr="00C24C48">
        <w:tc>
          <w:tcPr>
            <w:tcW w:w="3681" w:type="dxa"/>
            <w:vAlign w:val="center"/>
          </w:tcPr>
          <w:p w14:paraId="2B29CFB6"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Density at standard conditions (kg/m3)</w:t>
            </w:r>
          </w:p>
        </w:tc>
        <w:tc>
          <w:tcPr>
            <w:tcW w:w="2268" w:type="dxa"/>
            <w:vAlign w:val="center"/>
          </w:tcPr>
          <w:p w14:paraId="7E12307C"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720</w:t>
            </w:r>
          </w:p>
        </w:tc>
        <w:tc>
          <w:tcPr>
            <w:tcW w:w="2347" w:type="dxa"/>
            <w:vAlign w:val="center"/>
          </w:tcPr>
          <w:p w14:paraId="1ADB0E2B"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0.67</w:t>
            </w:r>
          </w:p>
        </w:tc>
      </w:tr>
      <w:tr w:rsidR="00C7593A" w:rsidRPr="002C3CE5" w14:paraId="184599DD" w14:textId="77777777" w:rsidTr="00C24C48">
        <w:tc>
          <w:tcPr>
            <w:tcW w:w="3681" w:type="dxa"/>
            <w:vAlign w:val="center"/>
          </w:tcPr>
          <w:p w14:paraId="0C2CE4DC"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Autoignition temperature (°C)</w:t>
            </w:r>
          </w:p>
        </w:tc>
        <w:tc>
          <w:tcPr>
            <w:tcW w:w="2268" w:type="dxa"/>
            <w:vAlign w:val="center"/>
          </w:tcPr>
          <w:p w14:paraId="315471C3"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350</w:t>
            </w:r>
          </w:p>
        </w:tc>
        <w:tc>
          <w:tcPr>
            <w:tcW w:w="2347" w:type="dxa"/>
            <w:vAlign w:val="center"/>
          </w:tcPr>
          <w:p w14:paraId="0F9D1544"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540</w:t>
            </w:r>
          </w:p>
        </w:tc>
      </w:tr>
      <w:tr w:rsidR="00C7593A" w:rsidRPr="002C3CE5" w14:paraId="1BD3BD19" w14:textId="77777777" w:rsidTr="00C24C48">
        <w:tc>
          <w:tcPr>
            <w:tcW w:w="3681" w:type="dxa"/>
            <w:vAlign w:val="center"/>
          </w:tcPr>
          <w:p w14:paraId="412C63B0"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Theoretical air-fuel ratio</w:t>
            </w:r>
          </w:p>
        </w:tc>
        <w:tc>
          <w:tcPr>
            <w:tcW w:w="2268" w:type="dxa"/>
            <w:vAlign w:val="center"/>
          </w:tcPr>
          <w:p w14:paraId="5EF93DD0"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14.6</w:t>
            </w:r>
          </w:p>
        </w:tc>
        <w:tc>
          <w:tcPr>
            <w:tcW w:w="2347" w:type="dxa"/>
            <w:vAlign w:val="center"/>
          </w:tcPr>
          <w:p w14:paraId="1AC53D77"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17.24</w:t>
            </w:r>
          </w:p>
        </w:tc>
      </w:tr>
      <w:tr w:rsidR="00C7593A" w:rsidRPr="002C3CE5" w14:paraId="7D48168D" w14:textId="77777777" w:rsidTr="00C24C48">
        <w:tc>
          <w:tcPr>
            <w:tcW w:w="3681" w:type="dxa"/>
            <w:vAlign w:val="center"/>
          </w:tcPr>
          <w:p w14:paraId="250A2AC5"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Laminar flame velocity in air (m/s)</w:t>
            </w:r>
          </w:p>
        </w:tc>
        <w:tc>
          <w:tcPr>
            <w:tcW w:w="2268" w:type="dxa"/>
            <w:vAlign w:val="center"/>
          </w:tcPr>
          <w:p w14:paraId="1217945F"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0.45</w:t>
            </w:r>
          </w:p>
        </w:tc>
        <w:tc>
          <w:tcPr>
            <w:tcW w:w="2347" w:type="dxa"/>
            <w:vAlign w:val="center"/>
          </w:tcPr>
          <w:p w14:paraId="2DA3BAF5" w14:textId="77777777" w:rsidR="00C7593A" w:rsidRPr="002C3CE5" w:rsidRDefault="00C7593A" w:rsidP="00C24C48">
            <w:pPr>
              <w:jc w:val="center"/>
              <w:rPr>
                <w:rFonts w:ascii="Times New Roman" w:hAnsi="Times New Roman" w:cs="Times New Roman"/>
                <w:szCs w:val="21"/>
              </w:rPr>
            </w:pPr>
            <w:r w:rsidRPr="002C3CE5">
              <w:rPr>
                <w:rFonts w:ascii="Times New Roman" w:hAnsi="Times New Roman" w:cs="Times New Roman"/>
                <w:szCs w:val="21"/>
              </w:rPr>
              <w:t>0.43</w:t>
            </w:r>
          </w:p>
        </w:tc>
      </w:tr>
    </w:tbl>
    <w:p w14:paraId="14E8BFF3" w14:textId="0BF3FDAD" w:rsidR="00C7593A" w:rsidRPr="002C3CE5" w:rsidRDefault="00C7593A" w:rsidP="00C7593A">
      <w:pPr>
        <w:rPr>
          <w:rFonts w:ascii="Times New Roman" w:hAnsi="Times New Roman" w:cs="Times New Roman" w:hint="eastAsia"/>
          <w:szCs w:val="21"/>
        </w:rPr>
      </w:pPr>
      <w:r w:rsidRPr="002C3CE5">
        <w:rPr>
          <w:rFonts w:ascii="Times New Roman" w:hAnsi="Times New Roman" w:cs="Times New Roman"/>
          <w:szCs w:val="21"/>
        </w:rPr>
        <w:t>Therefore, the engine burns methane-gasoline binary fuel, which can take advantage of the advantages of both fuels, and the advantages of high methane octane number and less particulate matter to solve the knocking problem of small reinforced gasoline engines, so that the engine works at a higher compression ratio and intake pressure to improve fuel economy and reduce the emissions of nitrogen oxides and carbon oxides. At the same time, combining gasoline can improve the problem of insufficient methane power and slow flame propagation speed.</w:t>
      </w:r>
    </w:p>
    <w:p w14:paraId="07A5B710" w14:textId="11D1D1EB" w:rsidR="00C7593A" w:rsidRPr="00140B79" w:rsidRDefault="00C7593A" w:rsidP="00140B79">
      <w:pPr>
        <w:spacing w:beforeLines="50" w:before="156"/>
        <w:rPr>
          <w:rFonts w:ascii="Times New Roman" w:hAnsi="Times New Roman" w:cs="Times New Roman"/>
          <w:b/>
          <w:bCs/>
          <w:szCs w:val="21"/>
        </w:rPr>
      </w:pPr>
      <w:r w:rsidRPr="00140B79">
        <w:rPr>
          <w:rFonts w:ascii="Times New Roman" w:hAnsi="Times New Roman" w:cs="Times New Roman"/>
          <w:b/>
          <w:bCs/>
          <w:szCs w:val="21"/>
        </w:rPr>
        <w:t>Literature review</w:t>
      </w:r>
    </w:p>
    <w:p w14:paraId="615A0BA1" w14:textId="2A577C83" w:rsidR="00C7593A" w:rsidRPr="002C3CE5" w:rsidRDefault="00C7593A" w:rsidP="00C7593A">
      <w:pPr>
        <w:rPr>
          <w:rFonts w:ascii="Times New Roman" w:hAnsi="Times New Roman" w:cs="Times New Roman" w:hint="eastAsia"/>
          <w:szCs w:val="21"/>
        </w:rPr>
      </w:pPr>
      <w:r w:rsidRPr="002C3CE5">
        <w:rPr>
          <w:rFonts w:ascii="Times New Roman" w:hAnsi="Times New Roman" w:cs="Times New Roman"/>
          <w:szCs w:val="21"/>
        </w:rPr>
        <w:t>Because methane has a special tetrahedral molecular structure and a large C-H bond energy, it requires a higher ignition energy than gasoline, and the flame propagation speed is lower than gasoline. The above characteristics of methane are not conducive to the improvement of engine thin burn limit, and will lead to the increase of engine combustion cycle variation at low load</w:t>
      </w:r>
      <w:r w:rsidR="00486CA7">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{"citationID":"OUlOQmUI","properties":{"formattedCitation":"[3]","plainCitation":"[3]","noteIndex":0},"citationItems":[{"id":54,"uris":["http://zotero.org/users/local/5Y2y2iOu/items/ZSSIG9EB"],"itemData":{"id":54,"type":"article-journal","abstract":"Cycle-by-cycle variations of a spark ignition engine fueled with natural gas–hydrogen blends with hydrogen volumetric fraction of 0%, 12%, 23%, 30% and 40% were studied. The effect of hydrogen addition on cycle-by-cycle variations of the natural gas engine was analyzed. The results showed that the peak cylinder pressure, the maximum rate of pressure rise and the indicated mean effective pressure increased and their corresponding cycle-by-cycle variations decreased with the increase of hydrogen fraction at lean mixture operation. The interdependency between the combustion parameters and the corresponding crank angle tended to be strongly correlated with the increase of hydrogen fraction under lean mixture operation. Coefﬁcient of variation of the indicated mean effective pressure gave a low level and is slightly inﬂuenced by hydrogen addition under the stoichiometric and relatively rich mixture operation while it decreased remarkably with the increase of hydrogen fraction under the lean mixture operation. The excessive air ratio at CoVimep ¼ 10% extended to the leaner mixture side with the increase of hydrogen fraction and this indicated that the engine lean operating limit could be extended with hydrogen addition.","container-title":"International Journal of Hydrogen Energy","DOI":"10.1016/j.ijhydene.2008.06.062","ISSN":"03603199","issue":"18","journalAbbreviation":"International Journal of Hydrogen Energy","language":"en","license":"https://www.elsevier.com/tdm/userlicense/1.0/","page":"4876-4883","source":"DOI.org (Crossref)","title":"Study of cycle-by-cycle variations of a spark ignition engine fueled with natural gas–hydrogen blends","volume":"33","author":[{"family":"Wang","given":"Jinhua"},{"family":"Chen","given":"Hao"},{"family":"Liu","given":"Bing"},{"family":"Huang","given":"Zuohua"}],"issued":{"date-parts":[["2008",9]]}}}],"schema":"https://github.com/citation-style-language/schema/raw/master/csl-citation.json"} </w:instrText>
      </w:r>
      <w:r w:rsidR="00486CA7">
        <w:rPr>
          <w:rFonts w:ascii="Times New Roman" w:hAnsi="Times New Roman" w:cs="Times New Roman"/>
          <w:szCs w:val="21"/>
        </w:rPr>
        <w:fldChar w:fldCharType="separate"/>
      </w:r>
      <w:r w:rsidR="0022532B" w:rsidRPr="0022532B">
        <w:rPr>
          <w:rFonts w:ascii="Times New Roman" w:hAnsi="Times New Roman" w:cs="Times New Roman"/>
        </w:rPr>
        <w:t>[3]</w:t>
      </w:r>
      <w:r w:rsidR="00486CA7">
        <w:rPr>
          <w:rFonts w:ascii="Times New Roman" w:hAnsi="Times New Roman" w:cs="Times New Roman"/>
          <w:szCs w:val="21"/>
        </w:rPr>
        <w:fldChar w:fldCharType="end"/>
      </w:r>
      <w:r w:rsidRPr="002C3CE5">
        <w:rPr>
          <w:rFonts w:ascii="Times New Roman" w:hAnsi="Times New Roman" w:cs="Times New Roman"/>
          <w:szCs w:val="21"/>
        </w:rPr>
        <w:t>. Gasoline has a higher activity (shorter ignition delay period and faster laminar flame velocity) than methane under the condition of chemical equivalent ratio</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{"citationID":"4wx183JJ","properties":{"formattedCitation":"[4]","plainCitation":"[4]","noteIndex":0},"citationItems":[{"id":44,"uris":["http://zotero.org/users/local/5Y2y2iOu/items/CF6A8HI7"],"itemData":{"id":44,"type":"article-journal","abstract":"The present paper addressed the production of soot precursors, acetylene, benzene and higher aromatics, by the paraﬃnic (n-, iso-, and cyclo-) and aromatic components in fuels. To this end, a normal heptane mechanism compiled from sub-models in the literature was extended to large normal-, iso-, and cyclo-paraﬃns by assigning generic rates to reactions involving paraﬃns, oleﬁns, and alkyl radicals in the same reaction class. Lumping was used to develop other semi-detailed sub-models. The resulting mechanism for components of complex fuels (named the Utah Surrogate Mechanism) includes detailed sub-models of n-butane, n-hexane, n-heptane, n-decane, n-dodecane, n-tetradecane and n-hexadecane, and semi-detailed submodels of i-butane, i-pentane, n-pentane, 2,4-dimethyl pentane, i-octane, 2,2,3,3-tetramethyl butane, cyclohexane, methyl cyclohexane, tetralin, 2-methyl 1-butene, 3-methyl 2-pentene and aromatics. Generic rates of reaction classes were found adequate to generate reaction mechanisms of large paraﬃnic components. The predicted maximum concentrations of the fuel, oxidizer, and inert species, major products and important combustion intermediates, which include critical radicals and soot precursors, were in good agreement with the experimental data of three premixed ﬂames of composite fuels under various conditions. The relative importance in benzene formation of each component in the kerosene surrogate was found to follow the trend aromatics &gt; cyclo-paraﬃns &gt; iso-paraﬃns &gt; normal-paraﬃns. In contrast, acetylene formation is not that sensitive to the fuel chemical structure. Therefore, in formulation of surrogate fuels, attention should be focused on selecting components that will yield benzene concentrations comparable to those produced by the fuel, with the assurance that the acetylene concentration will also be well approximated.","container-title":"Proceedings of the Combustion Institute","DOI":"10.1016/j.proci.2006.08.001","ISSN":"15407489","issue":"1","journalAbbreviation":"Proceedings of the Combustion Institute","language":"en","page":"401-409","source":"DOI.org (Crossref)","title":"Criteria for selection of components for surrogates of natural gas and transportation fuels","volume":"31","author":[{"family":"Zhang","given":"Hongzhi R."},{"family":"Eddings","given":"Eric G."},{"family":"Sarofim","given":"Adel F."}],"issued":{"date-parts":[["2007",1]]}}}],"schema":"https://github.com/citation-style-language/schema/raw/master/csl-citation.json"}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[4]</w:t>
      </w:r>
      <w:r w:rsidR="0022532B">
        <w:rPr>
          <w:rFonts w:ascii="Times New Roman" w:hAnsi="Times New Roman" w:cs="Times New Roman"/>
          <w:szCs w:val="21"/>
        </w:rPr>
        <w:fldChar w:fldCharType="end"/>
      </w:r>
      <w:r w:rsidRPr="002C3CE5">
        <w:rPr>
          <w:rFonts w:ascii="Times New Roman" w:hAnsi="Times New Roman" w:cs="Times New Roman"/>
          <w:szCs w:val="21"/>
        </w:rPr>
        <w:t>, and it is generally believed that the activity of methane-gasoline binary fuel will be between the two, and its combustion rate should be between that of pure methane or gasoline as fuel. However, based on the optical engine, Di Iorio</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{"citationID":"JuOiw2ee","properties":{"formattedCitation":"[5]","plainCitation":"[5]","noteIndex":0},"citationItems":[{"id":45,"uris":["http://zotero.org/users/local/5Y2y2iOu/items/XNMCLPAX"],"itemData":{"id":45,"type":"paper-conference","abstract":"In this paper the methane-gasoline dual fuel combustion was investigated. Gasoline was injected in the intake manifold (PFI fuel), while methane was injected in the combustion chamber (DI fuel), in order to reproduce a stratified combustion. The combustion process and the related engine performance and pollutant emissions were analyzed.","DOI":"10.4271/2013-24-0046","event-title":"11th International Conference on Engines &amp;  Vehicles","language":"en","page":"2013-24-0046","source":"DOI.org (Crossref)","title":"Experimental Investigation of a Methane-Gasoline Dual-Fuel Combustion in a Small Displacement Optical Engine","URL":"https://www.sae.org/content/2013-24-0046/","author":[{"family":"Di Iorio","given":"Silvana"},{"family":"Sementa","given":"Paolo"},{"family":"Vaglieco","given":"Bianca Maria"}],"accessed":{"date-parts":[["2024",4,21]]},"issued":{"date-parts":[["2013",9,8]]}}}],"schema":"https://github.com/citation-style-language/schema/raw/master/csl-citation.json"}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[5]</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carried out optical test research on the combustion process of methane-gasoline binary fuel by using the methods of gasoline injection at the inlet and direct injection of methane in the cylinder, and found that this method can improve the stratified quality of combustible mixture and the stability of lean combustion. Meanwhile, compared with single fuel, dual fuel can extend the thin burn limit. The CH and OH groups were measured by chemical fluorescence method, and it was found that the flame propagation rate of the binary fuel with 50% and 80% methane mass fraction was higher than that of methane or gasoline as fuel, and the reason may be better in-cylinder stratification for the dual fuel/air mixture charge.</w:t>
      </w:r>
      <w:r w:rsidRPr="002C3CE5">
        <w:rPr>
          <w:rFonts w:ascii="Times New Roman" w:hAnsi="Times New Roman" w:cs="Times New Roman"/>
          <w:szCs w:val="21"/>
        </w:rPr>
        <w:t xml:space="preserve"> </w:t>
      </w:r>
      <w:r w:rsidRPr="002C3CE5">
        <w:rPr>
          <w:rFonts w:ascii="Times New Roman" w:hAnsi="Times New Roman" w:cs="Times New Roman"/>
          <w:szCs w:val="21"/>
        </w:rPr>
        <w:t xml:space="preserve">The above findings well explain the reason why the fuel economy and power performance of the methane-gasoline binary fuel engine can be improved, but the mechanism of the flame propagation characteristics of the methane-gasoline binary fuel is only a simple </w:t>
      </w:r>
      <w:r w:rsidRPr="002C3CE5">
        <w:rPr>
          <w:rFonts w:ascii="Times New Roman" w:hAnsi="Times New Roman" w:cs="Times New Roman"/>
          <w:szCs w:val="21"/>
        </w:rPr>
        <w:lastRenderedPageBreak/>
        <w:t>qualitative explanation. In order to further explore the combustion characteristics of methane-gasoline, Mahdi Baloo et al.</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{"citationID":"JLyzT6SG","properties":{"formattedCitation":"[6]","plainCitation":"[6]","noteIndex":0},"citationItems":[{"id":57,"uris":["http://zotero.org/users/local/5Y2y2iOu/items/BKTHCQLI"],"itemData":{"id":57,"type":"article-journal","abstract":"In this work, spherically expanding ﬂames are used to measure the unstretched ﬂame propagation speed and Markstein length of an alternative fuel (iso-octane/methane fuel blend) at initial temperatures between 368 and 448 K, and pressures between 1 and 5.5 bar by using the Schlieren photography method.","container-title":"Fuel","DOI":"10.1016/j.fuel.2015.12.039","ISSN":"00162361","journalAbbreviation":"Fuel","language":"en","page":"235-244","source":"DOI.org (Crossref)","title":"Effects of pressure and temperature on laminar burning velocity and flame instability of iso-octane/methane fuel blend","volume":"170","author":[{"family":"Baloo","given":"Mahdi"},{"family":"Dariani","given":"Bijan Mollaei"},{"family":"Akhlaghi","given":"Mehdi"},{"family":"AghaMirsalim","given":"Mostafa"}],"issued":{"date-parts":[["2016",4]]}}}],"schema":"https://github.com/citation-style-language/schema/raw/master/csl-citation.json"}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[6]</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studied the laminar flame velocity of methane-</w:t>
      </w:r>
      <w:proofErr w:type="spellStart"/>
      <w:r w:rsidRPr="002C3CE5">
        <w:rPr>
          <w:rFonts w:ascii="Times New Roman" w:hAnsi="Times New Roman" w:cs="Times New Roman"/>
          <w:szCs w:val="21"/>
        </w:rPr>
        <w:t>isoctane</w:t>
      </w:r>
      <w:proofErr w:type="spellEnd"/>
      <w:r w:rsidRPr="002C3CE5">
        <w:rPr>
          <w:rFonts w:ascii="Times New Roman" w:hAnsi="Times New Roman" w:cs="Times New Roman"/>
          <w:szCs w:val="21"/>
        </w:rPr>
        <w:t xml:space="preserve"> under different initial pressure, temperature, excess air coefficient and methane mass fraction on the capacitance. The laminar flame propagation velocity of methane-</w:t>
      </w:r>
      <w:proofErr w:type="spellStart"/>
      <w:r w:rsidRPr="002C3CE5">
        <w:rPr>
          <w:rFonts w:ascii="Times New Roman" w:hAnsi="Times New Roman" w:cs="Times New Roman"/>
          <w:szCs w:val="21"/>
        </w:rPr>
        <w:t>isoctane</w:t>
      </w:r>
      <w:proofErr w:type="spellEnd"/>
      <w:r w:rsidRPr="002C3CE5">
        <w:rPr>
          <w:rFonts w:ascii="Times New Roman" w:hAnsi="Times New Roman" w:cs="Times New Roman"/>
          <w:szCs w:val="21"/>
        </w:rPr>
        <w:t xml:space="preserve"> binary fuel is closely related to the excess air coefficient and the initial pressure. When the initial pressure is 0.25 MPa and the temperature is 368 K, the laminar flame velocity is higher than that of the </w:t>
      </w:r>
      <w:proofErr w:type="spellStart"/>
      <w:r w:rsidRPr="002C3CE5">
        <w:rPr>
          <w:rFonts w:ascii="Times New Roman" w:hAnsi="Times New Roman" w:cs="Times New Roman"/>
          <w:szCs w:val="21"/>
        </w:rPr>
        <w:t>isoctane</w:t>
      </w:r>
      <w:proofErr w:type="spellEnd"/>
      <w:r w:rsidRPr="002C3CE5">
        <w:rPr>
          <w:rFonts w:ascii="Times New Roman" w:hAnsi="Times New Roman" w:cs="Times New Roman"/>
          <w:szCs w:val="21"/>
        </w:rPr>
        <w:t xml:space="preserve"> mixture in the thin burn region with equivalent ratio less than 1. In the oil-rich region with equivalent ratio greater than 1, the flame propagation speed decreases. However, when the initial pressure is 0.5MPa and the temperature is 368 K, the laminar flame intensity of methane-gasoline dual fuel is lower than that of gasoline, and the higher the methane ratio, the slower the laminar flame propagation speed. Even when the initial pressure is 0.25MPa and the initial temperature is 468 K, the laminar flame speed of methane gasoline dual fuel with 70% methane mixture ratio is higher than that of gasoline and methane at the same time under the condition of chemical equivalent ratio. By analyzing the influencing factors, it can be concluded that the possible cause is the interaction between methane and isooctane during oxidation reaction under different initial conditions. It can be seen that the flame propagation speed of methane-gasoline binary fuel is not always higher than that of pure gasoline, but may be close to or lower than that of pure gasoline under certain conditions.</w:t>
      </w:r>
      <w:r w:rsidRPr="002C3CE5">
        <w:rPr>
          <w:rFonts w:ascii="Times New Roman" w:hAnsi="Times New Roman" w:cs="Times New Roman"/>
          <w:szCs w:val="21"/>
        </w:rPr>
        <w:t xml:space="preserve"> </w:t>
      </w:r>
      <w:r w:rsidRPr="002C3CE5">
        <w:rPr>
          <w:rFonts w:ascii="Times New Roman" w:hAnsi="Times New Roman" w:cs="Times New Roman"/>
          <w:szCs w:val="21"/>
        </w:rPr>
        <w:t>Pipitone et al.</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{"citationID":"CyEVSCfa","properties":{"formattedCitation":"[7]","plainCitation":"[7]","noteIndex":0},"citationItems":[{"id":50,"uris":["http://zotero.org/users/local/5Y2y2iOu/items/KWURLJK4"],"itemData":{"id":50,"type":"paper-conference","abstract":"Natural gas represents today a promising alternative to conventional fuels for road vehicles propulsion, since it is characterized by a relatively low cost, better geopolitical distribution than oil, and lower environmental impact. This explains the current spreading of Compressed Natural Gas (CNG) fuelled S.I. engine, above all in the bi-fuel version, i.e. capable to run either with gasoline or with natural gas. This characteristic, on the one hand, permits the vehicle to go even when natural gas is not available, on the other hand requires the engine to be designed to run safely with gasoline, i.e. with compression ratio lower than what natural gas would allow. Moreover the electronic control units are programmed to adopt rich mixture and poor spark advance when running with gasoline at medium-high loads, in order to prevent the engine from dangerous knocking phenomena: this causes an increase in fuel consumption and pollutant emissions. Starting from these considerations, the authors decided to investigate on the benefit attainable by means of a double-fuel injection, i.e. the injection of a certain amount of natural gas during the gasoline operation in order to increase the knocking resistance of the mixture and to run the engine with “overall stoichiometric” mixture even at full load, thus improving both engine efficiency and its environmental impact. To this purpose, the authors carried out an experimental campaign on the engine test bed, equipped with a fully instrumented series production bi-fuel spark ignition engine; the gasoline injection was managed by means of a real-time controlled ECU, while the simultaneous injection of natural gas was performed by means of IGBT transistors properly designed for fuel injection or spark timing control connected to a counter/timing PCI board. The results obtained fuelling the engine with both fuels in stoichiometric proportion with air show, with respect to the pure gasoline operation, considerable increase in fuel economy without remarkable power losses, while, with respect to the pure natural gas operation, only power improvements have been achieved: these advantages may lead the way to the adoption of the double-fuel injection in bi-fuel-engines.","DOI":"10.4271/2009-24-0058","event-title":"9th International Conference on Engines and Vehicles","language":"en","page":"2009-24-0058","source":"DOI.org (Crossref)","title":"PERFORMANCES IMPROVEMENT OF A S. I. CNG BI-FUEL ENGINE BY MEANS OF DOUBLE-FUEL INJECTION","URL":"https://www.sae.org/content/2009-24-0058/","author":[{"family":"Pipitone","given":"Emiliano"},{"family":"Beccari","given":"Stefano"}],"accessed":{"date-parts":[["2024",4,21]]},"issued":{"date-parts":[["2009",9,13]]}}}],"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[7]</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first proposed the simultaneous injection of CNG and gasoline on SI engines, using the characteristics of high octane number of CNG to solve the problems of fuel enrichment and ignition delay in gasoline engines to avoid knock, so that the engine can work under the chemical equivalent ratio and better combustion phase, and improve the effective thermal efficiency of gasoline engines. Based on the problem that natural Gas engine can reduce CO2 emission but has low volumetric efficiency, Delpech V et al.</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{"citationID":"xFIPZFPe","properties":{"formattedCitation":"[8]","plainCitation":"[8]","noteIndex":0},"citationItems":[{"id":42,"uris":["http://zotero.org/users/local/5Y2y2iOu/items/TTHDAZW7"],"itemData":{"id":42,"type":"article-journal","abstract":"In order to address the CO 2 emissions issue, and to diversify the energy for transportation, CNG (Compressed Natural Gas) is considered as one of the most promising alternative fuels given its high octane number. However, gaseous injection decreases volumetric efficiency, impacting directly the maximal torque through a reduction of the cylinder fillup.","container-title":"SAE International Journal of Fuels and Lubricants","DOI":"10.4271/2010-01-1513","ISSN":"1946-3960","issue":"2","journalAbbreviation":"SAE Int. J. Fuels Lubr.","language":"en","page":"196-209","source":"DOI.org (Crossref)","title":"Towards an Innovative Combination of Natural Gas and Liquid Fuel Injection in Spark Ignition Engines","volume":"3","author":[{"family":"Delpech","given":"Vivien"},{"family":"Obiols","given":"Jerome"},{"family":"Soleri","given":"Dominique"},{"family":"Mispreuve","given":"Laurent"},{"family":"Magere","given":"Eric"},{"family":"Kermarrec","given":"Sebastien"}],"issued":{"date-parts":[["2010",5,5]]}}}],"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[8]</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proposed the concept of Concomitant Injection of Gas and Liquid fuels (CIGAL). That is, the simultaneous injection of natural gas and gasoline in the inlet can increase the volumetric efficiency compared with the pure natural gas engine, and can maintain the high anti-knock characteristics of natural gas, so that the engine can work under the stoichiometric ratio and the best ignition advance Angle under the condition of large load. The results show that the binary fuel combustion mode mean effective pressure (BMEP) exceeds 26.5bar when λ=1, throttle is fully open and methane mass fraction is 55%. Compared to pure gasoline mode, BMEP is improved by 14.2%, thermal efficiency is improved by 36% and BSFC is reduced by 25%.</w:t>
      </w:r>
      <w:r w:rsidRPr="002C3CE5">
        <w:rPr>
          <w:rFonts w:ascii="Times New Roman" w:hAnsi="Times New Roman" w:cs="Times New Roman"/>
          <w:szCs w:val="21"/>
        </w:rPr>
        <w:t xml:space="preserve"> </w:t>
      </w:r>
      <w:r w:rsidRPr="002C3CE5">
        <w:rPr>
          <w:rFonts w:ascii="Times New Roman" w:hAnsi="Times New Roman" w:cs="Times New Roman"/>
          <w:szCs w:val="21"/>
        </w:rPr>
        <w:t>In the study on emission characteristics of methane-gasoline, Jerome Obiols et al.</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{"citationID":"ZOircNbw","properties":{"formattedCitation":"[9]","plainCitation":"[9]","noteIndex":0},"citationItems":[{"id":51,"uris":["http://zotero.org/users/local/5Y2y2iOu/items/SU8TXHTE"],"itemData":{"id":51,"type":"paper-conference","abstract":"The use of CNG in modern spark ignition turbocharged engine offers many advantages such as high knocking resistance, low CO2 emissions and high specific power outputs. On the other hand, compared to gasoline, the volumetric efficiency is significantly decreased when CNG is port-injected due to its low energy density. In order to address this issue, recent studies have successfully highlighted the advantages on port-injection engines of the CIGALTM concept (Concomitant Injection of Gas And Liquid fuels) from IFP Energies Nouvelles.","DOI":"10.4271/2011-01-1995","event-title":"SAE International Powertrains, Fuels and Lubricants Meeting","language":"en","page":"2011-01-1995","source":"DOI.org (Crossref)","title":"Potential of Concomitant Injection of CNG and Gasoline on a 1.6L Gasoline Direct Injection Turbocharged Engine","URL":"https://www.sae.org/content/2011-01-1995/","author":[{"family":"Obiols","given":"Jerome"},{"family":"Soleri","given":"Dominique"},{"family":"Dioc","given":"Nathalie"},{"family":"Moreau","given":"Marc"}],"accessed":{"date-parts":[["2024",4,21]]},"issued":{"date-parts":[["2011",8,30]]}}}],"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[9]</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studied the influence of dual injection of CNG-gasoline on HC emission under the condition of large load on a turbocharged engine, and the results showed that the simultaneous injection of CNG and gasoline could significantly reduce THC emission. Di Iorio et al. </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{"citationID":"AW2A04Fj","properties":{"formattedCitation":"[10]","plainCitation":"[10]","noteIndex":0},"citationItems":[{"id":46,"uris":["http://zotero.org/users/local/5Y2y2iOu/items/DYA5IYMD"],"itemData":{"id":46,"type":"paper-conference","abstract":"The use of methane as supplement to liquid fuel is one of the solution proposed for the reduction of the internal combustion engine pollutant emissions. Its intrinsic properties as the high knocking resistance and the low carbon content makes methane the most promising clean fuel. The dual fuel combustion mode allows improving the methane combustion acting mainly on the methane slow burning velocity and allowing lean burn combustion mode.","DOI":"10.4271/2014-01-1329","event-title":"SAE 2014 World Congress &amp;  Exhibition","language":"en","page":"2014-01-1329","source":"DOI.org (Crossref)","title":"An experimental investigation on combustion and engine performance and emissions of a methane-gasoline dual-fuel optical engine","URL":"https://www.sae.org/content/2014-01-1329/","author":[{"family":"Di Iorio","given":"Silvana"},{"family":"Sementa","given":"Paolo"},{"family":"Vaglieco","given":"Bianca Maria"},{"family":"Catapano","given":"Francesco"}],"accessed":{"date-parts":[["2024",4,21]]},"issued":{"date-parts":[["2014",4,1]]}}}],"schema":"https://github.com/citation-style-language/schema/raw/master/csl-citation.json"}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[10]</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studied the emission characteristics of methane-gasoline dual fuel on an optical single-cylinder SI gasoline engine, and the results showed that both gas emission and particulate matter emission were lower than those of pure gasoline mode.</w:t>
      </w:r>
      <w:r w:rsidR="00DF0E6C">
        <w:rPr>
          <w:rFonts w:ascii="Times New Roman" w:hAnsi="Times New Roman" w:cs="Times New Roman" w:hint="eastAsia"/>
          <w:szCs w:val="21"/>
        </w:rPr>
        <w:t xml:space="preserve"> </w:t>
      </w:r>
      <w:r w:rsidRPr="002C3CE5">
        <w:rPr>
          <w:rFonts w:ascii="Times New Roman" w:hAnsi="Times New Roman" w:cs="Times New Roman"/>
          <w:szCs w:val="21"/>
        </w:rPr>
        <w:t>Abbas</w:t>
      </w:r>
      <w:r w:rsidR="00DF0E6C">
        <w:rPr>
          <w:rFonts w:ascii="Times New Roman" w:hAnsi="Times New Roman" w:cs="Times New Roman" w:hint="eastAsia"/>
          <w:szCs w:val="21"/>
        </w:rPr>
        <w:t xml:space="preserve"> </w:t>
      </w:r>
      <w:r w:rsidR="0022532B">
        <w:rPr>
          <w:rFonts w:ascii="Times New Roman" w:hAnsi="Times New Roman" w:cs="Times New Roman"/>
          <w:szCs w:val="21"/>
        </w:rPr>
        <w:fldChar w:fldCharType="begin"/>
      </w:r>
      <w:r w:rsidR="0022532B">
        <w:rPr>
          <w:rFonts w:ascii="Times New Roman" w:hAnsi="Times New Roman" w:cs="Times New Roman"/>
          <w:szCs w:val="21"/>
        </w:rPr>
        <w:instrText xml:space="preserve"> ADDIN ZOTERO_ITEM CSL_CITATION {"citationID":"1xyx20TA","properties":{"formattedCitation":"[11]","plainCitation":"[11]","noteIndex":0},"citationItems":[{"id":49,"uris":["http://zotero.org/users/local/5Y2y2iOu/items/6PEI7G7X"],"itemData":{"id":49,"type":"article-journal","abstract":"The increase in the compression ratio reduces the fuel consumption and improves the performance. These effects of compression ratio could be observed in all of the engines, such as compression or spark ignition engines. Moreover, due to the compression ratio constraint based on the knocking phenomenon in spark ignition engines, there will always be an optimal compression ratio, which is one of the most fundamental factors in engine design. The optimum compression ratio could be achieved depending on the type of fuel, but in the case of bi-fuel engines, since the nature of each fuel is different, the design must be relatively optimal for both fuels. In this work, by using the VCR (variable compression ratio) strategy, the bi-fuel EF7 engine performance, combustion, and emissions were investigated in different compression ratios when the engine uses gasoline or HCNG (hydrogen enriched compressed natural gas) as fuel. The results revealed that by changing the compression ratio from 11.05 (actual compression ratio of engine) to 11.80 in HCNG mode, an increase of 13% in power could be achieved. Also CO formation, at the compression ratio of 11.80, was slightly lower (7%) than the compression ratio of 11.05. In addition, by reducing the compression ratio from 11.05 to 10.50 in gasoline mode, there was a signiﬁcant increase in emissions; that was 44% for the NOx and 16% for the CO, which could be one of the limiting factors of the advance in spark timing. Moreover, due to the VCR strategy and the signiﬁcant optimization of the compression ratio, the combinatory method of VCR e HCNG can be used as an effective method for the bi-fuel engines in order to improve the performance and reduce emissions.","container-title":"International Journal of Hydrogen Energy","DOI":"10.1016/j.ijhydene.2022.01.129","ISSN":"03603199","issue":"19","journalAbbreviation":"International Journal of Hydrogen Energy","language":"en","page":"10762-10776","source":"DOI.org (Crossref)","title":"Numerical analysis of performance and emissions behavior of a bi-fuel engine with compressed natural gas enriched with hydrogen using variable compression ratio strategy","volume":"47","author":[{"family":"Zarenezhad Ashkezari","given":"Abbas"}],"issued":{"date-parts":[["2022",3]]}}}],"schema":"https://github.com/citation-style-language/schema/raw/master/csl-citation.json"} </w:instrText>
      </w:r>
      <w:r w:rsidR="0022532B">
        <w:rPr>
          <w:rFonts w:ascii="Times New Roman" w:hAnsi="Times New Roman" w:cs="Times New Roman"/>
          <w:szCs w:val="21"/>
        </w:rPr>
        <w:fldChar w:fldCharType="separate"/>
      </w:r>
      <w:r w:rsidR="0022532B" w:rsidRPr="0022532B">
        <w:rPr>
          <w:rFonts w:ascii="Times New Roman" w:hAnsi="Times New Roman" w:cs="Times New Roman"/>
        </w:rPr>
        <w:t>[11]</w:t>
      </w:r>
      <w:r w:rsidR="0022532B">
        <w:rPr>
          <w:rFonts w:ascii="Times New Roman" w:hAnsi="Times New Roman" w:cs="Times New Roman"/>
          <w:szCs w:val="21"/>
        </w:rPr>
        <w:fldChar w:fldCharType="end"/>
      </w:r>
      <w:r w:rsidRPr="002C3CE5">
        <w:rPr>
          <w:rFonts w:ascii="Times New Roman" w:hAnsi="Times New Roman" w:cs="Times New Roman"/>
          <w:szCs w:val="21"/>
        </w:rPr>
        <w:t xml:space="preserve"> adopted the variable compression ratio (VCR) strategy to study the changes of engine performance and emissions when gasoline and hydrogen-rich natural gas were used under different compression ratios. They found that when using hydrogen-rich natural gas, increasing the engine's actual compression ratio from 11.05 to 11.80 could significantly increase power by up to 13%; At the same time, carbon monoxide emissions decreased by 7% after the compression ratio was increased from 11.05 to 11.80. When the compression ratio is increased, the turbulent kinetic energy (TKE) of the unburned gas mixture increases during combustion, which promotes the increase of combustion rate. However, the increase of turbulent kinetic energy will increase the heat transfer </w:t>
      </w:r>
      <w:r w:rsidRPr="002C3CE5">
        <w:rPr>
          <w:rFonts w:ascii="Times New Roman" w:hAnsi="Times New Roman" w:cs="Times New Roman"/>
          <w:szCs w:val="21"/>
        </w:rPr>
        <w:lastRenderedPageBreak/>
        <w:t>loss, resulting in the decrease of engine thermal efficiency. Cylinder pressure increased from 6.95MPa to 7.25MPa, an increase of 4%. Greater in-cylinder pressure will shorten the durability and life of the engine, so the actual compression ratio of the engine needs to be limited. With the increase of the compression ratio, the pressure and temperature in the cylinder will further rise, and the NOx emissions will also increase slightly, but the high temperature will further promote the oxidation of CO, making the CO emissions decrease. Because natural gas has a higher cetane number and good knock resistance, a higher compression ratio can be used to promote in-cylinder combustion, resulting in better combustion and emissions.</w:t>
      </w:r>
    </w:p>
    <w:p w14:paraId="13EBB7E3" w14:textId="20DC928E" w:rsidR="00C7593A" w:rsidRPr="00140B79" w:rsidRDefault="00C7593A" w:rsidP="00140B79">
      <w:pPr>
        <w:spacing w:beforeLines="50" w:before="156"/>
        <w:rPr>
          <w:rFonts w:ascii="Times New Roman" w:hAnsi="Times New Roman" w:cs="Times New Roman"/>
          <w:b/>
          <w:bCs/>
          <w:szCs w:val="21"/>
        </w:rPr>
      </w:pPr>
      <w:r w:rsidRPr="00140B79">
        <w:rPr>
          <w:rFonts w:ascii="Times New Roman" w:hAnsi="Times New Roman" w:cs="Times New Roman"/>
          <w:b/>
          <w:bCs/>
          <w:szCs w:val="21"/>
        </w:rPr>
        <w:t>Model building</w:t>
      </w:r>
    </w:p>
    <w:p w14:paraId="19A12EF0" w14:textId="295B58D9" w:rsidR="00C7593A" w:rsidRPr="002C3CE5" w:rsidRDefault="00C7593A" w:rsidP="00C7593A">
      <w:pPr>
        <w:rPr>
          <w:rFonts w:ascii="Times New Roman" w:hAnsi="Times New Roman" w:cs="Times New Roman"/>
          <w:szCs w:val="21"/>
        </w:rPr>
      </w:pPr>
      <w:r w:rsidRPr="002C3CE5">
        <w:rPr>
          <w:rFonts w:ascii="Times New Roman" w:hAnsi="Times New Roman" w:cs="Times New Roman"/>
          <w:szCs w:val="21"/>
        </w:rPr>
        <w:t>In the part of model building, this paper mainly uses two Simulation software, ANSYS Forte Simulation Suite and Ricardo WAVE. They are used to create and analyze different internal combustion engine models. Firstly, a single cylinder engine model is built on the Forte simulation platform, which is specially used to study the combustion dynamics and emission characteristics of a single combustion chamber. This model can simulate the combustion of the fuel and the resulting pollutants in detail, helping us to understand and optimize the behavior of synthetic fuels during actual combustion. Then, using Wave software, this paper builds a more complex four-cylinder engine model. The model is designed to comprehensively evaluate the performance of a complete engine system, including fuel efficiency, cylinder pressure and torque output. With this four-cylinder model, we can simulate the response of the engine under different working conditions and analyze the influence of various operating parameters on the engine performance. Through these two models, we are able to evaluate and optimize internal combustion engine technologies at micro and macro levels, explore the combustion and emission performance of various fuel blends, meet the requirements of the 2035 emissions regulations, and adapt to future energy and environmental challenges.</w:t>
      </w:r>
    </w:p>
    <w:p w14:paraId="5CC06189" w14:textId="54110F28" w:rsidR="00C7593A" w:rsidRPr="002C3CE5" w:rsidRDefault="00C7593A" w:rsidP="00C7593A">
      <w:pPr>
        <w:rPr>
          <w:rFonts w:ascii="Times New Roman" w:hAnsi="Times New Roman" w:cs="Times New Roman"/>
          <w:szCs w:val="21"/>
        </w:rPr>
      </w:pPr>
      <w:r w:rsidRPr="002C3CE5">
        <w:rPr>
          <w:rFonts w:ascii="Times New Roman" w:hAnsi="Times New Roman" w:cs="Times New Roman"/>
          <w:szCs w:val="21"/>
        </w:rPr>
        <w:t>First, Forte was used to build a single cylinder engine model. According to the provided tutorial data, this paper chooses the model of Chapter 2 of ANSYS Forte Tutorials as the basis to build. The engine's geometrical specification is 70 mm in bore, 76.2 mm in stroke, The engine's geometrical specification is 70 mm in bore, 76.2 mm in stroke, 152.4mm in connecting rod length.</w:t>
      </w:r>
      <w:r w:rsidRPr="002C3CE5">
        <w:rPr>
          <w:rFonts w:ascii="Times New Roman" w:hAnsi="Times New Roman" w:cs="Times New Roman"/>
          <w:szCs w:val="21"/>
        </w:rPr>
        <w:t xml:space="preserve"> </w:t>
      </w:r>
      <w:r w:rsidRPr="002C3CE5">
        <w:rPr>
          <w:rFonts w:ascii="Times New Roman" w:hAnsi="Times New Roman" w:cs="Times New Roman"/>
          <w:szCs w:val="21"/>
        </w:rPr>
        <w:t>Further details about the cylinder parameters are presented in Table 2.</w:t>
      </w:r>
      <w:r w:rsidRPr="002C3CE5">
        <w:rPr>
          <w:rFonts w:ascii="Times New Roman" w:hAnsi="Times New Roman" w:cs="Times New Roman"/>
          <w:szCs w:val="21"/>
        </w:rPr>
        <w:t xml:space="preserve"> </w:t>
      </w:r>
      <w:r w:rsidRPr="002C3CE5">
        <w:rPr>
          <w:rFonts w:ascii="Times New Roman" w:hAnsi="Times New Roman" w:cs="Times New Roman"/>
          <w:szCs w:val="21"/>
        </w:rPr>
        <w:t>The correctness of these parameters is checked by the built-in verification tool. The Mesh Topology is then selected according to the specific shape of the combustion chamber, with the aim of ensuring that the mesh can effectively capture the key characteristics of fluid flow and heat transfer, while taking into account the rational use of computational resources. The Mesh Sizing is then precisely defined in mesh sizing Settings, including the selection of mesh densities and hierarchies for different regions, especially in areas where thermodynamic and hydrodynamic behavior is more complex, such as near the combustion chamber. After the grid is generated, its quality is checked to ensure that the grid is not overly distorted or too small, and the accuracy of the simulation results will not be affected because of the grid quality. If a problem is found, the parameters generated by the grid need to be returned and adjusted until the grid quality meets the predetermined criteria. Next, initial and boundary conditions such as fuel type, intake conditions, and exhaust Settings are defined in the project setup, appropriate physical models are selected, and these models are configured according to the actual engineering requirements.</w:t>
      </w:r>
    </w:p>
    <w:p w14:paraId="6F0CCAEB" w14:textId="77777777" w:rsidR="002C3CE5" w:rsidRPr="002C3CE5" w:rsidRDefault="002C3CE5" w:rsidP="002C3CE5">
      <w:pPr>
        <w:pStyle w:val="a4"/>
        <w:keepNext/>
        <w:jc w:val="center"/>
        <w:rPr>
          <w:rFonts w:ascii="Times New Roman" w:hAnsi="Times New Roman" w:cs="Times New Roman"/>
          <w:sz w:val="21"/>
          <w:szCs w:val="21"/>
        </w:rPr>
      </w:pPr>
      <w:r w:rsidRPr="002C3CE5">
        <w:rPr>
          <w:rFonts w:ascii="Times New Roman" w:hAnsi="Times New Roman" w:cs="Times New Roman"/>
          <w:sz w:val="21"/>
          <w:szCs w:val="21"/>
        </w:rPr>
        <w:t>Table 2 The cylinder parameters.</w:t>
      </w:r>
    </w:p>
    <w:tbl>
      <w:tblPr>
        <w:tblStyle w:val="a3"/>
        <w:tblW w:w="0" w:type="auto"/>
        <w:tblLook w:val="04A0" w:firstRow="1" w:lastRow="0" w:firstColumn="1" w:lastColumn="0" w:noHBand="0" w:noVBand="1"/>
      </w:tblPr>
      <w:tblGrid>
        <w:gridCol w:w="4148"/>
        <w:gridCol w:w="4148"/>
      </w:tblGrid>
      <w:tr w:rsidR="002C3CE5" w:rsidRPr="002C3CE5" w14:paraId="19E5401E" w14:textId="77777777" w:rsidTr="00140B79">
        <w:tc>
          <w:tcPr>
            <w:tcW w:w="4148" w:type="dxa"/>
            <w:vAlign w:val="center"/>
          </w:tcPr>
          <w:p w14:paraId="58D17B73"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Parameter</w:t>
            </w:r>
          </w:p>
        </w:tc>
        <w:tc>
          <w:tcPr>
            <w:tcW w:w="4148" w:type="dxa"/>
            <w:vAlign w:val="center"/>
          </w:tcPr>
          <w:p w14:paraId="7779E223"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Values</w:t>
            </w:r>
          </w:p>
        </w:tc>
      </w:tr>
      <w:tr w:rsidR="002C3CE5" w:rsidRPr="002C3CE5" w14:paraId="0F24DD14" w14:textId="77777777" w:rsidTr="00140B79">
        <w:tc>
          <w:tcPr>
            <w:tcW w:w="4148" w:type="dxa"/>
            <w:vAlign w:val="center"/>
          </w:tcPr>
          <w:p w14:paraId="0AD98BDA"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lastRenderedPageBreak/>
              <w:t>Engine type</w:t>
            </w:r>
          </w:p>
        </w:tc>
        <w:tc>
          <w:tcPr>
            <w:tcW w:w="4148" w:type="dxa"/>
            <w:vAlign w:val="center"/>
          </w:tcPr>
          <w:p w14:paraId="56D6F293"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Single cylinder, 4-stroke</w:t>
            </w:r>
          </w:p>
        </w:tc>
      </w:tr>
      <w:tr w:rsidR="002C3CE5" w:rsidRPr="002C3CE5" w14:paraId="5DBA3411" w14:textId="77777777" w:rsidTr="00140B79">
        <w:tc>
          <w:tcPr>
            <w:tcW w:w="4148" w:type="dxa"/>
            <w:vAlign w:val="center"/>
          </w:tcPr>
          <w:p w14:paraId="1441FC6B"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Bore × stroke</w:t>
            </w:r>
          </w:p>
        </w:tc>
        <w:tc>
          <w:tcPr>
            <w:tcW w:w="4148" w:type="dxa"/>
            <w:vAlign w:val="center"/>
          </w:tcPr>
          <w:p w14:paraId="427D5888"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70 × 76.2 mm</w:t>
            </w:r>
          </w:p>
        </w:tc>
      </w:tr>
      <w:tr w:rsidR="002C3CE5" w:rsidRPr="002C3CE5" w14:paraId="780DE60F" w14:textId="77777777" w:rsidTr="00140B79">
        <w:tc>
          <w:tcPr>
            <w:tcW w:w="4148" w:type="dxa"/>
            <w:vAlign w:val="center"/>
          </w:tcPr>
          <w:p w14:paraId="4B6C6823"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Sweep volume</w:t>
            </w:r>
          </w:p>
        </w:tc>
        <w:tc>
          <w:tcPr>
            <w:tcW w:w="4148" w:type="dxa"/>
            <w:vAlign w:val="center"/>
          </w:tcPr>
          <w:p w14:paraId="18E3D924"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color w:val="0D0D0D"/>
                <w:szCs w:val="21"/>
                <w:shd w:val="clear" w:color="auto" w:fill="FFFFFF"/>
              </w:rPr>
              <w:t>0.3L</w:t>
            </w:r>
          </w:p>
        </w:tc>
      </w:tr>
      <w:tr w:rsidR="002C3CE5" w:rsidRPr="002C3CE5" w14:paraId="3A4A3AD7" w14:textId="77777777" w:rsidTr="00140B79">
        <w:tc>
          <w:tcPr>
            <w:tcW w:w="4148" w:type="dxa"/>
            <w:vAlign w:val="center"/>
          </w:tcPr>
          <w:p w14:paraId="483FBF31"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szCs w:val="21"/>
              </w:rPr>
              <w:t>Compression ratio</w:t>
            </w:r>
          </w:p>
        </w:tc>
        <w:tc>
          <w:tcPr>
            <w:tcW w:w="4148" w:type="dxa"/>
            <w:vAlign w:val="center"/>
          </w:tcPr>
          <w:p w14:paraId="50968A73"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color w:val="0D0D0D"/>
                <w:szCs w:val="21"/>
                <w:shd w:val="clear" w:color="auto" w:fill="FFFFFF"/>
              </w:rPr>
              <w:t>11</w:t>
            </w:r>
          </w:p>
        </w:tc>
      </w:tr>
      <w:tr w:rsidR="002C3CE5" w:rsidRPr="002C3CE5" w14:paraId="421F3A68" w14:textId="77777777" w:rsidTr="00140B79">
        <w:tc>
          <w:tcPr>
            <w:tcW w:w="4148" w:type="dxa"/>
            <w:vAlign w:val="center"/>
          </w:tcPr>
          <w:p w14:paraId="4CC01482"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Combustion form</w:t>
            </w:r>
          </w:p>
        </w:tc>
        <w:tc>
          <w:tcPr>
            <w:tcW w:w="4148" w:type="dxa"/>
            <w:vAlign w:val="center"/>
          </w:tcPr>
          <w:p w14:paraId="7FDFA739"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color w:val="0D0D0D"/>
                <w:szCs w:val="21"/>
                <w:shd w:val="clear" w:color="auto" w:fill="FFFFFF"/>
              </w:rPr>
              <w:t>Spark Ignition</w:t>
            </w:r>
          </w:p>
        </w:tc>
      </w:tr>
    </w:tbl>
    <w:p w14:paraId="4A851894" w14:textId="6C6925C9" w:rsidR="002C3CE5" w:rsidRPr="002C3CE5" w:rsidRDefault="002C3CE5" w:rsidP="00C7593A">
      <w:pPr>
        <w:rPr>
          <w:rFonts w:ascii="Times New Roman" w:hAnsi="Times New Roman" w:cs="Times New Roman"/>
          <w:szCs w:val="21"/>
        </w:rPr>
      </w:pPr>
      <w:r w:rsidRPr="002C3CE5">
        <w:rPr>
          <w:rFonts w:ascii="Times New Roman" w:hAnsi="Times New Roman" w:cs="Times New Roman"/>
          <w:szCs w:val="21"/>
        </w:rPr>
        <w:t>Using WaveBuild software to build a petrol engine model, you start by building a complete flow network on the canvas, ensuring that all key components such as the air box, throttle, intake manifold and engine core are properly positioned and connected. Next, the environmental conditions are set in detail and the characteristics of the individual flow channels, such as size and shape, are defined to ensure the accuracy of the fluid dynamics simulation. Then, define the parameters of the engine. The specific parameters of the engine are shown in Table 3. In addition, select and set the appropriate combustion model, this paper adopts the Wiebe combustion model, and reasonably adjust its parameters to match the characteristics of the actual combustion process. Finally, the cooling system is configured, including the flow path of the coolant and the characteristics of the radiator, to ensure effective cooling of the engine during operation.</w:t>
      </w:r>
    </w:p>
    <w:p w14:paraId="1C5C3FFF" w14:textId="77777777" w:rsidR="002C3CE5" w:rsidRPr="002C3CE5" w:rsidRDefault="002C3CE5" w:rsidP="002C3CE5">
      <w:pPr>
        <w:pStyle w:val="a4"/>
        <w:keepNext/>
        <w:jc w:val="center"/>
        <w:rPr>
          <w:rFonts w:ascii="Times New Roman" w:hAnsi="Times New Roman" w:cs="Times New Roman"/>
          <w:sz w:val="21"/>
          <w:szCs w:val="21"/>
        </w:rPr>
      </w:pPr>
      <w:r w:rsidRPr="002C3CE5">
        <w:rPr>
          <w:rFonts w:ascii="Times New Roman" w:hAnsi="Times New Roman" w:cs="Times New Roman"/>
          <w:sz w:val="21"/>
          <w:szCs w:val="21"/>
        </w:rPr>
        <w:t>Table 3 The engine parameters</w:t>
      </w:r>
    </w:p>
    <w:tbl>
      <w:tblPr>
        <w:tblStyle w:val="a3"/>
        <w:tblW w:w="0" w:type="auto"/>
        <w:tblLook w:val="04A0" w:firstRow="1" w:lastRow="0" w:firstColumn="1" w:lastColumn="0" w:noHBand="0" w:noVBand="1"/>
      </w:tblPr>
      <w:tblGrid>
        <w:gridCol w:w="4148"/>
        <w:gridCol w:w="4148"/>
      </w:tblGrid>
      <w:tr w:rsidR="002C3CE5" w:rsidRPr="002C3CE5" w14:paraId="5F0E248C" w14:textId="77777777" w:rsidTr="00140B79">
        <w:tc>
          <w:tcPr>
            <w:tcW w:w="4148" w:type="dxa"/>
            <w:vAlign w:val="center"/>
          </w:tcPr>
          <w:p w14:paraId="1A0FCDDD"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Parameter</w:t>
            </w:r>
          </w:p>
        </w:tc>
        <w:tc>
          <w:tcPr>
            <w:tcW w:w="4148" w:type="dxa"/>
            <w:vAlign w:val="center"/>
          </w:tcPr>
          <w:p w14:paraId="6B5961E9"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Values</w:t>
            </w:r>
          </w:p>
        </w:tc>
      </w:tr>
      <w:tr w:rsidR="002C3CE5" w:rsidRPr="002C3CE5" w14:paraId="21992BCF" w14:textId="77777777" w:rsidTr="00140B79">
        <w:tc>
          <w:tcPr>
            <w:tcW w:w="4148" w:type="dxa"/>
            <w:vAlign w:val="center"/>
          </w:tcPr>
          <w:p w14:paraId="3C9D0745"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Engine type</w:t>
            </w:r>
          </w:p>
        </w:tc>
        <w:tc>
          <w:tcPr>
            <w:tcW w:w="4148" w:type="dxa"/>
            <w:vAlign w:val="center"/>
          </w:tcPr>
          <w:p w14:paraId="6F2CB7EF"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Four cylinders ,4-stroke</w:t>
            </w:r>
          </w:p>
        </w:tc>
      </w:tr>
      <w:tr w:rsidR="002C3CE5" w:rsidRPr="002C3CE5" w14:paraId="236DE271" w14:textId="77777777" w:rsidTr="00140B79">
        <w:tc>
          <w:tcPr>
            <w:tcW w:w="4148" w:type="dxa"/>
            <w:vAlign w:val="center"/>
          </w:tcPr>
          <w:p w14:paraId="0C3271E7" w14:textId="79507CF0"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Bore × stroke</w:t>
            </w:r>
          </w:p>
        </w:tc>
        <w:tc>
          <w:tcPr>
            <w:tcW w:w="4148" w:type="dxa"/>
            <w:vAlign w:val="center"/>
          </w:tcPr>
          <w:p w14:paraId="06486C42"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70 × 76.2 mm</w:t>
            </w:r>
          </w:p>
        </w:tc>
      </w:tr>
      <w:tr w:rsidR="002C3CE5" w:rsidRPr="002C3CE5" w14:paraId="20BFA56C" w14:textId="77777777" w:rsidTr="00140B79">
        <w:tc>
          <w:tcPr>
            <w:tcW w:w="4148" w:type="dxa"/>
            <w:vAlign w:val="center"/>
          </w:tcPr>
          <w:p w14:paraId="4994C0F2"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Sweep volume</w:t>
            </w:r>
          </w:p>
        </w:tc>
        <w:tc>
          <w:tcPr>
            <w:tcW w:w="4148" w:type="dxa"/>
            <w:vAlign w:val="center"/>
          </w:tcPr>
          <w:p w14:paraId="6ABAF115"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color w:val="0D0D0D"/>
                <w:szCs w:val="21"/>
                <w:shd w:val="clear" w:color="auto" w:fill="FFFFFF"/>
              </w:rPr>
              <w:t>1.2L</w:t>
            </w:r>
          </w:p>
        </w:tc>
      </w:tr>
      <w:tr w:rsidR="002C3CE5" w:rsidRPr="002C3CE5" w14:paraId="50D50D9D" w14:textId="77777777" w:rsidTr="00140B79">
        <w:tc>
          <w:tcPr>
            <w:tcW w:w="4148" w:type="dxa"/>
            <w:vAlign w:val="center"/>
          </w:tcPr>
          <w:p w14:paraId="7339DE33"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Combustion form</w:t>
            </w:r>
          </w:p>
        </w:tc>
        <w:tc>
          <w:tcPr>
            <w:tcW w:w="4148" w:type="dxa"/>
            <w:vAlign w:val="center"/>
          </w:tcPr>
          <w:p w14:paraId="0E0E2CB0"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color w:val="0D0D0D"/>
                <w:szCs w:val="21"/>
                <w:shd w:val="clear" w:color="auto" w:fill="FFFFFF"/>
              </w:rPr>
              <w:t>Spark Ignition</w:t>
            </w:r>
          </w:p>
        </w:tc>
      </w:tr>
      <w:tr w:rsidR="002C3CE5" w:rsidRPr="002C3CE5" w14:paraId="3B97D3CE" w14:textId="77777777" w:rsidTr="00140B79">
        <w:tc>
          <w:tcPr>
            <w:tcW w:w="4148" w:type="dxa"/>
            <w:vAlign w:val="center"/>
          </w:tcPr>
          <w:p w14:paraId="18782A49"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Ignition sequence</w:t>
            </w:r>
          </w:p>
        </w:tc>
        <w:tc>
          <w:tcPr>
            <w:tcW w:w="4148" w:type="dxa"/>
            <w:vAlign w:val="center"/>
          </w:tcPr>
          <w:p w14:paraId="54FAFBB9" w14:textId="77777777" w:rsidR="002C3CE5" w:rsidRPr="002C3CE5" w:rsidRDefault="002C3CE5" w:rsidP="00140B79">
            <w:pPr>
              <w:jc w:val="center"/>
              <w:rPr>
                <w:rFonts w:ascii="Times New Roman" w:hAnsi="Times New Roman" w:cs="Times New Roman"/>
                <w:color w:val="0D0D0D"/>
                <w:szCs w:val="21"/>
                <w:shd w:val="clear" w:color="auto" w:fill="FFFFFF"/>
              </w:rPr>
            </w:pPr>
            <w:r w:rsidRPr="002C3CE5">
              <w:rPr>
                <w:rFonts w:ascii="Times New Roman" w:hAnsi="Times New Roman" w:cs="Times New Roman"/>
                <w:color w:val="0D0D0D"/>
                <w:szCs w:val="21"/>
                <w:shd w:val="clear" w:color="auto" w:fill="FFFFFF"/>
              </w:rPr>
              <w:t>1-3-4-2</w:t>
            </w:r>
          </w:p>
        </w:tc>
      </w:tr>
    </w:tbl>
    <w:p w14:paraId="722F5AF0" w14:textId="3B06C286" w:rsidR="002C3CE5" w:rsidRPr="00140B79" w:rsidRDefault="002C3CE5" w:rsidP="00140B79">
      <w:pPr>
        <w:spacing w:beforeLines="100" w:before="312"/>
        <w:rPr>
          <w:rFonts w:ascii="Times New Roman" w:hAnsi="Times New Roman" w:cs="Times New Roman"/>
          <w:b/>
          <w:bCs/>
          <w:szCs w:val="21"/>
        </w:rPr>
      </w:pPr>
      <w:r w:rsidRPr="00140B79">
        <w:rPr>
          <w:rFonts w:ascii="Times New Roman" w:hAnsi="Times New Roman" w:cs="Times New Roman"/>
          <w:b/>
          <w:bCs/>
          <w:szCs w:val="21"/>
        </w:rPr>
        <w:t>Results and discussion</w:t>
      </w:r>
    </w:p>
    <w:p w14:paraId="6B559A9C" w14:textId="2FFB8732" w:rsidR="002C3CE5" w:rsidRPr="002C3CE5" w:rsidRDefault="002C3CE5" w:rsidP="00C7593A">
      <w:pPr>
        <w:rPr>
          <w:rFonts w:ascii="Times New Roman" w:hAnsi="Times New Roman" w:cs="Times New Roman"/>
          <w:szCs w:val="21"/>
        </w:rPr>
      </w:pPr>
      <w:r w:rsidRPr="002C3CE5">
        <w:rPr>
          <w:rFonts w:ascii="Times New Roman" w:hAnsi="Times New Roman" w:cs="Times New Roman"/>
          <w:szCs w:val="21"/>
        </w:rPr>
        <w:t>Firstly, the Spray Model was disabled in Forte, Spark ignition module was activated, Spark plug was created, and its position in the combustion chamber, ignition advance Angle, Spark Energy and other parameters were reasonably adjusted. Then set the Composition in the Initial Conditions to the species and fraction in Table 4. Run the model and save the simulation results.</w:t>
      </w:r>
    </w:p>
    <w:p w14:paraId="14B61BE0" w14:textId="77777777" w:rsidR="002C3CE5" w:rsidRPr="002C3CE5" w:rsidRDefault="002C3CE5" w:rsidP="002C3CE5">
      <w:pPr>
        <w:pStyle w:val="a4"/>
        <w:keepNext/>
        <w:jc w:val="center"/>
        <w:rPr>
          <w:rFonts w:ascii="Times New Roman" w:hAnsi="Times New Roman" w:cs="Times New Roman"/>
          <w:sz w:val="21"/>
          <w:szCs w:val="21"/>
        </w:rPr>
      </w:pPr>
      <w:r w:rsidRPr="002C3CE5">
        <w:rPr>
          <w:rFonts w:ascii="Times New Roman" w:hAnsi="Times New Roman" w:cs="Times New Roman"/>
          <w:sz w:val="21"/>
          <w:szCs w:val="21"/>
        </w:rPr>
        <w:t>Table 4 The proportion of mixed gas components with only gasoline as fuel</w:t>
      </w:r>
    </w:p>
    <w:tbl>
      <w:tblPr>
        <w:tblStyle w:val="a3"/>
        <w:tblW w:w="0" w:type="auto"/>
        <w:tblLook w:val="04A0" w:firstRow="1" w:lastRow="0" w:firstColumn="1" w:lastColumn="0" w:noHBand="0" w:noVBand="1"/>
      </w:tblPr>
      <w:tblGrid>
        <w:gridCol w:w="4148"/>
        <w:gridCol w:w="4148"/>
      </w:tblGrid>
      <w:tr w:rsidR="002C3CE5" w:rsidRPr="002C3CE5" w14:paraId="1AC229E6" w14:textId="77777777" w:rsidTr="00C24C48">
        <w:tc>
          <w:tcPr>
            <w:tcW w:w="4148" w:type="dxa"/>
          </w:tcPr>
          <w:p w14:paraId="29582EAD"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Species</w:t>
            </w:r>
          </w:p>
        </w:tc>
        <w:tc>
          <w:tcPr>
            <w:tcW w:w="4148" w:type="dxa"/>
          </w:tcPr>
          <w:p w14:paraId="37037592"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Fraction</w:t>
            </w:r>
          </w:p>
        </w:tc>
      </w:tr>
      <w:tr w:rsidR="002C3CE5" w:rsidRPr="002C3CE5" w14:paraId="69A7FE54" w14:textId="77777777" w:rsidTr="00C24C48">
        <w:tc>
          <w:tcPr>
            <w:tcW w:w="4148" w:type="dxa"/>
          </w:tcPr>
          <w:p w14:paraId="25CE1773"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o2</w:t>
            </w:r>
          </w:p>
        </w:tc>
        <w:tc>
          <w:tcPr>
            <w:tcW w:w="4148" w:type="dxa"/>
          </w:tcPr>
          <w:p w14:paraId="6E6667C6"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0.1967</w:t>
            </w:r>
          </w:p>
        </w:tc>
      </w:tr>
      <w:tr w:rsidR="002C3CE5" w:rsidRPr="002C3CE5" w14:paraId="1DE28C4D" w14:textId="77777777" w:rsidTr="00C24C48">
        <w:tc>
          <w:tcPr>
            <w:tcW w:w="4148" w:type="dxa"/>
          </w:tcPr>
          <w:p w14:paraId="6CD4CFD4"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h2o</w:t>
            </w:r>
          </w:p>
        </w:tc>
        <w:tc>
          <w:tcPr>
            <w:tcW w:w="4148" w:type="dxa"/>
          </w:tcPr>
          <w:p w14:paraId="3B35E6C3"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0.0089</w:t>
            </w:r>
          </w:p>
        </w:tc>
      </w:tr>
      <w:tr w:rsidR="002C3CE5" w:rsidRPr="002C3CE5" w14:paraId="0F7717D9" w14:textId="77777777" w:rsidTr="00C24C48">
        <w:tc>
          <w:tcPr>
            <w:tcW w:w="4148" w:type="dxa"/>
          </w:tcPr>
          <w:p w14:paraId="172D2810"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co2</w:t>
            </w:r>
          </w:p>
        </w:tc>
        <w:tc>
          <w:tcPr>
            <w:tcW w:w="4148" w:type="dxa"/>
          </w:tcPr>
          <w:p w14:paraId="3A66A93B"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0.0192</w:t>
            </w:r>
          </w:p>
        </w:tc>
      </w:tr>
      <w:tr w:rsidR="002C3CE5" w:rsidRPr="002C3CE5" w14:paraId="15DBEF3A" w14:textId="77777777" w:rsidTr="00C24C48">
        <w:tc>
          <w:tcPr>
            <w:tcW w:w="4148" w:type="dxa"/>
          </w:tcPr>
          <w:p w14:paraId="66DAAA62"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n2</w:t>
            </w:r>
          </w:p>
        </w:tc>
        <w:tc>
          <w:tcPr>
            <w:tcW w:w="4148" w:type="dxa"/>
          </w:tcPr>
          <w:p w14:paraId="6DC76789"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0.7189</w:t>
            </w:r>
          </w:p>
        </w:tc>
      </w:tr>
      <w:tr w:rsidR="002C3CE5" w:rsidRPr="002C3CE5" w14:paraId="51E54237" w14:textId="77777777" w:rsidTr="00C24C48">
        <w:tc>
          <w:tcPr>
            <w:tcW w:w="4148" w:type="dxa"/>
          </w:tcPr>
          <w:p w14:paraId="317552AC"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ic8h18</w:t>
            </w:r>
          </w:p>
        </w:tc>
        <w:tc>
          <w:tcPr>
            <w:tcW w:w="4148" w:type="dxa"/>
          </w:tcPr>
          <w:p w14:paraId="7CF158B6" w14:textId="77777777" w:rsidR="002C3CE5" w:rsidRPr="002C3CE5" w:rsidRDefault="002C3CE5" w:rsidP="00C24C48">
            <w:pPr>
              <w:rPr>
                <w:rFonts w:ascii="Times New Roman" w:hAnsi="Times New Roman" w:cs="Times New Roman"/>
                <w:szCs w:val="21"/>
              </w:rPr>
            </w:pPr>
            <w:r w:rsidRPr="002C3CE5">
              <w:rPr>
                <w:rFonts w:ascii="Times New Roman" w:hAnsi="Times New Roman" w:cs="Times New Roman"/>
                <w:szCs w:val="21"/>
              </w:rPr>
              <w:t>0.0562</w:t>
            </w:r>
          </w:p>
        </w:tc>
      </w:tr>
    </w:tbl>
    <w:p w14:paraId="37C73D09" w14:textId="32424039" w:rsidR="002C3CE5" w:rsidRPr="002C3CE5" w:rsidRDefault="002C3CE5" w:rsidP="00C7593A">
      <w:pPr>
        <w:rPr>
          <w:rFonts w:ascii="Times New Roman" w:hAnsi="Times New Roman" w:cs="Times New Roman"/>
          <w:szCs w:val="21"/>
        </w:rPr>
      </w:pPr>
      <w:r w:rsidRPr="002C3CE5">
        <w:rPr>
          <w:rFonts w:ascii="Times New Roman" w:hAnsi="Times New Roman" w:cs="Times New Roman"/>
          <w:szCs w:val="21"/>
        </w:rPr>
        <w:t>Then, as long as other setting conditions remain unchanged, the fuel is modified into a mixture of methane and gasoline with a mass fraction of 1:1, and the Composition setting is shown in Table 5. Run the model, and the simulation results are shown in Figure1-10.</w:t>
      </w:r>
    </w:p>
    <w:p w14:paraId="16CD4541" w14:textId="77777777" w:rsidR="002C3CE5" w:rsidRPr="002C3CE5" w:rsidRDefault="002C3CE5" w:rsidP="002C3CE5">
      <w:pPr>
        <w:pStyle w:val="a4"/>
        <w:keepNext/>
        <w:jc w:val="center"/>
        <w:rPr>
          <w:rFonts w:ascii="Times New Roman" w:hAnsi="Times New Roman" w:cs="Times New Roman"/>
          <w:sz w:val="21"/>
          <w:szCs w:val="21"/>
        </w:rPr>
      </w:pPr>
      <w:r w:rsidRPr="002C3CE5">
        <w:rPr>
          <w:rFonts w:ascii="Times New Roman" w:hAnsi="Times New Roman" w:cs="Times New Roman"/>
          <w:sz w:val="21"/>
          <w:szCs w:val="21"/>
        </w:rPr>
        <w:t>Table 5 Mixed gas composition ratio of methane-gasoline as fuel</w:t>
      </w:r>
    </w:p>
    <w:tbl>
      <w:tblPr>
        <w:tblStyle w:val="a3"/>
        <w:tblW w:w="0" w:type="auto"/>
        <w:tblLook w:val="04A0" w:firstRow="1" w:lastRow="0" w:firstColumn="1" w:lastColumn="0" w:noHBand="0" w:noVBand="1"/>
      </w:tblPr>
      <w:tblGrid>
        <w:gridCol w:w="4148"/>
        <w:gridCol w:w="4148"/>
      </w:tblGrid>
      <w:tr w:rsidR="002C3CE5" w:rsidRPr="002C3CE5" w14:paraId="4166EBE4" w14:textId="77777777" w:rsidTr="00140B79">
        <w:tc>
          <w:tcPr>
            <w:tcW w:w="4148" w:type="dxa"/>
            <w:vAlign w:val="center"/>
          </w:tcPr>
          <w:p w14:paraId="5BE68E73"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Species</w:t>
            </w:r>
          </w:p>
        </w:tc>
        <w:tc>
          <w:tcPr>
            <w:tcW w:w="4148" w:type="dxa"/>
            <w:vAlign w:val="center"/>
          </w:tcPr>
          <w:p w14:paraId="36F3C8B0"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Fraction</w:t>
            </w:r>
          </w:p>
        </w:tc>
      </w:tr>
      <w:tr w:rsidR="002C3CE5" w:rsidRPr="002C3CE5" w14:paraId="25D667DD" w14:textId="77777777" w:rsidTr="00140B79">
        <w:tc>
          <w:tcPr>
            <w:tcW w:w="4148" w:type="dxa"/>
            <w:vAlign w:val="center"/>
          </w:tcPr>
          <w:p w14:paraId="24746F82"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o2</w:t>
            </w:r>
          </w:p>
        </w:tc>
        <w:tc>
          <w:tcPr>
            <w:tcW w:w="4148" w:type="dxa"/>
            <w:vAlign w:val="center"/>
          </w:tcPr>
          <w:p w14:paraId="21E6945D"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0.1967</w:t>
            </w:r>
          </w:p>
        </w:tc>
      </w:tr>
      <w:tr w:rsidR="002C3CE5" w:rsidRPr="002C3CE5" w14:paraId="6EA51987" w14:textId="77777777" w:rsidTr="00140B79">
        <w:tc>
          <w:tcPr>
            <w:tcW w:w="4148" w:type="dxa"/>
            <w:vAlign w:val="center"/>
          </w:tcPr>
          <w:p w14:paraId="2D5B45FB"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h2o</w:t>
            </w:r>
          </w:p>
        </w:tc>
        <w:tc>
          <w:tcPr>
            <w:tcW w:w="4148" w:type="dxa"/>
            <w:vAlign w:val="center"/>
          </w:tcPr>
          <w:p w14:paraId="2198669B"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0.0089</w:t>
            </w:r>
          </w:p>
        </w:tc>
      </w:tr>
      <w:tr w:rsidR="002C3CE5" w:rsidRPr="002C3CE5" w14:paraId="74216EE4" w14:textId="77777777" w:rsidTr="00140B79">
        <w:tc>
          <w:tcPr>
            <w:tcW w:w="4148" w:type="dxa"/>
            <w:vAlign w:val="center"/>
          </w:tcPr>
          <w:p w14:paraId="4ED14C59"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co2</w:t>
            </w:r>
          </w:p>
        </w:tc>
        <w:tc>
          <w:tcPr>
            <w:tcW w:w="4148" w:type="dxa"/>
            <w:vAlign w:val="center"/>
          </w:tcPr>
          <w:p w14:paraId="4E6AD95C"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0.0192</w:t>
            </w:r>
          </w:p>
        </w:tc>
      </w:tr>
      <w:tr w:rsidR="002C3CE5" w:rsidRPr="002C3CE5" w14:paraId="67C1A36E" w14:textId="77777777" w:rsidTr="00140B79">
        <w:tc>
          <w:tcPr>
            <w:tcW w:w="4148" w:type="dxa"/>
            <w:vAlign w:val="center"/>
          </w:tcPr>
          <w:p w14:paraId="41A8242D"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lastRenderedPageBreak/>
              <w:t>n2</w:t>
            </w:r>
          </w:p>
        </w:tc>
        <w:tc>
          <w:tcPr>
            <w:tcW w:w="4148" w:type="dxa"/>
            <w:vAlign w:val="center"/>
          </w:tcPr>
          <w:p w14:paraId="6A80BC38"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0.7189</w:t>
            </w:r>
          </w:p>
        </w:tc>
      </w:tr>
      <w:tr w:rsidR="002C3CE5" w:rsidRPr="002C3CE5" w14:paraId="011C3ADB" w14:textId="77777777" w:rsidTr="00140B79">
        <w:tc>
          <w:tcPr>
            <w:tcW w:w="4148" w:type="dxa"/>
            <w:vAlign w:val="center"/>
          </w:tcPr>
          <w:p w14:paraId="0AA7B32B"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ic8h18</w:t>
            </w:r>
          </w:p>
        </w:tc>
        <w:tc>
          <w:tcPr>
            <w:tcW w:w="4148" w:type="dxa"/>
            <w:vAlign w:val="center"/>
          </w:tcPr>
          <w:p w14:paraId="5E9123EE"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0.02281</w:t>
            </w:r>
          </w:p>
        </w:tc>
      </w:tr>
      <w:tr w:rsidR="002C3CE5" w:rsidRPr="002C3CE5" w14:paraId="52BBB663" w14:textId="77777777" w:rsidTr="00140B79">
        <w:tc>
          <w:tcPr>
            <w:tcW w:w="4148" w:type="dxa"/>
            <w:vAlign w:val="center"/>
          </w:tcPr>
          <w:p w14:paraId="330A8B6C"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ch4</w:t>
            </w:r>
          </w:p>
        </w:tc>
        <w:tc>
          <w:tcPr>
            <w:tcW w:w="4148" w:type="dxa"/>
            <w:vAlign w:val="center"/>
          </w:tcPr>
          <w:p w14:paraId="369379FD" w14:textId="77777777" w:rsidR="002C3CE5" w:rsidRPr="002C3CE5" w:rsidRDefault="002C3CE5" w:rsidP="00140B79">
            <w:pPr>
              <w:jc w:val="center"/>
              <w:rPr>
                <w:rFonts w:ascii="Times New Roman" w:hAnsi="Times New Roman" w:cs="Times New Roman"/>
                <w:szCs w:val="21"/>
              </w:rPr>
            </w:pPr>
            <w:r w:rsidRPr="002C3CE5">
              <w:rPr>
                <w:rFonts w:ascii="Times New Roman" w:hAnsi="Times New Roman" w:cs="Times New Roman"/>
                <w:szCs w:val="21"/>
              </w:rPr>
              <w:t>0.02281</w:t>
            </w:r>
          </w:p>
        </w:tc>
      </w:tr>
      <w:tr w:rsidR="002C3CE5" w:rsidRPr="002C3CE5" w14:paraId="08EAB654" w14:textId="77777777" w:rsidTr="006C74CA">
        <w:tc>
          <w:tcPr>
            <w:tcW w:w="8296" w:type="dxa"/>
            <w:gridSpan w:val="2"/>
            <w:tcBorders>
              <w:top w:val="single" w:sz="4" w:space="0" w:color="FFFFFF" w:themeColor="background1"/>
              <w:left w:val="single" w:sz="4" w:space="0" w:color="FFFFFF" w:themeColor="background1"/>
              <w:bottom w:val="nil"/>
              <w:right w:val="single" w:sz="4" w:space="0" w:color="FFFFFF" w:themeColor="background1"/>
            </w:tcBorders>
            <w:vAlign w:val="center"/>
          </w:tcPr>
          <w:p w14:paraId="1D87BAE1"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lastRenderedPageBreak/>
              <w:drawing>
                <wp:inline distT="0" distB="0" distL="0" distR="0" wp14:anchorId="2C033232" wp14:editId="11A9745F">
                  <wp:extent cx="5040000" cy="2936865"/>
                  <wp:effectExtent l="0" t="0" r="8255" b="0"/>
                  <wp:docPr id="17303501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50117" name=""/>
                          <pic:cNvPicPr/>
                        </pic:nvPicPr>
                        <pic:blipFill>
                          <a:blip r:embed="rId7"/>
                          <a:stretch>
                            <a:fillRect/>
                          </a:stretch>
                        </pic:blipFill>
                        <pic:spPr>
                          <a:xfrm>
                            <a:off x="0" y="0"/>
                            <a:ext cx="5040000" cy="2936865"/>
                          </a:xfrm>
                          <a:prstGeom prst="rect">
                            <a:avLst/>
                          </a:prstGeom>
                        </pic:spPr>
                      </pic:pic>
                    </a:graphicData>
                  </a:graphic>
                </wp:inline>
              </w:drawing>
            </w:r>
          </w:p>
          <w:p w14:paraId="7B18FE8F"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Gasoline fuel in-cylinder pressure</w:t>
            </w:r>
          </w:p>
        </w:tc>
      </w:tr>
      <w:tr w:rsidR="002C3CE5" w:rsidRPr="002C3CE5" w14:paraId="0F4B4E3F" w14:textId="77777777" w:rsidTr="006C74CA">
        <w:tc>
          <w:tcPr>
            <w:tcW w:w="8296" w:type="dxa"/>
            <w:gridSpan w:val="2"/>
            <w:tcBorders>
              <w:top w:val="nil"/>
              <w:left w:val="nil"/>
              <w:bottom w:val="nil"/>
              <w:right w:val="nil"/>
            </w:tcBorders>
            <w:vAlign w:val="center"/>
          </w:tcPr>
          <w:p w14:paraId="2F616A17" w14:textId="3A1EB976"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2CE20993" wp14:editId="7696148E">
                  <wp:extent cx="5040000" cy="2904098"/>
                  <wp:effectExtent l="0" t="0" r="8255" b="0"/>
                  <wp:docPr id="15004777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77737" name=""/>
                          <pic:cNvPicPr/>
                        </pic:nvPicPr>
                        <pic:blipFill>
                          <a:blip r:embed="rId8"/>
                          <a:stretch>
                            <a:fillRect/>
                          </a:stretch>
                        </pic:blipFill>
                        <pic:spPr>
                          <a:xfrm>
                            <a:off x="0" y="0"/>
                            <a:ext cx="5040000" cy="2904098"/>
                          </a:xfrm>
                          <a:prstGeom prst="rect">
                            <a:avLst/>
                          </a:prstGeom>
                        </pic:spPr>
                      </pic:pic>
                    </a:graphicData>
                  </a:graphic>
                </wp:inline>
              </w:drawing>
            </w:r>
          </w:p>
          <w:p w14:paraId="472FC953"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2</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Methane-gasoline fuel in-cylinder pressure</w:t>
            </w:r>
          </w:p>
        </w:tc>
      </w:tr>
      <w:tr w:rsidR="002C3CE5" w:rsidRPr="002C3CE5" w14:paraId="5ABB1488" w14:textId="77777777" w:rsidTr="006C74CA">
        <w:tc>
          <w:tcPr>
            <w:tcW w:w="8296" w:type="dxa"/>
            <w:gridSpan w:val="2"/>
            <w:tcBorders>
              <w:top w:val="nil"/>
              <w:left w:val="single" w:sz="4" w:space="0" w:color="FFFFFF" w:themeColor="background1"/>
              <w:bottom w:val="nil"/>
              <w:right w:val="single" w:sz="4" w:space="0" w:color="FFFFFF" w:themeColor="background1"/>
            </w:tcBorders>
            <w:vAlign w:val="center"/>
          </w:tcPr>
          <w:p w14:paraId="5705793D"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lastRenderedPageBreak/>
              <w:drawing>
                <wp:inline distT="0" distB="0" distL="0" distR="0" wp14:anchorId="769F88B7" wp14:editId="614CBB81">
                  <wp:extent cx="5040000" cy="2864050"/>
                  <wp:effectExtent l="0" t="0" r="8255" b="0"/>
                  <wp:docPr id="20135528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52854" name=""/>
                          <pic:cNvPicPr/>
                        </pic:nvPicPr>
                        <pic:blipFill>
                          <a:blip r:embed="rId9"/>
                          <a:stretch>
                            <a:fillRect/>
                          </a:stretch>
                        </pic:blipFill>
                        <pic:spPr>
                          <a:xfrm>
                            <a:off x="0" y="0"/>
                            <a:ext cx="5040000" cy="2864050"/>
                          </a:xfrm>
                          <a:prstGeom prst="rect">
                            <a:avLst/>
                          </a:prstGeom>
                        </pic:spPr>
                      </pic:pic>
                    </a:graphicData>
                  </a:graphic>
                </wp:inline>
              </w:drawing>
            </w:r>
          </w:p>
          <w:p w14:paraId="0808F567"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3</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CO emissions from gasoline fuel</w:t>
            </w:r>
          </w:p>
        </w:tc>
      </w:tr>
      <w:tr w:rsidR="002C3CE5" w:rsidRPr="002C3CE5" w14:paraId="7D829D81" w14:textId="77777777" w:rsidTr="006C74CA">
        <w:tc>
          <w:tcPr>
            <w:tcW w:w="8296" w:type="dxa"/>
            <w:gridSpan w:val="2"/>
            <w:tcBorders>
              <w:top w:val="nil"/>
              <w:left w:val="nil"/>
              <w:bottom w:val="nil"/>
              <w:right w:val="nil"/>
            </w:tcBorders>
            <w:vAlign w:val="center"/>
          </w:tcPr>
          <w:p w14:paraId="560F9460"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57C23AC6" wp14:editId="5155A1E2">
                  <wp:extent cx="5040000" cy="2924729"/>
                  <wp:effectExtent l="0" t="0" r="8255" b="9525"/>
                  <wp:docPr id="9819891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89133" name=""/>
                          <pic:cNvPicPr/>
                        </pic:nvPicPr>
                        <pic:blipFill>
                          <a:blip r:embed="rId10"/>
                          <a:stretch>
                            <a:fillRect/>
                          </a:stretch>
                        </pic:blipFill>
                        <pic:spPr>
                          <a:xfrm>
                            <a:off x="0" y="0"/>
                            <a:ext cx="5040000" cy="2924729"/>
                          </a:xfrm>
                          <a:prstGeom prst="rect">
                            <a:avLst/>
                          </a:prstGeom>
                        </pic:spPr>
                      </pic:pic>
                    </a:graphicData>
                  </a:graphic>
                </wp:inline>
              </w:drawing>
            </w:r>
          </w:p>
          <w:p w14:paraId="2EBC0117"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4</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CO emissions from methane-gasoline fuel</w:t>
            </w:r>
          </w:p>
        </w:tc>
      </w:tr>
      <w:tr w:rsidR="002C3CE5" w:rsidRPr="002C3CE5" w14:paraId="27A479B0" w14:textId="77777777" w:rsidTr="006C74CA">
        <w:tc>
          <w:tcPr>
            <w:tcW w:w="8296" w:type="dxa"/>
            <w:gridSpan w:val="2"/>
            <w:tcBorders>
              <w:top w:val="nil"/>
              <w:left w:val="single" w:sz="4" w:space="0" w:color="FFFFFF" w:themeColor="background1"/>
              <w:bottom w:val="nil"/>
              <w:right w:val="single" w:sz="4" w:space="0" w:color="FFFFFF" w:themeColor="background1"/>
            </w:tcBorders>
            <w:vAlign w:val="center"/>
          </w:tcPr>
          <w:p w14:paraId="16E14903"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lastRenderedPageBreak/>
              <w:drawing>
                <wp:inline distT="0" distB="0" distL="0" distR="0" wp14:anchorId="5D3040C7" wp14:editId="1F31FECB">
                  <wp:extent cx="5040000" cy="2830070"/>
                  <wp:effectExtent l="0" t="0" r="8255" b="8890"/>
                  <wp:docPr id="1252495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9544" name=""/>
                          <pic:cNvPicPr/>
                        </pic:nvPicPr>
                        <pic:blipFill>
                          <a:blip r:embed="rId11"/>
                          <a:stretch>
                            <a:fillRect/>
                          </a:stretch>
                        </pic:blipFill>
                        <pic:spPr>
                          <a:xfrm>
                            <a:off x="0" y="0"/>
                            <a:ext cx="5040000" cy="2830070"/>
                          </a:xfrm>
                          <a:prstGeom prst="rect">
                            <a:avLst/>
                          </a:prstGeom>
                        </pic:spPr>
                      </pic:pic>
                    </a:graphicData>
                  </a:graphic>
                </wp:inline>
              </w:drawing>
            </w:r>
          </w:p>
          <w:p w14:paraId="5BBAC856"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5</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CO</w:t>
            </w:r>
            <w:r w:rsidRPr="002C3CE5">
              <w:rPr>
                <w:rFonts w:ascii="Times New Roman" w:hAnsi="Times New Roman" w:cs="Times New Roman"/>
                <w:sz w:val="21"/>
                <w:szCs w:val="21"/>
                <w:vertAlign w:val="subscript"/>
              </w:rPr>
              <w:t>2</w:t>
            </w:r>
            <w:r w:rsidRPr="002C3CE5">
              <w:rPr>
                <w:rFonts w:ascii="Times New Roman" w:hAnsi="Times New Roman" w:cs="Times New Roman"/>
                <w:sz w:val="21"/>
                <w:szCs w:val="21"/>
              </w:rPr>
              <w:t xml:space="preserve"> emissions from gasoline fuel</w:t>
            </w:r>
          </w:p>
        </w:tc>
      </w:tr>
      <w:tr w:rsidR="002C3CE5" w:rsidRPr="002C3CE5" w14:paraId="62A4C4C5" w14:textId="77777777" w:rsidTr="006C74CA">
        <w:tc>
          <w:tcPr>
            <w:tcW w:w="8296" w:type="dxa"/>
            <w:gridSpan w:val="2"/>
            <w:tcBorders>
              <w:top w:val="nil"/>
              <w:left w:val="nil"/>
              <w:bottom w:val="nil"/>
              <w:right w:val="nil"/>
            </w:tcBorders>
            <w:vAlign w:val="center"/>
          </w:tcPr>
          <w:p w14:paraId="6BDD24BC"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5C0865D2" wp14:editId="49370C58">
                  <wp:extent cx="5040000" cy="2937472"/>
                  <wp:effectExtent l="0" t="0" r="8255" b="0"/>
                  <wp:docPr id="20704672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67274" name=""/>
                          <pic:cNvPicPr/>
                        </pic:nvPicPr>
                        <pic:blipFill>
                          <a:blip r:embed="rId12"/>
                          <a:stretch>
                            <a:fillRect/>
                          </a:stretch>
                        </pic:blipFill>
                        <pic:spPr>
                          <a:xfrm>
                            <a:off x="0" y="0"/>
                            <a:ext cx="5040000" cy="2937472"/>
                          </a:xfrm>
                          <a:prstGeom prst="rect">
                            <a:avLst/>
                          </a:prstGeom>
                        </pic:spPr>
                      </pic:pic>
                    </a:graphicData>
                  </a:graphic>
                </wp:inline>
              </w:drawing>
            </w:r>
          </w:p>
          <w:p w14:paraId="1DD72B4C"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6</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CO</w:t>
            </w:r>
            <w:r w:rsidRPr="002C3CE5">
              <w:rPr>
                <w:rFonts w:ascii="Times New Roman" w:hAnsi="Times New Roman" w:cs="Times New Roman"/>
                <w:sz w:val="21"/>
                <w:szCs w:val="21"/>
                <w:vertAlign w:val="subscript"/>
              </w:rPr>
              <w:t>2</w:t>
            </w:r>
            <w:r w:rsidRPr="002C3CE5">
              <w:rPr>
                <w:rFonts w:ascii="Times New Roman" w:hAnsi="Times New Roman" w:cs="Times New Roman"/>
                <w:sz w:val="21"/>
                <w:szCs w:val="21"/>
              </w:rPr>
              <w:t xml:space="preserve"> emissions from methane-gasoline fuel</w:t>
            </w:r>
          </w:p>
        </w:tc>
      </w:tr>
      <w:tr w:rsidR="002C3CE5" w:rsidRPr="002C3CE5" w14:paraId="143561C6" w14:textId="77777777" w:rsidTr="006C74CA">
        <w:tc>
          <w:tcPr>
            <w:tcW w:w="8296" w:type="dxa"/>
            <w:gridSpan w:val="2"/>
            <w:tcBorders>
              <w:top w:val="nil"/>
              <w:left w:val="single" w:sz="4" w:space="0" w:color="FFFFFF" w:themeColor="background1"/>
              <w:bottom w:val="nil"/>
              <w:right w:val="single" w:sz="4" w:space="0" w:color="FFFFFF" w:themeColor="background1"/>
            </w:tcBorders>
            <w:vAlign w:val="center"/>
          </w:tcPr>
          <w:p w14:paraId="661DA250"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lastRenderedPageBreak/>
              <w:drawing>
                <wp:inline distT="0" distB="0" distL="0" distR="0" wp14:anchorId="5FE16AC0" wp14:editId="65C93F55">
                  <wp:extent cx="5040000" cy="2844026"/>
                  <wp:effectExtent l="0" t="0" r="8255" b="0"/>
                  <wp:docPr id="16106922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92295" name=""/>
                          <pic:cNvPicPr/>
                        </pic:nvPicPr>
                        <pic:blipFill>
                          <a:blip r:embed="rId13"/>
                          <a:stretch>
                            <a:fillRect/>
                          </a:stretch>
                        </pic:blipFill>
                        <pic:spPr>
                          <a:xfrm>
                            <a:off x="0" y="0"/>
                            <a:ext cx="5040000" cy="2844026"/>
                          </a:xfrm>
                          <a:prstGeom prst="rect">
                            <a:avLst/>
                          </a:prstGeom>
                        </pic:spPr>
                      </pic:pic>
                    </a:graphicData>
                  </a:graphic>
                </wp:inline>
              </w:drawing>
            </w:r>
          </w:p>
          <w:p w14:paraId="19E8D4B8"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7</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NO emissions from gasoline fuel</w:t>
            </w:r>
          </w:p>
        </w:tc>
      </w:tr>
      <w:tr w:rsidR="002C3CE5" w:rsidRPr="002C3CE5" w14:paraId="7F2BCEAA" w14:textId="77777777" w:rsidTr="006C74CA">
        <w:tc>
          <w:tcPr>
            <w:tcW w:w="8296" w:type="dxa"/>
            <w:gridSpan w:val="2"/>
            <w:tcBorders>
              <w:top w:val="nil"/>
              <w:left w:val="nil"/>
              <w:bottom w:val="nil"/>
              <w:right w:val="nil"/>
            </w:tcBorders>
            <w:vAlign w:val="center"/>
          </w:tcPr>
          <w:p w14:paraId="5EF4B4FB"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748F9C2F" wp14:editId="44679E07">
                  <wp:extent cx="5040000" cy="2938685"/>
                  <wp:effectExtent l="0" t="0" r="8255" b="0"/>
                  <wp:docPr id="10010081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08159" name=""/>
                          <pic:cNvPicPr/>
                        </pic:nvPicPr>
                        <pic:blipFill>
                          <a:blip r:embed="rId14"/>
                          <a:stretch>
                            <a:fillRect/>
                          </a:stretch>
                        </pic:blipFill>
                        <pic:spPr>
                          <a:xfrm>
                            <a:off x="0" y="0"/>
                            <a:ext cx="5040000" cy="2938685"/>
                          </a:xfrm>
                          <a:prstGeom prst="rect">
                            <a:avLst/>
                          </a:prstGeom>
                        </pic:spPr>
                      </pic:pic>
                    </a:graphicData>
                  </a:graphic>
                </wp:inline>
              </w:drawing>
            </w:r>
          </w:p>
          <w:p w14:paraId="6CCFE908"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8</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NO emissions from methane-gasoline fuel</w:t>
            </w:r>
          </w:p>
        </w:tc>
      </w:tr>
      <w:tr w:rsidR="002C3CE5" w:rsidRPr="002C3CE5" w14:paraId="50AC245C" w14:textId="77777777" w:rsidTr="006C74CA">
        <w:tc>
          <w:tcPr>
            <w:tcW w:w="8296" w:type="dxa"/>
            <w:gridSpan w:val="2"/>
            <w:tcBorders>
              <w:top w:val="nil"/>
              <w:left w:val="single" w:sz="4" w:space="0" w:color="FFFFFF" w:themeColor="background1"/>
              <w:bottom w:val="nil"/>
              <w:right w:val="single" w:sz="4" w:space="0" w:color="FFFFFF" w:themeColor="background1"/>
            </w:tcBorders>
            <w:vAlign w:val="center"/>
          </w:tcPr>
          <w:p w14:paraId="4EA44C37"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lastRenderedPageBreak/>
              <w:drawing>
                <wp:inline distT="0" distB="0" distL="0" distR="0" wp14:anchorId="56263C32" wp14:editId="13E03936">
                  <wp:extent cx="5040000" cy="2944146"/>
                  <wp:effectExtent l="0" t="0" r="8255" b="8890"/>
                  <wp:docPr id="12979080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908060" name=""/>
                          <pic:cNvPicPr/>
                        </pic:nvPicPr>
                        <pic:blipFill>
                          <a:blip r:embed="rId15"/>
                          <a:stretch>
                            <a:fillRect/>
                          </a:stretch>
                        </pic:blipFill>
                        <pic:spPr>
                          <a:xfrm>
                            <a:off x="0" y="0"/>
                            <a:ext cx="5040000" cy="2944146"/>
                          </a:xfrm>
                          <a:prstGeom prst="rect">
                            <a:avLst/>
                          </a:prstGeom>
                        </pic:spPr>
                      </pic:pic>
                    </a:graphicData>
                  </a:graphic>
                </wp:inline>
              </w:drawing>
            </w:r>
          </w:p>
          <w:p w14:paraId="100CA895"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9</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NO</w:t>
            </w:r>
            <w:r w:rsidRPr="002C3CE5">
              <w:rPr>
                <w:rFonts w:ascii="Times New Roman" w:hAnsi="Times New Roman" w:cs="Times New Roman"/>
                <w:sz w:val="21"/>
                <w:szCs w:val="21"/>
                <w:vertAlign w:val="subscript"/>
              </w:rPr>
              <w:t>2</w:t>
            </w:r>
            <w:r w:rsidRPr="002C3CE5">
              <w:rPr>
                <w:rFonts w:ascii="Times New Roman" w:hAnsi="Times New Roman" w:cs="Times New Roman"/>
                <w:sz w:val="21"/>
                <w:szCs w:val="21"/>
              </w:rPr>
              <w:t xml:space="preserve"> emissions from gasoline fuel</w:t>
            </w:r>
          </w:p>
        </w:tc>
      </w:tr>
      <w:tr w:rsidR="002C3CE5" w:rsidRPr="002C3CE5" w14:paraId="080E69F3" w14:textId="77777777" w:rsidTr="006C74CA">
        <w:tc>
          <w:tcPr>
            <w:tcW w:w="8296" w:type="dxa"/>
            <w:gridSpan w:val="2"/>
            <w:tcBorders>
              <w:top w:val="nil"/>
              <w:left w:val="nil"/>
              <w:bottom w:val="nil"/>
              <w:right w:val="nil"/>
            </w:tcBorders>
            <w:vAlign w:val="center"/>
          </w:tcPr>
          <w:p w14:paraId="76FBBB27" w14:textId="77777777" w:rsidR="002C3CE5" w:rsidRPr="002C3CE5" w:rsidRDefault="002C3CE5" w:rsidP="00140B79">
            <w:pPr>
              <w:keepNext/>
              <w:jc w:val="center"/>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1BFF8770" wp14:editId="34FB9DB8">
                  <wp:extent cx="5040000" cy="2932617"/>
                  <wp:effectExtent l="0" t="0" r="8255" b="1270"/>
                  <wp:docPr id="2932708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70849" name=""/>
                          <pic:cNvPicPr/>
                        </pic:nvPicPr>
                        <pic:blipFill>
                          <a:blip r:embed="rId16"/>
                          <a:stretch>
                            <a:fillRect/>
                          </a:stretch>
                        </pic:blipFill>
                        <pic:spPr>
                          <a:xfrm>
                            <a:off x="0" y="0"/>
                            <a:ext cx="5040000" cy="2932617"/>
                          </a:xfrm>
                          <a:prstGeom prst="rect">
                            <a:avLst/>
                          </a:prstGeom>
                        </pic:spPr>
                      </pic:pic>
                    </a:graphicData>
                  </a:graphic>
                </wp:inline>
              </w:drawing>
            </w:r>
          </w:p>
          <w:p w14:paraId="3247D04A" w14:textId="77777777" w:rsidR="002C3CE5" w:rsidRPr="002C3CE5" w:rsidRDefault="002C3CE5" w:rsidP="00140B79">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10</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NO</w:t>
            </w:r>
            <w:r w:rsidRPr="002C3CE5">
              <w:rPr>
                <w:rFonts w:ascii="Times New Roman" w:hAnsi="Times New Roman" w:cs="Times New Roman"/>
                <w:sz w:val="21"/>
                <w:szCs w:val="21"/>
                <w:vertAlign w:val="subscript"/>
              </w:rPr>
              <w:t>2</w:t>
            </w:r>
            <w:r w:rsidRPr="002C3CE5">
              <w:rPr>
                <w:rFonts w:ascii="Times New Roman" w:hAnsi="Times New Roman" w:cs="Times New Roman"/>
                <w:sz w:val="21"/>
                <w:szCs w:val="21"/>
              </w:rPr>
              <w:t xml:space="preserve"> emissions from methane-gasoline fuel</w:t>
            </w:r>
          </w:p>
        </w:tc>
      </w:tr>
    </w:tbl>
    <w:p w14:paraId="210D5046" w14:textId="560C2D4D" w:rsidR="002C3CE5" w:rsidRPr="002C3CE5" w:rsidRDefault="00486CA7" w:rsidP="00C7593A">
      <w:pPr>
        <w:rPr>
          <w:rFonts w:ascii="Times New Roman" w:hAnsi="Times New Roman" w:cs="Times New Roman"/>
          <w:szCs w:val="21"/>
        </w:rPr>
      </w:pPr>
      <w:r w:rsidRPr="00486CA7">
        <w:rPr>
          <w:rFonts w:ascii="Times New Roman" w:hAnsi="Times New Roman" w:cs="Times New Roman"/>
          <w:szCs w:val="21"/>
        </w:rPr>
        <w:t>By comparing the simulation results with the existing academic literature, it is found that these results show high reliability</w:t>
      </w:r>
      <w:r w:rsidR="0022532B">
        <w:rPr>
          <w:rFonts w:ascii="Times New Roman" w:hAnsi="Times New Roman" w:cs="Times New Roman"/>
          <w:szCs w:val="21"/>
        </w:rPr>
        <w:fldChar w:fldCharType="begin"/>
      </w:r>
      <w:r w:rsidR="00140B79">
        <w:rPr>
          <w:rFonts w:ascii="Times New Roman" w:hAnsi="Times New Roman" w:cs="Times New Roman"/>
          <w:szCs w:val="21"/>
        </w:rPr>
        <w:instrText xml:space="preserve"> ADDIN ZOTERO_ITEM CSL_CITATION {"citationID":"pmxrcF0T","properties":{"formattedCitation":"[12]","plainCitation":"[12]","noteIndex":0},"citationItems":[{"id":47,"uris":["http://zotero.org/users/local/5Y2y2iOu/items/HDPSX9AL"],"itemData":{"id":47,"type":"article-journal","abstract":"Natural gas/gasoline dual-fuel combustion mode has been proposed to use respective advantages. Recent study showed that a combustion acceleration behavior may exist for methane/gasoline dual-fuel under partial load conditions of spark-ignition (SI) engines. As engine thermal eﬃciency is signiﬁcantly aﬀected by burning rate, it is necessary to further investigate the combustion characteristics of methane/gasoline dual-fuel. In this work, a port-injection of methane and direct-injection of gasoline strategy was employed in a SI engine, and variations of methane addition, intake pressure, intake temperature, compression ratio, excessive air coeﬃcient and fuel injection timing were considered. Firstly, engine performance in combustion and emissions was explored to illustrate the advantage of methane/gasoline dual-fuel combustion. Then, the eﬀect of various operation parameters on combustion characteristics of methane/gasoline dual-fuel, with addressing combustion acceleration behaviors, were further studied. It showed that obvious combustion acceleration was observed under low compression ratio, lean burning and fuel stratiﬁcation conditions, characterizing slight increases in in-cylinder pressure and obvious improvement in initial combustion phasing with methane addition. Finally, combined with previous fundamental work, the underlying mechanism for combustion acceleration behaviors was analyzed and the role of diﬀusion and stretch eﬀect on initial ﬂame development was emphasized.","container-title":"Applied Thermal Engineering","DOI":"10.1016/j.applthermaleng.2018.04.123","ISSN":"13594311","journalAbbreviation":"Applied Thermal Engineering","language":"en","page":"432-444","source":"DOI.org (Crossref)","title":"Experimental investigations on combustion acceleration behavior of methane/gasoline under partial load conditions of SI engines","volume":"139","author":[{"family":"Pan","given":"Jiaying"},{"family":"Li","given":"Nan"},{"family":"Wei","given":"Haiqiao"},{"family":"Hua","given":"Jianxiong"},{"family":"Shu","given":"Gequn"}],"issued":{"date-parts":[["2018",7]]}}}],"schema":"https://github.com/citation-style-language/schema/raw/master/csl-citation.json"} </w:instrText>
      </w:r>
      <w:r w:rsidR="0022532B">
        <w:rPr>
          <w:rFonts w:ascii="Times New Roman" w:hAnsi="Times New Roman" w:cs="Times New Roman"/>
          <w:szCs w:val="21"/>
        </w:rPr>
        <w:fldChar w:fldCharType="separate"/>
      </w:r>
      <w:r w:rsidR="00140B79" w:rsidRPr="00140B79">
        <w:rPr>
          <w:rFonts w:ascii="Times New Roman" w:hAnsi="Times New Roman" w:cs="Times New Roman"/>
        </w:rPr>
        <w:t>[12]</w:t>
      </w:r>
      <w:r w:rsidR="0022532B">
        <w:rPr>
          <w:rFonts w:ascii="Times New Roman" w:hAnsi="Times New Roman" w:cs="Times New Roman"/>
          <w:szCs w:val="21"/>
        </w:rPr>
        <w:fldChar w:fldCharType="end"/>
      </w:r>
      <w:r>
        <w:rPr>
          <w:rFonts w:ascii="Times New Roman" w:hAnsi="Times New Roman" w:cs="Times New Roman" w:hint="eastAsia"/>
          <w:szCs w:val="21"/>
        </w:rPr>
        <w:t xml:space="preserve">. </w:t>
      </w:r>
      <w:proofErr w:type="gramStart"/>
      <w:r w:rsidR="002C3CE5" w:rsidRPr="002C3CE5">
        <w:rPr>
          <w:rFonts w:ascii="Times New Roman" w:hAnsi="Times New Roman" w:cs="Times New Roman"/>
          <w:szCs w:val="21"/>
        </w:rPr>
        <w:t>By</w:t>
      </w:r>
      <w:proofErr w:type="gramEnd"/>
      <w:r w:rsidR="002C3CE5" w:rsidRPr="002C3CE5">
        <w:rPr>
          <w:rFonts w:ascii="Times New Roman" w:hAnsi="Times New Roman" w:cs="Times New Roman"/>
          <w:szCs w:val="21"/>
        </w:rPr>
        <w:t xml:space="preserve"> comparing the pressure curves of the two, it can be seen that the peak pressure of pure gasoline is higher, indicating that more energy is released in the combustion process, which means that pure gasoline as a fuel has higher combustion efficiency and better engine performance. The lower peak pressure curve of the methane-gasoline hybrid fuel may be due to the lower octane number and energy density of methane, which affects its combustion performance. It can be seen from the co emission curves of the two fuels that the peak CO emission of pure gasoline combustion is lower than that of gasoline-methane mixed fuel, which indicates that the combustion process of pure gasoline is more complete, less CO is produced, and the addition of methane makes the combustion incomplete, resulting in higher CO emission. By comparing the co2 emission curves of the two, it can be seen that the peak CO2 emission after adding methane is lower than that of pure gasoline combustion, which may be because the proportion of water and CO2 </w:t>
      </w:r>
      <w:r w:rsidR="002C3CE5" w:rsidRPr="002C3CE5">
        <w:rPr>
          <w:rFonts w:ascii="Times New Roman" w:hAnsi="Times New Roman" w:cs="Times New Roman"/>
          <w:szCs w:val="21"/>
        </w:rPr>
        <w:lastRenderedPageBreak/>
        <w:t>generated by methane during combustion is different from that of gasoline. The results indicate that CO2 emissions can be reduced to a certain extent by using methane mixed with gasoline, which has a positive effect on reducing greenhouse gas emissions. By comparing the NOX emission curves of the two, it can be seen that the peak NOX generated by pure gasoline combustion is higher. Since the formation of NOX is more favorable under high temperature conditions, this phenomenon may be related to the higher combustion temperature of gasoline. The results show that methane-gasoline combustion is more beneficial to reducing NOX emissions than pure gasoline combustion, which is more conducive to protecting the environment.</w:t>
      </w:r>
    </w:p>
    <w:p w14:paraId="675C7A28" w14:textId="5AB3D94C" w:rsidR="002C3CE5" w:rsidRPr="002C3CE5" w:rsidRDefault="002C3CE5" w:rsidP="00C7593A">
      <w:pPr>
        <w:rPr>
          <w:rFonts w:ascii="Times New Roman" w:hAnsi="Times New Roman" w:cs="Times New Roman"/>
          <w:szCs w:val="21"/>
        </w:rPr>
      </w:pPr>
      <w:r w:rsidRPr="002C3CE5">
        <w:rPr>
          <w:rFonts w:ascii="Times New Roman" w:hAnsi="Times New Roman" w:cs="Times New Roman"/>
          <w:szCs w:val="21"/>
        </w:rPr>
        <w:t>After testing the combustion and emission characteristics of gasoline and methane-gasoline fuel in the cylinder, the four-cylinder four-stroke engine is opened in WAVE, and the parameters in the engine cylinder are matched to those in Forte. The Location of 50% burn point and Combustion duration in cylinder characteristics are consistent with the simulation results in Forte. Run the model and save the experiment results. Then, change the Specified by the Model Properties to the Fuel file, and create and use methane and gasoline with a mass fraction of 1: 1. Mixed fuel model. Change the fuel composition in Injector to 0.5 liquid fuel and 0.5 gas fuel. Run the model.</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3"/>
        <w:gridCol w:w="4153"/>
      </w:tblGrid>
      <w:tr w:rsidR="002C3CE5" w:rsidRPr="002C3CE5" w14:paraId="66A27EA9" w14:textId="77777777" w:rsidTr="006C74CA">
        <w:tc>
          <w:tcPr>
            <w:tcW w:w="4148" w:type="dxa"/>
          </w:tcPr>
          <w:p w14:paraId="4C072B06" w14:textId="77777777" w:rsidR="002C3CE5" w:rsidRPr="002C3CE5" w:rsidRDefault="002C3CE5" w:rsidP="00C24C48">
            <w:pPr>
              <w:keepNext/>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10597B70" wp14:editId="53E1422A">
                  <wp:extent cx="2520000" cy="1830686"/>
                  <wp:effectExtent l="0" t="0" r="0" b="0"/>
                  <wp:docPr id="6534099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09924" name=""/>
                          <pic:cNvPicPr/>
                        </pic:nvPicPr>
                        <pic:blipFill>
                          <a:blip r:embed="rId17"/>
                          <a:stretch>
                            <a:fillRect/>
                          </a:stretch>
                        </pic:blipFill>
                        <pic:spPr>
                          <a:xfrm>
                            <a:off x="0" y="0"/>
                            <a:ext cx="2520000" cy="1830686"/>
                          </a:xfrm>
                          <a:prstGeom prst="rect">
                            <a:avLst/>
                          </a:prstGeom>
                        </pic:spPr>
                      </pic:pic>
                    </a:graphicData>
                  </a:graphic>
                </wp:inline>
              </w:drawing>
            </w:r>
          </w:p>
          <w:p w14:paraId="4A0A532E" w14:textId="77777777" w:rsidR="002C3CE5" w:rsidRPr="002C3CE5" w:rsidRDefault="002C3CE5" w:rsidP="00C24C48">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11</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Gasoline Engine Torque</w:t>
            </w:r>
          </w:p>
        </w:tc>
        <w:tc>
          <w:tcPr>
            <w:tcW w:w="4148" w:type="dxa"/>
          </w:tcPr>
          <w:p w14:paraId="0925E8ED" w14:textId="77777777" w:rsidR="002C3CE5" w:rsidRPr="002C3CE5" w:rsidRDefault="002C3CE5" w:rsidP="00C24C48">
            <w:pPr>
              <w:keepNext/>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03B4343B" wp14:editId="33446F49">
                  <wp:extent cx="2520000" cy="1837664"/>
                  <wp:effectExtent l="0" t="0" r="0" b="0"/>
                  <wp:docPr id="2069960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6057" name=""/>
                          <pic:cNvPicPr/>
                        </pic:nvPicPr>
                        <pic:blipFill>
                          <a:blip r:embed="rId18"/>
                          <a:stretch>
                            <a:fillRect/>
                          </a:stretch>
                        </pic:blipFill>
                        <pic:spPr>
                          <a:xfrm>
                            <a:off x="0" y="0"/>
                            <a:ext cx="2520000" cy="1837664"/>
                          </a:xfrm>
                          <a:prstGeom prst="rect">
                            <a:avLst/>
                          </a:prstGeom>
                        </pic:spPr>
                      </pic:pic>
                    </a:graphicData>
                  </a:graphic>
                </wp:inline>
              </w:drawing>
            </w:r>
          </w:p>
          <w:p w14:paraId="0E657E14" w14:textId="77777777" w:rsidR="002C3CE5" w:rsidRPr="002C3CE5" w:rsidRDefault="002C3CE5" w:rsidP="00C24C48">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12</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Methane-gasoline engine torque</w:t>
            </w:r>
          </w:p>
        </w:tc>
      </w:tr>
      <w:tr w:rsidR="002C3CE5" w:rsidRPr="002C3CE5" w14:paraId="5C9662CF" w14:textId="77777777" w:rsidTr="006C74CA">
        <w:tc>
          <w:tcPr>
            <w:tcW w:w="4148" w:type="dxa"/>
          </w:tcPr>
          <w:p w14:paraId="02E1F87C" w14:textId="77777777" w:rsidR="002C3CE5" w:rsidRPr="002C3CE5" w:rsidRDefault="002C3CE5" w:rsidP="00C24C48">
            <w:pPr>
              <w:keepNext/>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636E11AB" wp14:editId="10A8B846">
                  <wp:extent cx="2520000" cy="1847373"/>
                  <wp:effectExtent l="0" t="0" r="0" b="635"/>
                  <wp:docPr id="20260728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72816" name=""/>
                          <pic:cNvPicPr/>
                        </pic:nvPicPr>
                        <pic:blipFill>
                          <a:blip r:embed="rId19"/>
                          <a:stretch>
                            <a:fillRect/>
                          </a:stretch>
                        </pic:blipFill>
                        <pic:spPr>
                          <a:xfrm>
                            <a:off x="0" y="0"/>
                            <a:ext cx="2520000" cy="1847373"/>
                          </a:xfrm>
                          <a:prstGeom prst="rect">
                            <a:avLst/>
                          </a:prstGeom>
                        </pic:spPr>
                      </pic:pic>
                    </a:graphicData>
                  </a:graphic>
                </wp:inline>
              </w:drawing>
            </w:r>
          </w:p>
          <w:p w14:paraId="32064D6B" w14:textId="77777777" w:rsidR="002C3CE5" w:rsidRPr="002C3CE5" w:rsidRDefault="002C3CE5" w:rsidP="00C24C48">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13</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gasoline linear P-V diagram</w:t>
            </w:r>
          </w:p>
        </w:tc>
        <w:tc>
          <w:tcPr>
            <w:tcW w:w="4148" w:type="dxa"/>
          </w:tcPr>
          <w:p w14:paraId="36D4C755" w14:textId="77777777" w:rsidR="002C3CE5" w:rsidRPr="002C3CE5" w:rsidRDefault="002C3CE5" w:rsidP="00C24C48">
            <w:pPr>
              <w:keepNext/>
              <w:rPr>
                <w:rFonts w:ascii="Times New Roman" w:hAnsi="Times New Roman" w:cs="Times New Roman"/>
                <w:szCs w:val="21"/>
              </w:rPr>
            </w:pPr>
            <w:r w:rsidRPr="002C3CE5">
              <w:rPr>
                <w:rFonts w:ascii="Times New Roman" w:hAnsi="Times New Roman" w:cs="Times New Roman"/>
                <w:noProof/>
                <w:szCs w:val="21"/>
              </w:rPr>
              <w:drawing>
                <wp:inline distT="0" distB="0" distL="0" distR="0" wp14:anchorId="33B1FF2A" wp14:editId="4E96CEC4">
                  <wp:extent cx="2520000" cy="1851014"/>
                  <wp:effectExtent l="0" t="0" r="0" b="0"/>
                  <wp:docPr id="7900504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50471" name=""/>
                          <pic:cNvPicPr/>
                        </pic:nvPicPr>
                        <pic:blipFill>
                          <a:blip r:embed="rId20"/>
                          <a:stretch>
                            <a:fillRect/>
                          </a:stretch>
                        </pic:blipFill>
                        <pic:spPr>
                          <a:xfrm>
                            <a:off x="0" y="0"/>
                            <a:ext cx="2520000" cy="1851014"/>
                          </a:xfrm>
                          <a:prstGeom prst="rect">
                            <a:avLst/>
                          </a:prstGeom>
                        </pic:spPr>
                      </pic:pic>
                    </a:graphicData>
                  </a:graphic>
                </wp:inline>
              </w:drawing>
            </w:r>
          </w:p>
          <w:p w14:paraId="1BEFE0F9" w14:textId="77777777" w:rsidR="002C3CE5" w:rsidRPr="002C3CE5" w:rsidRDefault="002C3CE5" w:rsidP="00C24C48">
            <w:pPr>
              <w:pStyle w:val="a4"/>
              <w:jc w:val="center"/>
              <w:rPr>
                <w:rFonts w:ascii="Times New Roman" w:hAnsi="Times New Roman" w:cs="Times New Roman"/>
                <w:sz w:val="21"/>
                <w:szCs w:val="21"/>
              </w:rPr>
            </w:pPr>
            <w:r w:rsidRPr="002C3CE5">
              <w:rPr>
                <w:rFonts w:ascii="Times New Roman" w:hAnsi="Times New Roman" w:cs="Times New Roman"/>
                <w:sz w:val="21"/>
                <w:szCs w:val="21"/>
              </w:rPr>
              <w:t xml:space="preserve">Figure </w:t>
            </w:r>
            <w:r w:rsidRPr="002C3CE5">
              <w:rPr>
                <w:rFonts w:ascii="Times New Roman" w:hAnsi="Times New Roman" w:cs="Times New Roman"/>
                <w:sz w:val="21"/>
                <w:szCs w:val="21"/>
              </w:rPr>
              <w:fldChar w:fldCharType="begin"/>
            </w:r>
            <w:r w:rsidRPr="002C3CE5">
              <w:rPr>
                <w:rFonts w:ascii="Times New Roman" w:hAnsi="Times New Roman" w:cs="Times New Roman"/>
                <w:sz w:val="21"/>
                <w:szCs w:val="21"/>
              </w:rPr>
              <w:instrText xml:space="preserve"> SEQ Figure \* ARABIC </w:instrText>
            </w:r>
            <w:r w:rsidRPr="002C3CE5">
              <w:rPr>
                <w:rFonts w:ascii="Times New Roman" w:hAnsi="Times New Roman" w:cs="Times New Roman"/>
                <w:sz w:val="21"/>
                <w:szCs w:val="21"/>
              </w:rPr>
              <w:fldChar w:fldCharType="separate"/>
            </w:r>
            <w:r w:rsidRPr="002C3CE5">
              <w:rPr>
                <w:rFonts w:ascii="Times New Roman" w:hAnsi="Times New Roman" w:cs="Times New Roman"/>
                <w:noProof/>
                <w:sz w:val="21"/>
                <w:szCs w:val="21"/>
              </w:rPr>
              <w:t>14</w:t>
            </w:r>
            <w:r w:rsidRPr="002C3CE5">
              <w:rPr>
                <w:rFonts w:ascii="Times New Roman" w:hAnsi="Times New Roman" w:cs="Times New Roman"/>
                <w:sz w:val="21"/>
                <w:szCs w:val="21"/>
              </w:rPr>
              <w:fldChar w:fldCharType="end"/>
            </w:r>
            <w:r w:rsidRPr="002C3CE5">
              <w:rPr>
                <w:rFonts w:ascii="Times New Roman" w:hAnsi="Times New Roman" w:cs="Times New Roman"/>
                <w:sz w:val="21"/>
                <w:szCs w:val="21"/>
              </w:rPr>
              <w:t xml:space="preserve"> Methane-gasoline P-V diagram</w:t>
            </w:r>
          </w:p>
        </w:tc>
      </w:tr>
    </w:tbl>
    <w:p w14:paraId="5EC17D71" w14:textId="77777777" w:rsidR="002C3CE5" w:rsidRPr="002C3CE5" w:rsidRDefault="002C3CE5" w:rsidP="002C3CE5">
      <w:pPr>
        <w:rPr>
          <w:rFonts w:ascii="Times New Roman" w:hAnsi="Times New Roman" w:cs="Times New Roman"/>
          <w:szCs w:val="21"/>
        </w:rPr>
      </w:pPr>
      <w:r w:rsidRPr="002C3CE5">
        <w:rPr>
          <w:rFonts w:ascii="Times New Roman" w:hAnsi="Times New Roman" w:cs="Times New Roman"/>
          <w:szCs w:val="21"/>
        </w:rPr>
        <w:t>Comparing the engine torque curves for both pure gasoline and gasoline-methane hybrid fuels shows that the torque curves are very similar at each cycle stage (compression, expansion, exhaust, intake), indicating that the addition of methane does not significantly change the engine's torque output. Comparing the P-V diagrams of the two, it can be seen that the relationship between pressure and volume change in the two diagrams is very close, indicating that there is almost no difference in the power generated by pure gasoline and gasoline-methane mixed fuel in different working cycles of the engine.</w:t>
      </w:r>
    </w:p>
    <w:p w14:paraId="4C00EB44" w14:textId="5C8DC243" w:rsidR="002C3CE5" w:rsidRPr="002C3CE5" w:rsidRDefault="002C3CE5" w:rsidP="002C3CE5">
      <w:pPr>
        <w:rPr>
          <w:rFonts w:ascii="Times New Roman" w:hAnsi="Times New Roman" w:cs="Times New Roman" w:hint="eastAsia"/>
          <w:szCs w:val="21"/>
        </w:rPr>
      </w:pPr>
      <w:r w:rsidRPr="002C3CE5">
        <w:rPr>
          <w:rFonts w:ascii="Times New Roman" w:hAnsi="Times New Roman" w:cs="Times New Roman"/>
          <w:szCs w:val="21"/>
        </w:rPr>
        <w:lastRenderedPageBreak/>
        <w:t>In summary, the addition of methane to gasoline not only has no negative impact on engine performance, but also reduces harmful gases such as NOX and greenhouse gases such as CO2.</w:t>
      </w:r>
    </w:p>
    <w:p w14:paraId="0D0C48F2" w14:textId="2B573173" w:rsidR="002C3CE5" w:rsidRPr="002C3CE5" w:rsidRDefault="002C3CE5" w:rsidP="00140B79">
      <w:pPr>
        <w:spacing w:beforeLines="50" w:before="156"/>
        <w:rPr>
          <w:rFonts w:ascii="Times New Roman" w:hAnsi="Times New Roman" w:cs="Times New Roman"/>
          <w:szCs w:val="21"/>
        </w:rPr>
      </w:pPr>
      <w:r w:rsidRPr="00140B79">
        <w:rPr>
          <w:rFonts w:ascii="Times New Roman" w:hAnsi="Times New Roman" w:cs="Times New Roman"/>
          <w:b/>
          <w:bCs/>
          <w:szCs w:val="21"/>
        </w:rPr>
        <w:t>Conclusion</w:t>
      </w:r>
    </w:p>
    <w:p w14:paraId="01BFE57F" w14:textId="45626C1E" w:rsidR="002C3CE5" w:rsidRPr="002C3CE5" w:rsidRDefault="002C3CE5" w:rsidP="002C3CE5">
      <w:pPr>
        <w:rPr>
          <w:rFonts w:ascii="Times New Roman" w:hAnsi="Times New Roman" w:cs="Times New Roman" w:hint="eastAsia"/>
          <w:szCs w:val="21"/>
        </w:rPr>
      </w:pPr>
      <w:r w:rsidRPr="002C3CE5">
        <w:rPr>
          <w:rFonts w:ascii="Times New Roman" w:hAnsi="Times New Roman" w:cs="Times New Roman"/>
          <w:szCs w:val="21"/>
        </w:rPr>
        <w:t>The simulation results show that the addition of methane does not affect the output of engine torque and pressure, while maintaining the power performance, significantly reduce NOx emissions, and to a certain extent reduce CO2 emissions, reflecting its advantages in energy saving and emission reduction. As a supplement to gasoline, methane increases the octane number of the fuel, helps to suppress knocking, and because of its chemical properties, reduces engine emissions, which is an effective way to achieve cleaner combustion. This has provided a certain contribution to the automotive industry in terms of energy conservation, emission reduction and combustion efficiency.</w:t>
      </w:r>
    </w:p>
    <w:p w14:paraId="140BFEFC" w14:textId="677A5B45" w:rsidR="002C3CE5" w:rsidRPr="00140B79" w:rsidRDefault="002C3CE5" w:rsidP="00140B79">
      <w:pPr>
        <w:spacing w:beforeLines="50" w:before="156"/>
        <w:rPr>
          <w:rFonts w:ascii="Times New Roman" w:hAnsi="Times New Roman" w:cs="Times New Roman"/>
          <w:b/>
          <w:bCs/>
          <w:szCs w:val="21"/>
        </w:rPr>
      </w:pPr>
      <w:r w:rsidRPr="00140B79">
        <w:rPr>
          <w:rFonts w:ascii="Times New Roman" w:hAnsi="Times New Roman" w:cs="Times New Roman"/>
          <w:b/>
          <w:bCs/>
          <w:szCs w:val="21"/>
        </w:rPr>
        <w:t>Reference</w:t>
      </w:r>
    </w:p>
    <w:p w14:paraId="11923A2F" w14:textId="77777777" w:rsidR="00140B79" w:rsidRPr="00140B79" w:rsidRDefault="00140B79" w:rsidP="00140B79">
      <w:pPr>
        <w:pStyle w:val="a9"/>
        <w:rPr>
          <w:rFonts w:ascii="Times New Roman" w:hAnsi="Times New Roman" w:cs="Times New Roman"/>
        </w:rPr>
      </w:pPr>
      <w:r>
        <w:rPr>
          <w:szCs w:val="21"/>
        </w:rPr>
        <w:fldChar w:fldCharType="begin"/>
      </w:r>
      <w:r>
        <w:rPr>
          <w:szCs w:val="21"/>
        </w:rPr>
        <w:instrText xml:space="preserve"> ADDIN ZOTERO_BIBL {"uncited":[],"omitted":[],"custom":[]} CSL_BIBLIOGRAPHY </w:instrText>
      </w:r>
      <w:r>
        <w:rPr>
          <w:szCs w:val="21"/>
        </w:rPr>
        <w:fldChar w:fldCharType="separate"/>
      </w:r>
      <w:r w:rsidRPr="00140B79">
        <w:rPr>
          <w:rFonts w:ascii="Times New Roman" w:hAnsi="Times New Roman" w:cs="Times New Roman"/>
        </w:rPr>
        <w:t>[1]</w:t>
      </w:r>
      <w:r w:rsidRPr="00140B79">
        <w:rPr>
          <w:rFonts w:ascii="Times New Roman" w:hAnsi="Times New Roman" w:cs="Times New Roman"/>
        </w:rPr>
        <w:tab/>
        <w:t xml:space="preserve">S. K. Thangavelu, A. S. Ahmed, and F. N. Ani, ‘Review on bioethanol as alternative fuel for spark ignition engines’, </w:t>
      </w:r>
      <w:r w:rsidRPr="00140B79">
        <w:rPr>
          <w:rFonts w:ascii="Times New Roman" w:hAnsi="Times New Roman" w:cs="Times New Roman"/>
          <w:i/>
          <w:iCs/>
        </w:rPr>
        <w:t>Renew. Sustain. Energy Rev.</w:t>
      </w:r>
      <w:r w:rsidRPr="00140B79">
        <w:rPr>
          <w:rFonts w:ascii="Times New Roman" w:hAnsi="Times New Roman" w:cs="Times New Roman"/>
        </w:rPr>
        <w:t xml:space="preserve">, vol. 56, pp. 820–835, Apr. 2016,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10.1016/j.rser.2015.11.089.</w:t>
      </w:r>
    </w:p>
    <w:p w14:paraId="31CEC7A2"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[2]</w:t>
      </w:r>
      <w:r w:rsidRPr="00140B79">
        <w:rPr>
          <w:rFonts w:ascii="Times New Roman" w:hAnsi="Times New Roman" w:cs="Times New Roman"/>
        </w:rPr>
        <w:tab/>
        <w:t xml:space="preserve">T. </w:t>
      </w:r>
      <w:proofErr w:type="spellStart"/>
      <w:r w:rsidRPr="00140B79">
        <w:rPr>
          <w:rFonts w:ascii="Times New Roman" w:hAnsi="Times New Roman" w:cs="Times New Roman"/>
        </w:rPr>
        <w:t>Korakianitis</w:t>
      </w:r>
      <w:proofErr w:type="spellEnd"/>
      <w:r w:rsidRPr="00140B79">
        <w:rPr>
          <w:rFonts w:ascii="Times New Roman" w:hAnsi="Times New Roman" w:cs="Times New Roman"/>
        </w:rPr>
        <w:t xml:space="preserve">, A. M. </w:t>
      </w:r>
      <w:proofErr w:type="spellStart"/>
      <w:r w:rsidRPr="00140B79">
        <w:rPr>
          <w:rFonts w:ascii="Times New Roman" w:hAnsi="Times New Roman" w:cs="Times New Roman"/>
        </w:rPr>
        <w:t>Namasivayam</w:t>
      </w:r>
      <w:proofErr w:type="spellEnd"/>
      <w:r w:rsidRPr="00140B79">
        <w:rPr>
          <w:rFonts w:ascii="Times New Roman" w:hAnsi="Times New Roman" w:cs="Times New Roman"/>
        </w:rPr>
        <w:t xml:space="preserve">, and R. J. Crookes, ‘Natural-gas fueled spark-ignition (SI) and compression-ignition (CI) engine performance and emissions’, </w:t>
      </w:r>
      <w:r w:rsidRPr="00140B79">
        <w:rPr>
          <w:rFonts w:ascii="Times New Roman" w:hAnsi="Times New Roman" w:cs="Times New Roman"/>
          <w:i/>
          <w:iCs/>
        </w:rPr>
        <w:t>Prog. Energy Combust. Sci.</w:t>
      </w:r>
      <w:r w:rsidRPr="00140B79">
        <w:rPr>
          <w:rFonts w:ascii="Times New Roman" w:hAnsi="Times New Roman" w:cs="Times New Roman"/>
        </w:rPr>
        <w:t xml:space="preserve">, vol. 37, no. 1, pp. 89–112, Feb. 2011,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10.1016/j.pecs.2010.04.002.</w:t>
      </w:r>
    </w:p>
    <w:p w14:paraId="64CD7248"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[3]</w:t>
      </w:r>
      <w:r w:rsidRPr="00140B79">
        <w:rPr>
          <w:rFonts w:ascii="Times New Roman" w:hAnsi="Times New Roman" w:cs="Times New Roman"/>
        </w:rPr>
        <w:tab/>
        <w:t xml:space="preserve">J. Wang, H. Chen, B. Liu, and Z. Huang, ‘Study of cycle-by-cycle variations of a spark ignition engine fueled with natural gas–hydrogen blends’, </w:t>
      </w:r>
      <w:r w:rsidRPr="00140B79">
        <w:rPr>
          <w:rFonts w:ascii="Times New Roman" w:hAnsi="Times New Roman" w:cs="Times New Roman"/>
          <w:i/>
          <w:iCs/>
        </w:rPr>
        <w:t xml:space="preserve">Int. J. </w:t>
      </w:r>
      <w:proofErr w:type="spellStart"/>
      <w:r w:rsidRPr="00140B79">
        <w:rPr>
          <w:rFonts w:ascii="Times New Roman" w:hAnsi="Times New Roman" w:cs="Times New Roman"/>
          <w:i/>
          <w:iCs/>
        </w:rPr>
        <w:t>Hydrog</w:t>
      </w:r>
      <w:proofErr w:type="spellEnd"/>
      <w:r w:rsidRPr="00140B79">
        <w:rPr>
          <w:rFonts w:ascii="Times New Roman" w:hAnsi="Times New Roman" w:cs="Times New Roman"/>
          <w:i/>
          <w:iCs/>
        </w:rPr>
        <w:t>. Energy</w:t>
      </w:r>
      <w:r w:rsidRPr="00140B79">
        <w:rPr>
          <w:rFonts w:ascii="Times New Roman" w:hAnsi="Times New Roman" w:cs="Times New Roman"/>
        </w:rPr>
        <w:t xml:space="preserve">, vol. 33, no. 18, pp. 4876–4883, Sep. 2008,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10.1016/j.ijhydene.2008.06.062.</w:t>
      </w:r>
    </w:p>
    <w:p w14:paraId="38A62B98"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[4]</w:t>
      </w:r>
      <w:r w:rsidRPr="00140B79">
        <w:rPr>
          <w:rFonts w:ascii="Times New Roman" w:hAnsi="Times New Roman" w:cs="Times New Roman"/>
        </w:rPr>
        <w:tab/>
        <w:t xml:space="preserve">H. R. Zhang, E. G. Eddings, and A. F. Sarofim, ‘Criteria for selection of components for surrogates of natural gas and transportation fuels’, </w:t>
      </w:r>
      <w:r w:rsidRPr="00140B79">
        <w:rPr>
          <w:rFonts w:ascii="Times New Roman" w:hAnsi="Times New Roman" w:cs="Times New Roman"/>
          <w:i/>
          <w:iCs/>
        </w:rPr>
        <w:t>Proc. Combust. Inst.</w:t>
      </w:r>
      <w:r w:rsidRPr="00140B79">
        <w:rPr>
          <w:rFonts w:ascii="Times New Roman" w:hAnsi="Times New Roman" w:cs="Times New Roman"/>
        </w:rPr>
        <w:t xml:space="preserve">, vol. 31, no. 1, pp. 401–409, Jan. 2007,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10.1016/j.proci.2006.08.001.</w:t>
      </w:r>
    </w:p>
    <w:p w14:paraId="59E32E39"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[5]</w:t>
      </w:r>
      <w:r w:rsidRPr="00140B79">
        <w:rPr>
          <w:rFonts w:ascii="Times New Roman" w:hAnsi="Times New Roman" w:cs="Times New Roman"/>
        </w:rPr>
        <w:tab/>
        <w:t xml:space="preserve">S. Di Iorio, P. Sementa, and B. M. </w:t>
      </w:r>
      <w:proofErr w:type="spellStart"/>
      <w:r w:rsidRPr="00140B79">
        <w:rPr>
          <w:rFonts w:ascii="Times New Roman" w:hAnsi="Times New Roman" w:cs="Times New Roman"/>
        </w:rPr>
        <w:t>Vaglieco</w:t>
      </w:r>
      <w:proofErr w:type="spellEnd"/>
      <w:r w:rsidRPr="00140B79">
        <w:rPr>
          <w:rFonts w:ascii="Times New Roman" w:hAnsi="Times New Roman" w:cs="Times New Roman"/>
        </w:rPr>
        <w:t xml:space="preserve">, ‘Experimental Investigation of a Methane-Gasoline Dual-Fuel Combustion in a Small Displacement Optical Engine’, presented at the 11th International Conference on Engines </w:t>
      </w:r>
      <w:proofErr w:type="gramStart"/>
      <w:r w:rsidRPr="00140B79">
        <w:rPr>
          <w:rFonts w:ascii="Times New Roman" w:hAnsi="Times New Roman" w:cs="Times New Roman"/>
        </w:rPr>
        <w:t>&amp;  Vehicles</w:t>
      </w:r>
      <w:proofErr w:type="gramEnd"/>
      <w:r w:rsidRPr="00140B79">
        <w:rPr>
          <w:rFonts w:ascii="Times New Roman" w:hAnsi="Times New Roman" w:cs="Times New Roman"/>
        </w:rPr>
        <w:t xml:space="preserve">, Sep. 2013, pp. 2013-24–0046. </w:t>
      </w:r>
      <w:proofErr w:type="spellStart"/>
      <w:r w:rsidRPr="00140B79">
        <w:rPr>
          <w:rFonts w:ascii="Times New Roman" w:hAnsi="Times New Roman" w:cs="Times New Roman"/>
        </w:rPr>
        <w:t>doi</w:t>
      </w:r>
      <w:proofErr w:type="spellEnd"/>
      <w:r w:rsidRPr="00140B79">
        <w:rPr>
          <w:rFonts w:ascii="Times New Roman" w:hAnsi="Times New Roman" w:cs="Times New Roman"/>
        </w:rPr>
        <w:t>: 10.4271/2013-24-0046.</w:t>
      </w:r>
    </w:p>
    <w:p w14:paraId="7B712FE6"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[6]</w:t>
      </w:r>
      <w:r w:rsidRPr="00140B79">
        <w:rPr>
          <w:rFonts w:ascii="Times New Roman" w:hAnsi="Times New Roman" w:cs="Times New Roman"/>
        </w:rPr>
        <w:tab/>
        <w:t xml:space="preserve">M. Baloo, B. M. Dariani, M. Akhlaghi, and M. </w:t>
      </w:r>
      <w:proofErr w:type="spellStart"/>
      <w:r w:rsidRPr="00140B79">
        <w:rPr>
          <w:rFonts w:ascii="Times New Roman" w:hAnsi="Times New Roman" w:cs="Times New Roman"/>
        </w:rPr>
        <w:t>AghaMirsalim</w:t>
      </w:r>
      <w:proofErr w:type="spellEnd"/>
      <w:r w:rsidRPr="00140B79">
        <w:rPr>
          <w:rFonts w:ascii="Times New Roman" w:hAnsi="Times New Roman" w:cs="Times New Roman"/>
        </w:rPr>
        <w:t xml:space="preserve">, ‘Effects of pressure and temperature on laminar burning velocity and flame instability of iso-octane/methane fuel blend’, </w:t>
      </w:r>
      <w:r w:rsidRPr="00140B79">
        <w:rPr>
          <w:rFonts w:ascii="Times New Roman" w:hAnsi="Times New Roman" w:cs="Times New Roman"/>
          <w:i/>
          <w:iCs/>
        </w:rPr>
        <w:t>Fuel</w:t>
      </w:r>
      <w:r w:rsidRPr="00140B79">
        <w:rPr>
          <w:rFonts w:ascii="Times New Roman" w:hAnsi="Times New Roman" w:cs="Times New Roman"/>
        </w:rPr>
        <w:t xml:space="preserve">, vol. 170, pp. 235–244, Apr. 2016,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10.1016/j.fuel.2015.12.039.</w:t>
      </w:r>
    </w:p>
    <w:p w14:paraId="404779AC"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[7]</w:t>
      </w:r>
      <w:r w:rsidRPr="00140B79">
        <w:rPr>
          <w:rFonts w:ascii="Times New Roman" w:hAnsi="Times New Roman" w:cs="Times New Roman"/>
        </w:rPr>
        <w:tab/>
        <w:t xml:space="preserve">E. Pipitone and S. Beccari, ‘PERFORMANCES IMPROVEMENT OF A S. I. CNG BI-FUEL ENGINE BY MEANS OF DOUBLE-FUEL INJECTION’, presented at the 9th International Conference on Engines and Vehicles, Sep. 2009, pp. 2009-24–0058. </w:t>
      </w:r>
      <w:proofErr w:type="spellStart"/>
      <w:r w:rsidRPr="00140B79">
        <w:rPr>
          <w:rFonts w:ascii="Times New Roman" w:hAnsi="Times New Roman" w:cs="Times New Roman"/>
        </w:rPr>
        <w:t>doi</w:t>
      </w:r>
      <w:proofErr w:type="spellEnd"/>
      <w:r w:rsidRPr="00140B79">
        <w:rPr>
          <w:rFonts w:ascii="Times New Roman" w:hAnsi="Times New Roman" w:cs="Times New Roman"/>
        </w:rPr>
        <w:t>: 10.4271/2009-24-0058.</w:t>
      </w:r>
    </w:p>
    <w:p w14:paraId="1113A3B6"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[8]</w:t>
      </w:r>
      <w:r w:rsidRPr="00140B79">
        <w:rPr>
          <w:rFonts w:ascii="Times New Roman" w:hAnsi="Times New Roman" w:cs="Times New Roman"/>
        </w:rPr>
        <w:tab/>
        <w:t xml:space="preserve">V. Delpech, J. Obiols, D. Soleri, L. </w:t>
      </w:r>
      <w:proofErr w:type="spellStart"/>
      <w:r w:rsidRPr="00140B79">
        <w:rPr>
          <w:rFonts w:ascii="Times New Roman" w:hAnsi="Times New Roman" w:cs="Times New Roman"/>
        </w:rPr>
        <w:t>Mispreuve</w:t>
      </w:r>
      <w:proofErr w:type="spellEnd"/>
      <w:r w:rsidRPr="00140B79">
        <w:rPr>
          <w:rFonts w:ascii="Times New Roman" w:hAnsi="Times New Roman" w:cs="Times New Roman"/>
        </w:rPr>
        <w:t xml:space="preserve">, E. </w:t>
      </w:r>
      <w:proofErr w:type="spellStart"/>
      <w:r w:rsidRPr="00140B79">
        <w:rPr>
          <w:rFonts w:ascii="Times New Roman" w:hAnsi="Times New Roman" w:cs="Times New Roman"/>
        </w:rPr>
        <w:t>Magere</w:t>
      </w:r>
      <w:proofErr w:type="spellEnd"/>
      <w:r w:rsidRPr="00140B79">
        <w:rPr>
          <w:rFonts w:ascii="Times New Roman" w:hAnsi="Times New Roman" w:cs="Times New Roman"/>
        </w:rPr>
        <w:t xml:space="preserve">, and S. </w:t>
      </w:r>
      <w:proofErr w:type="spellStart"/>
      <w:r w:rsidRPr="00140B79">
        <w:rPr>
          <w:rFonts w:ascii="Times New Roman" w:hAnsi="Times New Roman" w:cs="Times New Roman"/>
        </w:rPr>
        <w:t>Kermarrec</w:t>
      </w:r>
      <w:proofErr w:type="spellEnd"/>
      <w:r w:rsidRPr="00140B79">
        <w:rPr>
          <w:rFonts w:ascii="Times New Roman" w:hAnsi="Times New Roman" w:cs="Times New Roman"/>
        </w:rPr>
        <w:t xml:space="preserve">, ‘Towards an Innovative Combination of Natural Gas and Liquid Fuel Injection in Spark Ignition Engines’, </w:t>
      </w:r>
      <w:r w:rsidRPr="00140B79">
        <w:rPr>
          <w:rFonts w:ascii="Times New Roman" w:hAnsi="Times New Roman" w:cs="Times New Roman"/>
          <w:i/>
          <w:iCs/>
        </w:rPr>
        <w:t xml:space="preserve">SAE Int. J. Fuels </w:t>
      </w:r>
      <w:proofErr w:type="spellStart"/>
      <w:r w:rsidRPr="00140B79">
        <w:rPr>
          <w:rFonts w:ascii="Times New Roman" w:hAnsi="Times New Roman" w:cs="Times New Roman"/>
          <w:i/>
          <w:iCs/>
        </w:rPr>
        <w:t>Lubr</w:t>
      </w:r>
      <w:proofErr w:type="spellEnd"/>
      <w:r w:rsidRPr="00140B79">
        <w:rPr>
          <w:rFonts w:ascii="Times New Roman" w:hAnsi="Times New Roman" w:cs="Times New Roman"/>
          <w:i/>
          <w:iCs/>
        </w:rPr>
        <w:t>.</w:t>
      </w:r>
      <w:r w:rsidRPr="00140B79">
        <w:rPr>
          <w:rFonts w:ascii="Times New Roman" w:hAnsi="Times New Roman" w:cs="Times New Roman"/>
        </w:rPr>
        <w:t xml:space="preserve">, vol. 3, no. 2, pp. 196–209, May 2010, </w:t>
      </w:r>
      <w:proofErr w:type="spellStart"/>
      <w:r w:rsidRPr="00140B79">
        <w:rPr>
          <w:rFonts w:ascii="Times New Roman" w:hAnsi="Times New Roman" w:cs="Times New Roman"/>
        </w:rPr>
        <w:t>doi</w:t>
      </w:r>
      <w:proofErr w:type="spellEnd"/>
      <w:r w:rsidRPr="00140B79">
        <w:rPr>
          <w:rFonts w:ascii="Times New Roman" w:hAnsi="Times New Roman" w:cs="Times New Roman"/>
        </w:rPr>
        <w:t>: 10.4271/2010-01-1513.</w:t>
      </w:r>
    </w:p>
    <w:p w14:paraId="397C49FF"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[9]</w:t>
      </w:r>
      <w:r w:rsidRPr="00140B79">
        <w:rPr>
          <w:rFonts w:ascii="Times New Roman" w:hAnsi="Times New Roman" w:cs="Times New Roman"/>
        </w:rPr>
        <w:tab/>
        <w:t xml:space="preserve">J. Obiols, D. Soleri, N. Dioc, and M. Moreau, ‘Potential of Concomitant Injection of CNG and Gasoline on a 1.6L Gasoline Direct Injection Turbocharged Engine’, presented at the SAE International Powertrains, Fuels and Lubricants Meeting, Aug. 2011, pp. 2011-01–1995. </w:t>
      </w:r>
      <w:proofErr w:type="spellStart"/>
      <w:r w:rsidRPr="00140B79">
        <w:rPr>
          <w:rFonts w:ascii="Times New Roman" w:hAnsi="Times New Roman" w:cs="Times New Roman"/>
        </w:rPr>
        <w:t>doi</w:t>
      </w:r>
      <w:proofErr w:type="spellEnd"/>
      <w:r w:rsidRPr="00140B79">
        <w:rPr>
          <w:rFonts w:ascii="Times New Roman" w:hAnsi="Times New Roman" w:cs="Times New Roman"/>
        </w:rPr>
        <w:t>: 10.4271/2011-01-1995.</w:t>
      </w:r>
    </w:p>
    <w:p w14:paraId="702F7D0C"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[10]</w:t>
      </w:r>
      <w:r w:rsidRPr="00140B79">
        <w:rPr>
          <w:rFonts w:ascii="Times New Roman" w:hAnsi="Times New Roman" w:cs="Times New Roman"/>
        </w:rPr>
        <w:tab/>
        <w:t xml:space="preserve">S. Di Iorio, P. Sementa, B. M. </w:t>
      </w:r>
      <w:proofErr w:type="spellStart"/>
      <w:r w:rsidRPr="00140B79">
        <w:rPr>
          <w:rFonts w:ascii="Times New Roman" w:hAnsi="Times New Roman" w:cs="Times New Roman"/>
        </w:rPr>
        <w:t>Vaglieco</w:t>
      </w:r>
      <w:proofErr w:type="spellEnd"/>
      <w:r w:rsidRPr="00140B79">
        <w:rPr>
          <w:rFonts w:ascii="Times New Roman" w:hAnsi="Times New Roman" w:cs="Times New Roman"/>
        </w:rPr>
        <w:t xml:space="preserve">, and F. Catapano, ‘An experimental investigation on combustion and engine performance and emissions of a methane-gasoline dual-fuel optical </w:t>
      </w:r>
      <w:r w:rsidRPr="00140B79">
        <w:rPr>
          <w:rFonts w:ascii="Times New Roman" w:hAnsi="Times New Roman" w:cs="Times New Roman"/>
        </w:rPr>
        <w:lastRenderedPageBreak/>
        <w:t xml:space="preserve">engine’, presented at the SAE 2014 World Congress </w:t>
      </w:r>
      <w:proofErr w:type="gramStart"/>
      <w:r w:rsidRPr="00140B79">
        <w:rPr>
          <w:rFonts w:ascii="Times New Roman" w:hAnsi="Times New Roman" w:cs="Times New Roman"/>
        </w:rPr>
        <w:t>&amp;  Exhibition</w:t>
      </w:r>
      <w:proofErr w:type="gramEnd"/>
      <w:r w:rsidRPr="00140B79">
        <w:rPr>
          <w:rFonts w:ascii="Times New Roman" w:hAnsi="Times New Roman" w:cs="Times New Roman"/>
        </w:rPr>
        <w:t xml:space="preserve">, Apr. 2014, pp. 2014-01–1329. </w:t>
      </w:r>
      <w:proofErr w:type="spellStart"/>
      <w:r w:rsidRPr="00140B79">
        <w:rPr>
          <w:rFonts w:ascii="Times New Roman" w:hAnsi="Times New Roman" w:cs="Times New Roman"/>
        </w:rPr>
        <w:t>doi</w:t>
      </w:r>
      <w:proofErr w:type="spellEnd"/>
      <w:r w:rsidRPr="00140B79">
        <w:rPr>
          <w:rFonts w:ascii="Times New Roman" w:hAnsi="Times New Roman" w:cs="Times New Roman"/>
        </w:rPr>
        <w:t>: 10.4271/2014-01-1329.</w:t>
      </w:r>
    </w:p>
    <w:p w14:paraId="68DD2526"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[11]</w:t>
      </w:r>
      <w:r w:rsidRPr="00140B79">
        <w:rPr>
          <w:rFonts w:ascii="Times New Roman" w:hAnsi="Times New Roman" w:cs="Times New Roman"/>
        </w:rPr>
        <w:tab/>
        <w:t xml:space="preserve">A. </w:t>
      </w:r>
      <w:proofErr w:type="spellStart"/>
      <w:r w:rsidRPr="00140B79">
        <w:rPr>
          <w:rFonts w:ascii="Times New Roman" w:hAnsi="Times New Roman" w:cs="Times New Roman"/>
        </w:rPr>
        <w:t>Zarenezhad</w:t>
      </w:r>
      <w:proofErr w:type="spellEnd"/>
      <w:r w:rsidRPr="00140B79">
        <w:rPr>
          <w:rFonts w:ascii="Times New Roman" w:hAnsi="Times New Roman" w:cs="Times New Roman"/>
        </w:rPr>
        <w:t xml:space="preserve"> </w:t>
      </w:r>
      <w:proofErr w:type="spellStart"/>
      <w:r w:rsidRPr="00140B79">
        <w:rPr>
          <w:rFonts w:ascii="Times New Roman" w:hAnsi="Times New Roman" w:cs="Times New Roman"/>
        </w:rPr>
        <w:t>Ashkezari</w:t>
      </w:r>
      <w:proofErr w:type="spellEnd"/>
      <w:r w:rsidRPr="00140B79">
        <w:rPr>
          <w:rFonts w:ascii="Times New Roman" w:hAnsi="Times New Roman" w:cs="Times New Roman"/>
        </w:rPr>
        <w:t xml:space="preserve">, ‘Numerical analysis of performance and emissions behavior of a bi-fuel engine with compressed natural gas enriched with hydrogen using variable compression ratio strategy’, </w:t>
      </w:r>
      <w:r w:rsidRPr="00140B79">
        <w:rPr>
          <w:rFonts w:ascii="Times New Roman" w:hAnsi="Times New Roman" w:cs="Times New Roman"/>
          <w:i/>
          <w:iCs/>
        </w:rPr>
        <w:t xml:space="preserve">Int. J. </w:t>
      </w:r>
      <w:proofErr w:type="spellStart"/>
      <w:r w:rsidRPr="00140B79">
        <w:rPr>
          <w:rFonts w:ascii="Times New Roman" w:hAnsi="Times New Roman" w:cs="Times New Roman"/>
          <w:i/>
          <w:iCs/>
        </w:rPr>
        <w:t>Hydrog</w:t>
      </w:r>
      <w:proofErr w:type="spellEnd"/>
      <w:r w:rsidRPr="00140B79">
        <w:rPr>
          <w:rFonts w:ascii="Times New Roman" w:hAnsi="Times New Roman" w:cs="Times New Roman"/>
          <w:i/>
          <w:iCs/>
        </w:rPr>
        <w:t>. Energy</w:t>
      </w:r>
      <w:r w:rsidRPr="00140B79">
        <w:rPr>
          <w:rFonts w:ascii="Times New Roman" w:hAnsi="Times New Roman" w:cs="Times New Roman"/>
        </w:rPr>
        <w:t xml:space="preserve">, vol. 47, no. 19, pp. 10762–10776, Mar. 2022,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10.1016/j.ijhydene.2022.01.129.</w:t>
      </w:r>
    </w:p>
    <w:p w14:paraId="06E7234F" w14:textId="77777777" w:rsidR="00140B79" w:rsidRPr="00140B79" w:rsidRDefault="00140B79" w:rsidP="00140B79">
      <w:pPr>
        <w:pStyle w:val="a9"/>
        <w:rPr>
          <w:rFonts w:ascii="Times New Roman" w:hAnsi="Times New Roman" w:cs="Times New Roman"/>
        </w:rPr>
      </w:pPr>
      <w:r w:rsidRPr="00140B79">
        <w:rPr>
          <w:rFonts w:ascii="Times New Roman" w:hAnsi="Times New Roman" w:cs="Times New Roman"/>
        </w:rPr>
        <w:t>[12]</w:t>
      </w:r>
      <w:r w:rsidRPr="00140B79">
        <w:rPr>
          <w:rFonts w:ascii="Times New Roman" w:hAnsi="Times New Roman" w:cs="Times New Roman"/>
        </w:rPr>
        <w:tab/>
        <w:t xml:space="preserve">J. Pan, N. Li, H. Wei, J. Hua, and G. Shu, ‘Experimental investigations on combustion acceleration behavior of methane/gasoline under partial load conditions of SI engines’, </w:t>
      </w:r>
      <w:r w:rsidRPr="00140B79">
        <w:rPr>
          <w:rFonts w:ascii="Times New Roman" w:hAnsi="Times New Roman" w:cs="Times New Roman"/>
          <w:i/>
          <w:iCs/>
        </w:rPr>
        <w:t>Appl. Therm. Eng.</w:t>
      </w:r>
      <w:r w:rsidRPr="00140B79">
        <w:rPr>
          <w:rFonts w:ascii="Times New Roman" w:hAnsi="Times New Roman" w:cs="Times New Roman"/>
        </w:rPr>
        <w:t xml:space="preserve">, vol. 139, pp. 432–444, Jul. 2018, </w:t>
      </w:r>
      <w:proofErr w:type="spellStart"/>
      <w:r w:rsidRPr="00140B79">
        <w:rPr>
          <w:rFonts w:ascii="Times New Roman" w:hAnsi="Times New Roman" w:cs="Times New Roman"/>
        </w:rPr>
        <w:t>doi</w:t>
      </w:r>
      <w:proofErr w:type="spellEnd"/>
      <w:r w:rsidRPr="00140B79">
        <w:rPr>
          <w:rFonts w:ascii="Times New Roman" w:hAnsi="Times New Roman" w:cs="Times New Roman"/>
        </w:rPr>
        <w:t>: 10.1016/j.applthermaleng.2018.04.123.</w:t>
      </w:r>
    </w:p>
    <w:p w14:paraId="5F6C3CE3" w14:textId="0BE1BB87" w:rsidR="002C3CE5" w:rsidRPr="002C3CE5" w:rsidRDefault="00140B79" w:rsidP="002C3CE5">
      <w:pPr>
        <w:rPr>
          <w:rFonts w:ascii="Times New Roman" w:hAnsi="Times New Roman" w:cs="Times New Roman"/>
          <w:szCs w:val="21"/>
        </w:rPr>
      </w:pPr>
      <w:r>
        <w:rPr>
          <w:rFonts w:ascii="Times New Roman" w:hAnsi="Times New Roman" w:cs="Times New Roman"/>
          <w:szCs w:val="21"/>
        </w:rPr>
        <w:fldChar w:fldCharType="end"/>
      </w:r>
    </w:p>
    <w:sectPr w:rsidR="002C3CE5" w:rsidRPr="002C3C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A04DB" w14:textId="77777777" w:rsidR="00A640C4" w:rsidRDefault="00A640C4" w:rsidP="00C7593A">
      <w:r>
        <w:separator/>
      </w:r>
    </w:p>
  </w:endnote>
  <w:endnote w:type="continuationSeparator" w:id="0">
    <w:p w14:paraId="06EAD83F" w14:textId="77777777" w:rsidR="00A640C4" w:rsidRDefault="00A640C4" w:rsidP="00C75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9AA34" w14:textId="77777777" w:rsidR="00A640C4" w:rsidRDefault="00A640C4" w:rsidP="00C7593A">
      <w:r>
        <w:separator/>
      </w:r>
    </w:p>
  </w:footnote>
  <w:footnote w:type="continuationSeparator" w:id="0">
    <w:p w14:paraId="448F8DA0" w14:textId="77777777" w:rsidR="00A640C4" w:rsidRDefault="00A640C4" w:rsidP="00C759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080"/>
    <w:rsid w:val="00002080"/>
    <w:rsid w:val="000124CA"/>
    <w:rsid w:val="000B0069"/>
    <w:rsid w:val="000D6006"/>
    <w:rsid w:val="00101E5D"/>
    <w:rsid w:val="0011697F"/>
    <w:rsid w:val="00140B79"/>
    <w:rsid w:val="00156F1E"/>
    <w:rsid w:val="0018139F"/>
    <w:rsid w:val="001C0BE1"/>
    <w:rsid w:val="0022532B"/>
    <w:rsid w:val="00231F8A"/>
    <w:rsid w:val="002463E7"/>
    <w:rsid w:val="002C3CE5"/>
    <w:rsid w:val="002E5F41"/>
    <w:rsid w:val="003171FF"/>
    <w:rsid w:val="00370C13"/>
    <w:rsid w:val="00373F07"/>
    <w:rsid w:val="0037531F"/>
    <w:rsid w:val="003D5C6F"/>
    <w:rsid w:val="00486CA7"/>
    <w:rsid w:val="004B6FB5"/>
    <w:rsid w:val="005422BB"/>
    <w:rsid w:val="005B38B6"/>
    <w:rsid w:val="005E7F28"/>
    <w:rsid w:val="0063689D"/>
    <w:rsid w:val="0067244C"/>
    <w:rsid w:val="006C74CA"/>
    <w:rsid w:val="00715280"/>
    <w:rsid w:val="0078630E"/>
    <w:rsid w:val="007B06BE"/>
    <w:rsid w:val="0081391E"/>
    <w:rsid w:val="00820ADD"/>
    <w:rsid w:val="008362A4"/>
    <w:rsid w:val="008C3C5C"/>
    <w:rsid w:val="00923EDA"/>
    <w:rsid w:val="00925514"/>
    <w:rsid w:val="00982FC3"/>
    <w:rsid w:val="009A26FD"/>
    <w:rsid w:val="00A24F17"/>
    <w:rsid w:val="00A640C4"/>
    <w:rsid w:val="00A90421"/>
    <w:rsid w:val="00AA369E"/>
    <w:rsid w:val="00B54BE7"/>
    <w:rsid w:val="00B55027"/>
    <w:rsid w:val="00B62C76"/>
    <w:rsid w:val="00B671C6"/>
    <w:rsid w:val="00B81F7B"/>
    <w:rsid w:val="00BF5521"/>
    <w:rsid w:val="00C7593A"/>
    <w:rsid w:val="00D167FB"/>
    <w:rsid w:val="00D65089"/>
    <w:rsid w:val="00DA23CD"/>
    <w:rsid w:val="00DD191E"/>
    <w:rsid w:val="00DE1F22"/>
    <w:rsid w:val="00DF0E6C"/>
    <w:rsid w:val="00E26FB6"/>
    <w:rsid w:val="00E40B83"/>
    <w:rsid w:val="00E62A02"/>
    <w:rsid w:val="00F05969"/>
    <w:rsid w:val="00FD7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124CB"/>
  <w15:chartTrackingRefBased/>
  <w15:docId w15:val="{FBFC4DC2-C513-41DC-9D69-B49EDC20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5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aption"/>
    <w:basedOn w:val="a"/>
    <w:next w:val="a"/>
    <w:uiPriority w:val="35"/>
    <w:unhideWhenUsed/>
    <w:qFormat/>
    <w:rsid w:val="00BF5521"/>
    <w:rPr>
      <w:rFonts w:asciiTheme="majorHAnsi" w:eastAsia="黑体" w:hAnsiTheme="majorHAnsi" w:cstheme="majorBidi"/>
      <w:sz w:val="20"/>
      <w:szCs w:val="20"/>
    </w:rPr>
  </w:style>
  <w:style w:type="paragraph" w:styleId="a5">
    <w:name w:val="header"/>
    <w:basedOn w:val="a"/>
    <w:link w:val="a6"/>
    <w:uiPriority w:val="99"/>
    <w:unhideWhenUsed/>
    <w:rsid w:val="00C7593A"/>
    <w:pPr>
      <w:tabs>
        <w:tab w:val="center" w:pos="4153"/>
        <w:tab w:val="right" w:pos="8306"/>
      </w:tabs>
      <w:snapToGrid w:val="0"/>
      <w:jc w:val="center"/>
    </w:pPr>
    <w:rPr>
      <w:sz w:val="18"/>
      <w:szCs w:val="18"/>
    </w:rPr>
  </w:style>
  <w:style w:type="character" w:customStyle="1" w:styleId="a6">
    <w:name w:val="页眉 字符"/>
    <w:basedOn w:val="a0"/>
    <w:link w:val="a5"/>
    <w:uiPriority w:val="99"/>
    <w:rsid w:val="00C7593A"/>
    <w:rPr>
      <w:sz w:val="18"/>
      <w:szCs w:val="18"/>
    </w:rPr>
  </w:style>
  <w:style w:type="paragraph" w:styleId="a7">
    <w:name w:val="footer"/>
    <w:basedOn w:val="a"/>
    <w:link w:val="a8"/>
    <w:uiPriority w:val="99"/>
    <w:unhideWhenUsed/>
    <w:rsid w:val="00C7593A"/>
    <w:pPr>
      <w:tabs>
        <w:tab w:val="center" w:pos="4153"/>
        <w:tab w:val="right" w:pos="8306"/>
      </w:tabs>
      <w:snapToGrid w:val="0"/>
      <w:jc w:val="left"/>
    </w:pPr>
    <w:rPr>
      <w:sz w:val="18"/>
      <w:szCs w:val="18"/>
    </w:rPr>
  </w:style>
  <w:style w:type="character" w:customStyle="1" w:styleId="a8">
    <w:name w:val="页脚 字符"/>
    <w:basedOn w:val="a0"/>
    <w:link w:val="a7"/>
    <w:uiPriority w:val="99"/>
    <w:rsid w:val="00C7593A"/>
    <w:rPr>
      <w:sz w:val="18"/>
      <w:szCs w:val="18"/>
    </w:rPr>
  </w:style>
  <w:style w:type="paragraph" w:styleId="a9">
    <w:name w:val="Bibliography"/>
    <w:basedOn w:val="a"/>
    <w:next w:val="a"/>
    <w:uiPriority w:val="37"/>
    <w:unhideWhenUsed/>
    <w:rsid w:val="00140B79"/>
    <w:pPr>
      <w:tabs>
        <w:tab w:val="left" w:pos="504"/>
      </w:tabs>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82A40-093D-4AF0-B79E-B5965CE7D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14</Pages>
  <Words>7705</Words>
  <Characters>43922</Characters>
  <Application>Microsoft Office Word</Application>
  <DocSecurity>0</DocSecurity>
  <Lines>366</Lines>
  <Paragraphs>103</Paragraphs>
  <ScaleCrop>false</ScaleCrop>
  <Company/>
  <LinksUpToDate>false</LinksUpToDate>
  <CharactersWithSpaces>51524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wen</dc:creator>
  <cp:keywords/>
  <dc:description/>
  <cp:lastModifiedBy>zihao wen</cp:lastModifiedBy>
  <cp:revision>10</cp:revision>
  <dcterms:created xsi:type="dcterms:W3CDTF">2024-04-19T19:00:00Z</dcterms:created>
  <dcterms:modified xsi:type="dcterms:W3CDTF">2024-04-21T16:39:00Z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id="XkFh2vwV"/&gt;&lt;style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