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EC8CC" w14:textId="77777777" w:rsidR="00141BE5" w:rsidRDefault="00141BE5" w:rsidP="00141BE5">
      <w:pPr>
        <w:rPr>
          <w:sz w:val="24"/>
          <w:szCs w:val="24"/>
        </w:rPr>
      </w:pPr>
      <w:r w:rsidRPr="00141BE5">
        <w:rPr>
          <w:sz w:val="24"/>
          <w:szCs w:val="24"/>
        </w:rPr>
        <w:t>Choose a Bronze Age object (3</w:t>
      </w:r>
      <w:r w:rsidRPr="00141BE5">
        <w:rPr>
          <w:sz w:val="24"/>
          <w:szCs w:val="24"/>
          <w:vertAlign w:val="superscript"/>
        </w:rPr>
        <w:t>rd</w:t>
      </w:r>
      <w:r w:rsidRPr="00141BE5">
        <w:rPr>
          <w:sz w:val="24"/>
          <w:szCs w:val="24"/>
        </w:rPr>
        <w:t>-2</w:t>
      </w:r>
      <w:r w:rsidRPr="00141BE5">
        <w:rPr>
          <w:sz w:val="24"/>
          <w:szCs w:val="24"/>
          <w:vertAlign w:val="superscript"/>
        </w:rPr>
        <w:t>nd</w:t>
      </w:r>
      <w:r w:rsidRPr="00141BE5">
        <w:rPr>
          <w:sz w:val="24"/>
          <w:szCs w:val="24"/>
        </w:rPr>
        <w:t xml:space="preserve"> millennium BC) from either the Aegean, Cyprus or the Levant that demonstrates connectivity between cultures. You should provide a description of the object in your own words and an analysis of how the object might illustrate international connectivity in the Bronze Age East Mediterranean. The discussion should draw upon one of the theoretical approaches to the material world covered in the module.</w:t>
      </w:r>
    </w:p>
    <w:p w14:paraId="5F3DAB49" w14:textId="77777777" w:rsidR="00580898" w:rsidRDefault="00580898" w:rsidP="00141BE5">
      <w:pPr>
        <w:rPr>
          <w:sz w:val="24"/>
          <w:szCs w:val="24"/>
        </w:rPr>
      </w:pPr>
    </w:p>
    <w:p w14:paraId="61DA9842" w14:textId="39BCF13A" w:rsidR="00580898" w:rsidRDefault="004A068C" w:rsidP="004A068C">
      <w:pPr>
        <w:jc w:val="center"/>
        <w:rPr>
          <w:sz w:val="24"/>
          <w:szCs w:val="24"/>
        </w:rPr>
      </w:pPr>
      <w:r w:rsidRPr="004A068C">
        <w:drawing>
          <wp:inline distT="0" distB="0" distL="0" distR="0" wp14:anchorId="464DBAB1" wp14:editId="40670B63">
            <wp:extent cx="2933700" cy="2933700"/>
            <wp:effectExtent l="0" t="0" r="0" b="0"/>
            <wp:docPr id="1734168316" name="Picture 1" descr="A gold bee pendant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68316" name="Picture 1" descr="A gold bee pendant with a black background&#10;&#10;Description automatically generated"/>
                    <pic:cNvPicPr/>
                  </pic:nvPicPr>
                  <pic:blipFill>
                    <a:blip r:embed="rId5"/>
                    <a:stretch>
                      <a:fillRect/>
                    </a:stretch>
                  </pic:blipFill>
                  <pic:spPr>
                    <a:xfrm>
                      <a:off x="0" y="0"/>
                      <a:ext cx="2933700" cy="2933700"/>
                    </a:xfrm>
                    <a:prstGeom prst="rect">
                      <a:avLst/>
                    </a:prstGeom>
                  </pic:spPr>
                </pic:pic>
              </a:graphicData>
            </a:graphic>
          </wp:inline>
        </w:drawing>
      </w:r>
      <w:r w:rsidR="00945792">
        <w:rPr>
          <w:sz w:val="24"/>
          <w:szCs w:val="24"/>
        </w:rPr>
        <w:fldChar w:fldCharType="begin"/>
      </w:r>
      <w:r w:rsidR="00945792">
        <w:rPr>
          <w:sz w:val="24"/>
          <w:szCs w:val="24"/>
        </w:rPr>
        <w:instrText xml:space="preserve"> ADDIN ZOTERO_ITEM CSL_CITATION {"citationID":"wh5w9nhc","properties":{"formattedCitation":"(\\uc0\\u8216{}Gold bee pendant - Heraklion Archaeological Museum\\uc0\\u8217{}, 2022)","plainCitation":"(‘Gold bee pendant - Heraklion Archaeological Museum’, 2022)","noteIndex":0},"citationItems":[{"id":114,"uris":["http://zotero.org/users/local/938AaHlk/items/EINR7K79"],"itemData":{"id":114,"type":"post-weblog","abstract":"Malia, Chrysolakkos. 1800 - 1700 BC This pendant in the shape of two bees facing each other is a masterpiece of Minoan miniature art, combining different techniques. It was found in the cemetery of Chrysolakkos at Malia and is dated to around 1800 BC. It depicts two bees with open wings facing each other, joined","language":"en-US","title":"Gold bee pendant - Heraklion Archaeological Museum","URL":"https://www.heraklionmuseum.gr/en/exhibit/gold-bee-pendant/, https://www.heraklionmuseum.gr/en/exhibit/gold-bee-pendant/","accessed":{"date-parts":[["2023",11,12]]},"issued":{"date-parts":[["2022",4,19]]}}}],"schema":"https://github.com/citation-style-language/schema/raw/master/csl-citation.json"} </w:instrText>
      </w:r>
      <w:r w:rsidR="00945792">
        <w:rPr>
          <w:sz w:val="24"/>
          <w:szCs w:val="24"/>
        </w:rPr>
        <w:fldChar w:fldCharType="separate"/>
      </w:r>
      <w:r w:rsidR="00945792" w:rsidRPr="00945792">
        <w:rPr>
          <w:rFonts w:ascii="Calibri" w:hAnsi="Calibri" w:cs="Calibri"/>
          <w:kern w:val="0"/>
          <w:sz w:val="24"/>
          <w:szCs w:val="24"/>
        </w:rPr>
        <w:t>(‘Gold bee pendant - Heraklion Archaeological Museum’, 2022)</w:t>
      </w:r>
      <w:r w:rsidR="00945792">
        <w:rPr>
          <w:sz w:val="24"/>
          <w:szCs w:val="24"/>
        </w:rPr>
        <w:fldChar w:fldCharType="end"/>
      </w:r>
    </w:p>
    <w:p w14:paraId="768628D9" w14:textId="6AFBA997" w:rsidR="00580898" w:rsidRDefault="00580898" w:rsidP="00141BE5">
      <w:pPr>
        <w:rPr>
          <w:sz w:val="24"/>
          <w:szCs w:val="24"/>
        </w:rPr>
      </w:pPr>
      <w:r>
        <w:rPr>
          <w:sz w:val="24"/>
          <w:szCs w:val="24"/>
        </w:rPr>
        <w:t xml:space="preserve">          </w:t>
      </w:r>
    </w:p>
    <w:p w14:paraId="1ECB32AC" w14:textId="77777777" w:rsidR="005718DA" w:rsidRDefault="005718DA" w:rsidP="00141BE5">
      <w:pPr>
        <w:rPr>
          <w:sz w:val="24"/>
          <w:szCs w:val="24"/>
        </w:rPr>
      </w:pPr>
    </w:p>
    <w:p w14:paraId="44BD2B43" w14:textId="77777777" w:rsidR="00141BE5" w:rsidRDefault="00141BE5" w:rsidP="00141BE5">
      <w:pPr>
        <w:rPr>
          <w:sz w:val="24"/>
          <w:szCs w:val="24"/>
        </w:rPr>
      </w:pPr>
    </w:p>
    <w:p w14:paraId="2E4D480B" w14:textId="1286CF56" w:rsidR="00FA4AC3" w:rsidRDefault="00EA04DA" w:rsidP="00141BE5">
      <w:pPr>
        <w:rPr>
          <w:sz w:val="24"/>
          <w:szCs w:val="24"/>
        </w:rPr>
      </w:pPr>
      <w:r>
        <w:rPr>
          <w:sz w:val="24"/>
          <w:szCs w:val="24"/>
        </w:rPr>
        <w:t>T</w:t>
      </w:r>
      <w:r w:rsidR="001727C4">
        <w:rPr>
          <w:sz w:val="24"/>
          <w:szCs w:val="24"/>
        </w:rPr>
        <w:t xml:space="preserve">he Malia Pendant is a small, gold, pendant that </w:t>
      </w:r>
      <w:r w:rsidR="00D23E88">
        <w:rPr>
          <w:sz w:val="24"/>
          <w:szCs w:val="24"/>
        </w:rPr>
        <w:t xml:space="preserve">depicts two insects facing each other </w:t>
      </w:r>
      <w:r w:rsidR="00580898">
        <w:rPr>
          <w:sz w:val="24"/>
          <w:szCs w:val="24"/>
        </w:rPr>
        <w:t>with a small circle between them</w:t>
      </w:r>
      <w:r w:rsidR="009A7161">
        <w:rPr>
          <w:sz w:val="24"/>
          <w:szCs w:val="24"/>
        </w:rPr>
        <w:t xml:space="preserve">. It was found </w:t>
      </w:r>
      <w:r w:rsidR="00B5659C">
        <w:rPr>
          <w:sz w:val="24"/>
          <w:szCs w:val="24"/>
        </w:rPr>
        <w:t>at the necropolis of Chrysol</w:t>
      </w:r>
      <w:r w:rsidR="00537520">
        <w:rPr>
          <w:sz w:val="24"/>
          <w:szCs w:val="24"/>
        </w:rPr>
        <w:t>akkos</w:t>
      </w:r>
      <w:r w:rsidR="00716C3B">
        <w:rPr>
          <w:sz w:val="24"/>
          <w:szCs w:val="24"/>
        </w:rPr>
        <w:t xml:space="preserve"> on the island of Crete</w:t>
      </w:r>
      <w:r w:rsidR="008D5278">
        <w:rPr>
          <w:sz w:val="24"/>
          <w:szCs w:val="24"/>
        </w:rPr>
        <w:t xml:space="preserve"> </w:t>
      </w:r>
      <w:r w:rsidR="00232BE2">
        <w:rPr>
          <w:sz w:val="24"/>
          <w:szCs w:val="24"/>
        </w:rPr>
        <w:t>and dates back to the late prepalatial period</w:t>
      </w:r>
      <w:r w:rsidR="00031206">
        <w:rPr>
          <w:sz w:val="24"/>
          <w:szCs w:val="24"/>
        </w:rPr>
        <w:t xml:space="preserve"> </w:t>
      </w:r>
      <w:r w:rsidR="00D00B3B">
        <w:rPr>
          <w:sz w:val="24"/>
          <w:szCs w:val="24"/>
        </w:rPr>
        <w:fldChar w:fldCharType="begin"/>
      </w:r>
      <w:r w:rsidR="00D00B3B">
        <w:rPr>
          <w:sz w:val="24"/>
          <w:szCs w:val="24"/>
        </w:rPr>
        <w:instrText xml:space="preserve"> ADDIN ZOTERO_ITEM CSL_CITATION {"citationID":"6V9SwLwr","properties":{"formattedCitation":"(Laffineur, 2012)","plainCitation":"(Laffineur, 2012)","noteIndex":0},"citationItems":[{"id":86,"uris":["http://zotero.org/users/local/938AaHlk/items/7QRLIYJB"],"itemData":{"id":86,"type":"chapter","container-title":"The Oxford Handbook of the Bronze Age Agean","page":"443- 454","publisher":"Oxford Univesity Press","title":"Jewelry","author":[{"family":"Laffineur","given":"Robert"}],"issued":{"date-parts":[["2012",9,18]]}}}],"schema":"https://github.com/citation-style-language/schema/raw/master/csl-citation.json"} </w:instrText>
      </w:r>
      <w:r w:rsidR="00D00B3B">
        <w:rPr>
          <w:sz w:val="24"/>
          <w:szCs w:val="24"/>
        </w:rPr>
        <w:fldChar w:fldCharType="separate"/>
      </w:r>
      <w:r w:rsidR="00D00B3B" w:rsidRPr="00D00B3B">
        <w:rPr>
          <w:rFonts w:ascii="Calibri" w:hAnsi="Calibri" w:cs="Calibri"/>
          <w:sz w:val="24"/>
        </w:rPr>
        <w:t>(Laffineur, 2012)</w:t>
      </w:r>
      <w:r w:rsidR="00D00B3B">
        <w:rPr>
          <w:sz w:val="24"/>
          <w:szCs w:val="24"/>
        </w:rPr>
        <w:fldChar w:fldCharType="end"/>
      </w:r>
      <w:r w:rsidR="00753F8D">
        <w:rPr>
          <w:sz w:val="24"/>
          <w:szCs w:val="24"/>
        </w:rPr>
        <w:t xml:space="preserve">. </w:t>
      </w:r>
      <w:r w:rsidR="00E7624D">
        <w:rPr>
          <w:sz w:val="24"/>
          <w:szCs w:val="24"/>
        </w:rPr>
        <w:t xml:space="preserve">The international style is an archaeological theory that </w:t>
      </w:r>
      <w:r w:rsidR="00372EF0">
        <w:rPr>
          <w:sz w:val="24"/>
          <w:szCs w:val="24"/>
        </w:rPr>
        <w:t xml:space="preserve">looks at </w:t>
      </w:r>
      <w:r w:rsidR="009A0205">
        <w:rPr>
          <w:sz w:val="24"/>
          <w:szCs w:val="24"/>
        </w:rPr>
        <w:t xml:space="preserve">features of objects that </w:t>
      </w:r>
      <w:r w:rsidR="00305DF1">
        <w:rPr>
          <w:sz w:val="24"/>
          <w:szCs w:val="24"/>
        </w:rPr>
        <w:t xml:space="preserve">are so hybridised and </w:t>
      </w:r>
      <w:r w:rsidR="00F216B7">
        <w:rPr>
          <w:sz w:val="24"/>
          <w:szCs w:val="24"/>
        </w:rPr>
        <w:t xml:space="preserve">widely used that their origins are difficult to determine </w:t>
      </w:r>
      <w:r w:rsidR="00214187">
        <w:rPr>
          <w:sz w:val="24"/>
          <w:szCs w:val="24"/>
        </w:rPr>
        <w:fldChar w:fldCharType="begin"/>
      </w:r>
      <w:r w:rsidR="00214187">
        <w:rPr>
          <w:sz w:val="24"/>
          <w:szCs w:val="24"/>
        </w:rPr>
        <w:instrText xml:space="preserve"> ADDIN ZOTERO_ITEM CSL_CITATION {"citationID":"iQQTx4Yf","properties":{"formattedCitation":"(Feldman, 2014)","plainCitation":"(Feldman, 2014)","noteIndex":0},"citationItems":[{"id":91,"uris":["http://zotero.org/users/local/938AaHlk/items/F9J8VSNA"],"itemData":{"id":91,"type":"article-journal","collection-title":"The Art Bulletin","issue":"1","language":"en","note":"ISSN: 0004-3079","page":"6-29","title":"Luxurious Forms: Redefining a Mediterranean “International Style,” 1400–1200 b.c.e.","title-short":"Luxurious Forms","volume":"84","author":[{"family":"Feldman","given":"Marian H"}],"issued":{"date-parts":[["2014",5,9]]}}}],"schema":"https://github.com/citation-style-language/schema/raw/master/csl-citation.json"} </w:instrText>
      </w:r>
      <w:r w:rsidR="00214187">
        <w:rPr>
          <w:sz w:val="24"/>
          <w:szCs w:val="24"/>
        </w:rPr>
        <w:fldChar w:fldCharType="separate"/>
      </w:r>
      <w:r w:rsidR="00214187" w:rsidRPr="00214187">
        <w:rPr>
          <w:rFonts w:ascii="Calibri" w:hAnsi="Calibri" w:cs="Calibri"/>
          <w:sz w:val="24"/>
        </w:rPr>
        <w:t>(Feldman, 2014)</w:t>
      </w:r>
      <w:r w:rsidR="00214187">
        <w:rPr>
          <w:sz w:val="24"/>
          <w:szCs w:val="24"/>
        </w:rPr>
        <w:fldChar w:fldCharType="end"/>
      </w:r>
      <w:r w:rsidR="00D7320E">
        <w:rPr>
          <w:sz w:val="24"/>
          <w:szCs w:val="24"/>
        </w:rPr>
        <w:t xml:space="preserve">. </w:t>
      </w:r>
      <w:r w:rsidR="004A196D">
        <w:rPr>
          <w:sz w:val="24"/>
          <w:szCs w:val="24"/>
        </w:rPr>
        <w:t xml:space="preserve">The Malia pendant displays features that </w:t>
      </w:r>
      <w:r w:rsidR="005E09E5">
        <w:rPr>
          <w:sz w:val="24"/>
          <w:szCs w:val="24"/>
        </w:rPr>
        <w:t xml:space="preserve">correlate with the idea of international style, </w:t>
      </w:r>
      <w:r w:rsidR="00633EF9">
        <w:rPr>
          <w:sz w:val="24"/>
          <w:szCs w:val="24"/>
        </w:rPr>
        <w:t>showing aspects of design</w:t>
      </w:r>
      <w:r w:rsidR="00097005">
        <w:rPr>
          <w:sz w:val="24"/>
          <w:szCs w:val="24"/>
        </w:rPr>
        <w:t>,</w:t>
      </w:r>
      <w:r w:rsidR="00633EF9">
        <w:rPr>
          <w:sz w:val="24"/>
          <w:szCs w:val="24"/>
        </w:rPr>
        <w:t xml:space="preserve"> the origins of which are ambiguous.</w:t>
      </w:r>
      <w:r w:rsidR="00097005">
        <w:rPr>
          <w:sz w:val="24"/>
          <w:szCs w:val="24"/>
        </w:rPr>
        <w:t xml:space="preserve"> </w:t>
      </w:r>
    </w:p>
    <w:p w14:paraId="6ED3058E" w14:textId="77777777" w:rsidR="00800640" w:rsidRDefault="00A34046" w:rsidP="00220F0B">
      <w:pPr>
        <w:rPr>
          <w:sz w:val="24"/>
          <w:szCs w:val="24"/>
        </w:rPr>
      </w:pPr>
      <w:r>
        <w:rPr>
          <w:sz w:val="24"/>
          <w:szCs w:val="24"/>
        </w:rPr>
        <w:t>The first question to answer is</w:t>
      </w:r>
      <w:r w:rsidR="00B21522">
        <w:rPr>
          <w:sz w:val="24"/>
          <w:szCs w:val="24"/>
        </w:rPr>
        <w:t xml:space="preserve"> whether the iconography of the pendant is </w:t>
      </w:r>
      <w:r w:rsidR="00206939">
        <w:rPr>
          <w:sz w:val="24"/>
          <w:szCs w:val="24"/>
        </w:rPr>
        <w:t xml:space="preserve">of local or international style. </w:t>
      </w:r>
      <w:r w:rsidR="001971F3">
        <w:rPr>
          <w:sz w:val="24"/>
          <w:szCs w:val="24"/>
        </w:rPr>
        <w:t xml:space="preserve">As previously mentioned, the Malia pendant </w:t>
      </w:r>
      <w:r w:rsidR="00B94695">
        <w:rPr>
          <w:sz w:val="24"/>
          <w:szCs w:val="24"/>
        </w:rPr>
        <w:t>depicts two insects</w:t>
      </w:r>
      <w:r w:rsidR="00F5734B">
        <w:rPr>
          <w:sz w:val="24"/>
          <w:szCs w:val="24"/>
        </w:rPr>
        <w:t>. T</w:t>
      </w:r>
      <w:r w:rsidR="00B94695">
        <w:rPr>
          <w:sz w:val="24"/>
          <w:szCs w:val="24"/>
        </w:rPr>
        <w:t>he species of these insects has been subject of much debate</w:t>
      </w:r>
      <w:r w:rsidR="00615FCF">
        <w:rPr>
          <w:sz w:val="24"/>
          <w:szCs w:val="24"/>
        </w:rPr>
        <w:t xml:space="preserve">. </w:t>
      </w:r>
      <w:r w:rsidR="00C65ED6">
        <w:rPr>
          <w:sz w:val="24"/>
          <w:szCs w:val="24"/>
        </w:rPr>
        <w:t xml:space="preserve">The bees are positioned to mirror each other, wings </w:t>
      </w:r>
      <w:r w:rsidR="00036EBB">
        <w:rPr>
          <w:sz w:val="24"/>
          <w:szCs w:val="24"/>
        </w:rPr>
        <w:t xml:space="preserve">spread behind them, heads and tails touching while their legs </w:t>
      </w:r>
      <w:r w:rsidR="00933047">
        <w:rPr>
          <w:sz w:val="24"/>
          <w:szCs w:val="24"/>
        </w:rPr>
        <w:t xml:space="preserve">grasp at a </w:t>
      </w:r>
      <w:r w:rsidR="00D9770B">
        <w:rPr>
          <w:sz w:val="24"/>
          <w:szCs w:val="24"/>
        </w:rPr>
        <w:t xml:space="preserve">gold </w:t>
      </w:r>
      <w:r w:rsidR="00E40260">
        <w:rPr>
          <w:sz w:val="24"/>
          <w:szCs w:val="24"/>
        </w:rPr>
        <w:t xml:space="preserve">disk decorated with </w:t>
      </w:r>
      <w:r w:rsidR="0068204C">
        <w:rPr>
          <w:sz w:val="24"/>
          <w:szCs w:val="24"/>
        </w:rPr>
        <w:t>gold beads arranged in concentric circles</w:t>
      </w:r>
      <w:r w:rsidR="00FE353E">
        <w:rPr>
          <w:sz w:val="24"/>
          <w:szCs w:val="24"/>
        </w:rPr>
        <w:t xml:space="preserve">. </w:t>
      </w:r>
      <w:r w:rsidR="00E412DD">
        <w:rPr>
          <w:sz w:val="24"/>
          <w:szCs w:val="24"/>
        </w:rPr>
        <w:t xml:space="preserve">If the species of insect is </w:t>
      </w:r>
      <w:r w:rsidR="00E76885">
        <w:rPr>
          <w:sz w:val="24"/>
          <w:szCs w:val="24"/>
        </w:rPr>
        <w:t xml:space="preserve">found </w:t>
      </w:r>
      <w:r w:rsidR="00744108">
        <w:rPr>
          <w:sz w:val="24"/>
          <w:szCs w:val="24"/>
        </w:rPr>
        <w:t>outside of Crete then there follo</w:t>
      </w:r>
      <w:r w:rsidR="00190C45">
        <w:rPr>
          <w:sz w:val="24"/>
          <w:szCs w:val="24"/>
        </w:rPr>
        <w:t xml:space="preserve">ws various possible types of entanglements between </w:t>
      </w:r>
      <w:r w:rsidR="00330142">
        <w:rPr>
          <w:sz w:val="24"/>
          <w:szCs w:val="24"/>
        </w:rPr>
        <w:t>people and places</w:t>
      </w:r>
      <w:r w:rsidR="00897D53">
        <w:rPr>
          <w:sz w:val="24"/>
          <w:szCs w:val="24"/>
        </w:rPr>
        <w:t xml:space="preserve"> in the Aegean</w:t>
      </w:r>
      <w:r w:rsidR="00330142">
        <w:rPr>
          <w:sz w:val="24"/>
          <w:szCs w:val="24"/>
        </w:rPr>
        <w:t>.</w:t>
      </w:r>
      <w:r w:rsidR="00043DED">
        <w:rPr>
          <w:sz w:val="24"/>
          <w:szCs w:val="24"/>
        </w:rPr>
        <w:t xml:space="preserve"> </w:t>
      </w:r>
      <w:r w:rsidR="00975675">
        <w:rPr>
          <w:sz w:val="24"/>
          <w:szCs w:val="24"/>
        </w:rPr>
        <w:t>The level of detail</w:t>
      </w:r>
      <w:r w:rsidR="00737929">
        <w:rPr>
          <w:sz w:val="24"/>
          <w:szCs w:val="24"/>
        </w:rPr>
        <w:t xml:space="preserve"> in the pendant is noticeable. A</w:t>
      </w:r>
      <w:r w:rsidR="002D21D7">
        <w:rPr>
          <w:sz w:val="24"/>
          <w:szCs w:val="24"/>
        </w:rPr>
        <w:t>ccording to Nelson et al, t</w:t>
      </w:r>
      <w:r w:rsidR="00220F0B">
        <w:rPr>
          <w:sz w:val="24"/>
          <w:szCs w:val="24"/>
        </w:rPr>
        <w:t>here is “</w:t>
      </w:r>
      <w:r w:rsidR="00220F0B" w:rsidRPr="00220F0B">
        <w:rPr>
          <w:sz w:val="24"/>
          <w:szCs w:val="24"/>
        </w:rPr>
        <w:t xml:space="preserve">nothing to suggest that the craftsman did not have both an insect </w:t>
      </w:r>
      <w:r w:rsidR="00220F0B" w:rsidRPr="00220F0B">
        <w:rPr>
          <w:sz w:val="24"/>
          <w:szCs w:val="24"/>
        </w:rPr>
        <w:lastRenderedPageBreak/>
        <w:t>and a plant model in front of him</w:t>
      </w:r>
      <w:r w:rsidR="00944A0A">
        <w:rPr>
          <w:sz w:val="24"/>
          <w:szCs w:val="24"/>
        </w:rPr>
        <w:t xml:space="preserve">” </w:t>
      </w:r>
      <w:r w:rsidR="00944A0A">
        <w:rPr>
          <w:sz w:val="24"/>
          <w:szCs w:val="24"/>
        </w:rPr>
        <w:fldChar w:fldCharType="begin"/>
      </w:r>
      <w:r w:rsidR="00944A0A">
        <w:rPr>
          <w:sz w:val="24"/>
          <w:szCs w:val="24"/>
        </w:rPr>
        <w:instrText xml:space="preserve"> ADDIN ZOTERO_ITEM CSL_CITATION {"citationID":"71ERXVqf","properties":{"formattedCitation":"(Nelson, Mavrofridis and Anagnostopoulos, 2021)","plainCitation":"(Nelson, Mavrofridis and Anagnostopoulos, 2021)","noteIndex":0},"citationItems":[{"id":80,"uris":["http://zotero.org/users/local/938AaHlk/items/DEIQCHFF"],"itemData":{"id":80,"type":"article-journal","abstract":"The unique gold pendant found at Chrysolakkos, Malia, Crete, in 1930 has been variously interpreted, and usually is said to represent a pair of bees. This vague interpretation is discussed, and it is pointed out that the three discs that are suspended from the pendant closely resemble the fruits of a native Cretan herb,\n              Tordylium apulum\n              .\n              Megascolia maculata\n              , a member of the order Hymenoptera, is proposed as the model for the insects. Like a gold toggle pin, also from Chrysolakkos, the pendant demonstrates that Cretan goldsmiths were capable of creating aesthetically pleasing work by paying close attention to the local flora and fauna and used examples as the models for their unique jewellery","container-title":"The Antiquaries Journal","DOI":"10.1017/S0003581520000475","ISSN":"0003-5815, 1758-5309","journalAbbreviation":"Antiq. J.","language":"en","page":"67-78","source":"DOI.org (Crossref)","title":"NATURAL HISTORY OF A BRONZE AGE JEWEL FOUND IN CRETE: THE MALIA PENDANT","title-short":"NATURAL HISTORY OF A BRONZE AGE JEWEL FOUND IN CRETE","volume":"101","author":[{"family":"Nelson","given":"E Charles"},{"family":"Mavrofridis","given":"Georgios"},{"family":"Anagnostopoulos","given":"Ioannis Th"}],"issued":{"date-parts":[["2021",9]]}}}],"schema":"https://github.com/citation-style-language/schema/raw/master/csl-citation.json"} </w:instrText>
      </w:r>
      <w:r w:rsidR="00944A0A">
        <w:rPr>
          <w:sz w:val="24"/>
          <w:szCs w:val="24"/>
        </w:rPr>
        <w:fldChar w:fldCharType="separate"/>
      </w:r>
      <w:r w:rsidR="00944A0A" w:rsidRPr="00944A0A">
        <w:rPr>
          <w:rFonts w:ascii="Calibri" w:hAnsi="Calibri" w:cs="Calibri"/>
          <w:sz w:val="24"/>
        </w:rPr>
        <w:t>(Nelson, Mavrofridis and Anagnostopoulos, 2021</w:t>
      </w:r>
      <w:r w:rsidR="002365FA">
        <w:rPr>
          <w:rFonts w:ascii="Calibri" w:hAnsi="Calibri" w:cs="Calibri"/>
          <w:sz w:val="24"/>
        </w:rPr>
        <w:t>, p74</w:t>
      </w:r>
      <w:r w:rsidR="00944A0A" w:rsidRPr="00944A0A">
        <w:rPr>
          <w:rFonts w:ascii="Calibri" w:hAnsi="Calibri" w:cs="Calibri"/>
          <w:sz w:val="24"/>
        </w:rPr>
        <w:t>)</w:t>
      </w:r>
      <w:r w:rsidR="00944A0A">
        <w:rPr>
          <w:sz w:val="24"/>
          <w:szCs w:val="24"/>
        </w:rPr>
        <w:fldChar w:fldCharType="end"/>
      </w:r>
      <w:r w:rsidR="00737929">
        <w:rPr>
          <w:sz w:val="24"/>
          <w:szCs w:val="24"/>
        </w:rPr>
        <w:t>.</w:t>
      </w:r>
      <w:r w:rsidR="008677C1">
        <w:rPr>
          <w:sz w:val="24"/>
          <w:szCs w:val="24"/>
        </w:rPr>
        <w:t xml:space="preserve"> </w:t>
      </w:r>
      <w:r w:rsidR="00737929">
        <w:rPr>
          <w:sz w:val="24"/>
          <w:szCs w:val="24"/>
        </w:rPr>
        <w:t>G</w:t>
      </w:r>
      <w:r w:rsidR="008677C1">
        <w:rPr>
          <w:sz w:val="24"/>
          <w:szCs w:val="24"/>
        </w:rPr>
        <w:t>iven the details of the pendant</w:t>
      </w:r>
      <w:r w:rsidR="003E15D0">
        <w:rPr>
          <w:sz w:val="24"/>
          <w:szCs w:val="24"/>
        </w:rPr>
        <w:t>, it is arguably likely that the craftsman had seen the insects firsthand</w:t>
      </w:r>
      <w:r w:rsidR="00180FD0">
        <w:rPr>
          <w:sz w:val="24"/>
          <w:szCs w:val="24"/>
        </w:rPr>
        <w:t>, so if the species is not found on Crete then that would</w:t>
      </w:r>
      <w:r w:rsidR="00DE31AA">
        <w:rPr>
          <w:sz w:val="24"/>
          <w:szCs w:val="24"/>
        </w:rPr>
        <w:t xml:space="preserve"> suggest that either the </w:t>
      </w:r>
      <w:r w:rsidR="00FE5961">
        <w:rPr>
          <w:sz w:val="24"/>
          <w:szCs w:val="24"/>
        </w:rPr>
        <w:t xml:space="preserve">pendant was made elsewhere, the </w:t>
      </w:r>
      <w:r w:rsidR="00DE31AA">
        <w:rPr>
          <w:sz w:val="24"/>
          <w:szCs w:val="24"/>
        </w:rPr>
        <w:t>artist</w:t>
      </w:r>
      <w:r w:rsidR="00BD222F">
        <w:rPr>
          <w:sz w:val="24"/>
          <w:szCs w:val="24"/>
        </w:rPr>
        <w:t xml:space="preserve"> had travelled,</w:t>
      </w:r>
      <w:r w:rsidR="00DE31AA">
        <w:rPr>
          <w:sz w:val="24"/>
          <w:szCs w:val="24"/>
        </w:rPr>
        <w:t xml:space="preserve"> or a</w:t>
      </w:r>
      <w:r w:rsidR="005B0537">
        <w:rPr>
          <w:sz w:val="24"/>
          <w:szCs w:val="24"/>
        </w:rPr>
        <w:t xml:space="preserve"> detailed, picture had </w:t>
      </w:r>
      <w:r w:rsidR="00781479">
        <w:rPr>
          <w:sz w:val="24"/>
          <w:szCs w:val="24"/>
        </w:rPr>
        <w:t xml:space="preserve">made </w:t>
      </w:r>
      <w:r w:rsidR="00721C58">
        <w:rPr>
          <w:sz w:val="24"/>
          <w:szCs w:val="24"/>
        </w:rPr>
        <w:t>its</w:t>
      </w:r>
      <w:r w:rsidR="00781479">
        <w:rPr>
          <w:sz w:val="24"/>
          <w:szCs w:val="24"/>
        </w:rPr>
        <w:t xml:space="preserve"> way to Crete and inspired the artist</w:t>
      </w:r>
      <w:r w:rsidR="005B0537">
        <w:rPr>
          <w:sz w:val="24"/>
          <w:szCs w:val="24"/>
        </w:rPr>
        <w:t>.</w:t>
      </w:r>
      <w:r w:rsidR="004A54C5">
        <w:rPr>
          <w:sz w:val="24"/>
          <w:szCs w:val="24"/>
        </w:rPr>
        <w:t xml:space="preserve"> </w:t>
      </w:r>
    </w:p>
    <w:p w14:paraId="396B33FB" w14:textId="0292CA9B" w:rsidR="00A34046" w:rsidRDefault="00FF5BF7" w:rsidP="00220F0B">
      <w:pPr>
        <w:rPr>
          <w:sz w:val="24"/>
          <w:szCs w:val="24"/>
        </w:rPr>
      </w:pPr>
      <w:r>
        <w:rPr>
          <w:sz w:val="24"/>
          <w:szCs w:val="24"/>
        </w:rPr>
        <w:t>Most</w:t>
      </w:r>
      <w:r w:rsidR="00E130A1">
        <w:rPr>
          <w:sz w:val="24"/>
          <w:szCs w:val="24"/>
        </w:rPr>
        <w:t xml:space="preserve"> papers speculate that the insects are bees of some kind, others </w:t>
      </w:r>
      <w:r w:rsidR="00734E0E">
        <w:rPr>
          <w:sz w:val="24"/>
          <w:szCs w:val="24"/>
        </w:rPr>
        <w:t xml:space="preserve">prefer </w:t>
      </w:r>
      <w:r w:rsidR="00E130A1">
        <w:rPr>
          <w:sz w:val="24"/>
          <w:szCs w:val="24"/>
        </w:rPr>
        <w:t>hornets or wasps</w:t>
      </w:r>
      <w:r w:rsidR="00F868AB">
        <w:rPr>
          <w:sz w:val="24"/>
          <w:szCs w:val="24"/>
        </w:rPr>
        <w:t xml:space="preserve">, however one of the most recent papers about the Malia pendant </w:t>
      </w:r>
      <w:r w:rsidR="00B76EA6">
        <w:rPr>
          <w:sz w:val="24"/>
          <w:szCs w:val="24"/>
        </w:rPr>
        <w:t xml:space="preserve">makes a strong case for the insects being </w:t>
      </w:r>
      <w:r w:rsidR="004863A8">
        <w:rPr>
          <w:sz w:val="24"/>
          <w:szCs w:val="24"/>
        </w:rPr>
        <w:t>Mammoth</w:t>
      </w:r>
      <w:r w:rsidR="00B76EA6">
        <w:rPr>
          <w:sz w:val="24"/>
          <w:szCs w:val="24"/>
        </w:rPr>
        <w:t xml:space="preserve"> wasp</w:t>
      </w:r>
      <w:r w:rsidR="002B1D9E">
        <w:rPr>
          <w:sz w:val="24"/>
          <w:szCs w:val="24"/>
        </w:rPr>
        <w:t xml:space="preserve">. </w:t>
      </w:r>
      <w:r w:rsidR="008D5361">
        <w:rPr>
          <w:sz w:val="24"/>
          <w:szCs w:val="24"/>
        </w:rPr>
        <w:t xml:space="preserve"> Mammoth wasps </w:t>
      </w:r>
      <w:r w:rsidR="002A59F4">
        <w:rPr>
          <w:sz w:val="24"/>
          <w:szCs w:val="24"/>
        </w:rPr>
        <w:t xml:space="preserve">are found locally on Crete, and assume a position very similar to that seem on the pendant when </w:t>
      </w:r>
      <w:r w:rsidR="00377807">
        <w:rPr>
          <w:sz w:val="24"/>
          <w:szCs w:val="24"/>
        </w:rPr>
        <w:t>feeding on the</w:t>
      </w:r>
      <w:r w:rsidR="006A51D7">
        <w:rPr>
          <w:sz w:val="24"/>
          <w:szCs w:val="24"/>
        </w:rPr>
        <w:t xml:space="preserve"> storax flower</w:t>
      </w:r>
      <w:r w:rsidR="00B26162">
        <w:rPr>
          <w:sz w:val="24"/>
          <w:szCs w:val="24"/>
        </w:rPr>
        <w:fldChar w:fldCharType="begin"/>
      </w:r>
      <w:r w:rsidR="00B26162">
        <w:rPr>
          <w:sz w:val="24"/>
          <w:szCs w:val="24"/>
        </w:rPr>
        <w:instrText xml:space="preserve"> ADDIN ZOTERO_ITEM CSL_CITATION {"citationID":"ohR48JAZ","properties":{"formattedCitation":"(Nelson, Mavrofridis and Anagnostopoulos, 2021)","plainCitation":"(Nelson, Mavrofridis and Anagnostopoulos, 2021)","noteIndex":0},"citationItems":[{"id":80,"uris":["http://zotero.org/users/local/938AaHlk/items/DEIQCHFF"],"itemData":{"id":80,"type":"article-journal","abstract":"The unique gold pendant found at Chrysolakkos, Malia, Crete, in 1930 has been variously interpreted, and usually is said to represent a pair of bees. This vague interpretation is discussed, and it is pointed out that the three discs that are suspended from the pendant closely resemble the fruits of a native Cretan herb,\n              Tordylium apulum\n              .\n              Megascolia maculata\n              , a member of the order Hymenoptera, is proposed as the model for the insects. Like a gold toggle pin, also from Chrysolakkos, the pendant demonstrates that Cretan goldsmiths were capable of creating aesthetically pleasing work by paying close attention to the local flora and fauna and used examples as the models for their unique jewellery","container-title":"The Antiquaries Journal","DOI":"10.1017/S0003581520000475","ISSN":"0003-5815, 1758-5309","journalAbbreviation":"Antiq. J.","language":"en","page":"67-78","source":"DOI.org (Crossref)","title":"NATURAL HISTORY OF A BRONZE AGE JEWEL FOUND IN CRETE: THE MALIA PENDANT","title-short":"NATURAL HISTORY OF A BRONZE AGE JEWEL FOUND IN CRETE","volume":"101","author":[{"family":"Nelson","given":"E Charles"},{"family":"Mavrofridis","given":"Georgios"},{"family":"Anagnostopoulos","given":"Ioannis Th"}],"issued":{"date-parts":[["2021",9]]}}}],"schema":"https://github.com/citation-style-language/schema/raw/master/csl-citation.json"} </w:instrText>
      </w:r>
      <w:r w:rsidR="00B26162">
        <w:rPr>
          <w:sz w:val="24"/>
          <w:szCs w:val="24"/>
        </w:rPr>
        <w:fldChar w:fldCharType="separate"/>
      </w:r>
      <w:r w:rsidR="00B26162" w:rsidRPr="00B26162">
        <w:rPr>
          <w:rFonts w:ascii="Calibri" w:hAnsi="Calibri" w:cs="Calibri"/>
          <w:sz w:val="24"/>
        </w:rPr>
        <w:t>(Nelson, Mavrofridis and Anagnostopoulos, 2021</w:t>
      </w:r>
      <w:r w:rsidR="00A12125">
        <w:rPr>
          <w:rFonts w:ascii="Calibri" w:hAnsi="Calibri" w:cs="Calibri"/>
          <w:sz w:val="24"/>
        </w:rPr>
        <w:t>, p74</w:t>
      </w:r>
      <w:r w:rsidR="00B26162" w:rsidRPr="00B26162">
        <w:rPr>
          <w:rFonts w:ascii="Calibri" w:hAnsi="Calibri" w:cs="Calibri"/>
          <w:sz w:val="24"/>
        </w:rPr>
        <w:t>)</w:t>
      </w:r>
      <w:r w:rsidR="00B26162">
        <w:rPr>
          <w:sz w:val="24"/>
          <w:szCs w:val="24"/>
        </w:rPr>
        <w:fldChar w:fldCharType="end"/>
      </w:r>
      <w:r w:rsidR="00B26162">
        <w:rPr>
          <w:sz w:val="24"/>
          <w:szCs w:val="24"/>
        </w:rPr>
        <w:t xml:space="preserve"> </w:t>
      </w:r>
      <w:r w:rsidR="00F13A96">
        <w:rPr>
          <w:sz w:val="24"/>
          <w:szCs w:val="24"/>
        </w:rPr>
        <w:t>.</w:t>
      </w:r>
      <w:r w:rsidR="0002015B">
        <w:rPr>
          <w:sz w:val="24"/>
          <w:szCs w:val="24"/>
        </w:rPr>
        <w:t xml:space="preserve"> If the insects are in fact mammoth wasps local to Crete then this suggests that the pendant is </w:t>
      </w:r>
      <w:r w:rsidR="004A4D8B">
        <w:rPr>
          <w:sz w:val="24"/>
          <w:szCs w:val="24"/>
        </w:rPr>
        <w:t xml:space="preserve">a </w:t>
      </w:r>
      <w:r w:rsidR="0002015B">
        <w:rPr>
          <w:sz w:val="24"/>
          <w:szCs w:val="24"/>
        </w:rPr>
        <w:t>locally produced</w:t>
      </w:r>
      <w:r w:rsidR="004A4D8B">
        <w:rPr>
          <w:sz w:val="24"/>
          <w:szCs w:val="24"/>
        </w:rPr>
        <w:t xml:space="preserve"> piece.</w:t>
      </w:r>
    </w:p>
    <w:p w14:paraId="09AE3B07" w14:textId="5363BA03" w:rsidR="009B7DA7" w:rsidRDefault="009B7DA7" w:rsidP="00220F0B">
      <w:r>
        <w:rPr>
          <w:sz w:val="24"/>
          <w:szCs w:val="24"/>
        </w:rPr>
        <w:t>The Malia pendant also has three dis</w:t>
      </w:r>
      <w:r w:rsidR="00ED27C5">
        <w:rPr>
          <w:sz w:val="24"/>
          <w:szCs w:val="24"/>
        </w:rPr>
        <w:t>c</w:t>
      </w:r>
      <w:r>
        <w:rPr>
          <w:sz w:val="24"/>
          <w:szCs w:val="24"/>
        </w:rPr>
        <w:t>s hanging down from the wasps</w:t>
      </w:r>
      <w:r w:rsidR="001E070C">
        <w:rPr>
          <w:sz w:val="24"/>
          <w:szCs w:val="24"/>
        </w:rPr>
        <w:t>, these have very little written about</w:t>
      </w:r>
      <w:r w:rsidR="000E7439">
        <w:rPr>
          <w:sz w:val="24"/>
          <w:szCs w:val="24"/>
        </w:rPr>
        <w:t xml:space="preserve"> them</w:t>
      </w:r>
      <w:r w:rsidR="001E070C">
        <w:rPr>
          <w:sz w:val="24"/>
          <w:szCs w:val="24"/>
        </w:rPr>
        <w:t>, with most scholars focusing on the</w:t>
      </w:r>
      <w:r w:rsidR="000E7439">
        <w:rPr>
          <w:sz w:val="24"/>
          <w:szCs w:val="24"/>
        </w:rPr>
        <w:t xml:space="preserve"> species of the wasps. </w:t>
      </w:r>
      <w:r w:rsidR="00F2303F">
        <w:rPr>
          <w:sz w:val="24"/>
          <w:szCs w:val="24"/>
        </w:rPr>
        <w:t>Nelson</w:t>
      </w:r>
      <w:r w:rsidR="00722BE0">
        <w:rPr>
          <w:sz w:val="24"/>
          <w:szCs w:val="24"/>
        </w:rPr>
        <w:t xml:space="preserve"> et al. </w:t>
      </w:r>
      <w:r w:rsidR="00502928">
        <w:rPr>
          <w:sz w:val="24"/>
          <w:szCs w:val="24"/>
        </w:rPr>
        <w:t xml:space="preserve">speculate that they are meant to be </w:t>
      </w:r>
      <w:r w:rsidR="001333BE">
        <w:t>Mediterranean hartwort</w:t>
      </w:r>
      <w:r w:rsidR="00F2303F">
        <w:t xml:space="preserve"> fruit</w:t>
      </w:r>
      <w:r w:rsidR="00BD1297">
        <w:t xml:space="preserve"> which would have been on Crete well before the</w:t>
      </w:r>
      <w:r w:rsidR="004E25F7">
        <w:t xml:space="preserve"> bronze age</w:t>
      </w:r>
      <w:r w:rsidR="00561F50">
        <w:t xml:space="preserve"> </w:t>
      </w:r>
      <w:r w:rsidR="00561F50">
        <w:fldChar w:fldCharType="begin"/>
      </w:r>
      <w:r w:rsidR="00561F50">
        <w:instrText xml:space="preserve"> ADDIN ZOTERO_ITEM CSL_CITATION {"citationID":"AsUOAH7o","properties":{"formattedCitation":"(Nelson, Mavrofridis and Anagnostopoulos, 2021)","plainCitation":"(Nelson, Mavrofridis and Anagnostopoulos, 2021)","noteIndex":0},"citationItems":[{"id":80,"uris":["http://zotero.org/users/local/938AaHlk/items/DEIQCHFF"],"itemData":{"id":80,"type":"article-journal","abstract":"The unique gold pendant found at Chrysolakkos, Malia, Crete, in 1930 has been variously interpreted, and usually is said to represent a pair of bees. This vague interpretation is discussed, and it is pointed out that the three discs that are suspended from the pendant closely resemble the fruits of a native Cretan herb,\n              Tordylium apulum\n              .\n              Megascolia maculata\n              , a member of the order Hymenoptera, is proposed as the model for the insects. Like a gold toggle pin, also from Chrysolakkos, the pendant demonstrates that Cretan goldsmiths were capable of creating aesthetically pleasing work by paying close attention to the local flora and fauna and used examples as the models for their unique jewellery","container-title":"The Antiquaries Journal","DOI":"10.1017/S0003581520000475","ISSN":"0003-5815, 1758-5309","journalAbbreviation":"Antiq. J.","language":"en","page":"67-78","source":"DOI.org (Crossref)","title":"NATURAL HISTORY OF A BRONZE AGE JEWEL FOUND IN CRETE: THE MALIA PENDANT","title-short":"NATURAL HISTORY OF A BRONZE AGE JEWEL FOUND IN CRETE","volume":"101","author":[{"family":"Nelson","given":"E Charles"},{"family":"Mavrofridis","given":"Georgios"},{"family":"Anagnostopoulos","given":"Ioannis Th"}],"issued":{"date-parts":[["2021",9]]}}}],"schema":"https://github.com/citation-style-language/schema/raw/master/csl-citation.json"} </w:instrText>
      </w:r>
      <w:r w:rsidR="00561F50">
        <w:fldChar w:fldCharType="separate"/>
      </w:r>
      <w:r w:rsidR="00561F50" w:rsidRPr="00561F50">
        <w:rPr>
          <w:rFonts w:ascii="Calibri" w:hAnsi="Calibri" w:cs="Calibri"/>
        </w:rPr>
        <w:t>(Nelson, Mavrofridis and Anagnostopoulos, 2021)</w:t>
      </w:r>
      <w:r w:rsidR="00561F50">
        <w:fldChar w:fldCharType="end"/>
      </w:r>
      <w:r w:rsidR="00BF222F">
        <w:t xml:space="preserve">. The fruit of the hartwort </w:t>
      </w:r>
      <w:r w:rsidR="00AA170E">
        <w:t xml:space="preserve">look </w:t>
      </w:r>
      <w:r w:rsidR="00B240BE">
        <w:t xml:space="preserve">very similar to the disks </w:t>
      </w:r>
      <w:r w:rsidR="00FA28E5">
        <w:t xml:space="preserve">on the pendant, </w:t>
      </w:r>
      <w:r w:rsidR="006B20AF">
        <w:t>even down to a relatively similar</w:t>
      </w:r>
      <w:r w:rsidR="00453AB5">
        <w:t xml:space="preserve"> number of beads on the margin</w:t>
      </w:r>
      <w:r w:rsidR="00E87955">
        <w:t>.</w:t>
      </w:r>
      <w:r w:rsidR="00EB2706">
        <w:t xml:space="preserve"> </w:t>
      </w:r>
      <w:r w:rsidR="00725FFF">
        <w:t xml:space="preserve">The fruit also ripen </w:t>
      </w:r>
      <w:r w:rsidR="00234CD6">
        <w:t>to a gold</w:t>
      </w:r>
      <w:r w:rsidR="00A64937">
        <w:t>en colour</w:t>
      </w:r>
      <w:r w:rsidR="001D2074">
        <w:t xml:space="preserve">, further </w:t>
      </w:r>
      <w:r w:rsidR="00662021">
        <w:t>d</w:t>
      </w:r>
      <w:r w:rsidR="00007680">
        <w:t>emonstrating the likeness o</w:t>
      </w:r>
      <w:r w:rsidR="00351AAA">
        <w:t>f the plant to the pendant.</w:t>
      </w:r>
      <w:r w:rsidR="00971399">
        <w:t xml:space="preserve"> </w:t>
      </w:r>
      <w:r w:rsidR="00415FFE">
        <w:t xml:space="preserve"> The </w:t>
      </w:r>
      <w:r w:rsidR="002A01EF">
        <w:t>hanging dis</w:t>
      </w:r>
      <w:r w:rsidR="00B07B1D">
        <w:t>c</w:t>
      </w:r>
      <w:r w:rsidR="002A01EF">
        <w:t>s</w:t>
      </w:r>
      <w:r w:rsidR="00A47BF3">
        <w:t>,</w:t>
      </w:r>
      <w:r w:rsidR="002A01EF">
        <w:t xml:space="preserve"> al</w:t>
      </w:r>
      <w:r w:rsidR="00A47BF3">
        <w:t xml:space="preserve">ong with the insects, both being likely native to Crete makes it unlikely that the iconography of the </w:t>
      </w:r>
      <w:r w:rsidR="00A656A1">
        <w:t>pendant is part of the international style</w:t>
      </w:r>
      <w:r w:rsidR="00BE08FD">
        <w:t>.</w:t>
      </w:r>
      <w:r w:rsidR="00E90FC9">
        <w:t xml:space="preserve"> </w:t>
      </w:r>
    </w:p>
    <w:p w14:paraId="6759B984" w14:textId="371510FC" w:rsidR="00587893" w:rsidRDefault="005B5725" w:rsidP="00D76E99">
      <w:r>
        <w:t>While the iconography of the pendant</w:t>
      </w:r>
      <w:r w:rsidR="006B560E">
        <w:t xml:space="preserve"> does</w:t>
      </w:r>
      <w:r w:rsidR="00272733">
        <w:t xml:space="preserve"> no</w:t>
      </w:r>
      <w:r w:rsidR="006B560E">
        <w:t xml:space="preserve">t show evidence </w:t>
      </w:r>
      <w:r w:rsidR="00FC4792">
        <w:t>of the international style, the</w:t>
      </w:r>
      <w:r w:rsidR="002F79D7">
        <w:t xml:space="preserve"> f</w:t>
      </w:r>
      <w:r w:rsidR="00023A92">
        <w:t xml:space="preserve">illagree </w:t>
      </w:r>
      <w:r w:rsidR="000E3B89">
        <w:t xml:space="preserve">gold work </w:t>
      </w:r>
      <w:r w:rsidR="00023A92">
        <w:t>decorating it might.</w:t>
      </w:r>
      <w:r w:rsidR="00BA3081">
        <w:t xml:space="preserve"> </w:t>
      </w:r>
      <w:r w:rsidR="00A37FF2">
        <w:t xml:space="preserve">Arguments have been raised about the </w:t>
      </w:r>
      <w:r w:rsidR="00625D28">
        <w:t>development of complex gold work techniques in the Eastern Aegean</w:t>
      </w:r>
      <w:r w:rsidR="008E6A2E">
        <w:t xml:space="preserve">. </w:t>
      </w:r>
      <w:r w:rsidR="002E40F2">
        <w:t xml:space="preserve">Some of the first </w:t>
      </w:r>
      <w:r w:rsidR="008F6840">
        <w:t>methods</w:t>
      </w:r>
      <w:r w:rsidR="002E40F2">
        <w:t xml:space="preserve"> of goldwork</w:t>
      </w:r>
      <w:r w:rsidR="008709EC">
        <w:t xml:space="preserve"> </w:t>
      </w:r>
      <w:r w:rsidR="00902655">
        <w:t>mostly</w:t>
      </w:r>
      <w:r w:rsidR="008F6840">
        <w:t xml:space="preserve"> involve</w:t>
      </w:r>
      <w:r w:rsidR="00902655">
        <w:t>d</w:t>
      </w:r>
      <w:r w:rsidR="008F6840">
        <w:t xml:space="preserve"> hammering techniques</w:t>
      </w:r>
      <w:r w:rsidR="00902655">
        <w:t>, these were used across the eastern Mediterranean</w:t>
      </w:r>
      <w:r w:rsidR="00FF4375">
        <w:t xml:space="preserve">, however the Minoans developed some more sophisticated </w:t>
      </w:r>
      <w:r w:rsidR="00090F08">
        <w:t>techniques which earnt them their renown for goldwork. Th</w:t>
      </w:r>
      <w:r w:rsidR="005C0129">
        <w:t xml:space="preserve">is includes </w:t>
      </w:r>
      <w:r w:rsidR="00342128">
        <w:t xml:space="preserve">assisted cutting of hammering sheets, </w:t>
      </w:r>
      <w:r w:rsidR="00CC1EF4">
        <w:t xml:space="preserve">dots-punctuated </w:t>
      </w:r>
      <w:r w:rsidR="009322D6">
        <w:t xml:space="preserve">decoration and loop-in-loop chain manufacture </w:t>
      </w:r>
      <w:r w:rsidR="000C5BEB">
        <w:fldChar w:fldCharType="begin"/>
      </w:r>
      <w:r w:rsidR="000C5BEB">
        <w:instrText xml:space="preserve"> ADDIN ZOTERO_ITEM CSL_CITATION {"citationID":"xsNTfr0L","properties":{"formattedCitation":"(Morero and Pr\\uc0\\u233{}valet, 2015)","plainCitation":"(Morero and Prévalet, 2015)","noteIndex":0},"citationItems":[{"id":76,"uris":["http://zotero.org/users/local/938AaHlk/items/UQF29WFA"],"itemData":{"id":76,"type":"chapter","container-title":"There and back again - the crossroads II: proceedings of an international conference held in Prague, September 15-18, 2014","edition":"Vydání první","event-place":"Prague","ISBN":"978-80-7308-575-9","language":"en","note":"event-title: There and back again - the crossroads II","publisher":"Charles University, Faculty of Arts","publisher-place":"Prague","source":"K10plus ISBN","title":"Technological transfer of luxury craftsmanship between Crete and the Orient during the Bronze Age","editor":[{"family":"Mynářová","given":"Jana"},{"family":"Onderka","given":"Pavel"},{"family":"Pavúk","given":"Peter"}],"author":[{"family":"Morero","given":"Élise"},{"family":"Prévalet","given":"Romain"}],"issued":{"date-parts":[["2015"]]}}}],"schema":"https://github.com/citation-style-language/schema/raw/master/csl-citation.json"} </w:instrText>
      </w:r>
      <w:r w:rsidR="000C5BEB">
        <w:fldChar w:fldCharType="separate"/>
      </w:r>
      <w:r w:rsidR="000C5BEB" w:rsidRPr="000C5BEB">
        <w:rPr>
          <w:rFonts w:ascii="Calibri" w:hAnsi="Calibri" w:cs="Calibri"/>
          <w:kern w:val="0"/>
          <w:szCs w:val="24"/>
        </w:rPr>
        <w:t>(Morero and Prévalet, 2015</w:t>
      </w:r>
      <w:r w:rsidR="008C76AD">
        <w:rPr>
          <w:rFonts w:ascii="Calibri" w:hAnsi="Calibri" w:cs="Calibri"/>
          <w:kern w:val="0"/>
          <w:szCs w:val="24"/>
        </w:rPr>
        <w:t>, p60</w:t>
      </w:r>
      <w:r w:rsidR="000C5BEB" w:rsidRPr="000C5BEB">
        <w:rPr>
          <w:rFonts w:ascii="Calibri" w:hAnsi="Calibri" w:cs="Calibri"/>
          <w:kern w:val="0"/>
          <w:szCs w:val="24"/>
        </w:rPr>
        <w:t>)</w:t>
      </w:r>
      <w:r w:rsidR="000C5BEB">
        <w:fldChar w:fldCharType="end"/>
      </w:r>
      <w:r w:rsidR="00EA78F6">
        <w:t>.</w:t>
      </w:r>
      <w:r w:rsidR="00C255EF">
        <w:t xml:space="preserve"> </w:t>
      </w:r>
      <w:r w:rsidR="00E0727D">
        <w:t xml:space="preserve">Techniques on Crete often </w:t>
      </w:r>
      <w:r w:rsidR="00341561">
        <w:t xml:space="preserve">were aimed towards using smaller amounts of gold since the Minoans didn’t have </w:t>
      </w:r>
      <w:r w:rsidR="001641C9">
        <w:t>easy access to supplies of it</w:t>
      </w:r>
      <w:r w:rsidR="000E3E10">
        <w:t xml:space="preserve"> </w:t>
      </w:r>
      <w:r w:rsidR="00787AEC">
        <w:fldChar w:fldCharType="begin"/>
      </w:r>
      <w:r w:rsidR="00787AEC">
        <w:instrText xml:space="preserve"> ADDIN ZOTERO_ITEM CSL_CITATION {"citationID":"aYXRAMLS","properties":{"formattedCitation":"(Herrero and Martin\\uc0\\u243{}n-Torres, 2021)","plainCitation":"(Herrero and Martinón-Torres, 2021)","noteIndex":0},"citationItems":[{"id":100,"uris":["http://zotero.org/users/local/938AaHlk/items/XG6QP329"],"itemData":{"id":100,"type":"article-journal","collection-title":"American Journal of Archaeology","container-title":"The University of Chicago Press","issue":"3","language":"en","note":"DOI: 10.3764/aja.125.3.0333","page":"333-360","title":"Heterogeneous Production and Enchained Consumption: Minoan Gold in a Changing World (ca. 2000 BCE)","title-short":"Heterogeneous Production and Enchained Consumption","volume":"125","author":[{"family":"Herrero","given":"Borja"},{"family":"Martinón-Torres","given":"Marcos"}],"issued":{"date-parts":[["2021",7]]}}}],"schema":"https://github.com/citation-style-language/schema/raw/master/csl-citation.json"} </w:instrText>
      </w:r>
      <w:r w:rsidR="00787AEC">
        <w:fldChar w:fldCharType="separate"/>
      </w:r>
      <w:r w:rsidR="00787AEC" w:rsidRPr="00787AEC">
        <w:rPr>
          <w:rFonts w:ascii="Calibri" w:hAnsi="Calibri" w:cs="Calibri"/>
          <w:kern w:val="0"/>
          <w:szCs w:val="24"/>
        </w:rPr>
        <w:t>(Herrero and Martinón-Torres, 2021</w:t>
      </w:r>
      <w:r w:rsidR="001E4411">
        <w:rPr>
          <w:rFonts w:ascii="Calibri" w:hAnsi="Calibri" w:cs="Calibri"/>
          <w:kern w:val="0"/>
          <w:szCs w:val="24"/>
        </w:rPr>
        <w:t>, p11</w:t>
      </w:r>
      <w:r w:rsidR="00787AEC" w:rsidRPr="00787AEC">
        <w:rPr>
          <w:rFonts w:ascii="Calibri" w:hAnsi="Calibri" w:cs="Calibri"/>
          <w:kern w:val="0"/>
          <w:szCs w:val="24"/>
        </w:rPr>
        <w:t>)</w:t>
      </w:r>
      <w:r w:rsidR="00787AEC">
        <w:fldChar w:fldCharType="end"/>
      </w:r>
      <w:r w:rsidR="001641C9">
        <w:t xml:space="preserve">, </w:t>
      </w:r>
      <w:r w:rsidR="000E3E10">
        <w:t>which is something that will be examined later in the analysis.</w:t>
      </w:r>
      <w:r w:rsidR="00706AC0">
        <w:t xml:space="preserve"> The fillagree decorating the Malia pendant is </w:t>
      </w:r>
      <w:r w:rsidR="00E46CCC">
        <w:t xml:space="preserve">a </w:t>
      </w:r>
      <w:r w:rsidR="009801EE">
        <w:t xml:space="preserve">sophisticated </w:t>
      </w:r>
      <w:r w:rsidR="001D7985">
        <w:t>technique that was found across the Mediterranean</w:t>
      </w:r>
      <w:r w:rsidR="00F03C12">
        <w:t xml:space="preserve"> on various artifacts</w:t>
      </w:r>
      <w:r w:rsidR="00FE5830">
        <w:t xml:space="preserve"> and produced in a</w:t>
      </w:r>
      <w:r w:rsidR="00EE3FE7">
        <w:t xml:space="preserve"> variety of ways that seem to each have originated in different places</w:t>
      </w:r>
      <w:r w:rsidR="009259B9">
        <w:t>.</w:t>
      </w:r>
      <w:r w:rsidR="0094570C">
        <w:t xml:space="preserve"> </w:t>
      </w:r>
      <w:r w:rsidR="00A22022">
        <w:t>The differences are generally quite small</w:t>
      </w:r>
      <w:r w:rsidR="003E75BA">
        <w:t xml:space="preserve"> and includes things such as differences in the size of </w:t>
      </w:r>
      <w:r w:rsidR="002347B6">
        <w:t xml:space="preserve">dots, or the materials used to </w:t>
      </w:r>
      <w:r w:rsidR="00BB3089">
        <w:t>solder</w:t>
      </w:r>
      <w:r w:rsidR="002347B6">
        <w:t xml:space="preserve"> the </w:t>
      </w:r>
      <w:r w:rsidR="00BB3089">
        <w:t>filagree onto the work</w:t>
      </w:r>
      <w:r w:rsidR="001F779F">
        <w:t xml:space="preserve"> </w:t>
      </w:r>
      <w:r w:rsidR="001F779F">
        <w:fldChar w:fldCharType="begin"/>
      </w:r>
      <w:r w:rsidR="001F779F">
        <w:instrText xml:space="preserve"> ADDIN ZOTERO_ITEM CSL_CITATION {"citationID":"kSZtyKGH","properties":{"formattedCitation":"(Morero and Pr\\uc0\\u233{}valet, 2015, p. 64)","plainCitation":"(Morero and Prévalet, 2015, p. 64)","noteIndex":0},"citationItems":[{"id":76,"uris":["http://zotero.org/users/local/938AaHlk/items/UQF29WFA"],"itemData":{"id":76,"type":"chapter","container-title":"There and back again - the crossroads II: proceedings of an international conference held in Prague, September 15-18, 2014","edition":"Vydání první","event-place":"Prague","ISBN":"978-80-7308-575-9","language":"en","note":"event-title: There and back again - the crossroads II","publisher":"Charles University, Faculty of Arts","publisher-place":"Prague","source":"K10plus ISBN","title":"Technological transfer of luxury craftsmanship between Crete and the Orient during the Bronze Age","editor":[{"family":"Mynářová","given":"Jana"},{"family":"Onderka","given":"Pavel"},{"family":"Pavúk","given":"Peter"}],"author":[{"family":"Morero","given":"Élise"},{"family":"Prévalet","given":"Romain"}],"issued":{"date-parts":[["2015"]]}},"locator":"64"}],"schema":"https://github.com/citation-style-language/schema/raw/master/csl-citation.json"} </w:instrText>
      </w:r>
      <w:r w:rsidR="001F779F">
        <w:fldChar w:fldCharType="separate"/>
      </w:r>
      <w:r w:rsidR="001F779F" w:rsidRPr="001F779F">
        <w:rPr>
          <w:rFonts w:ascii="Calibri" w:hAnsi="Calibri" w:cs="Calibri"/>
          <w:kern w:val="0"/>
          <w:szCs w:val="24"/>
        </w:rPr>
        <w:t>(Morero and Prévalet, 2015, p. 64)</w:t>
      </w:r>
      <w:r w:rsidR="001F779F">
        <w:fldChar w:fldCharType="end"/>
      </w:r>
      <w:r w:rsidR="00FE3F18">
        <w:t>.</w:t>
      </w:r>
      <w:r w:rsidR="000151B1" w:rsidRPr="000151B1">
        <w:t xml:space="preserve"> </w:t>
      </w:r>
      <w:r w:rsidR="000151B1">
        <w:t>Tracking how the technique</w:t>
      </w:r>
      <w:r w:rsidR="00394C2F">
        <w:t>s</w:t>
      </w:r>
      <w:r w:rsidR="000151B1">
        <w:t xml:space="preserve"> spread </w:t>
      </w:r>
      <w:r w:rsidR="008105E8">
        <w:t xml:space="preserve">across the </w:t>
      </w:r>
      <w:r w:rsidR="00853C49">
        <w:t xml:space="preserve">ancient world </w:t>
      </w:r>
      <w:r w:rsidR="000151B1">
        <w:t>is difficult to do,</w:t>
      </w:r>
      <w:r w:rsidR="00007FC8">
        <w:t xml:space="preserve"> however the varying finished looks and the different tools of each method </w:t>
      </w:r>
      <w:r w:rsidR="00261A3E">
        <w:t xml:space="preserve">makes it possible to know where certain </w:t>
      </w:r>
      <w:r w:rsidR="006155BE">
        <w:t>techniques were practised and the general time that it started</w:t>
      </w:r>
      <w:r w:rsidR="00853C49">
        <w:t xml:space="preserve">. </w:t>
      </w:r>
      <w:r w:rsidR="009D4729">
        <w:t xml:space="preserve">Cretan styles of filagree and granulation </w:t>
      </w:r>
      <w:r w:rsidR="00BC1B59">
        <w:t>in the early bronze age resulted in dots that had 1mm diameter</w:t>
      </w:r>
      <w:r w:rsidR="006934BB">
        <w:t xml:space="preserve">, soldered on using </w:t>
      </w:r>
      <w:r w:rsidR="009E20A7">
        <w:t xml:space="preserve">copper salt. </w:t>
      </w:r>
      <w:r w:rsidR="00F16413">
        <w:t>This is not the technique used on the Malia pendant,</w:t>
      </w:r>
      <w:r w:rsidR="003E4EF2">
        <w:t xml:space="preserve"> the granulation on the pendant is a result of </w:t>
      </w:r>
      <w:r w:rsidR="00633DB4">
        <w:t xml:space="preserve">Levantine methods. </w:t>
      </w:r>
      <w:r w:rsidR="00191762">
        <w:t xml:space="preserve">The “early Levantine </w:t>
      </w:r>
      <w:r w:rsidR="00D76E99">
        <w:t xml:space="preserve">granulation from Byblos </w:t>
      </w:r>
      <w:r w:rsidR="00D76E99">
        <w:t>is mainly characterised by the use of thousands of granules</w:t>
      </w:r>
      <w:r w:rsidR="00D76E99">
        <w:t xml:space="preserve">” </w:t>
      </w:r>
      <w:r w:rsidR="006D3A11">
        <w:fldChar w:fldCharType="begin"/>
      </w:r>
      <w:r w:rsidR="006D3A11">
        <w:instrText xml:space="preserve"> ADDIN ZOTERO_ITEM CSL_CITATION {"citationID":"kfznciMH","properties":{"formattedCitation":"(Morero and Pr\\uc0\\u233{}valet, 2015, p. 64)","plainCitation":"(Morero and Prévalet, 2015, p. 64)","noteIndex":0},"citationItems":[{"id":76,"uris":["http://zotero.org/users/local/938AaHlk/items/UQF29WFA"],"itemData":{"id":76,"type":"chapter","container-title":"There and back again - the crossroads II: proceedings of an international conference held in Prague, September 15-18, 2014","edition":"Vydání první","event-place":"Prague","ISBN":"978-80-7308-575-9","language":"en","note":"event-title: There and back again - the crossroads II","publisher":"Charles University, Faculty of Arts","publisher-place":"Prague","source":"K10plus ISBN","title":"Technological transfer of luxury craftsmanship between Crete and the Orient during the Bronze Age","editor":[{"family":"Mynářová","given":"Jana"},{"family":"Onderka","given":"Pavel"},{"family":"Pavúk","given":"Peter"}],"author":[{"family":"Morero","given":"Élise"},{"family":"Prévalet","given":"Romain"}],"issued":{"date-parts":[["2015"]]}},"locator":"64"}],"schema":"https://github.com/citation-style-language/schema/raw/master/csl-citation.json"} </w:instrText>
      </w:r>
      <w:r w:rsidR="006D3A11">
        <w:fldChar w:fldCharType="separate"/>
      </w:r>
      <w:r w:rsidR="006D3A11" w:rsidRPr="006D3A11">
        <w:rPr>
          <w:rFonts w:ascii="Calibri" w:hAnsi="Calibri" w:cs="Calibri"/>
          <w:kern w:val="0"/>
          <w:szCs w:val="24"/>
        </w:rPr>
        <w:t>(Morero and Prévalet, 2015, p. 64)</w:t>
      </w:r>
      <w:r w:rsidR="006D3A11">
        <w:fldChar w:fldCharType="end"/>
      </w:r>
      <w:r w:rsidR="006D3A11">
        <w:t xml:space="preserve"> and was found mostly on weapons</w:t>
      </w:r>
      <w:r w:rsidR="00DE6E7F">
        <w:t xml:space="preserve">. </w:t>
      </w:r>
      <w:r w:rsidR="005D69AD">
        <w:t xml:space="preserve">The Malia pendant is the first known example of this technique </w:t>
      </w:r>
      <w:r w:rsidR="00EC397C">
        <w:t>on Crete</w:t>
      </w:r>
      <w:r w:rsidR="0091159C">
        <w:t xml:space="preserve"> </w:t>
      </w:r>
      <w:r w:rsidR="0091159C">
        <w:fldChar w:fldCharType="begin"/>
      </w:r>
      <w:r w:rsidR="0091159C">
        <w:instrText xml:space="preserve"> ADDIN ZOTERO_ITEM CSL_CITATION {"citationID":"f1c4yyjf","properties":{"formattedCitation":"(Morero and Pr\\uc0\\u233{}valet, 2015, p. 64)","plainCitation":"(Morero and Prévalet, 2015, p. 64)","noteIndex":0},"citationItems":[{"id":76,"uris":["http://zotero.org/users/local/938AaHlk/items/UQF29WFA"],"itemData":{"id":76,"type":"chapter","container-title":"There and back again - the crossroads II: proceedings of an international conference held in Prague, September 15-18, 2014","edition":"Vydání první","event-place":"Prague","ISBN":"978-80-7308-575-9","language":"en","note":"event-title: There and back again - the crossroads II","publisher":"Charles University, Faculty of Arts","publisher-place":"Prague","source":"K10plus ISBN","title":"Technological transfer of luxury craftsmanship between Crete and the Orient during the Bronze Age","editor":[{"family":"Mynářová","given":"Jana"},{"family":"Onderka","given":"Pavel"},{"family":"Pavúk","given":"Peter"}],"author":[{"family":"Morero","given":"Élise"},{"family":"Prévalet","given":"Romain"}],"issued":{"date-parts":[["2015"]]}},"locator":"64"}],"schema":"https://github.com/citation-style-language/schema/raw/master/csl-citation.json"} </w:instrText>
      </w:r>
      <w:r w:rsidR="0091159C">
        <w:fldChar w:fldCharType="separate"/>
      </w:r>
      <w:r w:rsidR="0091159C" w:rsidRPr="0091159C">
        <w:rPr>
          <w:rFonts w:ascii="Calibri" w:hAnsi="Calibri" w:cs="Calibri"/>
          <w:kern w:val="0"/>
          <w:szCs w:val="24"/>
        </w:rPr>
        <w:t>(Morero and Prévalet, 2015, p. 64)</w:t>
      </w:r>
      <w:r w:rsidR="0091159C">
        <w:fldChar w:fldCharType="end"/>
      </w:r>
      <w:r w:rsidR="003919AB">
        <w:t>.</w:t>
      </w:r>
      <w:r w:rsidR="0032310B">
        <w:t xml:space="preserve"> </w:t>
      </w:r>
      <w:r w:rsidR="00367E65">
        <w:t>H</w:t>
      </w:r>
      <w:r w:rsidR="002C2FB5">
        <w:t>owever,</w:t>
      </w:r>
      <w:r w:rsidR="00BB498F">
        <w:t xml:space="preserve"> as well as the Levant, the size of the granules has been compared with works found in Dashur</w:t>
      </w:r>
      <w:r w:rsidR="00167E8F">
        <w:t>, the concentric circles on the centre circle being similar to those found on the Dashur stars</w:t>
      </w:r>
      <w:r w:rsidR="00431569">
        <w:t xml:space="preserve"> </w:t>
      </w:r>
      <w:r w:rsidR="006E2C57">
        <w:fldChar w:fldCharType="begin"/>
      </w:r>
      <w:r w:rsidR="006E2C57">
        <w:instrText xml:space="preserve"> ADDIN ZOTERO_ITEM CSL_CITATION {"citationID":"hl746Yy5","properties":{"formattedCitation":"(Lilyquist, 1993, p. 37)","plainCitation":"(Lilyquist, 1993, p. 37)","noteIndex":0},"citationItems":[{"id":104,"uris":["http://zotero.org/users/local/938AaHlk/items/F5V864GW"],"itemData":{"id":104,"type":"article-journal","container-title":"Bulletin of the American Schools of Oriental Research","DOI":"10.2307/1357319","ISSN":"0003-097X, 2161-8062","journalAbbreviation":"Bulletin of the American Schools of Oriental Research","language":"en","page":"29-94","source":"DOI.org (Crossref)","title":"Granulation and Glass: Chronological and Stylistic Investigations at Selected Sites, ca. 2500-1400 B. C. E.","title-short":"Granulation and Glass","volume":"290-291","author":[{"family":"Lilyquist","given":"Christine"}],"issued":{"date-parts":[["1993",5]]}},"locator":"37"}],"schema":"https://github.com/citation-style-language/schema/raw/master/csl-citation.json"} </w:instrText>
      </w:r>
      <w:r w:rsidR="006E2C57">
        <w:fldChar w:fldCharType="separate"/>
      </w:r>
      <w:r w:rsidR="006E2C57" w:rsidRPr="006E2C57">
        <w:rPr>
          <w:rFonts w:ascii="Calibri" w:hAnsi="Calibri" w:cs="Calibri"/>
        </w:rPr>
        <w:t>(Lilyquist, 1993, p. 37)</w:t>
      </w:r>
      <w:r w:rsidR="006E2C57">
        <w:fldChar w:fldCharType="end"/>
      </w:r>
      <w:r w:rsidR="00FC0018">
        <w:t>.</w:t>
      </w:r>
      <w:r w:rsidR="00E522E7">
        <w:t xml:space="preserve"> </w:t>
      </w:r>
      <w:r w:rsidR="00775B3D">
        <w:t xml:space="preserve">Looking at the fact that different techniques of goldwork spread across different regions </w:t>
      </w:r>
      <w:r w:rsidR="00636D05">
        <w:t>shows</w:t>
      </w:r>
      <w:r w:rsidR="00930315">
        <w:t xml:space="preserve"> </w:t>
      </w:r>
      <w:r w:rsidR="003D3081">
        <w:t>they were all interconnected in one way or another to have allowed the technological transfer</w:t>
      </w:r>
      <w:r w:rsidR="00CC2FF9">
        <w:t xml:space="preserve"> necessary to produce pieces such as the Malia pendant</w:t>
      </w:r>
      <w:r w:rsidR="00F63DAC">
        <w:t xml:space="preserve">. </w:t>
      </w:r>
      <w:r w:rsidR="009B5622">
        <w:t xml:space="preserve">The Malia </w:t>
      </w:r>
      <w:r w:rsidR="009B5622">
        <w:lastRenderedPageBreak/>
        <w:t>pendant was</w:t>
      </w:r>
      <w:r w:rsidR="008C6EB5">
        <w:t xml:space="preserve"> very well made, in such a way that suggests the artist</w:t>
      </w:r>
      <w:r w:rsidR="00DA026F">
        <w:t xml:space="preserve"> that created it had extensive training and expertise in the meth</w:t>
      </w:r>
      <w:r w:rsidR="00321CA4">
        <w:t xml:space="preserve">ods used to make the granulation </w:t>
      </w:r>
      <w:r w:rsidR="00337DB2">
        <w:fldChar w:fldCharType="begin"/>
      </w:r>
      <w:r w:rsidR="00337DB2">
        <w:instrText xml:space="preserve"> ADDIN ZOTERO_ITEM CSL_CITATION {"citationID":"3Mw2PQG0","properties":{"formattedCitation":"(Herrero and Martin\\uc0\\u243{}n-Torres, 2021, p. 356)","plainCitation":"(Herrero and Martinón-Torres, 2021, p. 356)","noteIndex":0},"citationItems":[{"id":100,"uris":["http://zotero.org/users/local/938AaHlk/items/XG6QP329"],"itemData":{"id":100,"type":"article-journal","collection-title":"American Journal of Archaeology","container-title":"The University of Chicago Press","issue":"3","language":"en","note":"DOI: 10.3764/aja.125.3.0333","page":"333-360","title":"Heterogeneous Production and Enchained Consumption: Minoan Gold in a Changing World (ca. 2000 BCE)","title-short":"Heterogeneous Production and Enchained Consumption","volume":"125","author":[{"family":"Herrero","given":"Borja"},{"family":"Martinón-Torres","given":"Marcos"}],"issued":{"date-parts":[["2021",7]]}},"locator":"356"}],"schema":"https://github.com/citation-style-language/schema/raw/master/csl-citation.json"} </w:instrText>
      </w:r>
      <w:r w:rsidR="00337DB2">
        <w:fldChar w:fldCharType="separate"/>
      </w:r>
      <w:r w:rsidR="00337DB2" w:rsidRPr="00337DB2">
        <w:rPr>
          <w:rFonts w:ascii="Calibri" w:hAnsi="Calibri" w:cs="Calibri"/>
          <w:kern w:val="0"/>
          <w:szCs w:val="24"/>
        </w:rPr>
        <w:t>(Herrero and Martinón-Torres, 2021, p. 356)</w:t>
      </w:r>
      <w:r w:rsidR="00337DB2">
        <w:fldChar w:fldCharType="end"/>
      </w:r>
      <w:r w:rsidR="00FF5233">
        <w:t xml:space="preserve">, although there is no evidence of a goldsmithing workshop where this might have been </w:t>
      </w:r>
      <w:r w:rsidR="00B55151">
        <w:t xml:space="preserve">learnt </w:t>
      </w:r>
      <w:r w:rsidR="00B55151">
        <w:fldChar w:fldCharType="begin"/>
      </w:r>
      <w:r w:rsidR="00B55151">
        <w:instrText xml:space="preserve"> ADDIN ZOTERO_ITEM CSL_CITATION {"citationID":"yoHOKuEe","properties":{"formattedCitation":"(Branigan, 2015, p. 440)","plainCitation":"(Branigan, 2015, p. 440)","noteIndex":0},"citationItems":[{"id":105,"uris":["http://zotero.org/users/local/938AaHlk/items/WTU8VSN8"],"itemData":{"id":105,"type":"chapter","abstract":"The goldwork of Early Minoan Crete is best known from the material found in the cemetery of Mochlos¹) and to a lesser degree that from tholos A at Platanos.²) Discoveries of goldwork in EBA deposits in Crete are more widespread than is generally appreciated, however; altogether sixteen sites in Crete have yielded gold objects in EBA levels (by which we include here those deposits which continue from EM. II or III into MM. I).  The goldsmiths’ products were all items of display, mostly jewellery but also including embellishments for clothing. Most spectacular, and best known, are the diadems - broad","collection-title":"A Compendium","container-title":"Temple University Aegean Symposium","ISBN":"978-1-931534-82-6","note":"DOI: 10.2307/j.ctt18z4gjq.61","page":"439-444","publisher":"INSTAP Academic Press","source":"JSTOR","title":"Gold and Goldworking in Early Bronze Age Crete","URL":"https://www.jstor.org/stable/j.ctt18z4gjq.61","author":[{"family":"Branigan","given":"Keith"}],"editor":[{"family":"Betancourt","given":"Philip P."}],"accessed":{"date-parts":[["2023",11,12]]},"issued":{"date-parts":[["2015"]]}},"locator":"440"}],"schema":"https://github.com/citation-style-language/schema/raw/master/csl-citation.json"} </w:instrText>
      </w:r>
      <w:r w:rsidR="00B55151">
        <w:fldChar w:fldCharType="separate"/>
      </w:r>
      <w:r w:rsidR="00B55151" w:rsidRPr="00B55151">
        <w:rPr>
          <w:rFonts w:ascii="Calibri" w:hAnsi="Calibri" w:cs="Calibri"/>
        </w:rPr>
        <w:t>(Branigan, 2015, p. 440)</w:t>
      </w:r>
      <w:r w:rsidR="00B55151">
        <w:fldChar w:fldCharType="end"/>
      </w:r>
      <w:r w:rsidR="0052706F">
        <w:t>.</w:t>
      </w:r>
      <w:r w:rsidR="001B2FDD">
        <w:t xml:space="preserve"> </w:t>
      </w:r>
      <w:r w:rsidR="00F63DAC">
        <w:t>I</w:t>
      </w:r>
      <w:r w:rsidR="001B2FDD">
        <w:t xml:space="preserve">t is also how the international style is able to come about as it wouldn’t be possible without </w:t>
      </w:r>
      <w:r w:rsidR="009C429A">
        <w:t xml:space="preserve">the sharing of practises across cultures. </w:t>
      </w:r>
      <w:r w:rsidR="00DB1C38">
        <w:t xml:space="preserve">This means that the Malia pendant shows aspects of the international style through the </w:t>
      </w:r>
      <w:r w:rsidR="00600A9E">
        <w:t>Levantine style granulation that decorates it.</w:t>
      </w:r>
    </w:p>
    <w:p w14:paraId="069EC1E6" w14:textId="61AB6AB7" w:rsidR="00E84F9F" w:rsidRDefault="00600A9E" w:rsidP="00D76E99">
      <w:r>
        <w:t xml:space="preserve">Objects made in the international style, or with aspects of </w:t>
      </w:r>
      <w:r w:rsidR="003D3F25">
        <w:t>it, a difficult to place the exact origins of. The techniques used to make them may be traceable</w:t>
      </w:r>
      <w:r w:rsidR="007155C1">
        <w:t xml:space="preserve"> but the widespread use of them to create the </w:t>
      </w:r>
      <w:r w:rsidR="000E2A77">
        <w:t xml:space="preserve">highly </w:t>
      </w:r>
      <w:r w:rsidR="007155C1">
        <w:t>hybridised objects</w:t>
      </w:r>
      <w:r w:rsidR="000E2A77">
        <w:t xml:space="preserve"> makes </w:t>
      </w:r>
      <w:r w:rsidR="00D4364E">
        <w:t xml:space="preserve">many objects impossible to know the exact location they were made. The Malia pendant </w:t>
      </w:r>
      <w:r w:rsidR="00C510D4">
        <w:t>is one such object that has this issue. The pendant was found on Crete and is generally written about as if it had been made there too</w:t>
      </w:r>
      <w:r w:rsidR="00745DFE">
        <w:t xml:space="preserve"> (as is done in this analysis)</w:t>
      </w:r>
      <w:r w:rsidR="005E5DFE">
        <w:t xml:space="preserve">, however there is no concrete evidence to support this claim. There are </w:t>
      </w:r>
      <w:r w:rsidR="001849C9">
        <w:t>many places on Crete where goldwork was practised</w:t>
      </w:r>
      <w:r w:rsidR="004D4F80">
        <w:t xml:space="preserve"> but it is unknown if any of these </w:t>
      </w:r>
      <w:r w:rsidR="00FA5F25">
        <w:t>were where</w:t>
      </w:r>
      <w:r w:rsidR="004D4F80">
        <w:t xml:space="preserve"> the pendant</w:t>
      </w:r>
      <w:r w:rsidR="00FA5F25">
        <w:t xml:space="preserve"> originated</w:t>
      </w:r>
      <w:r w:rsidR="004D4F80">
        <w:t>.</w:t>
      </w:r>
      <w:r w:rsidR="00FA5F25">
        <w:t xml:space="preserve"> This ambiguity around the </w:t>
      </w:r>
      <w:r w:rsidR="00B12D1A">
        <w:t xml:space="preserve">place of creation </w:t>
      </w:r>
      <w:r w:rsidR="0089469E">
        <w:t>adds</w:t>
      </w:r>
      <w:r w:rsidR="00B12D1A">
        <w:t xml:space="preserve"> a second aspect that could place the Malia pendant </w:t>
      </w:r>
      <w:r w:rsidR="00A354F6">
        <w:t>as part of the international style.</w:t>
      </w:r>
    </w:p>
    <w:p w14:paraId="06067F55" w14:textId="0EBC7693" w:rsidR="00600A9E" w:rsidRDefault="0076754D" w:rsidP="00D76E99">
      <w:r>
        <w:t xml:space="preserve">A third thing that could place the Malia pendant as part of the international style, or at the very least displays </w:t>
      </w:r>
      <w:r w:rsidR="00745DFE">
        <w:t>connectivity</w:t>
      </w:r>
      <w:r w:rsidR="004D4F80">
        <w:t xml:space="preserve"> </w:t>
      </w:r>
      <w:r w:rsidR="00E31386">
        <w:t>between regions</w:t>
      </w:r>
      <w:r w:rsidR="000B641B">
        <w:t xml:space="preserve">, is the importation of the gold used to make the pendant. </w:t>
      </w:r>
      <w:r w:rsidR="0094067A">
        <w:t>Gold is not naturally found on Crete so any found on the island had to have been imported from elsewhere</w:t>
      </w:r>
      <w:r w:rsidR="00A95823">
        <w:t xml:space="preserve"> </w:t>
      </w:r>
      <w:r w:rsidR="00A95823">
        <w:fldChar w:fldCharType="begin"/>
      </w:r>
      <w:r w:rsidR="00A95823">
        <w:instrText xml:space="preserve"> ADDIN ZOTERO_ITEM CSL_CITATION {"citationID":"gN3x2Gac","properties":{"formattedCitation":"(Bonner, 2019)","plainCitation":"(Bonner, 2019)","noteIndex":0},"citationItems":[{"id":81,"uris":["http://zotero.org/users/local/938AaHlk/items/Y88J8LT7"],"itemData":{"id":81,"type":"webpage","abstract":"This project aims to gain a better understanding of the relationship of Crete with the world outside the island through the lens of a key body of materials: goldwork.","genre":"Text","language":"en","title":"Minoan gold: an archaeometallurgical analysis of Crete’s place in the east Mediterranean world","title-short":"Minoan gold","URL":"https://www.arch.cam.ac.uk/research/projects/recently-completed-projects/minoan-gold-archaeometallurgical-analysis-cretes-place","author":[{"family":"Bonner","given":"Laure"}],"accessed":{"date-parts":[["2023",11,1]]},"issued":{"date-parts":[["2019",10,10]]}}}],"schema":"https://github.com/citation-style-language/schema/raw/master/csl-citation.json"} </w:instrText>
      </w:r>
      <w:r w:rsidR="00A95823">
        <w:fldChar w:fldCharType="separate"/>
      </w:r>
      <w:r w:rsidR="00A95823" w:rsidRPr="00A95823">
        <w:rPr>
          <w:rFonts w:ascii="Calibri" w:hAnsi="Calibri" w:cs="Calibri"/>
        </w:rPr>
        <w:t>(Bonner, 2019)</w:t>
      </w:r>
      <w:r w:rsidR="00A95823">
        <w:fldChar w:fldCharType="end"/>
      </w:r>
      <w:r w:rsidR="00757CA2">
        <w:t xml:space="preserve">. There are several places within the Eastern Mediterranean where gold can be </w:t>
      </w:r>
      <w:r w:rsidR="003730AC">
        <w:t xml:space="preserve">found, </w:t>
      </w:r>
      <w:r w:rsidR="007269C5">
        <w:t xml:space="preserve">but the Minoans </w:t>
      </w:r>
      <w:r w:rsidR="007054AF">
        <w:t xml:space="preserve">seemed to mostly import their gold from Egypt </w:t>
      </w:r>
      <w:r w:rsidR="007054AF">
        <w:fldChar w:fldCharType="begin"/>
      </w:r>
      <w:r w:rsidR="007054AF">
        <w:instrText xml:space="preserve"> ADDIN ZOTERO_ITEM CSL_CITATION {"citationID":"2kUQyxn3","properties":{"formattedCitation":"(Jewelleryforus, 2022)","plainCitation":"(Jewelleryforus, 2022)","noteIndex":0},"citationItems":[{"id":107,"uris":["http://zotero.org/users/local/938AaHlk/items/X64KEQDN"],"itemData":{"id":107,"type":"post-weblog","abstract":"Jewellery was one of the most representative arts of the Minoans in which the relationship of society with nature, the deity and state power is expressed. Its main characteristics are its elegance…","container-title":"jewelleryforus.com","language":"en-US","title":"MINOAN JEWELLERY - GOLDSMITHING","URL":"https://jewelleryforus.com/minoan-jewellery-goldsmithing?lang=en","author":[{"literal":"Jewelleryforus"}],"accessed":{"date-parts":[["2023",11,12]]},"issued":{"date-parts":[["2022",3,5]]}}}],"schema":"https://github.com/citation-style-language/schema/raw/master/csl-citation.json"} </w:instrText>
      </w:r>
      <w:r w:rsidR="007054AF">
        <w:fldChar w:fldCharType="separate"/>
      </w:r>
      <w:r w:rsidR="007054AF" w:rsidRPr="007054AF">
        <w:rPr>
          <w:rFonts w:ascii="Calibri" w:hAnsi="Calibri" w:cs="Calibri"/>
        </w:rPr>
        <w:t>(Jewelleryforus, 2022)</w:t>
      </w:r>
      <w:r w:rsidR="007054AF">
        <w:fldChar w:fldCharType="end"/>
      </w:r>
      <w:r w:rsidR="00ED1132">
        <w:t xml:space="preserve">. Egypt is well known for it’s large </w:t>
      </w:r>
      <w:r w:rsidR="004A7FED">
        <w:t>natural gold reserves</w:t>
      </w:r>
      <w:r w:rsidR="00A901CC">
        <w:t xml:space="preserve"> and had gold as one of its main exports to the rest of the Mediterranean</w:t>
      </w:r>
      <w:r w:rsidR="00894E07">
        <w:t xml:space="preserve">, making it a pretty safe bet for the source of the </w:t>
      </w:r>
      <w:r w:rsidR="00FE6399">
        <w:t>gold used to make the Malia pendant.</w:t>
      </w:r>
      <w:r w:rsidR="000D0A1C">
        <w:t xml:space="preserve"> The necessity of the gold being imported to make the pendant shows that Crete had to have had entanglements with </w:t>
      </w:r>
      <w:r w:rsidR="00F72163">
        <w:t xml:space="preserve">other </w:t>
      </w:r>
      <w:r w:rsidR="00543110">
        <w:t>places, such as Egypt</w:t>
      </w:r>
      <w:r w:rsidR="00813F85">
        <w:t xml:space="preserve">, which results in </w:t>
      </w:r>
      <w:r w:rsidR="00A43494">
        <w:t>the</w:t>
      </w:r>
      <w:r w:rsidR="009A3976">
        <w:t xml:space="preserve"> </w:t>
      </w:r>
      <w:r w:rsidR="00576D88">
        <w:t xml:space="preserve">acquisition of foreign </w:t>
      </w:r>
      <w:r w:rsidR="00344E12">
        <w:t>goldwork techniques as was seen with the granulation</w:t>
      </w:r>
      <w:r w:rsidR="00E21576">
        <w:t xml:space="preserve"> and filagree that were used to decorate the </w:t>
      </w:r>
      <w:r w:rsidR="00DE0655">
        <w:t xml:space="preserve">Malia </w:t>
      </w:r>
      <w:r w:rsidR="00E21576">
        <w:t>pendant.</w:t>
      </w:r>
      <w:r w:rsidR="00DE0655">
        <w:t xml:space="preserve"> </w:t>
      </w:r>
    </w:p>
    <w:p w14:paraId="5FDA6640" w14:textId="3B458F0F" w:rsidR="00715506" w:rsidRDefault="00D725E6" w:rsidP="00D76E99">
      <w:r>
        <w:t xml:space="preserve">There are three aspects of the Malia pendant that could </w:t>
      </w:r>
      <w:r w:rsidR="00215776">
        <w:t xml:space="preserve">place it as an object done in the international style, the </w:t>
      </w:r>
      <w:r w:rsidR="006253DA">
        <w:t>inability to know exactly where it was made, the filagree and granulation decorating it, and the fact it was</w:t>
      </w:r>
      <w:r w:rsidR="00DA3542">
        <w:t xml:space="preserve"> made of an imported material. </w:t>
      </w:r>
      <w:r w:rsidR="00550A96">
        <w:t>The iconography of the plants and mammoth wasps don’t play so much into the style, but the</w:t>
      </w:r>
      <w:r w:rsidR="00066582">
        <w:t xml:space="preserve"> other aspects outweigh this feature making </w:t>
      </w:r>
      <w:r w:rsidR="00FB4945">
        <w:t>the Malia pendant plausibly an object made in the international style</w:t>
      </w:r>
      <w:r w:rsidR="00744136">
        <w:t>.</w:t>
      </w:r>
    </w:p>
    <w:p w14:paraId="42B6A1D7" w14:textId="7F68F186" w:rsidR="00744136" w:rsidRDefault="00744136" w:rsidP="00D76E99">
      <w:r>
        <w:t xml:space="preserve">However, having said that the pendant could be </w:t>
      </w:r>
      <w:r w:rsidR="002F15E0">
        <w:t>made in the international style, it should also be noted the problems with the theory.</w:t>
      </w:r>
      <w:r w:rsidR="00E45EE5">
        <w:t xml:space="preserve"> Many different archaeologists have had many different ideas about what constitutes as the international style over the year</w:t>
      </w:r>
      <w:r w:rsidR="00EA4FD6">
        <w:t xml:space="preserve">s. </w:t>
      </w:r>
      <w:r w:rsidR="009B00F0">
        <w:t xml:space="preserve">Many of the more modern versions of the theory </w:t>
      </w:r>
      <w:r w:rsidR="008F521E">
        <w:t xml:space="preserve">focus on </w:t>
      </w:r>
      <w:r w:rsidR="00C50847">
        <w:t>the idea</w:t>
      </w:r>
      <w:r w:rsidR="000853A3">
        <w:t xml:space="preserve"> of shared motifs and themes</w:t>
      </w:r>
      <w:r w:rsidR="00294FFF">
        <w:t xml:space="preserve">, rather than the transference of them </w:t>
      </w:r>
      <w:r w:rsidR="00294FFF">
        <w:fldChar w:fldCharType="begin"/>
      </w:r>
      <w:r w:rsidR="00294FFF">
        <w:instrText xml:space="preserve"> ADDIN ZOTERO_ITEM CSL_CITATION {"citationID":"fCWcz5rN","properties":{"formattedCitation":"(Feldman, 2006, p. 29)","plainCitation":"(Feldman, 2006, p. 29)","noteIndex":0},"citationItems":[{"id":93,"uris":["http://zotero.org/users/local/938AaHlk/items/8Y4UCV9U"],"itemData":{"id":93,"type":"book","abstract":"During the fourteenth and thirteenth centuries BCE, the kings of Egypt, Babylonia, Assyria, and Hatti participated in a complex international community. These two hundred years also witnessed the production of luxurious artworks made of gold, ivory, alabaster, and faience--objects that helped to foster good relations among the kingdoms. In fact, as Marian H. Feldman makes clear here, art and international relations during the Late Bronze Age formed an unprecedented symbiosis, in concert with expanded travel and written communications across the Mediterranean. And thus diplomacy was invigorated through the exchange of lavish art objects and luxury goods, which shared a repertoire of imagery that modern scholars have called the first International Style in the history of art. Previous studies have focused almost exclusively on stylistic attribution of these objects at the expense of social contextualization. Feldman's Diplomacy by Design instead examines the profound connection between art produced during this period and its social and political contexts, revealing inanimate objects as catalysts--or even participants--in human dynamics. Feldman's fascinating study shows the ways in which the diplomatic circulation of these works actively mediated and strengthened political relations, intercultural interactions, and economic negotiations and she does so through diverse disciplinary frameworks including art history, anthropology, and social history. Written by a specialist in ancient Near Eastern art and archaeology who has excavated and traveled extensively in this area of the world, Diplomacy by Design considers anew the symbolic power of material culture and its centrality in the construction of human relations.","ISBN":"978-0-226-24044-2","language":"en","note":"Google-Books-ID: 1SKu3lk4CA8C","number-of-pages":"313","publisher":"University of Chicago Press","source":"Google Books","title":"Diplomacy by Design: Luxury Arts and an \"International Style\" in the Ancient Near East, 1400-1200 BCE","title-short":"Diplomacy by Design","author":[{"family":"Feldman","given":"Marian H."}],"issued":{"date-parts":[["2006",5,15]]}},"locator":"29"}],"schema":"https://github.com/citation-style-language/schema/raw/master/csl-citation.json"} </w:instrText>
      </w:r>
      <w:r w:rsidR="00294FFF">
        <w:fldChar w:fldCharType="separate"/>
      </w:r>
      <w:r w:rsidR="00294FFF" w:rsidRPr="00294FFF">
        <w:rPr>
          <w:rFonts w:ascii="Calibri" w:hAnsi="Calibri" w:cs="Calibri"/>
        </w:rPr>
        <w:t>(Feldman, 2006, p. 29)</w:t>
      </w:r>
      <w:r w:rsidR="00294FFF">
        <w:fldChar w:fldCharType="end"/>
      </w:r>
      <w:r w:rsidR="00294FFF">
        <w:t xml:space="preserve">. </w:t>
      </w:r>
      <w:r w:rsidR="00713C06">
        <w:t xml:space="preserve">The theory of the international style dovetails </w:t>
      </w:r>
      <w:r w:rsidR="000330B2">
        <w:t>from the theory of hybridisation which i</w:t>
      </w:r>
      <w:r w:rsidR="00CF534F">
        <w:t xml:space="preserve">s where objects hold elements of design from </w:t>
      </w:r>
      <w:r w:rsidR="003E11F1">
        <w:t xml:space="preserve">two or more different cultures </w:t>
      </w:r>
      <w:r w:rsidR="00522653">
        <w:t>as a result of contact between them and the absorption of</w:t>
      </w:r>
      <w:r w:rsidR="00B55867">
        <w:t xml:space="preserve"> cultural traditions of one set of peoples to another </w:t>
      </w:r>
      <w:r w:rsidR="00B55867">
        <w:fldChar w:fldCharType="begin"/>
      </w:r>
      <w:r w:rsidR="00B55867">
        <w:instrText xml:space="preserve"> ADDIN ZOTERO_ITEM CSL_CITATION {"citationID":"c65UpHZK","properties":{"formattedCitation":"(Steel, 2013, p. 51)","plainCitation":"(Steel, 2013, p. 51)","noteIndex":0},"citationItems":[{"id":109,"uris":["http://zotero.org/users/local/938AaHlk/items/QB8CG63P"],"itemData":{"id":109,"type":"book","abstract":"The importance of cultural contacts in the East Mediterranean has long been recognized and is the focus of ongoing international research. Fieldwork in the Aegean, Egypt, Cyprus, and the Levant continues to add to our understanding of the nature of this contact and its social and economic significance, particularly to the cultures of the Aegean. Despite sophisticated discussion of the archaeological evidence, in particular on the part of Aegean and Mediterranean archaeologists, there has been little systematic attempt to incorporate anthropological perspectives on materiality and exchange into archaeological narratives of this material. This book addresses that gap and integrates anthropological discourse on contact, examining exchange systems, the gift, notions of geographical distance and power, colonization, and hybridization. Furthermore, it develops a social narrative of culture contact in the Mediterranean context, illustrating the reasons communities chose to engage in international exchange, and how this impacted the construction of identities throughout the region.   While traditional archaeologies in the East Mediterranean have tended to be reductive in their approach to material culture and how it was produced, used, and exchanged, this book reviews current research on material culture, focusing on issues such as the biography of objects, inalienable possessions, and hybridization – exploring how these issues can further illuminate the material world of the communities of the Bronze Age Mediterranean.","ISBN":"978-1-136-27481-7","language":"en","note":"Google-Books-ID: wSHaCzmD7fkC","number-of-pages":"284","publisher":"Routledge","source":"Google Books","title":"Materiality and Consumption in the Bronze Age Mediterranean","author":[{"family":"Steel","given":"Louise"}],"issued":{"date-parts":[["2013",3,5]]}},"locator":"51"}],"schema":"https://github.com/citation-style-language/schema/raw/master/csl-citation.json"} </w:instrText>
      </w:r>
      <w:r w:rsidR="00B55867">
        <w:fldChar w:fldCharType="separate"/>
      </w:r>
      <w:r w:rsidR="00B55867" w:rsidRPr="00B55867">
        <w:rPr>
          <w:rFonts w:ascii="Calibri" w:hAnsi="Calibri" w:cs="Calibri"/>
        </w:rPr>
        <w:t>(Steel, 2013, p. 51)</w:t>
      </w:r>
      <w:r w:rsidR="00B55867">
        <w:fldChar w:fldCharType="end"/>
      </w:r>
      <w:r w:rsidR="00A05007">
        <w:t xml:space="preserve">. </w:t>
      </w:r>
      <w:r w:rsidR="00EB2CB3">
        <w:t xml:space="preserve">The idea of there being hybrid objects is not debated all that much as their existence is quite evident </w:t>
      </w:r>
      <w:r w:rsidR="008D7727">
        <w:t xml:space="preserve">and widespread, however the international style tends to be making the </w:t>
      </w:r>
      <w:r w:rsidR="004D0576">
        <w:t>larger claim of shared motifs, methodologies and themes across the majority of the cultures found in the Mediterranean</w:t>
      </w:r>
      <w:r w:rsidR="007E5C4C">
        <w:t xml:space="preserve">. </w:t>
      </w:r>
      <w:r w:rsidR="00BF2A72">
        <w:t xml:space="preserve">There was ever expanding </w:t>
      </w:r>
      <w:r w:rsidR="008E7009">
        <w:t xml:space="preserve">and growing contact between different areas of the Mediterranean in the second </w:t>
      </w:r>
      <w:r w:rsidR="0017015C">
        <w:t xml:space="preserve">millennium BC </w:t>
      </w:r>
      <w:r w:rsidR="0017015C">
        <w:fldChar w:fldCharType="begin"/>
      </w:r>
      <w:r w:rsidR="0017015C">
        <w:instrText xml:space="preserve"> ADDIN ZOTERO_ITEM CSL_CITATION {"citationID":"sfmWto1O","properties":{"formattedCitation":"(Steel, 2013)","plainCitation":"(Steel, 2013)","noteIndex":0},"citationItems":[{"id":109,"uris":["http://zotero.org/users/local/938AaHlk/items/QB8CG63P"],"itemData":{"id":109,"type":"book","abstract":"The importance of cultural contacts in the East Mediterranean has long been recognized and is the focus of ongoing international research. Fieldwork in the Aegean, Egypt, Cyprus, and the Levant continues to add to our understanding of the nature of this contact and its social and economic significance, particularly to the cultures of the Aegean. Despite sophisticated discussion of the archaeological evidence, in particular on the part of Aegean and Mediterranean archaeologists, there has been little systematic attempt to incorporate anthropological perspectives on materiality and exchange into archaeological narratives of this material. This book addresses that gap and integrates anthropological discourse on contact, examining exchange systems, the gift, notions of geographical distance and power, colonization, and hybridization. Furthermore, it develops a social narrative of culture contact in the Mediterranean context, illustrating the reasons communities chose to engage in international exchange, and how this impacted the construction of identities throughout the region.   While traditional archaeologies in the East Mediterranean have tended to be reductive in their approach to material culture and how it was produced, used, and exchanged, this book reviews current research on material culture, focusing on issues such as the biography of objects, inalienable possessions, and hybridization – exploring how these issues can further illuminate the material world of the communities of the Bronze Age Mediterranean.","ISBN":"978-1-136-27481-7","language":"en","note":"Google-Books-ID: wSHaCzmD7fkC","number-of-pages":"284","publisher":"Routledge","source":"Google Books","title":"Materiality and Consumption in the Bronze Age Mediterranean","author":[{"family":"Steel","given":"Louise"}],"issued":{"date-parts":[["2013",3,5]]}}}],"schema":"https://github.com/citation-style-language/schema/raw/master/csl-citation.json"} </w:instrText>
      </w:r>
      <w:r w:rsidR="0017015C">
        <w:fldChar w:fldCharType="separate"/>
      </w:r>
      <w:r w:rsidR="0017015C" w:rsidRPr="0017015C">
        <w:rPr>
          <w:rFonts w:ascii="Calibri" w:hAnsi="Calibri" w:cs="Calibri"/>
        </w:rPr>
        <w:t>(Steel, 2013</w:t>
      </w:r>
      <w:r w:rsidR="002A1449">
        <w:rPr>
          <w:rFonts w:ascii="Calibri" w:hAnsi="Calibri" w:cs="Calibri"/>
        </w:rPr>
        <w:t>, p51</w:t>
      </w:r>
      <w:r w:rsidR="0017015C" w:rsidRPr="0017015C">
        <w:rPr>
          <w:rFonts w:ascii="Calibri" w:hAnsi="Calibri" w:cs="Calibri"/>
        </w:rPr>
        <w:t>)</w:t>
      </w:r>
      <w:r w:rsidR="0017015C">
        <w:fldChar w:fldCharType="end"/>
      </w:r>
      <w:r w:rsidR="002A1449">
        <w:t xml:space="preserve"> which </w:t>
      </w:r>
      <w:r w:rsidR="00560337">
        <w:t xml:space="preserve">created </w:t>
      </w:r>
      <w:r w:rsidR="00F15B3F">
        <w:t xml:space="preserve">the possible </w:t>
      </w:r>
      <w:r w:rsidR="00560337">
        <w:t>opportunit</w:t>
      </w:r>
      <w:r w:rsidR="00F15B3F">
        <w:t>y</w:t>
      </w:r>
      <w:r w:rsidR="00560337">
        <w:t xml:space="preserve"> for the</w:t>
      </w:r>
      <w:r w:rsidR="00F15B3F">
        <w:t xml:space="preserve"> international style to develop.</w:t>
      </w:r>
      <w:r w:rsidR="00BF010A">
        <w:t xml:space="preserve"> However, the idea of a single </w:t>
      </w:r>
      <w:r w:rsidR="00F11E1C">
        <w:t xml:space="preserve">style that all of the cultures use and adhere to </w:t>
      </w:r>
      <w:r w:rsidR="000342D4">
        <w:t xml:space="preserve">is quite restrictive and a simplification of the complex relations the </w:t>
      </w:r>
      <w:r w:rsidR="000342D4">
        <w:lastRenderedPageBreak/>
        <w:t xml:space="preserve">cultures likely had with one another. </w:t>
      </w:r>
      <w:r w:rsidR="00493CD5">
        <w:t xml:space="preserve">The idea of </w:t>
      </w:r>
      <w:r w:rsidR="009E7ABE">
        <w:t xml:space="preserve">transculturality, as put forth by </w:t>
      </w:r>
      <w:r w:rsidR="00FB4485" w:rsidRPr="00FB4485">
        <w:t>Diamantis</w:t>
      </w:r>
      <w:r w:rsidR="00FB4485">
        <w:t xml:space="preserve"> </w:t>
      </w:r>
      <w:r w:rsidR="00FB4485" w:rsidRPr="00FB4485">
        <w:t>Panagiotopoulos</w:t>
      </w:r>
      <w:r w:rsidR="00FB4485">
        <w:t>, creates a</w:t>
      </w:r>
      <w:r w:rsidR="006257E1">
        <w:t>n image of far more fluid interactions between the different cultures found in the Mediterranean in the bronze age</w:t>
      </w:r>
      <w:r w:rsidR="00C7743E">
        <w:t xml:space="preserve">, a fluidity that is far more believable </w:t>
      </w:r>
      <w:r w:rsidR="005E6FDF">
        <w:t xml:space="preserve">if you try to implement the two theories </w:t>
      </w:r>
      <w:r w:rsidR="004762C5">
        <w:t xml:space="preserve">on today’s society. The international style </w:t>
      </w:r>
      <w:r w:rsidR="00D4569D">
        <w:t xml:space="preserve">holds an unrealistic view of elites transcending </w:t>
      </w:r>
      <w:r w:rsidR="00051A38">
        <w:t xml:space="preserve">cultural boundaries to make a coherent style for them all to follow </w:t>
      </w:r>
      <w:r w:rsidR="00F44E75">
        <w:fldChar w:fldCharType="begin"/>
      </w:r>
      <w:r w:rsidR="00F44E75">
        <w:instrText xml:space="preserve"> ADDIN ZOTERO_ITEM CSL_CITATION {"citationID":"WpKwtoIx","properties":{"formattedCitation":"(Panagiotopoulos, 2011, p. 36)","plainCitation":"(Panagiotopoulos, 2011, p. 36)","noteIndex":0},"citationItems":[{"id":113,"uris":["http://zotero.org/users/local/938AaHlk/items/X3TISCDI"],"itemData":{"id":113,"type":"chapter","container-title":"Intercultural Contacts in the Ancient Mediterranean","language":"English","page":"31-52","publisher":"Peeters, Leuven","title":"THE STIRRING SEA. CONCEPTUALISING TRANSCULTURALITY IN THE LATE BRONZE AGE EASTERN MEDITERRANEAN","author":[{"family":"Panagiotopoulos","given":"Diamantis"}],"editor":[{"family":"Duistermaat","given":"Kim"},{"family":"Regulski","given":"Ilona"}],"issued":{"date-parts":[["2011"]]}},"locator":"36"}],"schema":"https://github.com/citation-style-language/schema/raw/master/csl-citation.json"} </w:instrText>
      </w:r>
      <w:r w:rsidR="00F44E75">
        <w:fldChar w:fldCharType="separate"/>
      </w:r>
      <w:r w:rsidR="00F44E75" w:rsidRPr="00F44E75">
        <w:rPr>
          <w:rFonts w:ascii="Calibri" w:hAnsi="Calibri" w:cs="Calibri"/>
        </w:rPr>
        <w:t>(Panagiotopoulos, 2011, p. 36)</w:t>
      </w:r>
      <w:r w:rsidR="00F44E75">
        <w:fldChar w:fldCharType="end"/>
      </w:r>
      <w:r w:rsidR="00F44E75">
        <w:t>.</w:t>
      </w:r>
    </w:p>
    <w:p w14:paraId="32C4DE1B" w14:textId="280D1968" w:rsidR="007921FE" w:rsidRDefault="007921FE" w:rsidP="00D76E99">
      <w:r>
        <w:t>In conclusion, the Malia pendant</w:t>
      </w:r>
      <w:r w:rsidR="009C3899">
        <w:t xml:space="preserve"> holds several features of the international style such as the decorat</w:t>
      </w:r>
      <w:r w:rsidR="00924D32">
        <w:t>ive filagree</w:t>
      </w:r>
      <w:r w:rsidR="00A84BD3">
        <w:t>.</w:t>
      </w:r>
      <w:r w:rsidR="009C3899">
        <w:t xml:space="preserve"> and the inability for </w:t>
      </w:r>
      <w:r w:rsidR="00924D32">
        <w:t>archaeologists to</w:t>
      </w:r>
      <w:r w:rsidR="00A84BD3">
        <w:t xml:space="preserve"> know the exact location of the pendant’s making</w:t>
      </w:r>
      <w:r w:rsidR="00CC1D7F">
        <w:t>. The iconography of the pendant does not fit with the international style, as it dep</w:t>
      </w:r>
      <w:r w:rsidR="00922D12">
        <w:t xml:space="preserve">icts mammoth wasps and </w:t>
      </w:r>
      <w:r w:rsidR="000A52F6">
        <w:t xml:space="preserve">hartwort fruit both of which </w:t>
      </w:r>
      <w:r w:rsidR="00271EAA">
        <w:t>are</w:t>
      </w:r>
      <w:r w:rsidR="000A52F6">
        <w:t xml:space="preserve"> native to Crete</w:t>
      </w:r>
      <w:r w:rsidR="00271EAA">
        <w:t xml:space="preserve">. However, there is also a scepticism </w:t>
      </w:r>
      <w:r w:rsidR="00A46CB4">
        <w:t xml:space="preserve">within scholarship of the existence of any international style at all, </w:t>
      </w:r>
      <w:r w:rsidR="00F11E15">
        <w:t xml:space="preserve">with both hybridisation and transculturality being </w:t>
      </w:r>
      <w:r w:rsidR="004E131F">
        <w:t>seen as less restricting and more easily defined</w:t>
      </w:r>
      <w:r w:rsidR="005718DA">
        <w:t xml:space="preserve">. </w:t>
      </w:r>
    </w:p>
    <w:p w14:paraId="707D0745" w14:textId="77777777" w:rsidR="005718DA" w:rsidRDefault="005718DA" w:rsidP="00D76E99"/>
    <w:p w14:paraId="3FD78529" w14:textId="77777777" w:rsidR="005718DA" w:rsidRDefault="005718DA" w:rsidP="00D76E99"/>
    <w:p w14:paraId="3A205CFF" w14:textId="62FEBDBD" w:rsidR="005718DA" w:rsidRDefault="005718DA" w:rsidP="00D76E99">
      <w:r>
        <w:t>Bibliography</w:t>
      </w:r>
    </w:p>
    <w:p w14:paraId="6720ADB8" w14:textId="77777777" w:rsidR="00945792" w:rsidRPr="00945792" w:rsidRDefault="005718DA" w:rsidP="00945792">
      <w:pPr>
        <w:pStyle w:val="Bibliography"/>
        <w:rPr>
          <w:rFonts w:ascii="Calibri" w:hAnsi="Calibri" w:cs="Calibri"/>
        </w:rPr>
      </w:pPr>
      <w:r>
        <w:rPr>
          <w:rFonts w:ascii="Calibri" w:hAnsi="Calibri" w:cs="Calibri"/>
        </w:rPr>
        <w:fldChar w:fldCharType="begin"/>
      </w:r>
      <w:r>
        <w:rPr>
          <w:rFonts w:ascii="Calibri" w:hAnsi="Calibri" w:cs="Calibri"/>
        </w:rPr>
        <w:instrText xml:space="preserve"> ADDIN ZOTERO_BIBL {"uncited":[],"omitted":[],"custom":[]} CSL_BIBLIOGRAPHY </w:instrText>
      </w:r>
      <w:r>
        <w:rPr>
          <w:rFonts w:ascii="Calibri" w:hAnsi="Calibri" w:cs="Calibri"/>
        </w:rPr>
        <w:fldChar w:fldCharType="separate"/>
      </w:r>
      <w:r w:rsidR="00945792" w:rsidRPr="00945792">
        <w:rPr>
          <w:rFonts w:ascii="Calibri" w:hAnsi="Calibri" w:cs="Calibri"/>
        </w:rPr>
        <w:t xml:space="preserve">Bonner, L. (2019) </w:t>
      </w:r>
      <w:r w:rsidR="00945792" w:rsidRPr="00945792">
        <w:rPr>
          <w:rFonts w:ascii="Calibri" w:hAnsi="Calibri" w:cs="Calibri"/>
          <w:i/>
          <w:iCs/>
        </w:rPr>
        <w:t>Minoan gold: an archaeometallurgical analysis of Crete’s place in the east Mediterranean world</w:t>
      </w:r>
      <w:r w:rsidR="00945792" w:rsidRPr="00945792">
        <w:rPr>
          <w:rFonts w:ascii="Calibri" w:hAnsi="Calibri" w:cs="Calibri"/>
        </w:rPr>
        <w:t>. Available at: https://www.arch.cam.ac.uk/research/projects/recently-completed-projects/minoan-gold-archaeometallurgical-analysis-cretes-place (Accessed: 1 November 2023).</w:t>
      </w:r>
    </w:p>
    <w:p w14:paraId="6BB56C0B" w14:textId="77777777" w:rsidR="00945792" w:rsidRPr="00945792" w:rsidRDefault="00945792" w:rsidP="00945792">
      <w:pPr>
        <w:pStyle w:val="Bibliography"/>
        <w:rPr>
          <w:rFonts w:ascii="Calibri" w:hAnsi="Calibri" w:cs="Calibri"/>
        </w:rPr>
      </w:pPr>
      <w:r w:rsidRPr="00945792">
        <w:rPr>
          <w:rFonts w:ascii="Calibri" w:hAnsi="Calibri" w:cs="Calibri"/>
        </w:rPr>
        <w:t xml:space="preserve">Branigan, K. (2015) ‘Gold and Goldworking in Early Bronze Age Crete’, in P.P. Betancourt (ed.) </w:t>
      </w:r>
      <w:r w:rsidRPr="00945792">
        <w:rPr>
          <w:rFonts w:ascii="Calibri" w:hAnsi="Calibri" w:cs="Calibri"/>
          <w:i/>
          <w:iCs/>
        </w:rPr>
        <w:t>Temple University Aegean Symposium</w:t>
      </w:r>
      <w:r w:rsidRPr="00945792">
        <w:rPr>
          <w:rFonts w:ascii="Calibri" w:hAnsi="Calibri" w:cs="Calibri"/>
        </w:rPr>
        <w:t>. INSTAP Academic Press (A Compendium), pp. 439–444. Available at: https://doi.org/10.2307/j.ctt18z4gjq.61.</w:t>
      </w:r>
    </w:p>
    <w:p w14:paraId="29FEDA08" w14:textId="77777777" w:rsidR="00945792" w:rsidRPr="00945792" w:rsidRDefault="00945792" w:rsidP="00945792">
      <w:pPr>
        <w:pStyle w:val="Bibliography"/>
        <w:rPr>
          <w:rFonts w:ascii="Calibri" w:hAnsi="Calibri" w:cs="Calibri"/>
        </w:rPr>
      </w:pPr>
      <w:r w:rsidRPr="00945792">
        <w:rPr>
          <w:rFonts w:ascii="Calibri" w:hAnsi="Calibri" w:cs="Calibri"/>
        </w:rPr>
        <w:t xml:space="preserve">Feldman, M.H. (2006) </w:t>
      </w:r>
      <w:r w:rsidRPr="00945792">
        <w:rPr>
          <w:rFonts w:ascii="Calibri" w:hAnsi="Calibri" w:cs="Calibri"/>
          <w:i/>
          <w:iCs/>
        </w:rPr>
        <w:t>Diplomacy by Design: Luxury Arts and an ‘International Style’ in the Ancient Near East, 1400-1200 BCE</w:t>
      </w:r>
      <w:r w:rsidRPr="00945792">
        <w:rPr>
          <w:rFonts w:ascii="Calibri" w:hAnsi="Calibri" w:cs="Calibri"/>
        </w:rPr>
        <w:t>. University of Chicago Press.</w:t>
      </w:r>
    </w:p>
    <w:p w14:paraId="30FF3E72" w14:textId="77777777" w:rsidR="00945792" w:rsidRPr="00945792" w:rsidRDefault="00945792" w:rsidP="00945792">
      <w:pPr>
        <w:pStyle w:val="Bibliography"/>
        <w:rPr>
          <w:rFonts w:ascii="Calibri" w:hAnsi="Calibri" w:cs="Calibri"/>
        </w:rPr>
      </w:pPr>
      <w:r w:rsidRPr="00945792">
        <w:rPr>
          <w:rFonts w:ascii="Calibri" w:hAnsi="Calibri" w:cs="Calibri"/>
        </w:rPr>
        <w:t>Feldman, M.H. (2014) ‘Luxurious Forms: Redefining a Medit</w:t>
      </w:r>
      <w:r w:rsidRPr="00945792">
        <w:rPr>
          <w:rFonts w:ascii="Calibri" w:hAnsi="Calibri" w:cs="Calibri"/>
        </w:rPr>
        <w:lastRenderedPageBreak/>
        <w:t>erranean “International Style,” 1400–1200 b.c.e.’, 84(1), pp. 6–29.</w:t>
      </w:r>
    </w:p>
    <w:p w14:paraId="4B0B7793" w14:textId="77777777" w:rsidR="00945792" w:rsidRPr="00945792" w:rsidRDefault="00945792" w:rsidP="00945792">
      <w:pPr>
        <w:pStyle w:val="Bibliography"/>
        <w:rPr>
          <w:rFonts w:ascii="Calibri" w:hAnsi="Calibri" w:cs="Calibri"/>
        </w:rPr>
      </w:pPr>
      <w:r w:rsidRPr="00945792">
        <w:rPr>
          <w:rFonts w:ascii="Calibri" w:hAnsi="Calibri" w:cs="Calibri"/>
        </w:rPr>
        <w:t>‘Gold bee pendant - Heraklion Archaeological Museum’ (2022), 19 April. Available at: https://www.heraklionmuseum.gr/en/exhibit/gold-bee-pendant/, https://www.heraklionmuseum.gr/en/exhibit/gold-bee-pendant/ (Accessed: 12 November 2023).</w:t>
      </w:r>
    </w:p>
    <w:p w14:paraId="11F72C47" w14:textId="77777777" w:rsidR="00945792" w:rsidRPr="00945792" w:rsidRDefault="00945792" w:rsidP="00945792">
      <w:pPr>
        <w:pStyle w:val="Bibliography"/>
        <w:rPr>
          <w:rFonts w:ascii="Calibri" w:hAnsi="Calibri" w:cs="Calibri"/>
        </w:rPr>
      </w:pPr>
      <w:r w:rsidRPr="00945792">
        <w:rPr>
          <w:rFonts w:ascii="Calibri" w:hAnsi="Calibri" w:cs="Calibri"/>
        </w:rPr>
        <w:t xml:space="preserve">Herrero, B. and Martinón-Torres, M. (2021) ‘Heterogeneous Production and Enchained Consumption: Minoan Gold in a Changing World (ca. 2000 BCE)’, </w:t>
      </w:r>
      <w:r w:rsidRPr="00945792">
        <w:rPr>
          <w:rFonts w:ascii="Calibri" w:hAnsi="Calibri" w:cs="Calibri"/>
          <w:i/>
          <w:iCs/>
        </w:rPr>
        <w:t>The University of Chicago Press</w:t>
      </w:r>
      <w:r w:rsidRPr="00945792">
        <w:rPr>
          <w:rFonts w:ascii="Calibri" w:hAnsi="Calibri" w:cs="Calibri"/>
        </w:rPr>
        <w:t>, 125(3), pp. 333–360. Available at: https://doi.org/10.3764/aja.125.3.0333.</w:t>
      </w:r>
    </w:p>
    <w:p w14:paraId="526A6C85" w14:textId="77777777" w:rsidR="00945792" w:rsidRPr="00945792" w:rsidRDefault="00945792" w:rsidP="00945792">
      <w:pPr>
        <w:pStyle w:val="Bibliography"/>
        <w:rPr>
          <w:rFonts w:ascii="Calibri" w:hAnsi="Calibri" w:cs="Calibri"/>
        </w:rPr>
      </w:pPr>
      <w:r w:rsidRPr="00945792">
        <w:rPr>
          <w:rFonts w:ascii="Calibri" w:hAnsi="Calibri" w:cs="Calibri"/>
        </w:rPr>
        <w:t xml:space="preserve">Jewelleryforus (2022) ‘MINOAN JEWELLERY - GOLDSMITHING’, </w:t>
      </w:r>
      <w:r w:rsidRPr="00945792">
        <w:rPr>
          <w:rFonts w:ascii="Calibri" w:hAnsi="Calibri" w:cs="Calibri"/>
          <w:i/>
          <w:iCs/>
        </w:rPr>
        <w:t>jewelleryforus.com</w:t>
      </w:r>
      <w:r w:rsidRPr="00945792">
        <w:rPr>
          <w:rFonts w:ascii="Calibri" w:hAnsi="Calibri" w:cs="Calibri"/>
        </w:rPr>
        <w:t>, 5 March. Available at: https://jewelleryforus.com/minoan-jewellery-goldsmithing?lang=en (Accessed: 12 November 2023).</w:t>
      </w:r>
    </w:p>
    <w:p w14:paraId="57D20428" w14:textId="77777777" w:rsidR="00945792" w:rsidRPr="00945792" w:rsidRDefault="00945792" w:rsidP="00945792">
      <w:pPr>
        <w:pStyle w:val="Bibliography"/>
        <w:rPr>
          <w:rFonts w:ascii="Calibri" w:hAnsi="Calibri" w:cs="Calibri"/>
        </w:rPr>
      </w:pPr>
      <w:r w:rsidRPr="00945792">
        <w:rPr>
          <w:rFonts w:ascii="Calibri" w:hAnsi="Calibri" w:cs="Calibri"/>
        </w:rPr>
        <w:t xml:space="preserve">Laffineur, R. (2012) ‘Jewelry’, in </w:t>
      </w:r>
      <w:r w:rsidRPr="00945792">
        <w:rPr>
          <w:rFonts w:ascii="Calibri" w:hAnsi="Calibri" w:cs="Calibri"/>
          <w:i/>
          <w:iCs/>
        </w:rPr>
        <w:t>The Oxford Handbook of the Bronze Age Agean</w:t>
      </w:r>
      <w:r w:rsidRPr="00945792">
        <w:rPr>
          <w:rFonts w:ascii="Calibri" w:hAnsi="Calibri" w:cs="Calibri"/>
        </w:rPr>
        <w:t>. Oxford Univesity Press, pp. 443–454.</w:t>
      </w:r>
    </w:p>
    <w:p w14:paraId="2EF64434" w14:textId="77777777" w:rsidR="00945792" w:rsidRPr="00945792" w:rsidRDefault="00945792" w:rsidP="00945792">
      <w:pPr>
        <w:pStyle w:val="Bibliography"/>
        <w:rPr>
          <w:rFonts w:ascii="Calibri" w:hAnsi="Calibri" w:cs="Calibri"/>
        </w:rPr>
      </w:pPr>
      <w:r w:rsidRPr="00945792">
        <w:rPr>
          <w:rFonts w:ascii="Calibri" w:hAnsi="Calibri" w:cs="Calibri"/>
        </w:rPr>
        <w:t xml:space="preserve">Lilyquist, C. (1993) ‘Granulation and Glass: Chronological and Stylistic Investigations at Selected Sites, ca. 2500-1400 B. C. E.’, </w:t>
      </w:r>
      <w:r w:rsidRPr="00945792">
        <w:rPr>
          <w:rFonts w:ascii="Calibri" w:hAnsi="Calibri" w:cs="Calibri"/>
          <w:i/>
          <w:iCs/>
        </w:rPr>
        <w:t>Bulletin of the American Schools of Oriental Research</w:t>
      </w:r>
      <w:r w:rsidRPr="00945792">
        <w:rPr>
          <w:rFonts w:ascii="Calibri" w:hAnsi="Calibri" w:cs="Calibri"/>
        </w:rPr>
        <w:t>, 290–291, pp. 29–94. Available at: https://doi.org/10.2307/1357319.</w:t>
      </w:r>
    </w:p>
    <w:p w14:paraId="38A35848" w14:textId="77777777" w:rsidR="00945792" w:rsidRPr="00945792" w:rsidRDefault="00945792" w:rsidP="00945792">
      <w:pPr>
        <w:pStyle w:val="Bibliography"/>
        <w:rPr>
          <w:rFonts w:ascii="Calibri" w:hAnsi="Calibri" w:cs="Calibri"/>
        </w:rPr>
      </w:pPr>
      <w:r w:rsidRPr="00945792">
        <w:rPr>
          <w:rFonts w:ascii="Calibri" w:hAnsi="Calibri" w:cs="Calibri"/>
        </w:rPr>
        <w:t xml:space="preserve">Morero, É. and Prévalet, R. (2015) ‘Technological transfer of luxury craftsmanship between Crete and the Orient during the Bronze Age’, in J. Mynářová, P. Onderka, and P. Pavúk (eds) </w:t>
      </w:r>
      <w:r w:rsidRPr="00945792">
        <w:rPr>
          <w:rFonts w:ascii="Calibri" w:hAnsi="Calibri" w:cs="Calibri"/>
          <w:i/>
          <w:iCs/>
        </w:rPr>
        <w:t>There and back again - the crossroads II: proceedings of an international conference held in Prague, September 15-18, 2014</w:t>
      </w:r>
      <w:r w:rsidRPr="00945792">
        <w:rPr>
          <w:rFonts w:ascii="Calibri" w:hAnsi="Calibri" w:cs="Calibri"/>
        </w:rPr>
        <w:t xml:space="preserve">. Vydání první. </w:t>
      </w:r>
      <w:r w:rsidRPr="00945792">
        <w:rPr>
          <w:rFonts w:ascii="Calibri" w:hAnsi="Calibri" w:cs="Calibri"/>
          <w:i/>
          <w:iCs/>
        </w:rPr>
        <w:t>There and back again - the crossroads II</w:t>
      </w:r>
      <w:r w:rsidRPr="00945792">
        <w:rPr>
          <w:rFonts w:ascii="Calibri" w:hAnsi="Calibri" w:cs="Calibri"/>
        </w:rPr>
        <w:t>, Prague: Charles University, Faculty of Arts.</w:t>
      </w:r>
    </w:p>
    <w:p w14:paraId="6D7E9061" w14:textId="77777777" w:rsidR="00945792" w:rsidRPr="00945792" w:rsidRDefault="00945792" w:rsidP="00945792">
      <w:pPr>
        <w:pStyle w:val="Bibliography"/>
        <w:rPr>
          <w:rFonts w:ascii="Calibri" w:hAnsi="Calibri" w:cs="Calibri"/>
        </w:rPr>
      </w:pPr>
      <w:r w:rsidRPr="00945792">
        <w:rPr>
          <w:rFonts w:ascii="Calibri" w:hAnsi="Calibri" w:cs="Calibri"/>
        </w:rPr>
        <w:t xml:space="preserve">Nelson, E.C., Mavrofridis, G. and Anagnostopoulos, I.T. (2021) ‘NATURAL HISTORY OF A BRONZE AGE JEWEL FOUND IN CRETE: THE MALIA PENDANT’, </w:t>
      </w:r>
      <w:r w:rsidRPr="00945792">
        <w:rPr>
          <w:rFonts w:ascii="Calibri" w:hAnsi="Calibri" w:cs="Calibri"/>
          <w:i/>
          <w:iCs/>
        </w:rPr>
        <w:t>The Antiquaries Journal</w:t>
      </w:r>
      <w:r w:rsidRPr="00945792">
        <w:rPr>
          <w:rFonts w:ascii="Calibri" w:hAnsi="Calibri" w:cs="Calibri"/>
        </w:rPr>
        <w:t>, 101, pp. 67–78. Available at: https://doi.org/10.1017/S0003581520000475.</w:t>
      </w:r>
    </w:p>
    <w:p w14:paraId="2B75CB5B" w14:textId="77777777" w:rsidR="00945792" w:rsidRPr="00945792" w:rsidRDefault="00945792" w:rsidP="00945792">
      <w:pPr>
        <w:pStyle w:val="Bibliography"/>
        <w:rPr>
          <w:rFonts w:ascii="Calibri" w:hAnsi="Calibri" w:cs="Calibri"/>
        </w:rPr>
      </w:pPr>
      <w:r w:rsidRPr="00945792">
        <w:rPr>
          <w:rFonts w:ascii="Calibri" w:hAnsi="Calibri" w:cs="Calibri"/>
        </w:rPr>
        <w:t xml:space="preserve">Panagiotopoulos, D. (2011) ‘THE STIRRING SEA. CONCEPTUALISING TRANSCULTURALITY IN THE LATE BRONZE AGE EASTERN MEDITERRANEAN’, in K. Duistermaat and I. Regulski (eds) </w:t>
      </w:r>
      <w:r w:rsidRPr="00945792">
        <w:rPr>
          <w:rFonts w:ascii="Calibri" w:hAnsi="Calibri" w:cs="Calibri"/>
          <w:i/>
          <w:iCs/>
        </w:rPr>
        <w:t>Intercultural Contacts in the Ancient Mediterranean</w:t>
      </w:r>
      <w:r w:rsidRPr="00945792">
        <w:rPr>
          <w:rFonts w:ascii="Calibri" w:hAnsi="Calibri" w:cs="Calibri"/>
        </w:rPr>
        <w:t>. Peeters, Leuven, pp. 31–52.</w:t>
      </w:r>
    </w:p>
    <w:p w14:paraId="61072E1C" w14:textId="77777777" w:rsidR="00945792" w:rsidRPr="00945792" w:rsidRDefault="00945792" w:rsidP="00945792">
      <w:pPr>
        <w:pStyle w:val="Bibliography"/>
        <w:rPr>
          <w:rFonts w:ascii="Calibri" w:hAnsi="Calibri" w:cs="Calibri"/>
        </w:rPr>
      </w:pPr>
      <w:r w:rsidRPr="00945792">
        <w:rPr>
          <w:rFonts w:ascii="Calibri" w:hAnsi="Calibri" w:cs="Calibri"/>
        </w:rPr>
        <w:t xml:space="preserve">Steel, L. (2013) </w:t>
      </w:r>
      <w:r w:rsidRPr="00945792">
        <w:rPr>
          <w:rFonts w:ascii="Calibri" w:hAnsi="Calibri" w:cs="Calibri"/>
          <w:i/>
          <w:iCs/>
        </w:rPr>
        <w:t>Materiality and Consumption in the Bronze Age Mediterranean</w:t>
      </w:r>
      <w:r w:rsidRPr="00945792">
        <w:rPr>
          <w:rFonts w:ascii="Calibri" w:hAnsi="Calibri" w:cs="Calibri"/>
        </w:rPr>
        <w:t>. Routledge.</w:t>
      </w:r>
    </w:p>
    <w:p w14:paraId="65D1CE08" w14:textId="29D571DC" w:rsidR="005718DA" w:rsidRPr="002A1449" w:rsidRDefault="005718DA" w:rsidP="00D76E99">
      <w:pPr>
        <w:rPr>
          <w:rFonts w:ascii="Calibri" w:hAnsi="Calibri" w:cs="Calibri"/>
        </w:rPr>
      </w:pPr>
      <w:r>
        <w:rPr>
          <w:rFonts w:ascii="Calibri" w:hAnsi="Calibri" w:cs="Calibri"/>
        </w:rPr>
        <w:fldChar w:fldCharType="end"/>
      </w:r>
    </w:p>
    <w:p w14:paraId="1C8F957A" w14:textId="77777777" w:rsidR="006233B9" w:rsidRDefault="006233B9" w:rsidP="00D76E99"/>
    <w:p w14:paraId="2BA45F28" w14:textId="77777777" w:rsidR="006233B9" w:rsidRDefault="006233B9" w:rsidP="00D76E99"/>
    <w:p w14:paraId="6E9B2885" w14:textId="77777777" w:rsidR="00746BD4" w:rsidRDefault="00746BD4" w:rsidP="00D76E99"/>
    <w:p w14:paraId="15AE9F1A" w14:textId="77777777" w:rsidR="00746BD4" w:rsidRPr="00D76E99" w:rsidRDefault="00746BD4" w:rsidP="00D76E99"/>
    <w:p w14:paraId="2F023621" w14:textId="79361264" w:rsidR="00141BE5" w:rsidRDefault="00141BE5" w:rsidP="00141BE5"/>
    <w:p w14:paraId="6B99FAF4" w14:textId="77777777" w:rsidR="001220B5" w:rsidRDefault="001220B5" w:rsidP="00141BE5"/>
    <w:p w14:paraId="23D6C04A" w14:textId="0B491718" w:rsidR="007066C1" w:rsidRDefault="007066C1"/>
    <w:sectPr w:rsidR="00706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177B7"/>
    <w:multiLevelType w:val="hybridMultilevel"/>
    <w:tmpl w:val="91F839F8"/>
    <w:lvl w:ilvl="0" w:tplc="D046AB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369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BE5"/>
    <w:rsid w:val="00007680"/>
    <w:rsid w:val="00007FC8"/>
    <w:rsid w:val="000151B1"/>
    <w:rsid w:val="0002015B"/>
    <w:rsid w:val="00023A92"/>
    <w:rsid w:val="00031206"/>
    <w:rsid w:val="000330B2"/>
    <w:rsid w:val="000342D4"/>
    <w:rsid w:val="00035244"/>
    <w:rsid w:val="00036EBB"/>
    <w:rsid w:val="00043DED"/>
    <w:rsid w:val="00051A38"/>
    <w:rsid w:val="0005559C"/>
    <w:rsid w:val="00066582"/>
    <w:rsid w:val="000853A3"/>
    <w:rsid w:val="00090F08"/>
    <w:rsid w:val="00093277"/>
    <w:rsid w:val="00097005"/>
    <w:rsid w:val="000A0773"/>
    <w:rsid w:val="000A2DED"/>
    <w:rsid w:val="000A52F6"/>
    <w:rsid w:val="000A676B"/>
    <w:rsid w:val="000B4C2B"/>
    <w:rsid w:val="000B641B"/>
    <w:rsid w:val="000C376F"/>
    <w:rsid w:val="000C5BEB"/>
    <w:rsid w:val="000C70DF"/>
    <w:rsid w:val="000D0A1C"/>
    <w:rsid w:val="000D1D75"/>
    <w:rsid w:val="000D2305"/>
    <w:rsid w:val="000E2A77"/>
    <w:rsid w:val="000E3B89"/>
    <w:rsid w:val="000E3E10"/>
    <w:rsid w:val="000E4399"/>
    <w:rsid w:val="000E7439"/>
    <w:rsid w:val="00103A6E"/>
    <w:rsid w:val="001220B5"/>
    <w:rsid w:val="00126B78"/>
    <w:rsid w:val="00132551"/>
    <w:rsid w:val="001333BE"/>
    <w:rsid w:val="00136A3F"/>
    <w:rsid w:val="00141BE5"/>
    <w:rsid w:val="00162C70"/>
    <w:rsid w:val="001641C9"/>
    <w:rsid w:val="00166D71"/>
    <w:rsid w:val="00167E8F"/>
    <w:rsid w:val="0017015C"/>
    <w:rsid w:val="001727C4"/>
    <w:rsid w:val="00174141"/>
    <w:rsid w:val="00180FD0"/>
    <w:rsid w:val="00183C4B"/>
    <w:rsid w:val="001849C9"/>
    <w:rsid w:val="0018515A"/>
    <w:rsid w:val="00190C45"/>
    <w:rsid w:val="00191762"/>
    <w:rsid w:val="001971F3"/>
    <w:rsid w:val="001A08FD"/>
    <w:rsid w:val="001B2FDD"/>
    <w:rsid w:val="001C16B3"/>
    <w:rsid w:val="001C6F7B"/>
    <w:rsid w:val="001D2074"/>
    <w:rsid w:val="001D7985"/>
    <w:rsid w:val="001E070C"/>
    <w:rsid w:val="001E3CC4"/>
    <w:rsid w:val="001E4411"/>
    <w:rsid w:val="001F779F"/>
    <w:rsid w:val="00206939"/>
    <w:rsid w:val="00212325"/>
    <w:rsid w:val="00214187"/>
    <w:rsid w:val="00215776"/>
    <w:rsid w:val="00215D1D"/>
    <w:rsid w:val="00220F0B"/>
    <w:rsid w:val="00232BE2"/>
    <w:rsid w:val="002347B6"/>
    <w:rsid w:val="00234CD6"/>
    <w:rsid w:val="00234E07"/>
    <w:rsid w:val="002365FA"/>
    <w:rsid w:val="00236A49"/>
    <w:rsid w:val="00261A3E"/>
    <w:rsid w:val="00263D73"/>
    <w:rsid w:val="00263E09"/>
    <w:rsid w:val="00271EAA"/>
    <w:rsid w:val="00272733"/>
    <w:rsid w:val="0028278D"/>
    <w:rsid w:val="00294FFF"/>
    <w:rsid w:val="002974DC"/>
    <w:rsid w:val="002A01EF"/>
    <w:rsid w:val="002A1449"/>
    <w:rsid w:val="002A59F4"/>
    <w:rsid w:val="002A6193"/>
    <w:rsid w:val="002B1D9E"/>
    <w:rsid w:val="002C2FB5"/>
    <w:rsid w:val="002D21D7"/>
    <w:rsid w:val="002E40F2"/>
    <w:rsid w:val="002F15E0"/>
    <w:rsid w:val="002F381F"/>
    <w:rsid w:val="002F79D7"/>
    <w:rsid w:val="0030495B"/>
    <w:rsid w:val="00305DF1"/>
    <w:rsid w:val="0031731E"/>
    <w:rsid w:val="00321CA4"/>
    <w:rsid w:val="0032310B"/>
    <w:rsid w:val="00330142"/>
    <w:rsid w:val="00337DB2"/>
    <w:rsid w:val="00341561"/>
    <w:rsid w:val="00342128"/>
    <w:rsid w:val="00342447"/>
    <w:rsid w:val="00342CF2"/>
    <w:rsid w:val="00344E12"/>
    <w:rsid w:val="00351AAA"/>
    <w:rsid w:val="00353A9C"/>
    <w:rsid w:val="003653AB"/>
    <w:rsid w:val="00367E65"/>
    <w:rsid w:val="00372EF0"/>
    <w:rsid w:val="003730AC"/>
    <w:rsid w:val="00377807"/>
    <w:rsid w:val="003800EC"/>
    <w:rsid w:val="00384A3B"/>
    <w:rsid w:val="003919AB"/>
    <w:rsid w:val="00394C2F"/>
    <w:rsid w:val="003A0E42"/>
    <w:rsid w:val="003C4508"/>
    <w:rsid w:val="003D0820"/>
    <w:rsid w:val="003D3081"/>
    <w:rsid w:val="003D3F25"/>
    <w:rsid w:val="003E11F1"/>
    <w:rsid w:val="003E15D0"/>
    <w:rsid w:val="003E4EF2"/>
    <w:rsid w:val="003E75BA"/>
    <w:rsid w:val="003F356C"/>
    <w:rsid w:val="003F529E"/>
    <w:rsid w:val="00415FFE"/>
    <w:rsid w:val="00431569"/>
    <w:rsid w:val="00446BD5"/>
    <w:rsid w:val="00453AB5"/>
    <w:rsid w:val="004762C5"/>
    <w:rsid w:val="004863A8"/>
    <w:rsid w:val="00487692"/>
    <w:rsid w:val="00493CD5"/>
    <w:rsid w:val="004A068C"/>
    <w:rsid w:val="004A196D"/>
    <w:rsid w:val="004A4D8B"/>
    <w:rsid w:val="004A54C5"/>
    <w:rsid w:val="004A7FED"/>
    <w:rsid w:val="004C4613"/>
    <w:rsid w:val="004C60DF"/>
    <w:rsid w:val="004D0576"/>
    <w:rsid w:val="004D4F80"/>
    <w:rsid w:val="004E131F"/>
    <w:rsid w:val="004E25F7"/>
    <w:rsid w:val="004E30CD"/>
    <w:rsid w:val="004F4569"/>
    <w:rsid w:val="00502928"/>
    <w:rsid w:val="00511A7D"/>
    <w:rsid w:val="0052071C"/>
    <w:rsid w:val="00522653"/>
    <w:rsid w:val="00525374"/>
    <w:rsid w:val="0052706F"/>
    <w:rsid w:val="00532A22"/>
    <w:rsid w:val="00537520"/>
    <w:rsid w:val="00543110"/>
    <w:rsid w:val="00544F8E"/>
    <w:rsid w:val="00550A96"/>
    <w:rsid w:val="00560337"/>
    <w:rsid w:val="00561F50"/>
    <w:rsid w:val="005718DA"/>
    <w:rsid w:val="00576D88"/>
    <w:rsid w:val="00580898"/>
    <w:rsid w:val="00587893"/>
    <w:rsid w:val="00594DD9"/>
    <w:rsid w:val="005A4717"/>
    <w:rsid w:val="005B0537"/>
    <w:rsid w:val="005B26FA"/>
    <w:rsid w:val="005B5725"/>
    <w:rsid w:val="005C0129"/>
    <w:rsid w:val="005D69AD"/>
    <w:rsid w:val="005E09E5"/>
    <w:rsid w:val="005E5DFE"/>
    <w:rsid w:val="005E6FDF"/>
    <w:rsid w:val="00600A9E"/>
    <w:rsid w:val="006155BE"/>
    <w:rsid w:val="00615FCF"/>
    <w:rsid w:val="00621173"/>
    <w:rsid w:val="006233B9"/>
    <w:rsid w:val="00623839"/>
    <w:rsid w:val="006253DA"/>
    <w:rsid w:val="006257E1"/>
    <w:rsid w:val="00625D28"/>
    <w:rsid w:val="00633DB4"/>
    <w:rsid w:val="00633EF9"/>
    <w:rsid w:val="00634909"/>
    <w:rsid w:val="00636D05"/>
    <w:rsid w:val="00650684"/>
    <w:rsid w:val="00662021"/>
    <w:rsid w:val="0068204C"/>
    <w:rsid w:val="006934BB"/>
    <w:rsid w:val="006A10F0"/>
    <w:rsid w:val="006A51D7"/>
    <w:rsid w:val="006B20AF"/>
    <w:rsid w:val="006B490A"/>
    <w:rsid w:val="006B560E"/>
    <w:rsid w:val="006D3A11"/>
    <w:rsid w:val="006D614D"/>
    <w:rsid w:val="006D7262"/>
    <w:rsid w:val="006E2C57"/>
    <w:rsid w:val="007054AF"/>
    <w:rsid w:val="007066C1"/>
    <w:rsid w:val="00706AC0"/>
    <w:rsid w:val="00713C06"/>
    <w:rsid w:val="00715506"/>
    <w:rsid w:val="007155C1"/>
    <w:rsid w:val="00716C3B"/>
    <w:rsid w:val="00721C58"/>
    <w:rsid w:val="00722BE0"/>
    <w:rsid w:val="00725FFF"/>
    <w:rsid w:val="007269C5"/>
    <w:rsid w:val="00734E0E"/>
    <w:rsid w:val="00735C93"/>
    <w:rsid w:val="00737929"/>
    <w:rsid w:val="00744108"/>
    <w:rsid w:val="00744136"/>
    <w:rsid w:val="00745DFE"/>
    <w:rsid w:val="00746BD4"/>
    <w:rsid w:val="00753F8D"/>
    <w:rsid w:val="00757CA2"/>
    <w:rsid w:val="0076754D"/>
    <w:rsid w:val="00775B3D"/>
    <w:rsid w:val="00781479"/>
    <w:rsid w:val="00787AEC"/>
    <w:rsid w:val="007921FE"/>
    <w:rsid w:val="00795B41"/>
    <w:rsid w:val="007A3A55"/>
    <w:rsid w:val="007D6949"/>
    <w:rsid w:val="007E112B"/>
    <w:rsid w:val="007E2EC1"/>
    <w:rsid w:val="007E5C4C"/>
    <w:rsid w:val="00800640"/>
    <w:rsid w:val="008105E8"/>
    <w:rsid w:val="00813F85"/>
    <w:rsid w:val="00826A2F"/>
    <w:rsid w:val="00835194"/>
    <w:rsid w:val="00837AC2"/>
    <w:rsid w:val="00852B45"/>
    <w:rsid w:val="00853C49"/>
    <w:rsid w:val="008647BC"/>
    <w:rsid w:val="008677C1"/>
    <w:rsid w:val="008709EC"/>
    <w:rsid w:val="00871ED4"/>
    <w:rsid w:val="008727CF"/>
    <w:rsid w:val="00885739"/>
    <w:rsid w:val="008907EF"/>
    <w:rsid w:val="0089469E"/>
    <w:rsid w:val="00894E07"/>
    <w:rsid w:val="00897D53"/>
    <w:rsid w:val="008C6EB5"/>
    <w:rsid w:val="008C76AD"/>
    <w:rsid w:val="008D5278"/>
    <w:rsid w:val="008D5361"/>
    <w:rsid w:val="008D6506"/>
    <w:rsid w:val="008D7727"/>
    <w:rsid w:val="008E6A2E"/>
    <w:rsid w:val="008E7009"/>
    <w:rsid w:val="008F521E"/>
    <w:rsid w:val="008F6840"/>
    <w:rsid w:val="00900356"/>
    <w:rsid w:val="00902655"/>
    <w:rsid w:val="00904BC5"/>
    <w:rsid w:val="0091159C"/>
    <w:rsid w:val="00917719"/>
    <w:rsid w:val="00922D12"/>
    <w:rsid w:val="00924D32"/>
    <w:rsid w:val="009259B9"/>
    <w:rsid w:val="00930315"/>
    <w:rsid w:val="009322D6"/>
    <w:rsid w:val="00933047"/>
    <w:rsid w:val="0094067A"/>
    <w:rsid w:val="00944A0A"/>
    <w:rsid w:val="00944D0F"/>
    <w:rsid w:val="0094570C"/>
    <w:rsid w:val="00945792"/>
    <w:rsid w:val="00960661"/>
    <w:rsid w:val="00971399"/>
    <w:rsid w:val="00975675"/>
    <w:rsid w:val="009801EE"/>
    <w:rsid w:val="009A0205"/>
    <w:rsid w:val="009A3976"/>
    <w:rsid w:val="009A7161"/>
    <w:rsid w:val="009B00F0"/>
    <w:rsid w:val="009B3D0A"/>
    <w:rsid w:val="009B5622"/>
    <w:rsid w:val="009B77F3"/>
    <w:rsid w:val="009B7DA7"/>
    <w:rsid w:val="009C3899"/>
    <w:rsid w:val="009C429A"/>
    <w:rsid w:val="009D4729"/>
    <w:rsid w:val="009E20A7"/>
    <w:rsid w:val="009E73E3"/>
    <w:rsid w:val="009E7ABE"/>
    <w:rsid w:val="009F0D7F"/>
    <w:rsid w:val="00A05007"/>
    <w:rsid w:val="00A06702"/>
    <w:rsid w:val="00A10AB9"/>
    <w:rsid w:val="00A12125"/>
    <w:rsid w:val="00A22022"/>
    <w:rsid w:val="00A34046"/>
    <w:rsid w:val="00A354F6"/>
    <w:rsid w:val="00A37FF2"/>
    <w:rsid w:val="00A43494"/>
    <w:rsid w:val="00A46CB4"/>
    <w:rsid w:val="00A47BF3"/>
    <w:rsid w:val="00A64937"/>
    <w:rsid w:val="00A656A1"/>
    <w:rsid w:val="00A84BD3"/>
    <w:rsid w:val="00A901CC"/>
    <w:rsid w:val="00A951DD"/>
    <w:rsid w:val="00A95823"/>
    <w:rsid w:val="00AA170E"/>
    <w:rsid w:val="00AB542E"/>
    <w:rsid w:val="00AD1BA7"/>
    <w:rsid w:val="00B07B1D"/>
    <w:rsid w:val="00B11F41"/>
    <w:rsid w:val="00B12D1A"/>
    <w:rsid w:val="00B21522"/>
    <w:rsid w:val="00B240BE"/>
    <w:rsid w:val="00B2476E"/>
    <w:rsid w:val="00B26162"/>
    <w:rsid w:val="00B4007E"/>
    <w:rsid w:val="00B55151"/>
    <w:rsid w:val="00B55867"/>
    <w:rsid w:val="00B5659C"/>
    <w:rsid w:val="00B668E7"/>
    <w:rsid w:val="00B76EA6"/>
    <w:rsid w:val="00B925AA"/>
    <w:rsid w:val="00B93B26"/>
    <w:rsid w:val="00B94695"/>
    <w:rsid w:val="00BA3081"/>
    <w:rsid w:val="00BB3089"/>
    <w:rsid w:val="00BB44E6"/>
    <w:rsid w:val="00BB498F"/>
    <w:rsid w:val="00BC0D06"/>
    <w:rsid w:val="00BC1B59"/>
    <w:rsid w:val="00BC79EC"/>
    <w:rsid w:val="00BD1297"/>
    <w:rsid w:val="00BD222F"/>
    <w:rsid w:val="00BD631E"/>
    <w:rsid w:val="00BD7E76"/>
    <w:rsid w:val="00BE08FD"/>
    <w:rsid w:val="00BF010A"/>
    <w:rsid w:val="00BF222F"/>
    <w:rsid w:val="00BF2A72"/>
    <w:rsid w:val="00C155B1"/>
    <w:rsid w:val="00C159A4"/>
    <w:rsid w:val="00C255EF"/>
    <w:rsid w:val="00C30230"/>
    <w:rsid w:val="00C30C18"/>
    <w:rsid w:val="00C32262"/>
    <w:rsid w:val="00C43A6F"/>
    <w:rsid w:val="00C50847"/>
    <w:rsid w:val="00C510D4"/>
    <w:rsid w:val="00C52642"/>
    <w:rsid w:val="00C65ED6"/>
    <w:rsid w:val="00C7743E"/>
    <w:rsid w:val="00CB09E0"/>
    <w:rsid w:val="00CC0F31"/>
    <w:rsid w:val="00CC1D7F"/>
    <w:rsid w:val="00CC1EF4"/>
    <w:rsid w:val="00CC2FF9"/>
    <w:rsid w:val="00CD15F6"/>
    <w:rsid w:val="00CE4AA0"/>
    <w:rsid w:val="00CF534F"/>
    <w:rsid w:val="00D00B3B"/>
    <w:rsid w:val="00D12A38"/>
    <w:rsid w:val="00D22E5F"/>
    <w:rsid w:val="00D23E88"/>
    <w:rsid w:val="00D354A0"/>
    <w:rsid w:val="00D4364E"/>
    <w:rsid w:val="00D4569D"/>
    <w:rsid w:val="00D6571A"/>
    <w:rsid w:val="00D67C12"/>
    <w:rsid w:val="00D725E6"/>
    <w:rsid w:val="00D7320E"/>
    <w:rsid w:val="00D76E99"/>
    <w:rsid w:val="00D77AC9"/>
    <w:rsid w:val="00D83E5E"/>
    <w:rsid w:val="00D9770B"/>
    <w:rsid w:val="00DA026F"/>
    <w:rsid w:val="00DA3542"/>
    <w:rsid w:val="00DB1C38"/>
    <w:rsid w:val="00DD4EF6"/>
    <w:rsid w:val="00DE0655"/>
    <w:rsid w:val="00DE31AA"/>
    <w:rsid w:val="00DE6BE2"/>
    <w:rsid w:val="00DE6E7F"/>
    <w:rsid w:val="00DF6264"/>
    <w:rsid w:val="00E02E2F"/>
    <w:rsid w:val="00E0727D"/>
    <w:rsid w:val="00E130A1"/>
    <w:rsid w:val="00E2132D"/>
    <w:rsid w:val="00E21576"/>
    <w:rsid w:val="00E31386"/>
    <w:rsid w:val="00E3788F"/>
    <w:rsid w:val="00E40260"/>
    <w:rsid w:val="00E412DD"/>
    <w:rsid w:val="00E45EE5"/>
    <w:rsid w:val="00E46CCC"/>
    <w:rsid w:val="00E522E7"/>
    <w:rsid w:val="00E5394E"/>
    <w:rsid w:val="00E62ED4"/>
    <w:rsid w:val="00E7624D"/>
    <w:rsid w:val="00E76885"/>
    <w:rsid w:val="00E84F9F"/>
    <w:rsid w:val="00E87955"/>
    <w:rsid w:val="00E90FC9"/>
    <w:rsid w:val="00E926C2"/>
    <w:rsid w:val="00EA04DA"/>
    <w:rsid w:val="00EA4FD6"/>
    <w:rsid w:val="00EA78F6"/>
    <w:rsid w:val="00EB2706"/>
    <w:rsid w:val="00EB2CB3"/>
    <w:rsid w:val="00EC397C"/>
    <w:rsid w:val="00EC4647"/>
    <w:rsid w:val="00ED1132"/>
    <w:rsid w:val="00ED27C5"/>
    <w:rsid w:val="00ED62A8"/>
    <w:rsid w:val="00EE3FE7"/>
    <w:rsid w:val="00EE4C39"/>
    <w:rsid w:val="00F00D85"/>
    <w:rsid w:val="00F03C12"/>
    <w:rsid w:val="00F11E15"/>
    <w:rsid w:val="00F11E1C"/>
    <w:rsid w:val="00F137B2"/>
    <w:rsid w:val="00F13A96"/>
    <w:rsid w:val="00F15B3F"/>
    <w:rsid w:val="00F16413"/>
    <w:rsid w:val="00F216B7"/>
    <w:rsid w:val="00F2303F"/>
    <w:rsid w:val="00F2662B"/>
    <w:rsid w:val="00F31BAC"/>
    <w:rsid w:val="00F35080"/>
    <w:rsid w:val="00F44E75"/>
    <w:rsid w:val="00F52E4D"/>
    <w:rsid w:val="00F5734B"/>
    <w:rsid w:val="00F631B0"/>
    <w:rsid w:val="00F63DAC"/>
    <w:rsid w:val="00F72163"/>
    <w:rsid w:val="00F725E2"/>
    <w:rsid w:val="00F74223"/>
    <w:rsid w:val="00F868AB"/>
    <w:rsid w:val="00F943AA"/>
    <w:rsid w:val="00FA28E5"/>
    <w:rsid w:val="00FA4AC3"/>
    <w:rsid w:val="00FA5F25"/>
    <w:rsid w:val="00FB4485"/>
    <w:rsid w:val="00FB4945"/>
    <w:rsid w:val="00FC0018"/>
    <w:rsid w:val="00FC4792"/>
    <w:rsid w:val="00FD4FD3"/>
    <w:rsid w:val="00FE353E"/>
    <w:rsid w:val="00FE3F18"/>
    <w:rsid w:val="00FE5830"/>
    <w:rsid w:val="00FE5961"/>
    <w:rsid w:val="00FE6399"/>
    <w:rsid w:val="00FF0B3C"/>
    <w:rsid w:val="00FF4375"/>
    <w:rsid w:val="00FF5233"/>
    <w:rsid w:val="00FF5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80E4"/>
  <w15:chartTrackingRefBased/>
  <w15:docId w15:val="{17CADB3F-F4CE-46CD-A3D9-4D7F67638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7B2"/>
    <w:pPr>
      <w:ind w:left="720"/>
      <w:contextualSpacing/>
    </w:pPr>
  </w:style>
  <w:style w:type="paragraph" w:styleId="Bibliography">
    <w:name w:val="Bibliography"/>
    <w:basedOn w:val="Normal"/>
    <w:next w:val="Normal"/>
    <w:uiPriority w:val="37"/>
    <w:unhideWhenUsed/>
    <w:rsid w:val="00C15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46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10483</TotalTime>
  <Pages>5</Pages>
  <Words>6151</Words>
  <Characters>35062</Characters>
  <Application>Microsoft Office Word</Application>
  <DocSecurity>0</DocSecurity>
  <Lines>292</Lines>
  <Paragraphs>82</Paragraphs>
  <ScaleCrop>false</ScaleCrop>
  <Company/>
  <LinksUpToDate>false</LinksUpToDate>
  <CharactersWithSpaces>41131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moss</dc:creator>
  <cp:keywords/>
  <dc:description/>
  <cp:lastModifiedBy>Jasmine moss</cp:lastModifiedBy>
  <cp:revision>464</cp:revision>
  <dcterms:created xsi:type="dcterms:W3CDTF">2023-11-01T15:14:00Z</dcterms:created>
  <dcterms:modified xsi:type="dcterms:W3CDTF">2023-11-12T23:17:00Z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id="4Y9zHsVm"/&gt;&lt;style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