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DD2285" w14:textId="3CE002F7" w:rsidR="00EA22FF" w:rsidRPr="00D93BB9" w:rsidRDefault="00EA22FF" w:rsidP="00EA22FF">
      <w:pPr>
        <w:rPr>
          <w:rFonts w:ascii="Times New Roman" w:hAnsi="Times New Roman" w:cs="Times New Roman"/>
          <w:b/>
          <w:bCs/>
          <w:sz w:val="24"/>
          <w:szCs w:val="24"/>
          <w:u w:val="single"/>
        </w:rPr>
      </w:pPr>
      <w:r w:rsidRPr="00D93BB9">
        <w:rPr>
          <w:rFonts w:ascii="Times New Roman" w:hAnsi="Times New Roman" w:cs="Times New Roman"/>
          <w:b/>
          <w:bCs/>
          <w:sz w:val="24"/>
          <w:szCs w:val="24"/>
          <w:u w:val="single"/>
        </w:rPr>
        <w:t>Anne Frank's diary - A powerful firsthand account of life during the Holocaust.</w:t>
      </w:r>
    </w:p>
    <w:p w14:paraId="77326864" w14:textId="5C7C9C20" w:rsidR="00A207B6" w:rsidRPr="00D93BB9" w:rsidRDefault="00A207B6" w:rsidP="00EA22FF">
      <w:pPr>
        <w:rPr>
          <w:rFonts w:ascii="Times New Roman" w:hAnsi="Times New Roman" w:cs="Times New Roman"/>
          <w:sz w:val="24"/>
          <w:szCs w:val="24"/>
        </w:rPr>
      </w:pPr>
      <w:r w:rsidRPr="00D93BB9">
        <w:rPr>
          <w:rFonts w:ascii="Times New Roman" w:hAnsi="Times New Roman" w:cs="Times New Roman"/>
          <w:sz w:val="24"/>
          <w:szCs w:val="24"/>
        </w:rPr>
        <w:t>Anne Frank's diary, penned between 1942 and 1944, provides a poignant account of resilience and hope amidst darkness.</w:t>
      </w:r>
      <w:r w:rsidR="002720E0" w:rsidRPr="00D93BB9">
        <w:rPr>
          <w:rStyle w:val="FootnoteReference"/>
          <w:rFonts w:ascii="Times New Roman" w:hAnsi="Times New Roman" w:cs="Times New Roman"/>
          <w:sz w:val="24"/>
          <w:szCs w:val="24"/>
        </w:rPr>
        <w:footnoteReference w:id="1"/>
      </w:r>
      <w:r w:rsidRPr="00D93BB9">
        <w:rPr>
          <w:rFonts w:ascii="Times New Roman" w:hAnsi="Times New Roman" w:cs="Times New Roman"/>
          <w:sz w:val="24"/>
          <w:szCs w:val="24"/>
        </w:rPr>
        <w:t xml:space="preserve"> The diary chronicles Anne's daily life in hiding during World War II, offering a deeply personal insight into her experiences during the Holocaust. One of the strengths of Anne Frank's diary is its ability to humanize the historical events of the Holocaust, fostering empathy and understanding across generations. Scholars and readers alike can gain valuable insights into the lived experiences of individuals during this dark period through Anne's candid narrative.</w:t>
      </w:r>
    </w:p>
    <w:p w14:paraId="0FA2DF9E" w14:textId="739A0EF0" w:rsidR="004B1FFB" w:rsidRPr="00D93BB9" w:rsidRDefault="003B72B2" w:rsidP="00EA22FF">
      <w:pPr>
        <w:rPr>
          <w:rFonts w:ascii="Times New Roman" w:hAnsi="Times New Roman" w:cs="Times New Roman"/>
          <w:sz w:val="24"/>
          <w:szCs w:val="24"/>
        </w:rPr>
      </w:pPr>
      <w:r w:rsidRPr="00D93BB9">
        <w:rPr>
          <w:rFonts w:ascii="Times New Roman" w:hAnsi="Times New Roman" w:cs="Times New Roman"/>
          <w:sz w:val="24"/>
          <w:szCs w:val="24"/>
        </w:rPr>
        <w:t xml:space="preserve">Neef </w:t>
      </w:r>
      <w:r w:rsidR="007A5317" w:rsidRPr="00D93BB9">
        <w:rPr>
          <w:rFonts w:ascii="Times New Roman" w:hAnsi="Times New Roman" w:cs="Times New Roman"/>
          <w:sz w:val="24"/>
          <w:szCs w:val="24"/>
        </w:rPr>
        <w:t xml:space="preserve">explains </w:t>
      </w:r>
      <w:r w:rsidR="00C171D0" w:rsidRPr="00D93BB9">
        <w:rPr>
          <w:rFonts w:ascii="Times New Roman" w:hAnsi="Times New Roman" w:cs="Times New Roman"/>
          <w:sz w:val="24"/>
          <w:szCs w:val="24"/>
        </w:rPr>
        <w:t>that</w:t>
      </w:r>
      <w:r w:rsidR="00D93BB9" w:rsidRPr="00D93BB9">
        <w:rPr>
          <w:rFonts w:ascii="Times New Roman" w:hAnsi="Times New Roman" w:cs="Times New Roman"/>
          <w:sz w:val="24"/>
          <w:szCs w:val="24"/>
        </w:rPr>
        <w:t xml:space="preserve"> Anne</w:t>
      </w:r>
      <w:r w:rsidR="004B1FFB" w:rsidRPr="00D93BB9">
        <w:rPr>
          <w:rFonts w:ascii="Times New Roman" w:hAnsi="Times New Roman" w:cs="Times New Roman"/>
          <w:sz w:val="24"/>
          <w:szCs w:val="24"/>
        </w:rPr>
        <w:t xml:space="preserve"> Frank was a young girl who wrote a diary during the Holocaust. She documented her experiences while hiding from the Nazis in Amsterdam. Her diary, known as ‘The Diary of a Young Girl,’ provides a personal account of the hardships faced by Jewish people during World War II</w:t>
      </w:r>
      <w:r w:rsidR="00554CDA" w:rsidRPr="00D93BB9">
        <w:rPr>
          <w:rFonts w:ascii="Times New Roman" w:hAnsi="Times New Roman" w:cs="Times New Roman"/>
          <w:sz w:val="24"/>
          <w:szCs w:val="24"/>
        </w:rPr>
        <w:t>.</w:t>
      </w:r>
      <w:r w:rsidR="00554CDA" w:rsidRPr="00D93BB9">
        <w:rPr>
          <w:rStyle w:val="FootnoteReference"/>
          <w:rFonts w:ascii="Times New Roman" w:hAnsi="Times New Roman" w:cs="Times New Roman"/>
          <w:sz w:val="24"/>
          <w:szCs w:val="24"/>
        </w:rPr>
        <w:footnoteReference w:id="2"/>
      </w:r>
    </w:p>
    <w:p w14:paraId="12455DAD" w14:textId="1519B624" w:rsidR="00A207B6" w:rsidRPr="00D93BB9" w:rsidRDefault="007A5317" w:rsidP="00EA22FF">
      <w:pPr>
        <w:rPr>
          <w:rFonts w:ascii="Times New Roman" w:hAnsi="Times New Roman" w:cs="Times New Roman"/>
          <w:sz w:val="24"/>
          <w:szCs w:val="24"/>
        </w:rPr>
      </w:pPr>
      <w:r w:rsidRPr="00D93BB9">
        <w:rPr>
          <w:rFonts w:ascii="Times New Roman" w:hAnsi="Times New Roman" w:cs="Times New Roman"/>
          <w:sz w:val="24"/>
          <w:szCs w:val="24"/>
        </w:rPr>
        <w:t xml:space="preserve">Lane expresses that, </w:t>
      </w:r>
      <w:r w:rsidR="00A207B6" w:rsidRPr="00D93BB9">
        <w:rPr>
          <w:rFonts w:ascii="Times New Roman" w:hAnsi="Times New Roman" w:cs="Times New Roman"/>
          <w:sz w:val="24"/>
          <w:szCs w:val="24"/>
        </w:rPr>
        <w:t>Anne Frank's diary serve</w:t>
      </w:r>
      <w:r w:rsidR="003B72B2" w:rsidRPr="00D93BB9">
        <w:rPr>
          <w:rFonts w:ascii="Times New Roman" w:hAnsi="Times New Roman" w:cs="Times New Roman"/>
          <w:sz w:val="24"/>
          <w:szCs w:val="24"/>
        </w:rPr>
        <w:t>d</w:t>
      </w:r>
      <w:r w:rsidR="00A207B6" w:rsidRPr="00D93BB9">
        <w:rPr>
          <w:rFonts w:ascii="Times New Roman" w:hAnsi="Times New Roman" w:cs="Times New Roman"/>
          <w:sz w:val="24"/>
          <w:szCs w:val="24"/>
        </w:rPr>
        <w:t xml:space="preserve"> as a poignant testimony to the human spirit in the face of adversity. Through her candid narrative, Anne provides a window into the lived experiences of individuals during the Holocaust, offering a deeply personal insight into the struggles and hopes of those in hiding. The diary's enduring significance lies in its ability to transcend time and resonate with readers across generations, fostering empathy and understanding for the atrocities of the past.</w:t>
      </w:r>
      <w:r w:rsidR="0033496C" w:rsidRPr="00D93BB9">
        <w:rPr>
          <w:rStyle w:val="FootnoteReference"/>
          <w:rFonts w:ascii="Times New Roman" w:hAnsi="Times New Roman" w:cs="Times New Roman"/>
          <w:sz w:val="24"/>
          <w:szCs w:val="24"/>
        </w:rPr>
        <w:footnoteReference w:id="3"/>
      </w:r>
    </w:p>
    <w:p w14:paraId="5B611E2C" w14:textId="77777777" w:rsidR="009D1705" w:rsidRPr="00D93BB9" w:rsidRDefault="009D1705" w:rsidP="009D1705">
      <w:pPr>
        <w:rPr>
          <w:rFonts w:ascii="Times New Roman" w:hAnsi="Times New Roman" w:cs="Times New Roman"/>
          <w:sz w:val="24"/>
          <w:szCs w:val="24"/>
        </w:rPr>
      </w:pPr>
      <w:r w:rsidRPr="00D93BB9">
        <w:rPr>
          <w:rFonts w:ascii="Times New Roman" w:hAnsi="Times New Roman" w:cs="Times New Roman"/>
          <w:sz w:val="24"/>
          <w:szCs w:val="24"/>
        </w:rPr>
        <w:t>One of the strengths of Anne Frank's diary lies in its ability to humanize the historical events of the Holocaust, offering a unique and intimate perspective on this dark chapter in history. The diary's significance transcends its historical context, resonating with readers across generations and fostering empathy and understanding for those impacted by the atrocities of the Holocaust.</w:t>
      </w:r>
    </w:p>
    <w:p w14:paraId="0A56A0AE" w14:textId="25018AEF" w:rsidR="00A207B6" w:rsidRPr="00D93BB9" w:rsidRDefault="00A207B6" w:rsidP="009D1705">
      <w:pPr>
        <w:rPr>
          <w:rFonts w:ascii="Times New Roman" w:hAnsi="Times New Roman" w:cs="Times New Roman"/>
          <w:sz w:val="24"/>
          <w:szCs w:val="24"/>
        </w:rPr>
      </w:pPr>
      <w:r w:rsidRPr="00D93BB9">
        <w:rPr>
          <w:rFonts w:ascii="Times New Roman" w:hAnsi="Times New Roman" w:cs="Times New Roman"/>
          <w:sz w:val="24"/>
          <w:szCs w:val="24"/>
        </w:rPr>
        <w:t>One of the weaknesses of the diary is that it primarily reflects Anne's perspective and experiences, which may not encompass the full range of experiences during the Holocaust. Additionally, some critics argue that Anne's diary has been overly romanticized, potentially overshadowing other important voices and narratives</w:t>
      </w:r>
      <w:r w:rsidR="004B1FFB" w:rsidRPr="00D93BB9">
        <w:rPr>
          <w:rFonts w:ascii="Times New Roman" w:hAnsi="Times New Roman" w:cs="Times New Roman"/>
          <w:sz w:val="24"/>
          <w:szCs w:val="24"/>
        </w:rPr>
        <w:t>.</w:t>
      </w:r>
    </w:p>
    <w:p w14:paraId="2FF4BA7D" w14:textId="7FE3A1F8" w:rsidR="00EA22FF" w:rsidRPr="00D93BB9" w:rsidRDefault="009D1705" w:rsidP="009D1705">
      <w:pPr>
        <w:rPr>
          <w:rFonts w:ascii="Times New Roman" w:hAnsi="Times New Roman" w:cs="Times New Roman"/>
          <w:sz w:val="24"/>
          <w:szCs w:val="24"/>
        </w:rPr>
      </w:pPr>
      <w:r w:rsidRPr="00D93BB9">
        <w:rPr>
          <w:rFonts w:ascii="Times New Roman" w:hAnsi="Times New Roman" w:cs="Times New Roman"/>
          <w:sz w:val="24"/>
          <w:szCs w:val="24"/>
        </w:rPr>
        <w:t>By delving into Anne's diary, scholars and readers alike gain valuable insights into the lived experiences of individuals during one of the darkest periods of human history. Anne's candid and heartfelt narrative serves as a powerful reminder of the enduring power of hope and resilience in the face of oppression and injustice.</w:t>
      </w:r>
    </w:p>
    <w:p w14:paraId="79125247" w14:textId="77777777" w:rsidR="00554CDA" w:rsidRPr="00D93BB9" w:rsidRDefault="00554CDA" w:rsidP="009D1705">
      <w:pPr>
        <w:rPr>
          <w:rFonts w:ascii="Times New Roman" w:hAnsi="Times New Roman" w:cs="Times New Roman"/>
          <w:sz w:val="24"/>
          <w:szCs w:val="24"/>
          <w:u w:val="single"/>
        </w:rPr>
      </w:pPr>
    </w:p>
    <w:p w14:paraId="3727358F" w14:textId="77777777" w:rsidR="00554CDA" w:rsidRPr="00D93BB9" w:rsidRDefault="00554CDA" w:rsidP="009D1705">
      <w:pPr>
        <w:rPr>
          <w:rFonts w:ascii="Times New Roman" w:hAnsi="Times New Roman" w:cs="Times New Roman"/>
          <w:sz w:val="24"/>
          <w:szCs w:val="24"/>
          <w:u w:val="single"/>
        </w:rPr>
      </w:pPr>
    </w:p>
    <w:p w14:paraId="57A823D7" w14:textId="77777777" w:rsidR="00554CDA" w:rsidRPr="00D93BB9" w:rsidRDefault="00554CDA" w:rsidP="009D1705">
      <w:pPr>
        <w:rPr>
          <w:rFonts w:ascii="Times New Roman" w:hAnsi="Times New Roman" w:cs="Times New Roman"/>
          <w:sz w:val="24"/>
          <w:szCs w:val="24"/>
          <w:u w:val="single"/>
        </w:rPr>
      </w:pPr>
    </w:p>
    <w:p w14:paraId="3CBCFFEA" w14:textId="77777777" w:rsidR="00554CDA" w:rsidRPr="00D93BB9" w:rsidRDefault="00554CDA" w:rsidP="009D1705">
      <w:pPr>
        <w:rPr>
          <w:rFonts w:ascii="Times New Roman" w:hAnsi="Times New Roman" w:cs="Times New Roman"/>
          <w:sz w:val="24"/>
          <w:szCs w:val="24"/>
          <w:u w:val="single"/>
        </w:rPr>
      </w:pPr>
    </w:p>
    <w:p w14:paraId="118594AE" w14:textId="77777777" w:rsidR="00554CDA" w:rsidRPr="00D93BB9" w:rsidRDefault="00554CDA" w:rsidP="009D1705">
      <w:pPr>
        <w:rPr>
          <w:rFonts w:ascii="Times New Roman" w:hAnsi="Times New Roman" w:cs="Times New Roman"/>
          <w:sz w:val="24"/>
          <w:szCs w:val="24"/>
          <w:u w:val="single"/>
        </w:rPr>
      </w:pPr>
    </w:p>
    <w:p w14:paraId="47BED2A9" w14:textId="27F229FC" w:rsidR="00715CF0" w:rsidRPr="00D93BB9" w:rsidRDefault="00715CF0" w:rsidP="009D1705">
      <w:pPr>
        <w:rPr>
          <w:rFonts w:ascii="Times New Roman" w:hAnsi="Times New Roman" w:cs="Times New Roman"/>
          <w:b/>
          <w:bCs/>
          <w:sz w:val="24"/>
          <w:szCs w:val="24"/>
          <w:u w:val="single"/>
        </w:rPr>
      </w:pPr>
      <w:r w:rsidRPr="00D93BB9">
        <w:rPr>
          <w:rFonts w:ascii="Times New Roman" w:hAnsi="Times New Roman" w:cs="Times New Roman"/>
          <w:b/>
          <w:bCs/>
          <w:sz w:val="24"/>
          <w:szCs w:val="24"/>
          <w:u w:val="single"/>
        </w:rPr>
        <w:t>World War II Liberation Photography.</w:t>
      </w:r>
    </w:p>
    <w:p w14:paraId="23DB6E24" w14:textId="2D85DE61" w:rsidR="00715CF0" w:rsidRPr="00D93BB9" w:rsidRDefault="00ED2CDD" w:rsidP="00715CF0">
      <w:pPr>
        <w:rPr>
          <w:rFonts w:ascii="Times New Roman" w:hAnsi="Times New Roman" w:cs="Times New Roman"/>
          <w:sz w:val="24"/>
          <w:szCs w:val="24"/>
        </w:rPr>
      </w:pPr>
      <w:r w:rsidRPr="00D93BB9">
        <w:rPr>
          <w:rFonts w:ascii="Times New Roman" w:hAnsi="Times New Roman" w:cs="Times New Roman"/>
          <w:noProof/>
          <w:sz w:val="24"/>
          <w:szCs w:val="24"/>
        </w:rPr>
        <w:drawing>
          <wp:inline distT="0" distB="0" distL="0" distR="0" wp14:anchorId="7F6B5974" wp14:editId="43C17775">
            <wp:extent cx="2622550" cy="2042160"/>
            <wp:effectExtent l="0" t="0" r="6350" b="0"/>
            <wp:docPr id="696833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83328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22550" cy="2042160"/>
                    </a:xfrm>
                    <a:prstGeom prst="rect">
                      <a:avLst/>
                    </a:prstGeom>
                  </pic:spPr>
                </pic:pic>
              </a:graphicData>
            </a:graphic>
          </wp:inline>
        </w:drawing>
      </w:r>
    </w:p>
    <w:p w14:paraId="341D258F" w14:textId="77777777" w:rsidR="00715CF0" w:rsidRPr="00D93BB9" w:rsidRDefault="00715CF0" w:rsidP="00715CF0">
      <w:pPr>
        <w:spacing w:after="0" w:line="240" w:lineRule="auto"/>
        <w:rPr>
          <w:rFonts w:ascii="Times New Roman" w:eastAsia="Times New Roman" w:hAnsi="Times New Roman" w:cs="Times New Roman"/>
          <w:kern w:val="0"/>
          <w:sz w:val="24"/>
          <w:szCs w:val="24"/>
          <w:lang w:eastAsia="en-GB"/>
          <w14:ligatures w14:val="none"/>
        </w:rPr>
      </w:pPr>
      <w:r w:rsidRPr="00D93BB9">
        <w:rPr>
          <w:rFonts w:ascii="Times New Roman" w:eastAsia="Times New Roman" w:hAnsi="Times New Roman" w:cs="Times New Roman"/>
          <w:kern w:val="0"/>
          <w:sz w:val="24"/>
          <w:szCs w:val="24"/>
          <w:lang w:eastAsia="en-GB"/>
          <w14:ligatures w14:val="none"/>
        </w:rPr>
        <w:t xml:space="preserve">German civilians remove the bodies of prisoners killed in the Nordhausen concentration camp and lay them out in long rows outside the central barracks (Boelke Kaserne). Nordhausen, Germany, April 12, 1945. </w:t>
      </w:r>
      <w:r w:rsidRPr="00D93BB9">
        <w:rPr>
          <w:rFonts w:ascii="Times New Roman" w:eastAsia="Times New Roman" w:hAnsi="Times New Roman" w:cs="Times New Roman"/>
          <w:i/>
          <w:iCs/>
          <w:kern w:val="0"/>
          <w:sz w:val="24"/>
          <w:szCs w:val="24"/>
          <w:lang w:eastAsia="en-GB"/>
          <w14:ligatures w14:val="none"/>
        </w:rPr>
        <w:t>—US Holocaust Memorial Museum, courtesy of National Archives and Records Administration, College Park, MD</w:t>
      </w:r>
    </w:p>
    <w:p w14:paraId="2AF91AC9" w14:textId="77777777" w:rsidR="00715CF0" w:rsidRPr="00D93BB9" w:rsidRDefault="00715CF0" w:rsidP="009D1705">
      <w:pPr>
        <w:rPr>
          <w:rFonts w:ascii="Times New Roman" w:hAnsi="Times New Roman" w:cs="Times New Roman"/>
          <w:sz w:val="24"/>
          <w:szCs w:val="24"/>
        </w:rPr>
      </w:pPr>
    </w:p>
    <w:p w14:paraId="42A2133A" w14:textId="77777777" w:rsidR="00715CF0" w:rsidRPr="00D93BB9" w:rsidRDefault="00ED2CDD" w:rsidP="00ED2CDD">
      <w:pPr>
        <w:rPr>
          <w:rFonts w:ascii="Times New Roman" w:hAnsi="Times New Roman" w:cs="Times New Roman"/>
          <w:sz w:val="24"/>
          <w:szCs w:val="24"/>
        </w:rPr>
      </w:pPr>
      <w:r w:rsidRPr="00D93BB9">
        <w:rPr>
          <w:rFonts w:ascii="Times New Roman" w:hAnsi="Times New Roman" w:cs="Times New Roman"/>
          <w:sz w:val="24"/>
          <w:szCs w:val="24"/>
        </w:rPr>
        <w:t>US Holocaust Memorial Museum, ‘World War II Liberation Photography,’ USHMM Collections, accessed 21</w:t>
      </w:r>
      <w:r w:rsidRPr="00D93BB9">
        <w:rPr>
          <w:rFonts w:ascii="Times New Roman" w:hAnsi="Times New Roman" w:cs="Times New Roman"/>
          <w:sz w:val="24"/>
          <w:szCs w:val="24"/>
          <w:vertAlign w:val="superscript"/>
        </w:rPr>
        <w:t>st</w:t>
      </w:r>
      <w:r w:rsidRPr="00D93BB9">
        <w:rPr>
          <w:rFonts w:ascii="Times New Roman" w:hAnsi="Times New Roman" w:cs="Times New Roman"/>
          <w:sz w:val="24"/>
          <w:szCs w:val="24"/>
        </w:rPr>
        <w:t xml:space="preserve"> July 2024, </w:t>
      </w:r>
      <w:hyperlink r:id="rId9" w:history="1">
        <w:r w:rsidR="00715CF0" w:rsidRPr="00D93BB9">
          <w:rPr>
            <w:rStyle w:val="Hyperlink"/>
            <w:rFonts w:ascii="Times New Roman" w:hAnsi="Times New Roman" w:cs="Times New Roman"/>
            <w:sz w:val="24"/>
            <w:szCs w:val="24"/>
          </w:rPr>
          <w:t>World War II Liberation Photography - United States Holocaust Memorial Museum (ushmm.org)</w:t>
        </w:r>
      </w:hyperlink>
    </w:p>
    <w:p w14:paraId="3CDF4475" w14:textId="54F03A86" w:rsidR="0032268A" w:rsidRPr="00D93BB9" w:rsidRDefault="0032268A" w:rsidP="00ED2CDD">
      <w:pPr>
        <w:rPr>
          <w:rFonts w:ascii="Times New Roman" w:hAnsi="Times New Roman" w:cs="Times New Roman"/>
          <w:sz w:val="24"/>
          <w:szCs w:val="24"/>
        </w:rPr>
      </w:pPr>
      <w:r w:rsidRPr="00D93BB9">
        <w:rPr>
          <w:rFonts w:ascii="Times New Roman" w:hAnsi="Times New Roman" w:cs="Times New Roman"/>
          <w:sz w:val="24"/>
          <w:szCs w:val="24"/>
        </w:rPr>
        <w:t>In exploring the photo depicting German civilians removing the bodies of prisoners from the Nordhausen concentration camp on April 12, 1945, at Boelke Kaserne in Nordhausen, Germany, the photo shows stark visual representation of the atrocities of the Holocaust.</w:t>
      </w:r>
      <w:r w:rsidR="00036ADB" w:rsidRPr="00D93BB9">
        <w:rPr>
          <w:rStyle w:val="FootnoteReference"/>
          <w:rFonts w:ascii="Times New Roman" w:hAnsi="Times New Roman" w:cs="Times New Roman"/>
          <w:sz w:val="24"/>
          <w:szCs w:val="24"/>
        </w:rPr>
        <w:footnoteReference w:id="4"/>
      </w:r>
      <w:r w:rsidRPr="00D93BB9">
        <w:rPr>
          <w:rFonts w:ascii="Times New Roman" w:hAnsi="Times New Roman" w:cs="Times New Roman"/>
          <w:sz w:val="24"/>
          <w:szCs w:val="24"/>
        </w:rPr>
        <w:t xml:space="preserve"> This image captures a poignant moment in history, shedding light on the inhumanity and suffering endured by the victims during that time. The authenticity of this historical record, preserved by the US Holocaust Memorial Museum and the National Archives and Records Administration, underscores the importance of visual archives in bearing witness to the tragic events of the past. By analysing the composition and context of this photograph, we can gain valuable insights into the brutality of the Holocaust and the resilience of those affected.</w:t>
      </w:r>
    </w:p>
    <w:p w14:paraId="44CEB5C6" w14:textId="2D2FB678" w:rsidR="0032268A" w:rsidRPr="00D93BB9" w:rsidRDefault="0032268A" w:rsidP="00ED2CDD">
      <w:pPr>
        <w:rPr>
          <w:rFonts w:ascii="Times New Roman" w:hAnsi="Times New Roman" w:cs="Times New Roman"/>
          <w:sz w:val="24"/>
          <w:szCs w:val="24"/>
        </w:rPr>
      </w:pPr>
      <w:r w:rsidRPr="00D93BB9">
        <w:rPr>
          <w:rFonts w:ascii="Times New Roman" w:hAnsi="Times New Roman" w:cs="Times New Roman"/>
          <w:sz w:val="24"/>
          <w:szCs w:val="24"/>
        </w:rPr>
        <w:t>The photo of German civilians removing the bodies of prisoners from the Nordhausen concentration camp in 1945 supports its argument by providing a visual testament to the atrocities of the Holocaust, reinforcing the historical narrative with a tangible and evocative depiction of the inhumanity faced by the victims.</w:t>
      </w:r>
      <w:r w:rsidR="00827F88" w:rsidRPr="00D93BB9">
        <w:rPr>
          <w:rStyle w:val="FootnoteReference"/>
          <w:rFonts w:ascii="Times New Roman" w:hAnsi="Times New Roman" w:cs="Times New Roman"/>
          <w:sz w:val="24"/>
          <w:szCs w:val="24"/>
        </w:rPr>
        <w:footnoteReference w:id="5"/>
      </w:r>
      <w:r w:rsidRPr="00D93BB9">
        <w:rPr>
          <w:rFonts w:ascii="Times New Roman" w:hAnsi="Times New Roman" w:cs="Times New Roman"/>
          <w:sz w:val="24"/>
          <w:szCs w:val="24"/>
        </w:rPr>
        <w:t xml:space="preserve"> This visual evidence can serve as a powerful tool in academic research, corroborating and enhancing the findings of other historical accounts and scholarly works that discuss the horrors of that time period. By incorporating such visual archives into research, scholars can strengthen their arguments and provide a more comprehensive understanding of the events surrounding the Holocaust.</w:t>
      </w:r>
    </w:p>
    <w:p w14:paraId="564EECE8" w14:textId="5D5694A3" w:rsidR="0032268A" w:rsidRPr="00D93BB9" w:rsidRDefault="0032268A" w:rsidP="0032268A">
      <w:pPr>
        <w:rPr>
          <w:rFonts w:ascii="Times New Roman" w:hAnsi="Times New Roman" w:cs="Times New Roman"/>
          <w:sz w:val="24"/>
          <w:szCs w:val="24"/>
        </w:rPr>
      </w:pPr>
      <w:r w:rsidRPr="00D93BB9">
        <w:rPr>
          <w:rFonts w:ascii="Times New Roman" w:hAnsi="Times New Roman" w:cs="Times New Roman"/>
          <w:sz w:val="24"/>
          <w:szCs w:val="24"/>
        </w:rPr>
        <w:lastRenderedPageBreak/>
        <w:t>The main strengths of the photo depicting German civilians removing the bodies of prisoners from the Nordhausen concentration camp in 1945 are its ability to visually document the historical events of the Holocaust, evoke emotions, and serve as a powerful reminder of the atrocities that occurred during that time.</w:t>
      </w:r>
      <w:r w:rsidR="00307A30" w:rsidRPr="00D93BB9">
        <w:rPr>
          <w:rStyle w:val="FootnoteReference"/>
          <w:rFonts w:ascii="Times New Roman" w:hAnsi="Times New Roman" w:cs="Times New Roman"/>
          <w:sz w:val="24"/>
          <w:szCs w:val="24"/>
        </w:rPr>
        <w:footnoteReference w:id="6"/>
      </w:r>
      <w:r w:rsidRPr="00D93BB9">
        <w:rPr>
          <w:rFonts w:ascii="Times New Roman" w:hAnsi="Times New Roman" w:cs="Times New Roman"/>
          <w:sz w:val="24"/>
          <w:szCs w:val="24"/>
        </w:rPr>
        <w:t xml:space="preserve"> The photo provides a tangible and impactful representation of the inhumanity and suffering experienced by the victims.</w:t>
      </w:r>
    </w:p>
    <w:p w14:paraId="779A1105" w14:textId="1FF00725" w:rsidR="0032268A" w:rsidRPr="00D93BB9" w:rsidRDefault="0032268A" w:rsidP="0032268A">
      <w:pPr>
        <w:rPr>
          <w:rFonts w:ascii="Times New Roman" w:hAnsi="Times New Roman" w:cs="Times New Roman"/>
          <w:sz w:val="24"/>
          <w:szCs w:val="24"/>
        </w:rPr>
      </w:pPr>
      <w:r w:rsidRPr="00D93BB9">
        <w:rPr>
          <w:rFonts w:ascii="Times New Roman" w:hAnsi="Times New Roman" w:cs="Times New Roman"/>
          <w:sz w:val="24"/>
          <w:szCs w:val="24"/>
        </w:rPr>
        <w:t>On the other hand, some weaknesses of the photo could include the potential for misinterpretation or manipulation of the image, as visual representations can sometimes be subject to bias or misrepresentation. Additionally, the photo may not capture the full extent of the horrors witnessed in person, as the lens of the camera can only capture a specific moment in time and space, potentially limiting the viewer's understanding of the broader context.</w:t>
      </w:r>
    </w:p>
    <w:p w14:paraId="670A45F3" w14:textId="77777777" w:rsidR="009D34D0" w:rsidRPr="00D93BB9" w:rsidRDefault="009D34D0" w:rsidP="0032268A">
      <w:pPr>
        <w:rPr>
          <w:rFonts w:ascii="Times New Roman" w:hAnsi="Times New Roman" w:cs="Times New Roman"/>
          <w:sz w:val="24"/>
          <w:szCs w:val="24"/>
          <w:u w:val="single"/>
        </w:rPr>
      </w:pPr>
    </w:p>
    <w:p w14:paraId="439FEB1B" w14:textId="77777777" w:rsidR="009D34D0" w:rsidRPr="00D93BB9" w:rsidRDefault="009D34D0" w:rsidP="0032268A">
      <w:pPr>
        <w:rPr>
          <w:rFonts w:ascii="Times New Roman" w:hAnsi="Times New Roman" w:cs="Times New Roman"/>
          <w:sz w:val="24"/>
          <w:szCs w:val="24"/>
          <w:u w:val="single"/>
        </w:rPr>
      </w:pPr>
    </w:p>
    <w:p w14:paraId="6E21FF52" w14:textId="77777777" w:rsidR="009D34D0" w:rsidRPr="00D93BB9" w:rsidRDefault="009D34D0" w:rsidP="0032268A">
      <w:pPr>
        <w:rPr>
          <w:rFonts w:ascii="Times New Roman" w:hAnsi="Times New Roman" w:cs="Times New Roman"/>
          <w:sz w:val="24"/>
          <w:szCs w:val="24"/>
          <w:u w:val="single"/>
        </w:rPr>
      </w:pPr>
    </w:p>
    <w:p w14:paraId="076BDB2E" w14:textId="77777777" w:rsidR="009D34D0" w:rsidRPr="00D93BB9" w:rsidRDefault="009D34D0" w:rsidP="0032268A">
      <w:pPr>
        <w:rPr>
          <w:rFonts w:ascii="Times New Roman" w:hAnsi="Times New Roman" w:cs="Times New Roman"/>
          <w:sz w:val="24"/>
          <w:szCs w:val="24"/>
          <w:u w:val="single"/>
        </w:rPr>
      </w:pPr>
    </w:p>
    <w:p w14:paraId="2EC51807" w14:textId="77777777" w:rsidR="00307A30" w:rsidRPr="00D93BB9" w:rsidRDefault="00307A30" w:rsidP="0032268A">
      <w:pPr>
        <w:rPr>
          <w:rFonts w:ascii="Times New Roman" w:hAnsi="Times New Roman" w:cs="Times New Roman"/>
          <w:sz w:val="24"/>
          <w:szCs w:val="24"/>
          <w:u w:val="single"/>
        </w:rPr>
      </w:pPr>
    </w:p>
    <w:p w14:paraId="22598C10" w14:textId="77777777" w:rsidR="00307A30" w:rsidRPr="00D93BB9" w:rsidRDefault="00307A30" w:rsidP="0032268A">
      <w:pPr>
        <w:rPr>
          <w:rFonts w:ascii="Times New Roman" w:hAnsi="Times New Roman" w:cs="Times New Roman"/>
          <w:sz w:val="24"/>
          <w:szCs w:val="24"/>
          <w:u w:val="single"/>
        </w:rPr>
      </w:pPr>
    </w:p>
    <w:p w14:paraId="35BE4C03" w14:textId="77777777" w:rsidR="00307A30" w:rsidRPr="00D93BB9" w:rsidRDefault="00307A30" w:rsidP="0032268A">
      <w:pPr>
        <w:rPr>
          <w:rFonts w:ascii="Times New Roman" w:hAnsi="Times New Roman" w:cs="Times New Roman"/>
          <w:sz w:val="24"/>
          <w:szCs w:val="24"/>
          <w:u w:val="single"/>
        </w:rPr>
      </w:pPr>
    </w:p>
    <w:p w14:paraId="4CFDE231" w14:textId="77777777" w:rsidR="00307A30" w:rsidRPr="00D93BB9" w:rsidRDefault="00307A30" w:rsidP="0032268A">
      <w:pPr>
        <w:rPr>
          <w:rFonts w:ascii="Times New Roman" w:hAnsi="Times New Roman" w:cs="Times New Roman"/>
          <w:sz w:val="24"/>
          <w:szCs w:val="24"/>
          <w:u w:val="single"/>
        </w:rPr>
      </w:pPr>
    </w:p>
    <w:p w14:paraId="741C6B4A" w14:textId="77777777" w:rsidR="00307A30" w:rsidRPr="00D93BB9" w:rsidRDefault="00307A30" w:rsidP="0032268A">
      <w:pPr>
        <w:rPr>
          <w:rFonts w:ascii="Times New Roman" w:hAnsi="Times New Roman" w:cs="Times New Roman"/>
          <w:sz w:val="24"/>
          <w:szCs w:val="24"/>
          <w:u w:val="single"/>
        </w:rPr>
      </w:pPr>
    </w:p>
    <w:p w14:paraId="7C424D15" w14:textId="77777777" w:rsidR="00307A30" w:rsidRPr="00D93BB9" w:rsidRDefault="00307A30" w:rsidP="0032268A">
      <w:pPr>
        <w:rPr>
          <w:rFonts w:ascii="Times New Roman" w:hAnsi="Times New Roman" w:cs="Times New Roman"/>
          <w:sz w:val="24"/>
          <w:szCs w:val="24"/>
          <w:u w:val="single"/>
        </w:rPr>
      </w:pPr>
    </w:p>
    <w:p w14:paraId="4D0ABC18" w14:textId="77777777" w:rsidR="00307A30" w:rsidRPr="00D93BB9" w:rsidRDefault="00307A30" w:rsidP="0032268A">
      <w:pPr>
        <w:rPr>
          <w:rFonts w:ascii="Times New Roman" w:hAnsi="Times New Roman" w:cs="Times New Roman"/>
          <w:sz w:val="24"/>
          <w:szCs w:val="24"/>
          <w:u w:val="single"/>
        </w:rPr>
      </w:pPr>
    </w:p>
    <w:p w14:paraId="12B3BDEC" w14:textId="77777777" w:rsidR="00307A30" w:rsidRPr="00D93BB9" w:rsidRDefault="00307A30" w:rsidP="0032268A">
      <w:pPr>
        <w:rPr>
          <w:rFonts w:ascii="Times New Roman" w:hAnsi="Times New Roman" w:cs="Times New Roman"/>
          <w:sz w:val="24"/>
          <w:szCs w:val="24"/>
          <w:u w:val="single"/>
        </w:rPr>
      </w:pPr>
    </w:p>
    <w:p w14:paraId="02C7DAA5" w14:textId="77777777" w:rsidR="00307A30" w:rsidRPr="00D93BB9" w:rsidRDefault="00307A30" w:rsidP="0032268A">
      <w:pPr>
        <w:rPr>
          <w:rFonts w:ascii="Times New Roman" w:hAnsi="Times New Roman" w:cs="Times New Roman"/>
          <w:sz w:val="24"/>
          <w:szCs w:val="24"/>
          <w:u w:val="single"/>
        </w:rPr>
      </w:pPr>
    </w:p>
    <w:p w14:paraId="7CDCD433" w14:textId="77777777" w:rsidR="004712D9" w:rsidRPr="00D93BB9" w:rsidRDefault="004712D9" w:rsidP="0032268A">
      <w:pPr>
        <w:rPr>
          <w:rFonts w:ascii="Times New Roman" w:hAnsi="Times New Roman" w:cs="Times New Roman"/>
          <w:sz w:val="24"/>
          <w:szCs w:val="24"/>
          <w:u w:val="single"/>
        </w:rPr>
      </w:pPr>
    </w:p>
    <w:p w14:paraId="67CF40AA" w14:textId="77777777" w:rsidR="00C06722" w:rsidRPr="00D93BB9" w:rsidRDefault="00C06722" w:rsidP="0032268A">
      <w:pPr>
        <w:rPr>
          <w:rFonts w:ascii="Times New Roman" w:hAnsi="Times New Roman" w:cs="Times New Roman"/>
          <w:b/>
          <w:bCs/>
          <w:sz w:val="24"/>
          <w:szCs w:val="24"/>
          <w:u w:val="single"/>
        </w:rPr>
      </w:pPr>
    </w:p>
    <w:p w14:paraId="6E6C0E75" w14:textId="77777777" w:rsidR="00C06722" w:rsidRPr="00D93BB9" w:rsidRDefault="00C06722" w:rsidP="0032268A">
      <w:pPr>
        <w:rPr>
          <w:rFonts w:ascii="Times New Roman" w:hAnsi="Times New Roman" w:cs="Times New Roman"/>
          <w:b/>
          <w:bCs/>
          <w:sz w:val="24"/>
          <w:szCs w:val="24"/>
          <w:u w:val="single"/>
        </w:rPr>
      </w:pPr>
    </w:p>
    <w:p w14:paraId="082D9C51" w14:textId="77777777" w:rsidR="009D2D5D" w:rsidRPr="00D93BB9" w:rsidRDefault="009D2D5D" w:rsidP="0032268A">
      <w:pPr>
        <w:rPr>
          <w:rFonts w:ascii="Times New Roman" w:hAnsi="Times New Roman" w:cs="Times New Roman"/>
          <w:b/>
          <w:bCs/>
          <w:sz w:val="24"/>
          <w:szCs w:val="24"/>
          <w:u w:val="single"/>
        </w:rPr>
      </w:pPr>
    </w:p>
    <w:p w14:paraId="1EC3E2C9" w14:textId="77777777" w:rsidR="009D2D5D" w:rsidRPr="00D93BB9" w:rsidRDefault="009D2D5D" w:rsidP="0032268A">
      <w:pPr>
        <w:rPr>
          <w:rFonts w:ascii="Times New Roman" w:hAnsi="Times New Roman" w:cs="Times New Roman"/>
          <w:b/>
          <w:bCs/>
          <w:sz w:val="24"/>
          <w:szCs w:val="24"/>
          <w:u w:val="single"/>
        </w:rPr>
      </w:pPr>
    </w:p>
    <w:p w14:paraId="166DC4A9" w14:textId="77777777" w:rsidR="003E227D" w:rsidRDefault="003E227D" w:rsidP="0032268A">
      <w:pPr>
        <w:rPr>
          <w:rFonts w:ascii="Times New Roman" w:hAnsi="Times New Roman" w:cs="Times New Roman"/>
          <w:b/>
          <w:bCs/>
          <w:sz w:val="24"/>
          <w:szCs w:val="24"/>
          <w:u w:val="single"/>
        </w:rPr>
      </w:pPr>
    </w:p>
    <w:p w14:paraId="7F9A051C" w14:textId="77777777" w:rsidR="003E227D" w:rsidRDefault="003E227D" w:rsidP="0032268A">
      <w:pPr>
        <w:rPr>
          <w:rFonts w:ascii="Times New Roman" w:hAnsi="Times New Roman" w:cs="Times New Roman"/>
          <w:b/>
          <w:bCs/>
          <w:sz w:val="24"/>
          <w:szCs w:val="24"/>
          <w:u w:val="single"/>
        </w:rPr>
      </w:pPr>
    </w:p>
    <w:p w14:paraId="4CB18AE3" w14:textId="0C1E406B" w:rsidR="00F21B5E" w:rsidRPr="00D93BB9" w:rsidRDefault="00F21B5E" w:rsidP="0032268A">
      <w:pPr>
        <w:rPr>
          <w:rFonts w:ascii="Times New Roman" w:hAnsi="Times New Roman" w:cs="Times New Roman"/>
          <w:b/>
          <w:bCs/>
          <w:sz w:val="24"/>
          <w:szCs w:val="24"/>
          <w:u w:val="single"/>
        </w:rPr>
      </w:pPr>
      <w:r w:rsidRPr="00D93BB9">
        <w:rPr>
          <w:rFonts w:ascii="Times New Roman" w:hAnsi="Times New Roman" w:cs="Times New Roman"/>
          <w:b/>
          <w:bCs/>
          <w:sz w:val="24"/>
          <w:szCs w:val="24"/>
          <w:u w:val="single"/>
        </w:rPr>
        <w:lastRenderedPageBreak/>
        <w:t>Nuremberg Laws document - Legal decrees that institutionalized discrimination against Jews.</w:t>
      </w:r>
    </w:p>
    <w:p w14:paraId="5DF323AB" w14:textId="2DE9B5A1" w:rsidR="009D34D0" w:rsidRPr="00D93BB9" w:rsidRDefault="00840CB5" w:rsidP="00F21B5E">
      <w:pPr>
        <w:rPr>
          <w:rFonts w:ascii="Times New Roman" w:hAnsi="Times New Roman" w:cs="Times New Roman"/>
          <w:sz w:val="24"/>
          <w:szCs w:val="24"/>
        </w:rPr>
      </w:pPr>
      <w:r w:rsidRPr="00D93BB9">
        <w:rPr>
          <w:rFonts w:ascii="Times New Roman" w:hAnsi="Times New Roman" w:cs="Times New Roman"/>
          <w:sz w:val="24"/>
          <w:szCs w:val="24"/>
        </w:rPr>
        <w:t>Stoltzfus</w:t>
      </w:r>
      <w:r w:rsidRPr="00D93BB9">
        <w:rPr>
          <w:rFonts w:ascii="Times New Roman" w:hAnsi="Times New Roman" w:cs="Times New Roman"/>
          <w:sz w:val="24"/>
          <w:szCs w:val="24"/>
        </w:rPr>
        <w:t xml:space="preserve"> </w:t>
      </w:r>
      <w:r w:rsidR="00215D60" w:rsidRPr="00D93BB9">
        <w:rPr>
          <w:rFonts w:ascii="Times New Roman" w:hAnsi="Times New Roman" w:cs="Times New Roman"/>
          <w:sz w:val="24"/>
          <w:szCs w:val="24"/>
        </w:rPr>
        <w:t xml:space="preserve">explains that </w:t>
      </w:r>
      <w:r w:rsidR="00F21B5E" w:rsidRPr="00D93BB9">
        <w:rPr>
          <w:rFonts w:ascii="Times New Roman" w:hAnsi="Times New Roman" w:cs="Times New Roman"/>
          <w:sz w:val="24"/>
          <w:szCs w:val="24"/>
        </w:rPr>
        <w:t>The Nuremberg Laws, a set of legal decrees that institutionalized discrimination against Jews in Nazi Germany, hold significant historical importance. Enacted in the 1930s, these laws marked a pivotal moment in the legal persecution of Jewish individuals, reflecting the extreme anti-Semitic sentiments prevalent in that era.</w:t>
      </w:r>
      <w:r w:rsidR="00CB3FC4" w:rsidRPr="00D93BB9">
        <w:rPr>
          <w:rStyle w:val="FootnoteReference"/>
          <w:rFonts w:ascii="Times New Roman" w:hAnsi="Times New Roman" w:cs="Times New Roman"/>
          <w:sz w:val="24"/>
          <w:szCs w:val="24"/>
        </w:rPr>
        <w:footnoteReference w:id="7"/>
      </w:r>
    </w:p>
    <w:p w14:paraId="5B42A167" w14:textId="77777777" w:rsidR="00F21B5E" w:rsidRPr="00D93BB9" w:rsidRDefault="00F21B5E" w:rsidP="00F21B5E">
      <w:pPr>
        <w:rPr>
          <w:rFonts w:ascii="Times New Roman" w:hAnsi="Times New Roman" w:cs="Times New Roman"/>
          <w:sz w:val="24"/>
          <w:szCs w:val="24"/>
        </w:rPr>
      </w:pPr>
      <w:r w:rsidRPr="00D93BB9">
        <w:rPr>
          <w:rFonts w:ascii="Times New Roman" w:hAnsi="Times New Roman" w:cs="Times New Roman"/>
          <w:sz w:val="24"/>
          <w:szCs w:val="24"/>
        </w:rPr>
        <w:t>Authored within the context of Nazi ideology, the Nuremberg Laws were designed to strip Jews of their rights and segregate them from the rest of society. The motivations behind these discriminatory decrees were rooted in the Nazis' desire to establish a racially pure state and eliminate Jewish influence from German life.</w:t>
      </w:r>
    </w:p>
    <w:p w14:paraId="11571633" w14:textId="6102C829" w:rsidR="009D34D0" w:rsidRPr="00D93BB9" w:rsidRDefault="00215D60" w:rsidP="00F21B5E">
      <w:pPr>
        <w:rPr>
          <w:rFonts w:ascii="Times New Roman" w:hAnsi="Times New Roman" w:cs="Times New Roman"/>
          <w:sz w:val="24"/>
          <w:szCs w:val="24"/>
        </w:rPr>
      </w:pPr>
      <w:r w:rsidRPr="00D93BB9">
        <w:rPr>
          <w:rFonts w:ascii="Times New Roman" w:hAnsi="Times New Roman" w:cs="Times New Roman"/>
          <w:sz w:val="24"/>
          <w:szCs w:val="24"/>
        </w:rPr>
        <w:t xml:space="preserve">Boaz states that </w:t>
      </w:r>
      <w:r w:rsidR="002D48F7" w:rsidRPr="00D93BB9">
        <w:rPr>
          <w:rFonts w:ascii="Times New Roman" w:hAnsi="Times New Roman" w:cs="Times New Roman"/>
          <w:sz w:val="24"/>
          <w:szCs w:val="24"/>
        </w:rPr>
        <w:t>t</w:t>
      </w:r>
      <w:r w:rsidR="009D34D0" w:rsidRPr="00D93BB9">
        <w:rPr>
          <w:rFonts w:ascii="Times New Roman" w:hAnsi="Times New Roman" w:cs="Times New Roman"/>
          <w:sz w:val="24"/>
          <w:szCs w:val="24"/>
        </w:rPr>
        <w:t>he main arguments in the Nuremberg Laws document revolve around the systematic discrimination and dehumanization of Jewish individuals by the Nazi regime.</w:t>
      </w:r>
      <w:r w:rsidR="00CB3FC4" w:rsidRPr="00D93BB9">
        <w:rPr>
          <w:rStyle w:val="FootnoteReference"/>
          <w:rFonts w:ascii="Times New Roman" w:hAnsi="Times New Roman" w:cs="Times New Roman"/>
          <w:sz w:val="24"/>
          <w:szCs w:val="24"/>
        </w:rPr>
        <w:footnoteReference w:id="8"/>
      </w:r>
      <w:r w:rsidR="009D34D0" w:rsidRPr="00D93BB9">
        <w:rPr>
          <w:rFonts w:ascii="Times New Roman" w:hAnsi="Times New Roman" w:cs="Times New Roman"/>
          <w:sz w:val="24"/>
          <w:szCs w:val="24"/>
        </w:rPr>
        <w:t xml:space="preserve"> These laws were crafted to strip Jews of their rights, segregate them from society, and ultimately pave the way for the atrocities of the Holocaust. The document's central theme is the establishment of a racially pure state through legal means, highlighting the extreme injustices faced by the Jewish population under Nazi rule</w:t>
      </w:r>
    </w:p>
    <w:p w14:paraId="1FFBB128" w14:textId="77777777" w:rsidR="00F21B5E" w:rsidRPr="00D93BB9" w:rsidRDefault="00F21B5E" w:rsidP="00F21B5E">
      <w:pPr>
        <w:rPr>
          <w:rFonts w:ascii="Times New Roman" w:hAnsi="Times New Roman" w:cs="Times New Roman"/>
          <w:sz w:val="24"/>
          <w:szCs w:val="24"/>
        </w:rPr>
      </w:pPr>
      <w:r w:rsidRPr="00D93BB9">
        <w:rPr>
          <w:rFonts w:ascii="Times New Roman" w:hAnsi="Times New Roman" w:cs="Times New Roman"/>
          <w:sz w:val="24"/>
          <w:szCs w:val="24"/>
        </w:rPr>
        <w:t>In examining the strengths and weaknesses of the Nuremberg Laws document, it becomes evident that while these laws were effective in systematically oppressing and marginalizing Jews, they also underscore the grave injustices committed during the Holocaust. The legal framework provided by the Nuremberg Laws facilitated the persecution and eventual mass murder of millions of Jewish individuals.</w:t>
      </w:r>
    </w:p>
    <w:p w14:paraId="382977E3" w14:textId="53BBFA56" w:rsidR="00F21B5E" w:rsidRPr="00D93BB9" w:rsidRDefault="00F21B5E" w:rsidP="00F21B5E">
      <w:pPr>
        <w:rPr>
          <w:rFonts w:ascii="Times New Roman" w:hAnsi="Times New Roman" w:cs="Times New Roman"/>
          <w:sz w:val="24"/>
          <w:szCs w:val="24"/>
        </w:rPr>
      </w:pPr>
      <w:r w:rsidRPr="00D93BB9">
        <w:rPr>
          <w:rFonts w:ascii="Times New Roman" w:hAnsi="Times New Roman" w:cs="Times New Roman"/>
          <w:sz w:val="24"/>
          <w:szCs w:val="24"/>
        </w:rPr>
        <w:t>For researchers studying the Holocaust and genocide, the Nuremberg Laws document serves as a critical piece of evidence in understanding the systematic nature of Nazi atrocities. By analysing the impact of these laws on Jewish communities and the broader implications for human rights, scholars can gain valuable insights into the mechanisms of state-sponsored discrimination and violence.</w:t>
      </w:r>
    </w:p>
    <w:p w14:paraId="0F958F15" w14:textId="1D5DA5B4" w:rsidR="009D34D0" w:rsidRPr="00D93BB9" w:rsidRDefault="009D34D0" w:rsidP="00F21B5E">
      <w:pPr>
        <w:rPr>
          <w:rFonts w:ascii="Times New Roman" w:hAnsi="Times New Roman" w:cs="Times New Roman"/>
          <w:sz w:val="24"/>
          <w:szCs w:val="24"/>
        </w:rPr>
      </w:pPr>
      <w:r w:rsidRPr="00D93BB9">
        <w:rPr>
          <w:rFonts w:ascii="Times New Roman" w:hAnsi="Times New Roman" w:cs="Times New Roman"/>
          <w:sz w:val="24"/>
          <w:szCs w:val="24"/>
        </w:rPr>
        <w:t>Regarding the authorship and theological perspective, it would be beneficial to explore if the creators of the Nuremberg Laws had any theological or ideological motivations that influenced the content of the document. Understanding the author's perspective can offer deeper insights into the intent behind these discriminatory decrees.</w:t>
      </w:r>
    </w:p>
    <w:p w14:paraId="3B5A5B0C" w14:textId="77777777" w:rsidR="00502DA5" w:rsidRPr="00D93BB9" w:rsidRDefault="00502DA5" w:rsidP="00F21B5E">
      <w:pPr>
        <w:rPr>
          <w:rFonts w:ascii="Times New Roman" w:hAnsi="Times New Roman" w:cs="Times New Roman"/>
          <w:sz w:val="24"/>
          <w:szCs w:val="24"/>
        </w:rPr>
      </w:pPr>
    </w:p>
    <w:p w14:paraId="50BDD09A" w14:textId="77777777" w:rsidR="00502DA5" w:rsidRPr="00D93BB9" w:rsidRDefault="00502DA5" w:rsidP="00F21B5E">
      <w:pPr>
        <w:rPr>
          <w:rFonts w:ascii="Times New Roman" w:hAnsi="Times New Roman" w:cs="Times New Roman"/>
          <w:sz w:val="24"/>
          <w:szCs w:val="24"/>
        </w:rPr>
      </w:pPr>
    </w:p>
    <w:p w14:paraId="0849FCDC" w14:textId="77777777" w:rsidR="00502DA5" w:rsidRPr="00D93BB9" w:rsidRDefault="00502DA5" w:rsidP="00502DA5">
      <w:pPr>
        <w:rPr>
          <w:rFonts w:ascii="Times New Roman" w:hAnsi="Times New Roman" w:cs="Times New Roman"/>
          <w:sz w:val="24"/>
          <w:szCs w:val="24"/>
        </w:rPr>
      </w:pPr>
    </w:p>
    <w:p w14:paraId="69154042" w14:textId="77777777" w:rsidR="00502DA5" w:rsidRPr="00D93BB9" w:rsidRDefault="00502DA5" w:rsidP="00502DA5">
      <w:pPr>
        <w:rPr>
          <w:rFonts w:ascii="Times New Roman" w:hAnsi="Times New Roman" w:cs="Times New Roman"/>
          <w:sz w:val="24"/>
          <w:szCs w:val="24"/>
        </w:rPr>
      </w:pPr>
    </w:p>
    <w:p w14:paraId="45520240" w14:textId="77777777" w:rsidR="00502DA5" w:rsidRPr="00D93BB9" w:rsidRDefault="00502DA5" w:rsidP="00502DA5">
      <w:pPr>
        <w:rPr>
          <w:rFonts w:ascii="Times New Roman" w:hAnsi="Times New Roman" w:cs="Times New Roman"/>
          <w:sz w:val="24"/>
          <w:szCs w:val="24"/>
        </w:rPr>
      </w:pPr>
    </w:p>
    <w:p w14:paraId="402548A5" w14:textId="77777777" w:rsidR="00502DA5" w:rsidRPr="00D93BB9" w:rsidRDefault="00502DA5" w:rsidP="00502DA5">
      <w:pPr>
        <w:rPr>
          <w:rFonts w:ascii="Times New Roman" w:hAnsi="Times New Roman" w:cs="Times New Roman"/>
          <w:sz w:val="24"/>
          <w:szCs w:val="24"/>
        </w:rPr>
      </w:pPr>
    </w:p>
    <w:p w14:paraId="2783B428" w14:textId="2D58F655" w:rsidR="00502DA5" w:rsidRPr="00D93BB9" w:rsidRDefault="00502DA5" w:rsidP="00502DA5">
      <w:pPr>
        <w:jc w:val="center"/>
        <w:rPr>
          <w:rFonts w:ascii="Times New Roman" w:hAnsi="Times New Roman" w:cs="Times New Roman"/>
          <w:b/>
          <w:bCs/>
          <w:sz w:val="24"/>
          <w:szCs w:val="24"/>
          <w:u w:val="single"/>
        </w:rPr>
      </w:pPr>
      <w:r w:rsidRPr="00D93BB9">
        <w:rPr>
          <w:rFonts w:ascii="Times New Roman" w:hAnsi="Times New Roman" w:cs="Times New Roman"/>
          <w:b/>
          <w:bCs/>
          <w:sz w:val="24"/>
          <w:szCs w:val="24"/>
          <w:u w:val="single"/>
        </w:rPr>
        <w:t>Einsatzgruppen Report</w:t>
      </w:r>
      <w:r w:rsidR="00A132DE" w:rsidRPr="00D93BB9">
        <w:rPr>
          <w:rFonts w:ascii="Times New Roman" w:hAnsi="Times New Roman" w:cs="Times New Roman"/>
          <w:b/>
          <w:bCs/>
          <w:sz w:val="24"/>
          <w:szCs w:val="24"/>
          <w:u w:val="single"/>
        </w:rPr>
        <w:t>s</w:t>
      </w:r>
    </w:p>
    <w:p w14:paraId="302CC5C8" w14:textId="3F0CB2DB" w:rsidR="00502DA5" w:rsidRPr="00D93BB9" w:rsidRDefault="00502DA5" w:rsidP="00502DA5">
      <w:pPr>
        <w:rPr>
          <w:rFonts w:ascii="Times New Roman" w:hAnsi="Times New Roman" w:cs="Times New Roman"/>
          <w:sz w:val="24"/>
          <w:szCs w:val="24"/>
        </w:rPr>
      </w:pPr>
      <w:r w:rsidRPr="00D93BB9">
        <w:rPr>
          <w:rFonts w:ascii="Times New Roman" w:hAnsi="Times New Roman" w:cs="Times New Roman"/>
          <w:sz w:val="24"/>
          <w:szCs w:val="24"/>
        </w:rPr>
        <w:t xml:space="preserve">The </w:t>
      </w:r>
      <w:bookmarkStart w:id="0" w:name="_Hlk172984434"/>
      <w:r w:rsidR="00A132DE" w:rsidRPr="00D93BB9">
        <w:rPr>
          <w:rFonts w:ascii="Times New Roman" w:hAnsi="Times New Roman" w:cs="Times New Roman"/>
          <w:sz w:val="24"/>
          <w:szCs w:val="24"/>
        </w:rPr>
        <w:t>‘</w:t>
      </w:r>
      <w:r w:rsidRPr="00D93BB9">
        <w:rPr>
          <w:rFonts w:ascii="Times New Roman" w:hAnsi="Times New Roman" w:cs="Times New Roman"/>
          <w:sz w:val="24"/>
          <w:szCs w:val="24"/>
        </w:rPr>
        <w:t>Einsatzgruppen Reports</w:t>
      </w:r>
      <w:bookmarkEnd w:id="0"/>
      <w:r w:rsidR="00A132DE" w:rsidRPr="00D93BB9">
        <w:rPr>
          <w:rFonts w:ascii="Times New Roman" w:hAnsi="Times New Roman" w:cs="Times New Roman"/>
          <w:sz w:val="24"/>
          <w:szCs w:val="24"/>
        </w:rPr>
        <w:t>’</w:t>
      </w:r>
      <w:r w:rsidRPr="00D93BB9">
        <w:rPr>
          <w:rFonts w:ascii="Times New Roman" w:hAnsi="Times New Roman" w:cs="Times New Roman"/>
          <w:sz w:val="24"/>
          <w:szCs w:val="24"/>
        </w:rPr>
        <w:t xml:space="preserve"> are a significant primary source documenting the atrocities committed by the SS mobile killing units during World War II.</w:t>
      </w:r>
      <w:r w:rsidR="0010267B" w:rsidRPr="00D93BB9">
        <w:rPr>
          <w:rStyle w:val="FootnoteReference"/>
          <w:rFonts w:ascii="Times New Roman" w:hAnsi="Times New Roman" w:cs="Times New Roman"/>
          <w:sz w:val="24"/>
          <w:szCs w:val="24"/>
        </w:rPr>
        <w:footnoteReference w:id="9"/>
      </w:r>
      <w:r w:rsidRPr="00D93BB9">
        <w:rPr>
          <w:rFonts w:ascii="Times New Roman" w:hAnsi="Times New Roman" w:cs="Times New Roman"/>
          <w:sz w:val="24"/>
          <w:szCs w:val="24"/>
        </w:rPr>
        <w:t xml:space="preserve"> </w:t>
      </w:r>
      <w:r w:rsidR="002D48F7" w:rsidRPr="00D93BB9">
        <w:rPr>
          <w:rFonts w:ascii="Times New Roman" w:hAnsi="Times New Roman" w:cs="Times New Roman"/>
          <w:sz w:val="24"/>
          <w:szCs w:val="24"/>
        </w:rPr>
        <w:t>Fritzsche</w:t>
      </w:r>
      <w:r w:rsidR="002D48F7" w:rsidRPr="00D93BB9">
        <w:rPr>
          <w:rFonts w:ascii="Times New Roman" w:hAnsi="Times New Roman" w:cs="Times New Roman"/>
          <w:sz w:val="24"/>
          <w:szCs w:val="24"/>
        </w:rPr>
        <w:t xml:space="preserve"> </w:t>
      </w:r>
      <w:r w:rsidR="00581A5D" w:rsidRPr="00D93BB9">
        <w:rPr>
          <w:rFonts w:ascii="Times New Roman" w:hAnsi="Times New Roman" w:cs="Times New Roman"/>
          <w:sz w:val="24"/>
          <w:szCs w:val="24"/>
        </w:rPr>
        <w:t xml:space="preserve">states that, </w:t>
      </w:r>
      <w:r w:rsidR="002D48F7" w:rsidRPr="00D93BB9">
        <w:rPr>
          <w:rFonts w:ascii="Times New Roman" w:hAnsi="Times New Roman" w:cs="Times New Roman"/>
          <w:sz w:val="24"/>
          <w:szCs w:val="24"/>
        </w:rPr>
        <w:t>t</w:t>
      </w:r>
      <w:r w:rsidRPr="00D93BB9">
        <w:rPr>
          <w:rFonts w:ascii="Times New Roman" w:hAnsi="Times New Roman" w:cs="Times New Roman"/>
          <w:sz w:val="24"/>
          <w:szCs w:val="24"/>
        </w:rPr>
        <w:t>hese reports were authored by various SS officers and officials involved in the operations of the Einsatzgruppen, detailing the mass shootings and extermination of Jews, Roma, and other targeted groups in Eastern Europe.</w:t>
      </w:r>
      <w:r w:rsidR="0010267B" w:rsidRPr="00D93BB9">
        <w:rPr>
          <w:rStyle w:val="FootnoteReference"/>
          <w:rFonts w:ascii="Times New Roman" w:hAnsi="Times New Roman" w:cs="Times New Roman"/>
          <w:sz w:val="24"/>
          <w:szCs w:val="24"/>
        </w:rPr>
        <w:footnoteReference w:id="10"/>
      </w:r>
    </w:p>
    <w:p w14:paraId="3074B0AE" w14:textId="556893B4" w:rsidR="00502DA5" w:rsidRPr="00D93BB9" w:rsidRDefault="00502DA5" w:rsidP="00502DA5">
      <w:pPr>
        <w:rPr>
          <w:rFonts w:ascii="Times New Roman" w:hAnsi="Times New Roman" w:cs="Times New Roman"/>
          <w:sz w:val="24"/>
          <w:szCs w:val="24"/>
        </w:rPr>
      </w:pPr>
      <w:r w:rsidRPr="00D93BB9">
        <w:rPr>
          <w:rFonts w:ascii="Times New Roman" w:hAnsi="Times New Roman" w:cs="Times New Roman"/>
          <w:sz w:val="24"/>
          <w:szCs w:val="24"/>
        </w:rPr>
        <w:t>The reports were compiled and written between 1941 and 1943, during the height of Nazi occupation in Eastern Europe. The primary purpose of the reports was to document the progress and efficiency of the Einsatzgruppen in carrying out their genocidal missions, providing detailed accounts of the number of victims, locations of executions, and logistical information.</w:t>
      </w:r>
      <w:r w:rsidR="0010267B" w:rsidRPr="00D93BB9">
        <w:rPr>
          <w:rStyle w:val="FootnoteReference"/>
          <w:rFonts w:ascii="Times New Roman" w:hAnsi="Times New Roman" w:cs="Times New Roman"/>
          <w:sz w:val="24"/>
          <w:szCs w:val="24"/>
        </w:rPr>
        <w:footnoteReference w:id="11"/>
      </w:r>
    </w:p>
    <w:p w14:paraId="403FB549" w14:textId="5871CB25" w:rsidR="00502DA5" w:rsidRPr="00D93BB9" w:rsidRDefault="00502DA5" w:rsidP="00502DA5">
      <w:pPr>
        <w:rPr>
          <w:rFonts w:ascii="Times New Roman" w:hAnsi="Times New Roman" w:cs="Times New Roman"/>
          <w:sz w:val="24"/>
          <w:szCs w:val="24"/>
        </w:rPr>
      </w:pPr>
      <w:r w:rsidRPr="00D93BB9">
        <w:rPr>
          <w:rFonts w:ascii="Times New Roman" w:hAnsi="Times New Roman" w:cs="Times New Roman"/>
          <w:sz w:val="24"/>
          <w:szCs w:val="24"/>
        </w:rPr>
        <w:t xml:space="preserve">The main arguments presented in the </w:t>
      </w:r>
      <w:r w:rsidR="0010267B" w:rsidRPr="00D93BB9">
        <w:rPr>
          <w:rFonts w:ascii="Times New Roman" w:hAnsi="Times New Roman" w:cs="Times New Roman"/>
          <w:sz w:val="24"/>
          <w:szCs w:val="24"/>
        </w:rPr>
        <w:t>‘</w:t>
      </w:r>
      <w:r w:rsidRPr="00D93BB9">
        <w:rPr>
          <w:rFonts w:ascii="Times New Roman" w:hAnsi="Times New Roman" w:cs="Times New Roman"/>
          <w:sz w:val="24"/>
          <w:szCs w:val="24"/>
        </w:rPr>
        <w:t>Einsatzgruppen Reports</w:t>
      </w:r>
      <w:r w:rsidR="0010267B" w:rsidRPr="00D93BB9">
        <w:rPr>
          <w:rFonts w:ascii="Times New Roman" w:hAnsi="Times New Roman" w:cs="Times New Roman"/>
          <w:sz w:val="24"/>
          <w:szCs w:val="24"/>
        </w:rPr>
        <w:t>’</w:t>
      </w:r>
      <w:r w:rsidRPr="00D93BB9">
        <w:rPr>
          <w:rFonts w:ascii="Times New Roman" w:hAnsi="Times New Roman" w:cs="Times New Roman"/>
          <w:sz w:val="24"/>
          <w:szCs w:val="24"/>
        </w:rPr>
        <w:t xml:space="preserve"> revolve around the systematic and methodical extermination of targeted populations as part of the Nazi regime's broader policy of racial purification.</w:t>
      </w:r>
      <w:r w:rsidR="0010267B" w:rsidRPr="00D93BB9">
        <w:rPr>
          <w:rStyle w:val="FootnoteReference"/>
          <w:rFonts w:ascii="Times New Roman" w:hAnsi="Times New Roman" w:cs="Times New Roman"/>
          <w:sz w:val="24"/>
          <w:szCs w:val="24"/>
        </w:rPr>
        <w:footnoteReference w:id="12"/>
      </w:r>
      <w:r w:rsidRPr="00D93BB9">
        <w:rPr>
          <w:rFonts w:ascii="Times New Roman" w:hAnsi="Times New Roman" w:cs="Times New Roman"/>
          <w:sz w:val="24"/>
          <w:szCs w:val="24"/>
        </w:rPr>
        <w:t xml:space="preserve"> The authors justify these actions through a lens of racial superiority and the perceived threat posed by the victims to the Nazi ideology.</w:t>
      </w:r>
    </w:p>
    <w:p w14:paraId="7DBD987B" w14:textId="77777777" w:rsidR="00502DA5" w:rsidRPr="00D93BB9" w:rsidRDefault="00502DA5" w:rsidP="00502DA5">
      <w:pPr>
        <w:rPr>
          <w:rFonts w:ascii="Times New Roman" w:hAnsi="Times New Roman" w:cs="Times New Roman"/>
          <w:sz w:val="24"/>
          <w:szCs w:val="24"/>
        </w:rPr>
      </w:pPr>
      <w:r w:rsidRPr="00D93BB9">
        <w:rPr>
          <w:rFonts w:ascii="Times New Roman" w:hAnsi="Times New Roman" w:cs="Times New Roman"/>
          <w:sz w:val="24"/>
          <w:szCs w:val="24"/>
        </w:rPr>
        <w:t>The theoretical perspective of the authors of the reports aligns with Nazi racial ideology, viewing the targeted groups as subhuman and a danger to the German race. The reports reflect a warped perspective that justifies mass murder as a necessary means to achieve Nazi goals of ethnic cleansing and domination.</w:t>
      </w:r>
    </w:p>
    <w:p w14:paraId="3C5834E6" w14:textId="314BE747" w:rsidR="00502DA5" w:rsidRPr="00D93BB9" w:rsidRDefault="00502DA5" w:rsidP="00502DA5">
      <w:pPr>
        <w:rPr>
          <w:rFonts w:ascii="Times New Roman" w:hAnsi="Times New Roman" w:cs="Times New Roman"/>
          <w:sz w:val="24"/>
          <w:szCs w:val="24"/>
        </w:rPr>
      </w:pPr>
      <w:r w:rsidRPr="00D93BB9">
        <w:rPr>
          <w:rFonts w:ascii="Times New Roman" w:hAnsi="Times New Roman" w:cs="Times New Roman"/>
          <w:sz w:val="24"/>
          <w:szCs w:val="24"/>
        </w:rPr>
        <w:t xml:space="preserve">The strength of the </w:t>
      </w:r>
      <w:r w:rsidR="00111A54" w:rsidRPr="00D93BB9">
        <w:rPr>
          <w:rFonts w:ascii="Times New Roman" w:hAnsi="Times New Roman" w:cs="Times New Roman"/>
          <w:sz w:val="24"/>
          <w:szCs w:val="24"/>
        </w:rPr>
        <w:t>‘</w:t>
      </w:r>
      <w:r w:rsidRPr="00D93BB9">
        <w:rPr>
          <w:rFonts w:ascii="Times New Roman" w:hAnsi="Times New Roman" w:cs="Times New Roman"/>
          <w:sz w:val="24"/>
          <w:szCs w:val="24"/>
        </w:rPr>
        <w:t>Einsatzgruppen Reports</w:t>
      </w:r>
      <w:r w:rsidR="0010267B" w:rsidRPr="00D93BB9">
        <w:rPr>
          <w:rFonts w:ascii="Times New Roman" w:hAnsi="Times New Roman" w:cs="Times New Roman"/>
          <w:sz w:val="24"/>
          <w:szCs w:val="24"/>
        </w:rPr>
        <w:t>’ lies</w:t>
      </w:r>
      <w:r w:rsidRPr="00D93BB9">
        <w:rPr>
          <w:rFonts w:ascii="Times New Roman" w:hAnsi="Times New Roman" w:cs="Times New Roman"/>
          <w:sz w:val="24"/>
          <w:szCs w:val="24"/>
        </w:rPr>
        <w:t xml:space="preserve"> in their detailed documentation of the scale and scope of the atrocities committed by the Einsatzgruppen, providing valuable historical evidence of the Holocaust. However, a weakness is the inherent bias and propaganda present in the reports, as they were intended to glorify the actions of the SS units.</w:t>
      </w:r>
    </w:p>
    <w:p w14:paraId="32039AEA" w14:textId="0B36B493" w:rsidR="009D34D0" w:rsidRPr="00D93BB9" w:rsidRDefault="00D93BB9" w:rsidP="00F21B5E">
      <w:pPr>
        <w:rPr>
          <w:rFonts w:ascii="Times New Roman" w:hAnsi="Times New Roman" w:cs="Times New Roman"/>
          <w:sz w:val="24"/>
          <w:szCs w:val="24"/>
        </w:rPr>
      </w:pPr>
      <w:r w:rsidRPr="00D93BB9">
        <w:rPr>
          <w:rFonts w:ascii="Times New Roman" w:hAnsi="Times New Roman" w:cs="Times New Roman"/>
          <w:sz w:val="24"/>
          <w:szCs w:val="24"/>
        </w:rPr>
        <w:t>Grossmann reports i</w:t>
      </w:r>
      <w:r w:rsidR="00502DA5" w:rsidRPr="00D93BB9">
        <w:rPr>
          <w:rFonts w:ascii="Times New Roman" w:hAnsi="Times New Roman" w:cs="Times New Roman"/>
          <w:sz w:val="24"/>
          <w:szCs w:val="24"/>
        </w:rPr>
        <w:t>n terms of historical and social context, the reports were written during a period of intense Nazi expansion and occupation in Eastern Europe, where the Einsatzgruppen operated with impunity to carry out mass killings as part of Hitler's Final Solution.</w:t>
      </w:r>
      <w:r w:rsidR="006C5257" w:rsidRPr="00D93BB9">
        <w:rPr>
          <w:rStyle w:val="FootnoteReference"/>
          <w:rFonts w:ascii="Times New Roman" w:hAnsi="Times New Roman" w:cs="Times New Roman"/>
          <w:sz w:val="24"/>
          <w:szCs w:val="24"/>
        </w:rPr>
        <w:footnoteReference w:id="13"/>
      </w:r>
      <w:r w:rsidR="00821CA6" w:rsidRPr="00D93BB9">
        <w:rPr>
          <w:rFonts w:ascii="Times New Roman" w:hAnsi="Times New Roman" w:cs="Times New Roman"/>
          <w:sz w:val="24"/>
          <w:szCs w:val="24"/>
        </w:rPr>
        <w:t xml:space="preserve"> </w:t>
      </w:r>
    </w:p>
    <w:p w14:paraId="69AC7B76" w14:textId="77777777" w:rsidR="009D34D0" w:rsidRPr="00762CB3" w:rsidRDefault="009D34D0" w:rsidP="00F21B5E">
      <w:pPr>
        <w:rPr>
          <w:rFonts w:ascii="Times New Roman" w:hAnsi="Times New Roman" w:cs="Times New Roman"/>
          <w:sz w:val="24"/>
          <w:szCs w:val="24"/>
        </w:rPr>
      </w:pPr>
    </w:p>
    <w:p w14:paraId="15CF9CB5" w14:textId="77777777" w:rsidR="009D34D0" w:rsidRPr="00762CB3" w:rsidRDefault="009D34D0" w:rsidP="00F21B5E">
      <w:pPr>
        <w:rPr>
          <w:rFonts w:ascii="Times New Roman" w:hAnsi="Times New Roman" w:cs="Times New Roman"/>
          <w:sz w:val="24"/>
          <w:szCs w:val="24"/>
        </w:rPr>
      </w:pPr>
    </w:p>
    <w:p w14:paraId="2E0F54F5" w14:textId="77777777" w:rsidR="009D34D0" w:rsidRPr="00762CB3" w:rsidRDefault="009D34D0" w:rsidP="00F21B5E">
      <w:pPr>
        <w:rPr>
          <w:rFonts w:ascii="Times New Roman" w:hAnsi="Times New Roman" w:cs="Times New Roman"/>
          <w:sz w:val="24"/>
          <w:szCs w:val="24"/>
        </w:rPr>
      </w:pPr>
    </w:p>
    <w:p w14:paraId="7D39E40B" w14:textId="77777777" w:rsidR="009D34D0" w:rsidRPr="00762CB3" w:rsidRDefault="009D34D0" w:rsidP="00F21B5E">
      <w:pPr>
        <w:rPr>
          <w:rFonts w:ascii="Times New Roman" w:hAnsi="Times New Roman" w:cs="Times New Roman"/>
          <w:sz w:val="24"/>
          <w:szCs w:val="24"/>
        </w:rPr>
      </w:pPr>
    </w:p>
    <w:p w14:paraId="7BF12451" w14:textId="62F6FE18" w:rsidR="009D34D0" w:rsidRPr="00762CB3" w:rsidRDefault="009D34D0" w:rsidP="00F21B5E">
      <w:pPr>
        <w:rPr>
          <w:rFonts w:ascii="Times New Roman" w:hAnsi="Times New Roman" w:cs="Times New Roman"/>
          <w:sz w:val="24"/>
          <w:szCs w:val="24"/>
        </w:rPr>
      </w:pPr>
    </w:p>
    <w:p w14:paraId="7207C5C5" w14:textId="77777777" w:rsidR="009D34D0" w:rsidRPr="00762CB3" w:rsidRDefault="009D34D0" w:rsidP="00F21B5E">
      <w:pPr>
        <w:rPr>
          <w:rFonts w:ascii="Times New Roman" w:hAnsi="Times New Roman" w:cs="Times New Roman"/>
          <w:sz w:val="24"/>
          <w:szCs w:val="24"/>
        </w:rPr>
      </w:pPr>
    </w:p>
    <w:p w14:paraId="574D336E" w14:textId="77777777" w:rsidR="00746E8E" w:rsidRPr="00762CB3" w:rsidRDefault="00746E8E" w:rsidP="0032268A">
      <w:pPr>
        <w:rPr>
          <w:rFonts w:ascii="Times New Roman" w:hAnsi="Times New Roman" w:cs="Times New Roman"/>
          <w:sz w:val="24"/>
          <w:szCs w:val="24"/>
        </w:rPr>
      </w:pPr>
    </w:p>
    <w:p w14:paraId="01AA83A5" w14:textId="77777777" w:rsidR="00715CF0" w:rsidRPr="00762CB3" w:rsidRDefault="00715CF0" w:rsidP="00ED2CDD">
      <w:pPr>
        <w:rPr>
          <w:rFonts w:ascii="Times New Roman" w:hAnsi="Times New Roman" w:cs="Times New Roman"/>
          <w:sz w:val="24"/>
          <w:szCs w:val="24"/>
        </w:rPr>
      </w:pPr>
    </w:p>
    <w:p w14:paraId="4B22C52D" w14:textId="77777777" w:rsidR="00715CF0" w:rsidRPr="00762CB3" w:rsidRDefault="00715CF0" w:rsidP="00ED2CDD">
      <w:pPr>
        <w:rPr>
          <w:rFonts w:ascii="Times New Roman" w:hAnsi="Times New Roman" w:cs="Times New Roman"/>
          <w:sz w:val="24"/>
          <w:szCs w:val="24"/>
        </w:rPr>
      </w:pPr>
    </w:p>
    <w:p w14:paraId="4AA81245" w14:textId="5EC8744E" w:rsidR="00ED2CDD" w:rsidRPr="00762CB3" w:rsidRDefault="00715CF0" w:rsidP="00ED2CDD">
      <w:pPr>
        <w:rPr>
          <w:rFonts w:ascii="Times New Roman" w:hAnsi="Times New Roman" w:cs="Times New Roman"/>
          <w:sz w:val="24"/>
          <w:szCs w:val="24"/>
        </w:rPr>
      </w:pPr>
      <w:r w:rsidRPr="00762CB3">
        <w:rPr>
          <w:rFonts w:ascii="Times New Roman" w:hAnsi="Times New Roman" w:cs="Times New Roman"/>
          <w:sz w:val="24"/>
          <w:szCs w:val="24"/>
        </w:rPr>
        <w:t xml:space="preserve"> </w:t>
      </w:r>
    </w:p>
    <w:sectPr w:rsidR="00ED2CDD" w:rsidRPr="00762C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33A9D1" w14:textId="77777777" w:rsidR="007519CE" w:rsidRDefault="007519CE" w:rsidP="00554CDA">
      <w:pPr>
        <w:spacing w:after="0" w:line="240" w:lineRule="auto"/>
      </w:pPr>
      <w:r>
        <w:separator/>
      </w:r>
    </w:p>
  </w:endnote>
  <w:endnote w:type="continuationSeparator" w:id="0">
    <w:p w14:paraId="2D6029BE" w14:textId="77777777" w:rsidR="007519CE" w:rsidRDefault="007519CE" w:rsidP="0055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C90802" w14:textId="77777777" w:rsidR="007519CE" w:rsidRDefault="007519CE" w:rsidP="00554CDA">
      <w:pPr>
        <w:spacing w:after="0" w:line="240" w:lineRule="auto"/>
      </w:pPr>
      <w:r>
        <w:separator/>
      </w:r>
    </w:p>
  </w:footnote>
  <w:footnote w:type="continuationSeparator" w:id="0">
    <w:p w14:paraId="5B80E28C" w14:textId="77777777" w:rsidR="007519CE" w:rsidRDefault="007519CE" w:rsidP="00554CDA">
      <w:pPr>
        <w:spacing w:after="0" w:line="240" w:lineRule="auto"/>
      </w:pPr>
      <w:r>
        <w:continuationSeparator/>
      </w:r>
    </w:p>
  </w:footnote>
  <w:footnote w:id="1">
    <w:p w14:paraId="337E5E5A" w14:textId="29C75929" w:rsidR="002720E0" w:rsidRDefault="002720E0">
      <w:pPr>
        <w:pStyle w:val="FootnoteText"/>
      </w:pPr>
      <w:r>
        <w:rPr>
          <w:rStyle w:val="FootnoteReference"/>
        </w:rPr>
        <w:footnoteRef/>
      </w:r>
      <w:r>
        <w:t xml:space="preserve"> </w:t>
      </w:r>
      <w:r w:rsidR="00887AB8" w:rsidRPr="00887AB8">
        <w:t xml:space="preserve">Lawrence Graver, An Obsession with Anne Frank: Meyer Levin and the Diary (University of California Press, 1995) </w:t>
      </w:r>
      <w:hyperlink r:id="rId1" w:history="1">
        <w:r w:rsidR="00887AB8" w:rsidRPr="00D3548D">
          <w:rPr>
            <w:rStyle w:val="Hyperlink"/>
          </w:rPr>
          <w:t>https://doi.org/10.2307/jj.8085290</w:t>
        </w:r>
      </w:hyperlink>
      <w:r w:rsidR="00887AB8">
        <w:t xml:space="preserve">  (</w:t>
      </w:r>
      <w:r w:rsidR="00887AB8" w:rsidRPr="00887AB8">
        <w:t>accessed 29 July 2024</w:t>
      </w:r>
      <w:r w:rsidR="00887AB8">
        <w:t>)</w:t>
      </w:r>
      <w:r w:rsidR="00887AB8" w:rsidRPr="00887AB8">
        <w:t>.</w:t>
      </w:r>
    </w:p>
  </w:footnote>
  <w:footnote w:id="2">
    <w:p w14:paraId="02362A07" w14:textId="30C11B18" w:rsidR="00554CDA" w:rsidRDefault="00554CDA">
      <w:pPr>
        <w:pStyle w:val="FootnoteText"/>
      </w:pPr>
      <w:r>
        <w:rPr>
          <w:rStyle w:val="FootnoteReference"/>
        </w:rPr>
        <w:footnoteRef/>
      </w:r>
      <w:r>
        <w:t xml:space="preserve"> </w:t>
      </w:r>
      <w:r w:rsidR="00577A4C" w:rsidRPr="00577A4C">
        <w:t>Sonja Neef, ‘Authentic Events: The Diaries of Anne Frank and the Alleged Diaries of Adolf Hitler’, in Sign Here (The Netherlands: Amsterdam University Press, 2006), pp. 23-.</w:t>
      </w:r>
    </w:p>
  </w:footnote>
  <w:footnote w:id="3">
    <w:p w14:paraId="384B4E76" w14:textId="7AC2EBCB" w:rsidR="0033496C" w:rsidRDefault="0033496C">
      <w:pPr>
        <w:pStyle w:val="FootnoteText"/>
      </w:pPr>
      <w:r>
        <w:rPr>
          <w:rStyle w:val="FootnoteReference"/>
        </w:rPr>
        <w:footnoteRef/>
      </w:r>
      <w:r>
        <w:t xml:space="preserve"> </w:t>
      </w:r>
      <w:r w:rsidR="00571990" w:rsidRPr="00571990">
        <w:t xml:space="preserve">Mary Lane, </w:t>
      </w:r>
      <w:r w:rsidR="00571990">
        <w:t>‘</w:t>
      </w:r>
      <w:r w:rsidR="00571990" w:rsidRPr="00571990">
        <w:t xml:space="preserve">On Anne </w:t>
      </w:r>
      <w:r w:rsidR="00571990" w:rsidRPr="00571990">
        <w:t>Frank,</w:t>
      </w:r>
      <w:r w:rsidR="00571990">
        <w:t>’</w:t>
      </w:r>
      <w:r w:rsidR="00571990" w:rsidRPr="00571990">
        <w:t xml:space="preserve"> The</w:t>
      </w:r>
      <w:r w:rsidR="00571990" w:rsidRPr="00571990">
        <w:t xml:space="preserve"> English Journal 45, no. 5 (1956): 269–71, available at: </w:t>
      </w:r>
      <w:hyperlink r:id="rId2" w:history="1">
        <w:r w:rsidR="00571990" w:rsidRPr="00D3548D">
          <w:rPr>
            <w:rStyle w:val="Hyperlink"/>
          </w:rPr>
          <w:t>https://doi.org/10.2307/809409</w:t>
        </w:r>
      </w:hyperlink>
      <w:r w:rsidR="00571990">
        <w:t xml:space="preserve"> </w:t>
      </w:r>
      <w:r w:rsidR="00571990" w:rsidRPr="00571990">
        <w:t xml:space="preserve"> </w:t>
      </w:r>
      <w:r w:rsidR="00571990">
        <w:t>(</w:t>
      </w:r>
      <w:r w:rsidR="00571990" w:rsidRPr="00571990">
        <w:t>Accessed 29 July 2024</w:t>
      </w:r>
      <w:r w:rsidR="00571990">
        <w:t>).</w:t>
      </w:r>
    </w:p>
  </w:footnote>
  <w:footnote w:id="4">
    <w:p w14:paraId="1F01F7AE" w14:textId="14DFC063" w:rsidR="00036ADB" w:rsidRDefault="00036ADB">
      <w:pPr>
        <w:pStyle w:val="FootnoteText"/>
      </w:pPr>
      <w:r>
        <w:rPr>
          <w:rStyle w:val="FootnoteReference"/>
        </w:rPr>
        <w:footnoteRef/>
      </w:r>
      <w:r>
        <w:t xml:space="preserve"> </w:t>
      </w:r>
      <w:r w:rsidR="00485756" w:rsidRPr="00485756">
        <w:t xml:space="preserve">James, Ernest C., </w:t>
      </w:r>
      <w:r w:rsidR="00485756">
        <w:t>‘</w:t>
      </w:r>
      <w:r w:rsidR="00485756" w:rsidRPr="00485756">
        <w:t>Liberation of the Nordhausen Concentration Camp, World War II,</w:t>
      </w:r>
      <w:r w:rsidR="00485756">
        <w:t>’</w:t>
      </w:r>
      <w:r w:rsidR="00485756" w:rsidRPr="00485756">
        <w:t xml:space="preserve"> The Military Engineer 82, no. 538 (1990): 59–61, available at: </w:t>
      </w:r>
      <w:hyperlink r:id="rId3" w:history="1">
        <w:r w:rsidR="00485756" w:rsidRPr="00D3548D">
          <w:rPr>
            <w:rStyle w:val="Hyperlink"/>
          </w:rPr>
          <w:t>http://www.jstor.org/stable/44552496</w:t>
        </w:r>
      </w:hyperlink>
      <w:r w:rsidR="00485756">
        <w:t xml:space="preserve">  </w:t>
      </w:r>
      <w:r w:rsidR="00485756" w:rsidRPr="00485756">
        <w:t>(</w:t>
      </w:r>
      <w:r w:rsidR="00485756" w:rsidRPr="00485756">
        <w:t>Accessed 29 July 2024</w:t>
      </w:r>
      <w:r w:rsidR="00485756">
        <w:t>).</w:t>
      </w:r>
    </w:p>
  </w:footnote>
  <w:footnote w:id="5">
    <w:p w14:paraId="1A77ECC4" w14:textId="0B55CC61" w:rsidR="00827F88" w:rsidRDefault="00827F88">
      <w:pPr>
        <w:pStyle w:val="FootnoteText"/>
      </w:pPr>
      <w:r>
        <w:rPr>
          <w:rStyle w:val="FootnoteReference"/>
        </w:rPr>
        <w:footnoteRef/>
      </w:r>
      <w:r>
        <w:t xml:space="preserve"> </w:t>
      </w:r>
      <w:r w:rsidR="00D12F87" w:rsidRPr="00D12F87">
        <w:t xml:space="preserve">Neumann, Klaus, </w:t>
      </w:r>
      <w:r w:rsidR="00D12F87">
        <w:t>‘</w:t>
      </w:r>
      <w:r w:rsidR="00D12F87" w:rsidRPr="00D12F87">
        <w:t>Goethe, Buchenwald, and the New Germany,</w:t>
      </w:r>
      <w:r w:rsidR="00D12F87">
        <w:t>’</w:t>
      </w:r>
      <w:r w:rsidR="00D12F87" w:rsidRPr="00D12F87">
        <w:t xml:space="preserve"> German Politics &amp; Society 17, no. 1 (50) (1999): 55–83, available at: </w:t>
      </w:r>
      <w:hyperlink r:id="rId4" w:history="1">
        <w:r w:rsidR="00D12F87" w:rsidRPr="00D3548D">
          <w:rPr>
            <w:rStyle w:val="Hyperlink"/>
          </w:rPr>
          <w:t>http://www.jstor.org/stable/23737344</w:t>
        </w:r>
      </w:hyperlink>
      <w:r w:rsidR="00D12F87">
        <w:t xml:space="preserve">  (</w:t>
      </w:r>
      <w:r w:rsidR="00D12F87" w:rsidRPr="00D12F87">
        <w:t>Accessed 29 July 2024</w:t>
      </w:r>
      <w:r w:rsidR="00D12F87">
        <w:t>).</w:t>
      </w:r>
    </w:p>
  </w:footnote>
  <w:footnote w:id="6">
    <w:p w14:paraId="5D91128C" w14:textId="5F602F02" w:rsidR="00307A30" w:rsidRDefault="00307A30">
      <w:pPr>
        <w:pStyle w:val="FootnoteText"/>
      </w:pPr>
      <w:r>
        <w:rPr>
          <w:rStyle w:val="FootnoteReference"/>
        </w:rPr>
        <w:footnoteRef/>
      </w:r>
      <w:r>
        <w:t xml:space="preserve"> </w:t>
      </w:r>
      <w:r w:rsidR="00C22C99" w:rsidRPr="00C22C99">
        <w:t xml:space="preserve">Wagner, Jens-Christian, and Stephen Pallavicini, </w:t>
      </w:r>
      <w:r w:rsidR="00C22C99">
        <w:t>‘</w:t>
      </w:r>
      <w:r w:rsidR="00C22C99" w:rsidRPr="00C22C99">
        <w:t>Nordhausen,</w:t>
      </w:r>
      <w:r w:rsidR="00C22C99">
        <w:t>’</w:t>
      </w:r>
      <w:r w:rsidR="00C22C99" w:rsidRPr="00C22C99">
        <w:t xml:space="preserve"> The United States Holocaust Memorial Museum </w:t>
      </w:r>
      <w:r w:rsidR="00C22C99" w:rsidRPr="00C22C99">
        <w:t>Encyclopaedia</w:t>
      </w:r>
      <w:r w:rsidR="00C22C99" w:rsidRPr="00C22C99">
        <w:t xml:space="preserve"> of Camps and Ghettos, 1933-1945 (2009): 401–401.</w:t>
      </w:r>
    </w:p>
  </w:footnote>
  <w:footnote w:id="7">
    <w:p w14:paraId="5EB93EA3" w14:textId="2BAC3399" w:rsidR="00CB3FC4" w:rsidRDefault="00CB3FC4">
      <w:pPr>
        <w:pStyle w:val="FootnoteText"/>
      </w:pPr>
      <w:r>
        <w:rPr>
          <w:rStyle w:val="FootnoteReference"/>
        </w:rPr>
        <w:footnoteRef/>
      </w:r>
      <w:r>
        <w:t xml:space="preserve"> </w:t>
      </w:r>
      <w:r w:rsidR="00955E2B" w:rsidRPr="00955E2B">
        <w:t xml:space="preserve">Nathan Stoltzfus' work, the first name comes first in the footnote in MHRA style. Here is the corrected version: Nathan Stoltzfus, </w:t>
      </w:r>
      <w:r w:rsidR="00955E2B">
        <w:t>‘</w:t>
      </w:r>
      <w:r w:rsidR="00955E2B" w:rsidRPr="00955E2B">
        <w:t>SOCIETAL INFLUENCES ON THE PROMULGATION AND ENFORCEMENT OF THE NUREMBERG LAWS,</w:t>
      </w:r>
      <w:r w:rsidR="00955E2B">
        <w:t xml:space="preserve">’ </w:t>
      </w:r>
      <w:r w:rsidR="00955E2B" w:rsidRPr="00955E2B">
        <w:t xml:space="preserve">Soundings: An Interdisciplinary Journal 94, no. 3/4 (2011): 375–91, available at: </w:t>
      </w:r>
      <w:hyperlink r:id="rId5" w:history="1">
        <w:r w:rsidR="00955E2B" w:rsidRPr="00D3548D">
          <w:rPr>
            <w:rStyle w:val="Hyperlink"/>
          </w:rPr>
          <w:t>http://www.jstor.org/stable/41328531</w:t>
        </w:r>
      </w:hyperlink>
      <w:r w:rsidR="00955E2B">
        <w:t xml:space="preserve"> </w:t>
      </w:r>
      <w:r w:rsidR="00955E2B" w:rsidRPr="00955E2B">
        <w:t xml:space="preserve"> </w:t>
      </w:r>
      <w:r w:rsidR="00955E2B">
        <w:t>(</w:t>
      </w:r>
      <w:r w:rsidR="00955E2B" w:rsidRPr="00955E2B">
        <w:t>Accessed 29 July 2024</w:t>
      </w:r>
      <w:r w:rsidR="00955E2B">
        <w:t>).</w:t>
      </w:r>
    </w:p>
  </w:footnote>
  <w:footnote w:id="8">
    <w:p w14:paraId="5256BC4D" w14:textId="469FA2C3" w:rsidR="00CB3FC4" w:rsidRDefault="00CB3FC4">
      <w:pPr>
        <w:pStyle w:val="FootnoteText"/>
      </w:pPr>
      <w:r>
        <w:rPr>
          <w:rStyle w:val="FootnoteReference"/>
        </w:rPr>
        <w:footnoteRef/>
      </w:r>
      <w:r w:rsidR="008D792A" w:rsidRPr="008D792A">
        <w:t xml:space="preserve">Rachel E. Boaz, </w:t>
      </w:r>
      <w:r w:rsidR="008D792A">
        <w:t>‘</w:t>
      </w:r>
      <w:r w:rsidR="008D792A" w:rsidRPr="008D792A">
        <w:t>BLOOD AS METAPHOR AND SCIENCE IN THE NUREMBERG RACE LAWS,</w:t>
      </w:r>
      <w:r w:rsidR="008D792A">
        <w:t>’</w:t>
      </w:r>
      <w:r w:rsidR="008D792A" w:rsidRPr="008D792A">
        <w:t xml:space="preserve"> In Search of “Aryan Blood”: Serology in Interwar and National Socialist Germany, NED-New edition, 1, Central European University Press, 2012, pp. 149–86, available at: </w:t>
      </w:r>
      <w:hyperlink r:id="rId6" w:history="1">
        <w:r w:rsidR="008D792A" w:rsidRPr="00D3548D">
          <w:rPr>
            <w:rStyle w:val="Hyperlink"/>
          </w:rPr>
          <w:t>h</w:t>
        </w:r>
        <w:r w:rsidR="008D792A" w:rsidRPr="00D3548D">
          <w:rPr>
            <w:rStyle w:val="Hyperlink"/>
          </w:rPr>
          <w:t>ttp://www.jstor.org/stable/10.7829/j.ctt1282zr.11</w:t>
        </w:r>
      </w:hyperlink>
      <w:r w:rsidR="008D792A">
        <w:t xml:space="preserve">   (</w:t>
      </w:r>
      <w:r w:rsidR="008D792A" w:rsidRPr="008D792A">
        <w:t>Accessed 29 July 2024</w:t>
      </w:r>
      <w:r w:rsidR="008D792A">
        <w:t>).</w:t>
      </w:r>
    </w:p>
  </w:footnote>
  <w:footnote w:id="9">
    <w:p w14:paraId="4EB47F11" w14:textId="601512CE" w:rsidR="0010267B" w:rsidRDefault="0010267B">
      <w:pPr>
        <w:pStyle w:val="FootnoteText"/>
      </w:pPr>
      <w:r>
        <w:rPr>
          <w:rStyle w:val="FootnoteReference"/>
        </w:rPr>
        <w:footnoteRef/>
      </w:r>
      <w:r>
        <w:t xml:space="preserve"> </w:t>
      </w:r>
      <w:r w:rsidR="00DF1C8C" w:rsidRPr="00DF1C8C">
        <w:t xml:space="preserve">Joseph Tenenbaum, </w:t>
      </w:r>
      <w:r w:rsidR="00DF1C8C">
        <w:t>‘</w:t>
      </w:r>
      <w:r w:rsidR="00DF1C8C" w:rsidRPr="00DF1C8C">
        <w:t>The Einsatzgruppen,</w:t>
      </w:r>
      <w:r w:rsidR="00DF1C8C">
        <w:t>’</w:t>
      </w:r>
      <w:r w:rsidR="00DF1C8C" w:rsidRPr="00DF1C8C">
        <w:t xml:space="preserve"> Jewish Social Studies 17, no. 1 (1955): 43–64, available at: </w:t>
      </w:r>
      <w:hyperlink r:id="rId7" w:history="1">
        <w:r w:rsidR="00DF1C8C" w:rsidRPr="00D3548D">
          <w:rPr>
            <w:rStyle w:val="Hyperlink"/>
          </w:rPr>
          <w:t>http://www.jstor.org/stable/4465300</w:t>
        </w:r>
      </w:hyperlink>
      <w:r w:rsidR="00DF1C8C">
        <w:t xml:space="preserve"> (</w:t>
      </w:r>
      <w:r w:rsidR="00DF1C8C" w:rsidRPr="00DF1C8C">
        <w:t>Accessed 29 July 2024</w:t>
      </w:r>
      <w:r w:rsidR="00DF1C8C">
        <w:t>).</w:t>
      </w:r>
    </w:p>
  </w:footnote>
  <w:footnote w:id="10">
    <w:p w14:paraId="069B3DD0" w14:textId="3FFE849A" w:rsidR="0010267B" w:rsidRDefault="0010267B">
      <w:pPr>
        <w:pStyle w:val="FootnoteText"/>
      </w:pPr>
      <w:r>
        <w:rPr>
          <w:rStyle w:val="FootnoteReference"/>
        </w:rPr>
        <w:footnoteRef/>
      </w:r>
      <w:r>
        <w:t xml:space="preserve"> </w:t>
      </w:r>
      <w:r w:rsidR="0069619C" w:rsidRPr="0069619C">
        <w:t xml:space="preserve">Peter </w:t>
      </w:r>
      <w:bookmarkStart w:id="1" w:name="_Hlk173165678"/>
      <w:r w:rsidR="0069619C" w:rsidRPr="0069619C">
        <w:t>Fritzsche</w:t>
      </w:r>
      <w:bookmarkEnd w:id="1"/>
      <w:r w:rsidR="0069619C" w:rsidRPr="0069619C">
        <w:t xml:space="preserve">, </w:t>
      </w:r>
      <w:r w:rsidR="0069619C">
        <w:t>‘</w:t>
      </w:r>
      <w:r w:rsidR="0069619C" w:rsidRPr="0069619C">
        <w:t>The Holocaust and the Knowledge of Murder,</w:t>
      </w:r>
      <w:r w:rsidR="0069619C">
        <w:t>’</w:t>
      </w:r>
      <w:r w:rsidR="0069619C" w:rsidRPr="0069619C">
        <w:t xml:space="preserve"> The Journal of Modern History 80, no. 3 (2008): 594–613, available at: </w:t>
      </w:r>
      <w:hyperlink r:id="rId8" w:history="1">
        <w:r w:rsidR="0069619C" w:rsidRPr="00D3548D">
          <w:rPr>
            <w:rStyle w:val="Hyperlink"/>
          </w:rPr>
          <w:t>https://doi.org/10.1086/589592</w:t>
        </w:r>
      </w:hyperlink>
      <w:r w:rsidR="0069619C">
        <w:t xml:space="preserve"> </w:t>
      </w:r>
      <w:r w:rsidR="0069619C" w:rsidRPr="0069619C">
        <w:t xml:space="preserve"> </w:t>
      </w:r>
      <w:r w:rsidR="0069619C">
        <w:t>(</w:t>
      </w:r>
      <w:r w:rsidR="0069619C" w:rsidRPr="0069619C">
        <w:t>Accessed 29 July 2024</w:t>
      </w:r>
      <w:r w:rsidR="0069619C">
        <w:t>).</w:t>
      </w:r>
    </w:p>
  </w:footnote>
  <w:footnote w:id="11">
    <w:p w14:paraId="27F74805" w14:textId="645D29E9" w:rsidR="0010267B" w:rsidRDefault="0010267B">
      <w:pPr>
        <w:pStyle w:val="FootnoteText"/>
      </w:pPr>
      <w:r>
        <w:rPr>
          <w:rStyle w:val="FootnoteReference"/>
        </w:rPr>
        <w:footnoteRef/>
      </w:r>
      <w:r>
        <w:t xml:space="preserve"> </w:t>
      </w:r>
      <w:r w:rsidR="007C6BC9" w:rsidRPr="007C6BC9">
        <w:t xml:space="preserve">Witold Wojciech </w:t>
      </w:r>
      <w:proofErr w:type="spellStart"/>
      <w:r w:rsidR="007C6BC9" w:rsidRPr="007C6BC9">
        <w:t>Mędykowski</w:t>
      </w:r>
      <w:proofErr w:type="spellEnd"/>
      <w:r w:rsidR="007C6BC9" w:rsidRPr="007C6BC9">
        <w:t xml:space="preserve">, </w:t>
      </w:r>
      <w:r w:rsidR="007C6BC9">
        <w:t>‘</w:t>
      </w:r>
      <w:r w:rsidR="007C6BC9" w:rsidRPr="007C6BC9">
        <w:t>The War in the East: Galicia during the First Weeks of the War,</w:t>
      </w:r>
      <w:r w:rsidR="007C6BC9">
        <w:t>’</w:t>
      </w:r>
      <w:r w:rsidR="007C6BC9" w:rsidRPr="007C6BC9">
        <w:t xml:space="preserve"> in Macht Arbeit </w:t>
      </w:r>
      <w:proofErr w:type="gramStart"/>
      <w:r w:rsidR="007C6BC9" w:rsidRPr="007C6BC9">
        <w:t>Frei?:</w:t>
      </w:r>
      <w:proofErr w:type="gramEnd"/>
      <w:r w:rsidR="007C6BC9" w:rsidRPr="007C6BC9">
        <w:t xml:space="preserve"> German Economic Policy and Forced Labor of Jews in the General Government, 1939-1943, Academic Studies Press, 2018, pp. 181–92, available at: </w:t>
      </w:r>
      <w:hyperlink r:id="rId9" w:history="1">
        <w:r w:rsidR="007C6BC9" w:rsidRPr="00D3548D">
          <w:rPr>
            <w:rStyle w:val="Hyperlink"/>
          </w:rPr>
          <w:t>https://doi.org/10.2307/j.ctv75d8v5.9</w:t>
        </w:r>
      </w:hyperlink>
      <w:r w:rsidR="007C6BC9">
        <w:t xml:space="preserve"> </w:t>
      </w:r>
      <w:r w:rsidR="007C6BC9" w:rsidRPr="007C6BC9">
        <w:t xml:space="preserve"> </w:t>
      </w:r>
      <w:r w:rsidR="007C6BC9">
        <w:t>(</w:t>
      </w:r>
      <w:r w:rsidR="007C6BC9" w:rsidRPr="007C6BC9">
        <w:t>Accessed 29 July 2024</w:t>
      </w:r>
      <w:r w:rsidR="007C6BC9">
        <w:t>).</w:t>
      </w:r>
    </w:p>
  </w:footnote>
  <w:footnote w:id="12">
    <w:p w14:paraId="208B3358" w14:textId="70679F67" w:rsidR="0010267B" w:rsidRDefault="0010267B">
      <w:pPr>
        <w:pStyle w:val="FootnoteText"/>
      </w:pPr>
      <w:r>
        <w:rPr>
          <w:rStyle w:val="FootnoteReference"/>
        </w:rPr>
        <w:footnoteRef/>
      </w:r>
      <w:r>
        <w:t xml:space="preserve"> </w:t>
      </w:r>
      <w:r w:rsidR="00514CFC" w:rsidRPr="00514CFC">
        <w:t xml:space="preserve">Michael J. </w:t>
      </w:r>
      <w:proofErr w:type="spellStart"/>
      <w:r w:rsidR="00514CFC" w:rsidRPr="00514CFC">
        <w:t>Bazyler</w:t>
      </w:r>
      <w:proofErr w:type="spellEnd"/>
      <w:r w:rsidR="00514CFC" w:rsidRPr="00514CFC">
        <w:t xml:space="preserve"> and Frank M. </w:t>
      </w:r>
      <w:proofErr w:type="spellStart"/>
      <w:r w:rsidR="00514CFC" w:rsidRPr="00514CFC">
        <w:t>Tuerkheimer</w:t>
      </w:r>
      <w:proofErr w:type="spellEnd"/>
      <w:r w:rsidR="00514CFC" w:rsidRPr="00514CFC">
        <w:t xml:space="preserve">, </w:t>
      </w:r>
      <w:r w:rsidR="00514CFC">
        <w:t>‘</w:t>
      </w:r>
      <w:r w:rsidR="00514CFC" w:rsidRPr="00514CFC">
        <w:t>The Einsatzgruppen Trial at Nuremberg: Did Anyone Have to Follow Orders to Kill?</w:t>
      </w:r>
      <w:r w:rsidR="00514CFC">
        <w:t>’</w:t>
      </w:r>
      <w:r w:rsidR="00514CFC" w:rsidRPr="00514CFC">
        <w:t xml:space="preserve"> in Forgotten Trials of the Holocaust, NYU Press, 2014, pp. 159–93, available at: http://www.jstor.org/stable/j.ctt9qfr64.10 </w:t>
      </w:r>
      <w:r w:rsidR="00514CFC">
        <w:t>(</w:t>
      </w:r>
      <w:r w:rsidR="00514CFC" w:rsidRPr="00514CFC">
        <w:t>Accessed 29 July 2024</w:t>
      </w:r>
      <w:r w:rsidR="00514CFC">
        <w:t>).</w:t>
      </w:r>
    </w:p>
  </w:footnote>
  <w:footnote w:id="13">
    <w:p w14:paraId="0319AB7D" w14:textId="40735D1B" w:rsidR="006C5257" w:rsidRDefault="006C5257">
      <w:pPr>
        <w:pStyle w:val="FootnoteText"/>
      </w:pPr>
      <w:r>
        <w:rPr>
          <w:rStyle w:val="FootnoteReference"/>
        </w:rPr>
        <w:footnoteRef/>
      </w:r>
      <w:r>
        <w:t xml:space="preserve"> </w:t>
      </w:r>
      <w:r w:rsidR="00657295" w:rsidRPr="00657295">
        <w:t xml:space="preserve">Kurt R. Grossmann, </w:t>
      </w:r>
      <w:r w:rsidR="00657295">
        <w:t>‘</w:t>
      </w:r>
      <w:r w:rsidR="00657295" w:rsidRPr="00657295">
        <w:t>The Final Solution</w:t>
      </w:r>
      <w:r w:rsidR="00657295">
        <w:t>,’</w:t>
      </w:r>
      <w:r w:rsidR="00657295" w:rsidRPr="00657295">
        <w:t xml:space="preserve"> The Antioch Review 15, no. 1 (1955): 55–72, available at: https://doi.org/10.2307/4609769 </w:t>
      </w:r>
      <w:r w:rsidR="00657295">
        <w:t>(</w:t>
      </w:r>
      <w:r w:rsidR="00657295" w:rsidRPr="00657295">
        <w:t>Accessed 29 July 2024</w:t>
      </w:r>
      <w:r w:rsidR="00657295">
        <w:t>)</w:t>
      </w:r>
      <w:r w:rsidR="00657295" w:rsidRPr="00657295">
        <w:t>.</w:t>
      </w:r>
    </w:p>
    <w:p w14:paraId="156F730C" w14:textId="77777777" w:rsidR="009120F2" w:rsidRDefault="009120F2">
      <w:pPr>
        <w:pStyle w:val="FootnoteText"/>
      </w:pPr>
    </w:p>
    <w:p w14:paraId="24A6E012" w14:textId="77777777" w:rsidR="009B1B89" w:rsidRDefault="009B1B89">
      <w:pPr>
        <w:pStyle w:val="FootnoteText"/>
        <w:rPr>
          <w:rFonts w:ascii="Times New Roman" w:hAnsi="Times New Roman" w:cs="Times New Roman"/>
          <w:sz w:val="24"/>
          <w:szCs w:val="24"/>
        </w:rPr>
      </w:pPr>
    </w:p>
    <w:p w14:paraId="5884BBB2" w14:textId="77777777" w:rsidR="009B1B89" w:rsidRDefault="009B1B89">
      <w:pPr>
        <w:pStyle w:val="FootnoteText"/>
        <w:rPr>
          <w:rFonts w:ascii="Times New Roman" w:hAnsi="Times New Roman" w:cs="Times New Roman"/>
          <w:sz w:val="24"/>
          <w:szCs w:val="24"/>
        </w:rPr>
      </w:pPr>
    </w:p>
    <w:p w14:paraId="596F09FE" w14:textId="77777777" w:rsidR="009B1B89" w:rsidRDefault="009B1B89">
      <w:pPr>
        <w:pStyle w:val="FootnoteText"/>
        <w:rPr>
          <w:rFonts w:ascii="Times New Roman" w:hAnsi="Times New Roman" w:cs="Times New Roman"/>
          <w:sz w:val="24"/>
          <w:szCs w:val="24"/>
        </w:rPr>
      </w:pPr>
    </w:p>
    <w:p w14:paraId="744D3B23" w14:textId="77777777" w:rsidR="009B1B89" w:rsidRDefault="009B1B89">
      <w:pPr>
        <w:pStyle w:val="FootnoteText"/>
        <w:rPr>
          <w:rFonts w:ascii="Times New Roman" w:hAnsi="Times New Roman" w:cs="Times New Roman"/>
          <w:sz w:val="24"/>
          <w:szCs w:val="24"/>
        </w:rPr>
      </w:pPr>
    </w:p>
    <w:p w14:paraId="14E087B8" w14:textId="1A193208" w:rsidR="009120F2" w:rsidRPr="00D93BB9" w:rsidRDefault="009120F2">
      <w:pPr>
        <w:pStyle w:val="FootnoteText"/>
        <w:rPr>
          <w:rFonts w:ascii="Times New Roman" w:hAnsi="Times New Roman" w:cs="Times New Roman"/>
          <w:sz w:val="24"/>
          <w:szCs w:val="24"/>
          <w:u w:val="single"/>
        </w:rPr>
      </w:pPr>
      <w:r w:rsidRPr="00D93BB9">
        <w:rPr>
          <w:rFonts w:ascii="Times New Roman" w:hAnsi="Times New Roman" w:cs="Times New Roman"/>
          <w:sz w:val="24"/>
          <w:szCs w:val="24"/>
          <w:u w:val="single"/>
        </w:rPr>
        <w:t xml:space="preserve">Bibliography </w:t>
      </w:r>
    </w:p>
    <w:p w14:paraId="7585820E" w14:textId="5ED99E45" w:rsidR="009120F2" w:rsidRPr="003E227D" w:rsidRDefault="009120F2" w:rsidP="009120F2">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Lawrence Graver, An Obsession with Anne Frank: Meyer Levin and the Diary (University of California Press, 1995) </w:t>
      </w:r>
      <w:r w:rsidRPr="003E227D">
        <w:rPr>
          <w:rFonts w:ascii="Times New Roman" w:hAnsi="Times New Roman" w:cs="Times New Roman"/>
          <w:sz w:val="24"/>
          <w:szCs w:val="24"/>
        </w:rPr>
        <w:t>(</w:t>
      </w:r>
      <w:r w:rsidRPr="003E227D">
        <w:rPr>
          <w:rFonts w:ascii="Times New Roman" w:hAnsi="Times New Roman" w:cs="Times New Roman"/>
          <w:sz w:val="24"/>
          <w:szCs w:val="24"/>
        </w:rPr>
        <w:t>Accessed 29 July 2024</w:t>
      </w:r>
      <w:r w:rsidRPr="003E227D">
        <w:rPr>
          <w:rFonts w:ascii="Times New Roman" w:hAnsi="Times New Roman" w:cs="Times New Roman"/>
          <w:sz w:val="24"/>
          <w:szCs w:val="24"/>
        </w:rPr>
        <w:t>).</w:t>
      </w:r>
    </w:p>
    <w:p w14:paraId="1DDB37B8" w14:textId="77777777" w:rsidR="009120F2" w:rsidRPr="003E227D" w:rsidRDefault="009120F2" w:rsidP="009120F2">
      <w:pPr>
        <w:pStyle w:val="FootnoteText"/>
        <w:rPr>
          <w:rFonts w:ascii="Times New Roman" w:hAnsi="Times New Roman" w:cs="Times New Roman"/>
          <w:sz w:val="24"/>
          <w:szCs w:val="24"/>
        </w:rPr>
      </w:pPr>
    </w:p>
    <w:p w14:paraId="7DF53F38" w14:textId="77777777" w:rsidR="009120F2" w:rsidRPr="003E227D" w:rsidRDefault="009120F2" w:rsidP="009120F2">
      <w:pPr>
        <w:pStyle w:val="FootnoteText"/>
        <w:rPr>
          <w:rFonts w:ascii="Times New Roman" w:hAnsi="Times New Roman" w:cs="Times New Roman"/>
          <w:sz w:val="24"/>
          <w:szCs w:val="24"/>
        </w:rPr>
      </w:pPr>
      <w:r w:rsidRPr="003E227D">
        <w:rPr>
          <w:rFonts w:ascii="Times New Roman" w:hAnsi="Times New Roman" w:cs="Times New Roman"/>
          <w:sz w:val="24"/>
          <w:szCs w:val="24"/>
        </w:rPr>
        <w:t>Sonja Neef, 'Authentic Events: The Diaries of Anne Frank and the Alleged Diaries of Adolf Hitler', in Sign Here (The Netherlands: Amsterdam University Press, 2006), pp. 23-.</w:t>
      </w:r>
    </w:p>
    <w:p w14:paraId="44873C15" w14:textId="77777777" w:rsidR="009120F2" w:rsidRPr="003E227D" w:rsidRDefault="009120F2" w:rsidP="009120F2">
      <w:pPr>
        <w:pStyle w:val="FootnoteText"/>
        <w:rPr>
          <w:rFonts w:ascii="Times New Roman" w:hAnsi="Times New Roman" w:cs="Times New Roman"/>
          <w:sz w:val="24"/>
          <w:szCs w:val="24"/>
        </w:rPr>
      </w:pPr>
    </w:p>
    <w:p w14:paraId="09EA8D34" w14:textId="6EF400B0" w:rsidR="009120F2" w:rsidRPr="003E227D" w:rsidRDefault="009120F2" w:rsidP="009120F2">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Mary Lane, 'On Anne Frank,' The English Journal 45, no. 5 (1956): 269–71, available at: </w:t>
      </w:r>
      <w:r w:rsidRPr="003E227D">
        <w:rPr>
          <w:rFonts w:ascii="Times New Roman" w:hAnsi="Times New Roman" w:cs="Times New Roman"/>
          <w:sz w:val="24"/>
          <w:szCs w:val="24"/>
        </w:rPr>
        <w:t>(</w:t>
      </w:r>
      <w:r w:rsidRPr="003E227D">
        <w:rPr>
          <w:rFonts w:ascii="Times New Roman" w:hAnsi="Times New Roman" w:cs="Times New Roman"/>
          <w:sz w:val="24"/>
          <w:szCs w:val="24"/>
        </w:rPr>
        <w:t>Accessed 29 July 2024</w:t>
      </w:r>
      <w:r w:rsidRPr="003E227D">
        <w:rPr>
          <w:rFonts w:ascii="Times New Roman" w:hAnsi="Times New Roman" w:cs="Times New Roman"/>
          <w:sz w:val="24"/>
          <w:szCs w:val="24"/>
        </w:rPr>
        <w:t>).</w:t>
      </w:r>
    </w:p>
    <w:p w14:paraId="0E9CCD47" w14:textId="77777777" w:rsidR="00A80299" w:rsidRPr="003E227D" w:rsidRDefault="00A80299" w:rsidP="009120F2">
      <w:pPr>
        <w:pStyle w:val="FootnoteText"/>
        <w:rPr>
          <w:rFonts w:ascii="Times New Roman" w:hAnsi="Times New Roman" w:cs="Times New Roman"/>
          <w:sz w:val="24"/>
          <w:szCs w:val="24"/>
        </w:rPr>
      </w:pPr>
    </w:p>
    <w:p w14:paraId="4D013AFC" w14:textId="3745CA2F" w:rsidR="00A80299" w:rsidRPr="003E227D" w:rsidRDefault="00A80299" w:rsidP="00A80299">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James, Ernest C., ‘Liberation of the Nordhausen Concentration Camp, World War II,’ The Military Engineer 82, no. 538 (1990): 59–61, available at: </w:t>
      </w:r>
      <w:hyperlink r:id="rId10" w:history="1">
        <w:r w:rsidRPr="003E227D">
          <w:rPr>
            <w:rStyle w:val="Hyperlink"/>
            <w:rFonts w:ascii="Times New Roman" w:hAnsi="Times New Roman" w:cs="Times New Roman"/>
            <w:sz w:val="24"/>
            <w:szCs w:val="24"/>
          </w:rPr>
          <w:t>http://www.jstor.org/stable/44552496</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4340BAA0" w14:textId="77777777" w:rsidR="00A80299" w:rsidRPr="003E227D" w:rsidRDefault="00A80299" w:rsidP="00A80299">
      <w:pPr>
        <w:pStyle w:val="FootnoteText"/>
        <w:rPr>
          <w:rFonts w:ascii="Times New Roman" w:hAnsi="Times New Roman" w:cs="Times New Roman"/>
          <w:sz w:val="24"/>
          <w:szCs w:val="24"/>
        </w:rPr>
      </w:pPr>
    </w:p>
    <w:p w14:paraId="199E30FB" w14:textId="318DD870" w:rsidR="00A80299" w:rsidRPr="003E227D" w:rsidRDefault="00A80299" w:rsidP="00A80299">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Neumann, Klaus, ‘Goethe, Buchenwald, and the New Germany,’ German Politics &amp; Society 17, no. 1 (50) (1999): 55–83, available at: </w:t>
      </w:r>
      <w:hyperlink r:id="rId11" w:history="1">
        <w:r w:rsidRPr="003E227D">
          <w:rPr>
            <w:rStyle w:val="Hyperlink"/>
            <w:rFonts w:ascii="Times New Roman" w:hAnsi="Times New Roman" w:cs="Times New Roman"/>
            <w:sz w:val="24"/>
            <w:szCs w:val="24"/>
          </w:rPr>
          <w:t>http://www.jstor.org/stable/23737344</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06943635" w14:textId="77777777" w:rsidR="00A80299" w:rsidRPr="003E227D" w:rsidRDefault="00A80299" w:rsidP="00A80299">
      <w:pPr>
        <w:pStyle w:val="FootnoteText"/>
        <w:rPr>
          <w:rFonts w:ascii="Times New Roman" w:hAnsi="Times New Roman" w:cs="Times New Roman"/>
          <w:sz w:val="24"/>
          <w:szCs w:val="24"/>
        </w:rPr>
      </w:pPr>
    </w:p>
    <w:p w14:paraId="69C541D4" w14:textId="47DF470E" w:rsidR="00A8446B" w:rsidRPr="003E227D" w:rsidRDefault="00A8446B" w:rsidP="00A80299">
      <w:pPr>
        <w:pStyle w:val="FootnoteText"/>
        <w:rPr>
          <w:rFonts w:ascii="Times New Roman" w:hAnsi="Times New Roman" w:cs="Times New Roman"/>
          <w:sz w:val="24"/>
          <w:szCs w:val="24"/>
        </w:rPr>
      </w:pPr>
      <w:r w:rsidRPr="003E227D">
        <w:rPr>
          <w:rFonts w:ascii="Times New Roman" w:hAnsi="Times New Roman" w:cs="Times New Roman"/>
          <w:sz w:val="24"/>
          <w:szCs w:val="24"/>
        </w:rPr>
        <w:t>Wagner, Jens-Christian, and Stephen Pallavicini, ‘Nordhausen,’ The United States Holocaust Memorial Museum Encyclopaedia of Camps and Ghettos, 1933-1945 (2009): 401–401.</w:t>
      </w:r>
    </w:p>
    <w:p w14:paraId="107CC1F7" w14:textId="77777777" w:rsidR="00233A2B" w:rsidRPr="003E227D" w:rsidRDefault="00233A2B" w:rsidP="00A80299">
      <w:pPr>
        <w:pStyle w:val="FootnoteText"/>
        <w:rPr>
          <w:rFonts w:ascii="Times New Roman" w:hAnsi="Times New Roman" w:cs="Times New Roman"/>
          <w:sz w:val="24"/>
          <w:szCs w:val="24"/>
        </w:rPr>
      </w:pPr>
    </w:p>
    <w:p w14:paraId="1B81B6F0" w14:textId="0A4EFC58" w:rsidR="00233A2B" w:rsidRPr="003E227D" w:rsidRDefault="00233A2B" w:rsidP="00233A2B">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Stoltzfus, Nathan, ‘SOCIETAL INFLUENCES ON THE PROMULGATION AND ENFORCEMENT OF THE NUREMBERG LAWS,’ Soundings: An Interdisciplinary Journal 94, no. 3/4 (2011): 375–91, available at: </w:t>
      </w:r>
      <w:hyperlink r:id="rId12" w:history="1">
        <w:r w:rsidRPr="003E227D">
          <w:rPr>
            <w:rStyle w:val="Hyperlink"/>
            <w:rFonts w:ascii="Times New Roman" w:hAnsi="Times New Roman" w:cs="Times New Roman"/>
            <w:sz w:val="24"/>
            <w:szCs w:val="24"/>
          </w:rPr>
          <w:t>http://www.jstor.org/stable/41328531</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5A53D6D3" w14:textId="77777777" w:rsidR="00233A2B" w:rsidRPr="003E227D" w:rsidRDefault="00233A2B" w:rsidP="00233A2B">
      <w:pPr>
        <w:pStyle w:val="FootnoteText"/>
        <w:rPr>
          <w:rFonts w:ascii="Times New Roman" w:hAnsi="Times New Roman" w:cs="Times New Roman"/>
          <w:sz w:val="24"/>
          <w:szCs w:val="24"/>
        </w:rPr>
      </w:pPr>
    </w:p>
    <w:p w14:paraId="6C5C5D48" w14:textId="4ABC0A53" w:rsidR="00233A2B" w:rsidRPr="003E227D" w:rsidRDefault="00233A2B" w:rsidP="00233A2B">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Boaz, Rachel E., ‘BLOOD AS METAPHOR AND SCIENCE IN THE NUREMBERG RACE LAWS,’ In Search of “Aryan Blood”: Serology in Interwar and National Socialist Germany, NED-New edition, 1, Central European University Press, 2012, pp. 149–86, available at: </w:t>
      </w:r>
      <w:hyperlink r:id="rId13" w:history="1">
        <w:r w:rsidRPr="003E227D">
          <w:rPr>
            <w:rStyle w:val="Hyperlink"/>
            <w:rFonts w:ascii="Times New Roman" w:hAnsi="Times New Roman" w:cs="Times New Roman"/>
            <w:sz w:val="24"/>
            <w:szCs w:val="24"/>
          </w:rPr>
          <w:t>http://www.jstor.org/stable/10.7829/j.ctt1282zr.11</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748CEFCD" w14:textId="77777777" w:rsidR="00821CA6" w:rsidRPr="003E227D" w:rsidRDefault="00821CA6" w:rsidP="00821CA6">
      <w:pPr>
        <w:pStyle w:val="FootnoteText"/>
        <w:rPr>
          <w:rFonts w:ascii="Times New Roman" w:hAnsi="Times New Roman" w:cs="Times New Roman"/>
          <w:sz w:val="24"/>
          <w:szCs w:val="24"/>
        </w:rPr>
      </w:pPr>
    </w:p>
    <w:p w14:paraId="293BCC4A" w14:textId="684D323B" w:rsidR="00821CA6" w:rsidRPr="003E227D" w:rsidRDefault="00821CA6" w:rsidP="00821CA6">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Tenenbaum, Joseph. 'The Einsatzgruppen.' Jewish Social Studies 17, no. 1 (1955): 43–64. Available at: </w:t>
      </w:r>
      <w:hyperlink r:id="rId14" w:history="1">
        <w:r w:rsidRPr="003E227D">
          <w:rPr>
            <w:rStyle w:val="Hyperlink"/>
            <w:rFonts w:ascii="Times New Roman" w:hAnsi="Times New Roman" w:cs="Times New Roman"/>
            <w:sz w:val="24"/>
            <w:szCs w:val="24"/>
          </w:rPr>
          <w:t>http://www.jstor.org/stable/4465300</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3286613D" w14:textId="77777777" w:rsidR="00821CA6" w:rsidRPr="003E227D" w:rsidRDefault="00821CA6" w:rsidP="00821CA6">
      <w:pPr>
        <w:pStyle w:val="FootnoteText"/>
        <w:rPr>
          <w:rFonts w:ascii="Times New Roman" w:hAnsi="Times New Roman" w:cs="Times New Roman"/>
          <w:sz w:val="24"/>
          <w:szCs w:val="24"/>
        </w:rPr>
      </w:pPr>
    </w:p>
    <w:p w14:paraId="3BEF3575" w14:textId="4ED8744A" w:rsidR="00A8446B" w:rsidRPr="003E227D" w:rsidRDefault="00821CA6" w:rsidP="00821CA6">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 Fritzsche, Peter. 'The Holocaust and the Knowledge of Murder.' The Journal of Modern History 80, no. 3 (2008): 594–613. Available at: </w:t>
      </w:r>
      <w:hyperlink r:id="rId15" w:history="1">
        <w:r w:rsidRPr="003E227D">
          <w:rPr>
            <w:rStyle w:val="Hyperlink"/>
            <w:rFonts w:ascii="Times New Roman" w:hAnsi="Times New Roman" w:cs="Times New Roman"/>
            <w:sz w:val="24"/>
            <w:szCs w:val="24"/>
          </w:rPr>
          <w:t>https://doi.org/10.1086/589592</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(Accessed 29 </w:t>
      </w:r>
      <w:r w:rsidR="009B1B89" w:rsidRPr="003E227D">
        <w:rPr>
          <w:rFonts w:ascii="Times New Roman" w:hAnsi="Times New Roman" w:cs="Times New Roman"/>
          <w:sz w:val="24"/>
          <w:szCs w:val="24"/>
        </w:rPr>
        <w:t>July 2024).</w:t>
      </w:r>
    </w:p>
    <w:p w14:paraId="43BE1B9C" w14:textId="77777777" w:rsidR="009B1B89" w:rsidRPr="003E227D" w:rsidRDefault="009B1B89" w:rsidP="00821CA6">
      <w:pPr>
        <w:pStyle w:val="FootnoteText"/>
        <w:rPr>
          <w:rFonts w:ascii="Times New Roman" w:hAnsi="Times New Roman" w:cs="Times New Roman"/>
          <w:sz w:val="24"/>
          <w:szCs w:val="24"/>
        </w:rPr>
      </w:pPr>
    </w:p>
    <w:p w14:paraId="17F5867B" w14:textId="74A883D9" w:rsidR="009B1B89" w:rsidRPr="003E227D" w:rsidRDefault="009B1B89" w:rsidP="009B1B89">
      <w:pPr>
        <w:pStyle w:val="FootnoteText"/>
        <w:rPr>
          <w:rFonts w:ascii="Times New Roman" w:hAnsi="Times New Roman" w:cs="Times New Roman"/>
          <w:sz w:val="24"/>
          <w:szCs w:val="24"/>
        </w:rPr>
      </w:pPr>
      <w:r w:rsidRPr="003E227D">
        <w:rPr>
          <w:rFonts w:ascii="Times New Roman" w:hAnsi="Times New Roman" w:cs="Times New Roman"/>
          <w:sz w:val="24"/>
          <w:szCs w:val="24"/>
        </w:rPr>
        <w:t>July 2024</w:t>
      </w:r>
      <w:r w:rsidR="00762CB3" w:rsidRPr="003E227D">
        <w:rPr>
          <w:rFonts w:ascii="Times New Roman" w:hAnsi="Times New Roman" w:cs="Times New Roman"/>
          <w:sz w:val="24"/>
          <w:szCs w:val="24"/>
        </w:rPr>
        <w:t>). -</w:t>
      </w:r>
      <w:r w:rsidRPr="003E227D">
        <w:rPr>
          <w:rFonts w:ascii="Times New Roman" w:hAnsi="Times New Roman" w:cs="Times New Roman"/>
          <w:sz w:val="24"/>
          <w:szCs w:val="24"/>
        </w:rPr>
        <w:t xml:space="preserve"> </w:t>
      </w:r>
      <w:proofErr w:type="spellStart"/>
      <w:r w:rsidRPr="003E227D">
        <w:rPr>
          <w:rFonts w:ascii="Times New Roman" w:hAnsi="Times New Roman" w:cs="Times New Roman"/>
          <w:sz w:val="24"/>
          <w:szCs w:val="24"/>
        </w:rPr>
        <w:t>Mędykowski</w:t>
      </w:r>
      <w:proofErr w:type="spellEnd"/>
      <w:r w:rsidRPr="003E227D">
        <w:rPr>
          <w:rFonts w:ascii="Times New Roman" w:hAnsi="Times New Roman" w:cs="Times New Roman"/>
          <w:sz w:val="24"/>
          <w:szCs w:val="24"/>
        </w:rPr>
        <w:t>, Witold Wojciech. 'The War in the East: Galicia during th</w:t>
      </w:r>
      <w:r w:rsidR="00762CB3" w:rsidRPr="003E227D">
        <w:rPr>
          <w:rFonts w:ascii="Times New Roman" w:hAnsi="Times New Roman" w:cs="Times New Roman"/>
          <w:sz w:val="24"/>
          <w:szCs w:val="24"/>
        </w:rPr>
        <w:t xml:space="preserve">e </w:t>
      </w:r>
      <w:r w:rsidRPr="003E227D">
        <w:rPr>
          <w:rFonts w:ascii="Times New Roman" w:hAnsi="Times New Roman" w:cs="Times New Roman"/>
          <w:sz w:val="24"/>
          <w:szCs w:val="24"/>
        </w:rPr>
        <w:t xml:space="preserve">Weeks of the War.' In Macht Arbeit </w:t>
      </w:r>
      <w:proofErr w:type="gramStart"/>
      <w:r w:rsidRPr="003E227D">
        <w:rPr>
          <w:rFonts w:ascii="Times New Roman" w:hAnsi="Times New Roman" w:cs="Times New Roman"/>
          <w:sz w:val="24"/>
          <w:szCs w:val="24"/>
        </w:rPr>
        <w:t>Frei?:</w:t>
      </w:r>
      <w:proofErr w:type="gramEnd"/>
      <w:r w:rsidRPr="003E227D">
        <w:rPr>
          <w:rFonts w:ascii="Times New Roman" w:hAnsi="Times New Roman" w:cs="Times New Roman"/>
          <w:sz w:val="24"/>
          <w:szCs w:val="24"/>
        </w:rPr>
        <w:t xml:space="preserve"> German Economic Policy and Forced Labor of Jews in the General Government, 1939-1943. Academic Studies Press, 2018, pp. 181–92. Available at: </w:t>
      </w:r>
      <w:hyperlink r:id="rId16" w:history="1">
        <w:r w:rsidRPr="003E227D">
          <w:rPr>
            <w:rStyle w:val="Hyperlink"/>
            <w:rFonts w:ascii="Times New Roman" w:hAnsi="Times New Roman" w:cs="Times New Roman"/>
            <w:sz w:val="24"/>
            <w:szCs w:val="24"/>
          </w:rPr>
          <w:t>https://doi.org/10.2307/j.ctv75d8v5.9</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4134D7A7" w14:textId="77777777" w:rsidR="009B1B89" w:rsidRPr="003E227D" w:rsidRDefault="009B1B89" w:rsidP="009B1B89">
      <w:pPr>
        <w:pStyle w:val="FootnoteText"/>
        <w:rPr>
          <w:rFonts w:ascii="Times New Roman" w:hAnsi="Times New Roman" w:cs="Times New Roman"/>
          <w:sz w:val="24"/>
          <w:szCs w:val="24"/>
        </w:rPr>
      </w:pPr>
    </w:p>
    <w:p w14:paraId="2341F9A3" w14:textId="4C68C73F" w:rsidR="009B1B89" w:rsidRPr="003E227D" w:rsidRDefault="009B1B89" w:rsidP="009B1B89">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 </w:t>
      </w:r>
      <w:proofErr w:type="spellStart"/>
      <w:r w:rsidRPr="003E227D">
        <w:rPr>
          <w:rFonts w:ascii="Times New Roman" w:hAnsi="Times New Roman" w:cs="Times New Roman"/>
          <w:sz w:val="24"/>
          <w:szCs w:val="24"/>
        </w:rPr>
        <w:t>Bazyler</w:t>
      </w:r>
      <w:proofErr w:type="spellEnd"/>
      <w:r w:rsidRPr="003E227D">
        <w:rPr>
          <w:rFonts w:ascii="Times New Roman" w:hAnsi="Times New Roman" w:cs="Times New Roman"/>
          <w:sz w:val="24"/>
          <w:szCs w:val="24"/>
        </w:rPr>
        <w:t xml:space="preserve">, Michael J., and Frank M. </w:t>
      </w:r>
      <w:proofErr w:type="spellStart"/>
      <w:r w:rsidRPr="003E227D">
        <w:rPr>
          <w:rFonts w:ascii="Times New Roman" w:hAnsi="Times New Roman" w:cs="Times New Roman"/>
          <w:sz w:val="24"/>
          <w:szCs w:val="24"/>
        </w:rPr>
        <w:t>Tuerkheimer</w:t>
      </w:r>
      <w:proofErr w:type="spellEnd"/>
      <w:r w:rsidRPr="003E227D">
        <w:rPr>
          <w:rFonts w:ascii="Times New Roman" w:hAnsi="Times New Roman" w:cs="Times New Roman"/>
          <w:sz w:val="24"/>
          <w:szCs w:val="24"/>
        </w:rPr>
        <w:t xml:space="preserve">. 'The Einsatzgruppen Trial at Nuremberg: Did Anyone Have to Follow Orders to Kill?' In Forgotten Trials of the Holocaust. NYU Press, 2014, pp. 159–93. Available at: </w:t>
      </w:r>
      <w:hyperlink r:id="rId17" w:history="1">
        <w:r w:rsidRPr="003E227D">
          <w:rPr>
            <w:rStyle w:val="Hyperlink"/>
            <w:rFonts w:ascii="Times New Roman" w:hAnsi="Times New Roman" w:cs="Times New Roman"/>
            <w:sz w:val="24"/>
            <w:szCs w:val="24"/>
          </w:rPr>
          <w:t>http://www.jstor.org/stable/j.ctt9qfr64.10</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46E05AA9" w14:textId="445FC84F" w:rsidR="00762CB3" w:rsidRPr="003E227D" w:rsidRDefault="00762CB3" w:rsidP="009B1B89">
      <w:pPr>
        <w:pStyle w:val="FootnoteText"/>
        <w:rPr>
          <w:rFonts w:ascii="Times New Roman" w:hAnsi="Times New Roman" w:cs="Times New Roman"/>
          <w:sz w:val="24"/>
          <w:szCs w:val="24"/>
        </w:rPr>
      </w:pPr>
      <w:r w:rsidRPr="003E227D">
        <w:rPr>
          <w:rFonts w:ascii="Times New Roman" w:hAnsi="Times New Roman" w:cs="Times New Roman"/>
          <w:sz w:val="24"/>
          <w:szCs w:val="24"/>
        </w:rPr>
        <w:t xml:space="preserve">Grossmann, Kurt R. 'The Final Solution.' The Antioch Review 15, no. 1 (1955): 55–72. Available at: </w:t>
      </w:r>
      <w:hyperlink r:id="rId18" w:history="1">
        <w:r w:rsidRPr="003E227D">
          <w:rPr>
            <w:rStyle w:val="Hyperlink"/>
            <w:rFonts w:ascii="Times New Roman" w:hAnsi="Times New Roman" w:cs="Times New Roman"/>
            <w:sz w:val="24"/>
            <w:szCs w:val="24"/>
          </w:rPr>
          <w:t>https://doi.org/10.2307/4609769</w:t>
        </w:r>
      </w:hyperlink>
      <w:r w:rsidRPr="003E227D">
        <w:rPr>
          <w:rFonts w:ascii="Times New Roman" w:hAnsi="Times New Roman" w:cs="Times New Roman"/>
          <w:sz w:val="24"/>
          <w:szCs w:val="24"/>
        </w:rPr>
        <w:t xml:space="preserve"> </w:t>
      </w:r>
      <w:r w:rsidRPr="003E227D">
        <w:rPr>
          <w:rFonts w:ascii="Times New Roman" w:hAnsi="Times New Roman" w:cs="Times New Roman"/>
          <w:sz w:val="24"/>
          <w:szCs w:val="24"/>
        </w:rPr>
        <w:t xml:space="preserve"> (Accessed 29 July 2024).</w:t>
      </w:r>
    </w:p>
    <w:p w14:paraId="06FDD96E" w14:textId="77777777" w:rsidR="009B1B89" w:rsidRPr="003E227D" w:rsidRDefault="009B1B89" w:rsidP="00821CA6">
      <w:pPr>
        <w:pStyle w:val="FootnoteText"/>
        <w:rPr>
          <w:rFonts w:ascii="Times New Roman" w:hAnsi="Times New Roman" w:cs="Times New Roman"/>
          <w:sz w:val="24"/>
          <w:szCs w:val="24"/>
        </w:rPr>
      </w:pPr>
    </w:p>
    <w:p w14:paraId="63B1BC62" w14:textId="77777777" w:rsidR="00A8446B" w:rsidRDefault="00A8446B" w:rsidP="00A80299">
      <w:pPr>
        <w:pStyle w:val="FootnoteText"/>
        <w:rPr>
          <w:rFonts w:ascii="Times New Roman" w:hAnsi="Times New Roman" w:cs="Times New Roman"/>
          <w:sz w:val="24"/>
          <w:szCs w:val="24"/>
        </w:rPr>
      </w:pPr>
    </w:p>
    <w:p w14:paraId="502E5ACB" w14:textId="77777777" w:rsidR="00A8446B" w:rsidRDefault="00A8446B" w:rsidP="00A80299">
      <w:pPr>
        <w:pStyle w:val="FootnoteText"/>
        <w:rPr>
          <w:rFonts w:ascii="Times New Roman" w:hAnsi="Times New Roman" w:cs="Times New Roman"/>
          <w:sz w:val="24"/>
          <w:szCs w:val="24"/>
        </w:rPr>
      </w:pPr>
    </w:p>
    <w:p w14:paraId="62AFCC6E" w14:textId="77777777" w:rsidR="00A80299" w:rsidRPr="009120F2" w:rsidRDefault="00A80299" w:rsidP="00A80299">
      <w:pPr>
        <w:pStyle w:val="FootnoteText"/>
        <w:rPr>
          <w:rFonts w:ascii="Times New Roman" w:hAnsi="Times New Roman" w:cs="Times New Roman"/>
          <w:sz w:val="24"/>
          <w:szCs w:val="24"/>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E0B9F"/>
    <w:multiLevelType w:val="hybridMultilevel"/>
    <w:tmpl w:val="899E0938"/>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E7236"/>
    <w:multiLevelType w:val="hybridMultilevel"/>
    <w:tmpl w:val="B038FA02"/>
    <w:lvl w:ilvl="0" w:tplc="33C0A7C4">
      <w:start w:val="9"/>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A4102A1"/>
    <w:multiLevelType w:val="hybridMultilevel"/>
    <w:tmpl w:val="069865D2"/>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CD0444"/>
    <w:multiLevelType w:val="hybridMultilevel"/>
    <w:tmpl w:val="C56C3942"/>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593CF7"/>
    <w:multiLevelType w:val="hybridMultilevel"/>
    <w:tmpl w:val="17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E633A8"/>
    <w:multiLevelType w:val="hybridMultilevel"/>
    <w:tmpl w:val="E5F224F8"/>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185EAB"/>
    <w:multiLevelType w:val="hybridMultilevel"/>
    <w:tmpl w:val="3EF47DBE"/>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4F3952"/>
    <w:multiLevelType w:val="hybridMultilevel"/>
    <w:tmpl w:val="617E9946"/>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600D41"/>
    <w:multiLevelType w:val="hybridMultilevel"/>
    <w:tmpl w:val="5A84D3EE"/>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BA77E7"/>
    <w:multiLevelType w:val="hybridMultilevel"/>
    <w:tmpl w:val="542C7A5A"/>
    <w:lvl w:ilvl="0" w:tplc="33C0A7C4">
      <w:start w:val="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438343">
    <w:abstractNumId w:val="0"/>
  </w:num>
  <w:num w:numId="2" w16cid:durableId="1802649937">
    <w:abstractNumId w:val="8"/>
  </w:num>
  <w:num w:numId="3" w16cid:durableId="2043704399">
    <w:abstractNumId w:val="2"/>
  </w:num>
  <w:num w:numId="4" w16cid:durableId="1015889026">
    <w:abstractNumId w:val="9"/>
  </w:num>
  <w:num w:numId="5" w16cid:durableId="1177958429">
    <w:abstractNumId w:val="6"/>
  </w:num>
  <w:num w:numId="6" w16cid:durableId="566575204">
    <w:abstractNumId w:val="1"/>
  </w:num>
  <w:num w:numId="7" w16cid:durableId="1844585272">
    <w:abstractNumId w:val="3"/>
  </w:num>
  <w:num w:numId="8" w16cid:durableId="1367750318">
    <w:abstractNumId w:val="7"/>
  </w:num>
  <w:num w:numId="9" w16cid:durableId="1862664273">
    <w:abstractNumId w:val="5"/>
  </w:num>
  <w:num w:numId="10" w16cid:durableId="4788868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2FF"/>
    <w:rsid w:val="00036ADB"/>
    <w:rsid w:val="0005166B"/>
    <w:rsid w:val="0010267B"/>
    <w:rsid w:val="00111A54"/>
    <w:rsid w:val="00173914"/>
    <w:rsid w:val="00215D60"/>
    <w:rsid w:val="00233A2B"/>
    <w:rsid w:val="002720E0"/>
    <w:rsid w:val="002D48F7"/>
    <w:rsid w:val="00307A30"/>
    <w:rsid w:val="0032268A"/>
    <w:rsid w:val="003236DC"/>
    <w:rsid w:val="0033496C"/>
    <w:rsid w:val="003B72B2"/>
    <w:rsid w:val="003E227D"/>
    <w:rsid w:val="004712D9"/>
    <w:rsid w:val="00485756"/>
    <w:rsid w:val="004B1FFB"/>
    <w:rsid w:val="00502DA5"/>
    <w:rsid w:val="00514CFC"/>
    <w:rsid w:val="00554CDA"/>
    <w:rsid w:val="00571990"/>
    <w:rsid w:val="00577A4C"/>
    <w:rsid w:val="00577F8E"/>
    <w:rsid w:val="00581A5D"/>
    <w:rsid w:val="00657295"/>
    <w:rsid w:val="0069619C"/>
    <w:rsid w:val="006C5257"/>
    <w:rsid w:val="00715CF0"/>
    <w:rsid w:val="00746E8E"/>
    <w:rsid w:val="007519CE"/>
    <w:rsid w:val="00762CB3"/>
    <w:rsid w:val="007A5317"/>
    <w:rsid w:val="007C6BC9"/>
    <w:rsid w:val="00821CA6"/>
    <w:rsid w:val="00827F88"/>
    <w:rsid w:val="00840CB5"/>
    <w:rsid w:val="00887AB8"/>
    <w:rsid w:val="008D792A"/>
    <w:rsid w:val="009120F2"/>
    <w:rsid w:val="009478A4"/>
    <w:rsid w:val="00955E2B"/>
    <w:rsid w:val="009B0064"/>
    <w:rsid w:val="009B1B89"/>
    <w:rsid w:val="009D1705"/>
    <w:rsid w:val="009D2D5D"/>
    <w:rsid w:val="009D34D0"/>
    <w:rsid w:val="00A132DE"/>
    <w:rsid w:val="00A207B6"/>
    <w:rsid w:val="00A80299"/>
    <w:rsid w:val="00A8446B"/>
    <w:rsid w:val="00C06722"/>
    <w:rsid w:val="00C171D0"/>
    <w:rsid w:val="00C22C99"/>
    <w:rsid w:val="00CB3FC4"/>
    <w:rsid w:val="00D12F87"/>
    <w:rsid w:val="00D93BB9"/>
    <w:rsid w:val="00DF1C8C"/>
    <w:rsid w:val="00E35F46"/>
    <w:rsid w:val="00EA22FF"/>
    <w:rsid w:val="00ED2CDD"/>
    <w:rsid w:val="00F21B5E"/>
    <w:rsid w:val="00F57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E63AB"/>
  <w15:chartTrackingRefBased/>
  <w15:docId w15:val="{208B3E93-39B3-4511-BA95-24B285409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2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22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22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22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22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22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22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22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22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2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22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22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22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22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22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22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22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22FF"/>
    <w:rPr>
      <w:rFonts w:eastAsiaTheme="majorEastAsia" w:cstheme="majorBidi"/>
      <w:color w:val="272727" w:themeColor="text1" w:themeTint="D8"/>
    </w:rPr>
  </w:style>
  <w:style w:type="paragraph" w:styleId="Title">
    <w:name w:val="Title"/>
    <w:basedOn w:val="Normal"/>
    <w:next w:val="Normal"/>
    <w:link w:val="TitleChar"/>
    <w:uiPriority w:val="10"/>
    <w:qFormat/>
    <w:rsid w:val="00EA22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2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22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22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22FF"/>
    <w:pPr>
      <w:spacing w:before="160"/>
      <w:jc w:val="center"/>
    </w:pPr>
    <w:rPr>
      <w:i/>
      <w:iCs/>
      <w:color w:val="404040" w:themeColor="text1" w:themeTint="BF"/>
    </w:rPr>
  </w:style>
  <w:style w:type="character" w:customStyle="1" w:styleId="QuoteChar">
    <w:name w:val="Quote Char"/>
    <w:basedOn w:val="DefaultParagraphFont"/>
    <w:link w:val="Quote"/>
    <w:uiPriority w:val="29"/>
    <w:rsid w:val="00EA22FF"/>
    <w:rPr>
      <w:i/>
      <w:iCs/>
      <w:color w:val="404040" w:themeColor="text1" w:themeTint="BF"/>
    </w:rPr>
  </w:style>
  <w:style w:type="paragraph" w:styleId="ListParagraph">
    <w:name w:val="List Paragraph"/>
    <w:basedOn w:val="Normal"/>
    <w:uiPriority w:val="34"/>
    <w:qFormat/>
    <w:rsid w:val="00EA22FF"/>
    <w:pPr>
      <w:ind w:left="720"/>
      <w:contextualSpacing/>
    </w:pPr>
  </w:style>
  <w:style w:type="character" w:styleId="IntenseEmphasis">
    <w:name w:val="Intense Emphasis"/>
    <w:basedOn w:val="DefaultParagraphFont"/>
    <w:uiPriority w:val="21"/>
    <w:qFormat/>
    <w:rsid w:val="00EA22FF"/>
    <w:rPr>
      <w:i/>
      <w:iCs/>
      <w:color w:val="0F4761" w:themeColor="accent1" w:themeShade="BF"/>
    </w:rPr>
  </w:style>
  <w:style w:type="paragraph" w:styleId="IntenseQuote">
    <w:name w:val="Intense Quote"/>
    <w:basedOn w:val="Normal"/>
    <w:next w:val="Normal"/>
    <w:link w:val="IntenseQuoteChar"/>
    <w:uiPriority w:val="30"/>
    <w:qFormat/>
    <w:rsid w:val="00EA22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22FF"/>
    <w:rPr>
      <w:i/>
      <w:iCs/>
      <w:color w:val="0F4761" w:themeColor="accent1" w:themeShade="BF"/>
    </w:rPr>
  </w:style>
  <w:style w:type="character" w:styleId="IntenseReference">
    <w:name w:val="Intense Reference"/>
    <w:basedOn w:val="DefaultParagraphFont"/>
    <w:uiPriority w:val="32"/>
    <w:qFormat/>
    <w:rsid w:val="00EA22FF"/>
    <w:rPr>
      <w:b/>
      <w:bCs/>
      <w:smallCaps/>
      <w:color w:val="0F4761" w:themeColor="accent1" w:themeShade="BF"/>
      <w:spacing w:val="5"/>
    </w:rPr>
  </w:style>
  <w:style w:type="character" w:styleId="Hyperlink">
    <w:name w:val="Hyperlink"/>
    <w:basedOn w:val="DefaultParagraphFont"/>
    <w:uiPriority w:val="99"/>
    <w:unhideWhenUsed/>
    <w:rsid w:val="00715CF0"/>
    <w:rPr>
      <w:color w:val="0000FF"/>
      <w:u w:val="single"/>
    </w:rPr>
  </w:style>
  <w:style w:type="paragraph" w:styleId="FootnoteText">
    <w:name w:val="footnote text"/>
    <w:basedOn w:val="Normal"/>
    <w:link w:val="FootnoteTextChar"/>
    <w:uiPriority w:val="99"/>
    <w:unhideWhenUsed/>
    <w:rsid w:val="00554CDA"/>
    <w:pPr>
      <w:spacing w:after="0" w:line="240" w:lineRule="auto"/>
    </w:pPr>
    <w:rPr>
      <w:sz w:val="20"/>
      <w:szCs w:val="20"/>
    </w:rPr>
  </w:style>
  <w:style w:type="character" w:customStyle="1" w:styleId="FootnoteTextChar">
    <w:name w:val="Footnote Text Char"/>
    <w:basedOn w:val="DefaultParagraphFont"/>
    <w:link w:val="FootnoteText"/>
    <w:uiPriority w:val="99"/>
    <w:rsid w:val="00554CDA"/>
    <w:rPr>
      <w:sz w:val="20"/>
      <w:szCs w:val="20"/>
    </w:rPr>
  </w:style>
  <w:style w:type="character" w:styleId="FootnoteReference">
    <w:name w:val="footnote reference"/>
    <w:basedOn w:val="DefaultParagraphFont"/>
    <w:uiPriority w:val="99"/>
    <w:semiHidden/>
    <w:unhideWhenUsed/>
    <w:rsid w:val="00554CDA"/>
    <w:rPr>
      <w:vertAlign w:val="superscript"/>
    </w:rPr>
  </w:style>
  <w:style w:type="character" w:styleId="UnresolvedMention">
    <w:name w:val="Unresolved Mention"/>
    <w:basedOn w:val="DefaultParagraphFont"/>
    <w:uiPriority w:val="99"/>
    <w:semiHidden/>
    <w:unhideWhenUsed/>
    <w:rsid w:val="00887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6702717">
      <w:bodyDiv w:val="1"/>
      <w:marLeft w:val="0"/>
      <w:marRight w:val="0"/>
      <w:marTop w:val="0"/>
      <w:marBottom w:val="0"/>
      <w:divBdr>
        <w:top w:val="none" w:sz="0" w:space="0" w:color="auto"/>
        <w:left w:val="none" w:sz="0" w:space="0" w:color="auto"/>
        <w:bottom w:val="none" w:sz="0" w:space="0" w:color="auto"/>
        <w:right w:val="none" w:sz="0" w:space="0" w:color="auto"/>
      </w:divBdr>
      <w:divsChild>
        <w:div w:id="95753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shmm.org/collections/the-museums-collections/about/photo-archives/world-war-ii-liberation-photography"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86/589592" TargetMode="External"/><Relationship Id="rId13" Type="http://schemas.openxmlformats.org/officeDocument/2006/relationships/hyperlink" Target="http://www.jstor.org/stable/10.7829/j.ctt1282zr.11" TargetMode="External"/><Relationship Id="rId18" Type="http://schemas.openxmlformats.org/officeDocument/2006/relationships/hyperlink" Target="https://doi.org/10.2307/4609769" TargetMode="External"/><Relationship Id="rId3" Type="http://schemas.openxmlformats.org/officeDocument/2006/relationships/hyperlink" Target="http://www.jstor.org/stable/44552496" TargetMode="External"/><Relationship Id="rId7" Type="http://schemas.openxmlformats.org/officeDocument/2006/relationships/hyperlink" Target="http://www.jstor.org/stable/4465300" TargetMode="External"/><Relationship Id="rId12" Type="http://schemas.openxmlformats.org/officeDocument/2006/relationships/hyperlink" Target="http://www.jstor.org/stable/41328531" TargetMode="External"/><Relationship Id="rId17" Type="http://schemas.openxmlformats.org/officeDocument/2006/relationships/hyperlink" Target="http://www.jstor.org/stable/j.ctt9qfr64.10" TargetMode="External"/><Relationship Id="rId2" Type="http://schemas.openxmlformats.org/officeDocument/2006/relationships/hyperlink" Target="https://doi.org/10.2307/809409" TargetMode="External"/><Relationship Id="rId16" Type="http://schemas.openxmlformats.org/officeDocument/2006/relationships/hyperlink" Target="https://doi.org/10.2307/j.ctv75d8v5.9" TargetMode="External"/><Relationship Id="rId1" Type="http://schemas.openxmlformats.org/officeDocument/2006/relationships/hyperlink" Target="https://doi.org/10.2307/jj.8085290" TargetMode="External"/><Relationship Id="rId6" Type="http://schemas.openxmlformats.org/officeDocument/2006/relationships/hyperlink" Target="http://www.jstor.org/stable/10.7829/j.ctt1282zr.11" TargetMode="External"/><Relationship Id="rId11" Type="http://schemas.openxmlformats.org/officeDocument/2006/relationships/hyperlink" Target="http://www.jstor.org/stable/23737344" TargetMode="External"/><Relationship Id="rId5" Type="http://schemas.openxmlformats.org/officeDocument/2006/relationships/hyperlink" Target="http://www.jstor.org/stable/41328531" TargetMode="External"/><Relationship Id="rId15" Type="http://schemas.openxmlformats.org/officeDocument/2006/relationships/hyperlink" Target="https://doi.org/10.1086/589592" TargetMode="External"/><Relationship Id="rId10" Type="http://schemas.openxmlformats.org/officeDocument/2006/relationships/hyperlink" Target="http://www.jstor.org/stable/44552496" TargetMode="External"/><Relationship Id="rId4" Type="http://schemas.openxmlformats.org/officeDocument/2006/relationships/hyperlink" Target="http://www.jstor.org/stable/23737344" TargetMode="External"/><Relationship Id="rId9" Type="http://schemas.openxmlformats.org/officeDocument/2006/relationships/hyperlink" Target="https://doi.org/10.2307/j.ctv75d8v5.9" TargetMode="External"/><Relationship Id="rId14" Type="http://schemas.openxmlformats.org/officeDocument/2006/relationships/hyperlink" Target="http://www.jstor.org/stable/4465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4BBD2-B70C-4802-B6F8-79B3B882D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1509</Words>
  <Characters>8606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2024-07-29T16:29:00Z</dcterms:created>
  <dcterms:modified xsi:type="dcterms:W3CDTF">2024-07-29T16:29:00Z</dcterms:modified>
</cp:coreProperties>
</file>