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BE015"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28"/>
          <w:szCs w:val="28"/>
          <w:lang w:val="en-GB"/>
        </w:rPr>
      </w:pPr>
    </w:p>
    <w:p w14:paraId="57A075DF"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28"/>
          <w:szCs w:val="28"/>
          <w:lang w:val="en-GB"/>
        </w:rPr>
      </w:pPr>
    </w:p>
    <w:p w14:paraId="41D6C9BF"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Student name:</w:t>
      </w:r>
    </w:p>
    <w:p w14:paraId="68068724" w14:textId="26794B4A" w:rsidR="00683682" w:rsidRPr="00C93EC9" w:rsidRDefault="00C93EC9" w:rsidP="00C832C9">
      <w:pPr>
        <w:shd w:val="clear" w:color="auto" w:fill="FFFFFF"/>
        <w:spacing w:line="240" w:lineRule="auto"/>
        <w:jc w:val="center"/>
        <w:outlineLvl w:val="2"/>
        <w:rPr>
          <w:rFonts w:ascii="Arial" w:eastAsia="Times New Roman" w:hAnsi="Arial" w:cs="Arial"/>
          <w:b/>
          <w:bCs/>
          <w:sz w:val="36"/>
          <w:szCs w:val="36"/>
          <w:lang w:val="en-GB"/>
        </w:rPr>
      </w:pPr>
      <w:r w:rsidRPr="00C93EC9">
        <w:rPr>
          <w:rFonts w:ascii="Arial" w:eastAsia="Times New Roman" w:hAnsi="Arial" w:cs="Arial"/>
          <w:bCs/>
          <w:sz w:val="36"/>
          <w:szCs w:val="36"/>
          <w:lang w:val="en-GB"/>
        </w:rPr>
        <w:t>UFUOMA PEACE ADJUYA</w:t>
      </w:r>
    </w:p>
    <w:p w14:paraId="5D7B595A"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p>
    <w:p w14:paraId="601FB366"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Student ID number:</w:t>
      </w:r>
    </w:p>
    <w:p w14:paraId="136ECEF7" w14:textId="1C879405" w:rsidR="00683682" w:rsidRPr="00C93EC9" w:rsidRDefault="00C93EC9" w:rsidP="00C832C9">
      <w:pPr>
        <w:shd w:val="clear" w:color="auto" w:fill="FFFFFF"/>
        <w:spacing w:line="240" w:lineRule="auto"/>
        <w:jc w:val="center"/>
        <w:outlineLvl w:val="2"/>
        <w:rPr>
          <w:rFonts w:ascii="Arial" w:eastAsia="Times New Roman" w:hAnsi="Arial" w:cs="Arial"/>
          <w:b/>
          <w:bCs/>
          <w:sz w:val="36"/>
          <w:szCs w:val="36"/>
          <w:lang w:val="en-GB"/>
        </w:rPr>
      </w:pPr>
      <w:r w:rsidRPr="00C93EC9">
        <w:rPr>
          <w:rFonts w:ascii="Arial" w:eastAsia="Times New Roman" w:hAnsi="Arial" w:cs="Arial"/>
          <w:bCs/>
          <w:sz w:val="36"/>
          <w:szCs w:val="36"/>
          <w:lang w:val="en-GB"/>
        </w:rPr>
        <w:t>25411147</w:t>
      </w:r>
    </w:p>
    <w:p w14:paraId="1D068292"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Programme:</w:t>
      </w:r>
    </w:p>
    <w:p w14:paraId="1DCBCE4B"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Cs/>
          <w:color w:val="0F1115"/>
          <w:sz w:val="36"/>
          <w:szCs w:val="36"/>
          <w:lang w:val="en-GB"/>
        </w:rPr>
        <w:t>Certificate of Higher Education Skills for the Workplace (Health &amp; Social Care)</w:t>
      </w:r>
    </w:p>
    <w:p w14:paraId="2EB5D004"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p>
    <w:p w14:paraId="0FF9E8D9"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Module:</w:t>
      </w:r>
    </w:p>
    <w:p w14:paraId="01667393" w14:textId="77777777" w:rsidR="00683682" w:rsidRPr="000020CA" w:rsidRDefault="00683682" w:rsidP="00C832C9">
      <w:pPr>
        <w:shd w:val="clear" w:color="auto" w:fill="FFFFFF"/>
        <w:spacing w:line="240" w:lineRule="auto"/>
        <w:jc w:val="center"/>
        <w:outlineLvl w:val="2"/>
        <w:rPr>
          <w:rFonts w:ascii="Arial" w:eastAsia="Times New Roman" w:hAnsi="Arial" w:cs="Arial"/>
          <w:bCs/>
          <w:color w:val="0F1115"/>
          <w:sz w:val="36"/>
          <w:szCs w:val="36"/>
          <w:lang w:val="en-GB"/>
        </w:rPr>
      </w:pPr>
      <w:r w:rsidRPr="000020CA">
        <w:rPr>
          <w:rFonts w:ascii="Arial" w:eastAsia="Times New Roman" w:hAnsi="Arial" w:cs="Arial"/>
          <w:bCs/>
          <w:color w:val="0F1115"/>
          <w:sz w:val="36"/>
          <w:szCs w:val="36"/>
          <w:lang w:val="en-GB"/>
        </w:rPr>
        <w:t>Introduction to Health and Social Care</w:t>
      </w:r>
    </w:p>
    <w:p w14:paraId="526C7E5B"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p>
    <w:p w14:paraId="27384C7E"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Module Code:</w:t>
      </w:r>
    </w:p>
    <w:p w14:paraId="35DB3E23" w14:textId="77777777" w:rsidR="00683682" w:rsidRPr="000020CA" w:rsidRDefault="00683682" w:rsidP="00C832C9">
      <w:pPr>
        <w:shd w:val="clear" w:color="auto" w:fill="FFFFFF"/>
        <w:spacing w:line="240" w:lineRule="auto"/>
        <w:jc w:val="center"/>
        <w:outlineLvl w:val="2"/>
        <w:rPr>
          <w:rFonts w:ascii="Arial" w:eastAsia="Times New Roman" w:hAnsi="Arial" w:cs="Arial"/>
          <w:bCs/>
          <w:color w:val="0F1115"/>
          <w:sz w:val="36"/>
          <w:szCs w:val="36"/>
          <w:lang w:val="en-GB"/>
        </w:rPr>
      </w:pPr>
      <w:r w:rsidRPr="000020CA">
        <w:rPr>
          <w:rFonts w:ascii="Arial" w:eastAsia="Times New Roman" w:hAnsi="Arial" w:cs="Arial"/>
          <w:bCs/>
          <w:color w:val="0F1115"/>
          <w:sz w:val="36"/>
          <w:szCs w:val="36"/>
          <w:lang w:val="en-GB"/>
        </w:rPr>
        <w:t>LCHS4003</w:t>
      </w:r>
    </w:p>
    <w:p w14:paraId="36EB9FAE"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p>
    <w:p w14:paraId="08599D52"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Lecturer’s Name:</w:t>
      </w:r>
    </w:p>
    <w:p w14:paraId="70F514B9"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Cs/>
          <w:color w:val="0F1115"/>
          <w:sz w:val="36"/>
          <w:szCs w:val="36"/>
          <w:lang w:val="en-GB"/>
        </w:rPr>
        <w:t>Muhammad Aliyu</w:t>
      </w:r>
    </w:p>
    <w:p w14:paraId="0528F76B"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p>
    <w:p w14:paraId="0FA8813E" w14:textId="77777777" w:rsidR="00683682" w:rsidRPr="000020CA" w:rsidRDefault="00683682" w:rsidP="00C832C9">
      <w:pPr>
        <w:shd w:val="clear" w:color="auto" w:fill="FFFFFF"/>
        <w:spacing w:line="240" w:lineRule="auto"/>
        <w:jc w:val="center"/>
        <w:outlineLvl w:val="2"/>
        <w:rPr>
          <w:rFonts w:ascii="Arial" w:eastAsia="Times New Roman" w:hAnsi="Arial" w:cs="Arial"/>
          <w:b/>
          <w:bCs/>
          <w:color w:val="0F1115"/>
          <w:sz w:val="36"/>
          <w:szCs w:val="36"/>
          <w:lang w:val="en-GB"/>
        </w:rPr>
      </w:pPr>
      <w:r w:rsidRPr="000020CA">
        <w:rPr>
          <w:rFonts w:ascii="Arial" w:eastAsia="Times New Roman" w:hAnsi="Arial" w:cs="Arial"/>
          <w:b/>
          <w:bCs/>
          <w:color w:val="0F1115"/>
          <w:sz w:val="36"/>
          <w:szCs w:val="36"/>
          <w:lang w:val="en-GB"/>
        </w:rPr>
        <w:t>Assignment Title:</w:t>
      </w:r>
    </w:p>
    <w:p w14:paraId="4E72D1EF" w14:textId="77777777" w:rsidR="00683682" w:rsidRPr="000020CA" w:rsidRDefault="00683682" w:rsidP="00C832C9">
      <w:pPr>
        <w:shd w:val="clear" w:color="auto" w:fill="FFFFFF"/>
        <w:spacing w:line="240" w:lineRule="auto"/>
        <w:jc w:val="center"/>
        <w:outlineLvl w:val="2"/>
        <w:rPr>
          <w:rFonts w:ascii="Arial" w:eastAsia="Times New Roman" w:hAnsi="Arial" w:cs="Arial"/>
          <w:bCs/>
          <w:color w:val="0F1115"/>
          <w:sz w:val="36"/>
          <w:szCs w:val="36"/>
          <w:lang w:val="en-GB"/>
        </w:rPr>
      </w:pPr>
      <w:r w:rsidRPr="000020CA">
        <w:rPr>
          <w:rFonts w:ascii="Arial" w:eastAsia="Times New Roman" w:hAnsi="Arial" w:cs="Arial"/>
          <w:bCs/>
          <w:color w:val="0F1115"/>
          <w:sz w:val="36"/>
          <w:szCs w:val="36"/>
          <w:lang w:val="en-GB"/>
        </w:rPr>
        <w:t>A Report on the Care of Mr. Ahmed: Communication, Record-Keeping, and Collaboration</w:t>
      </w:r>
    </w:p>
    <w:p w14:paraId="25EC9052" w14:textId="77777777" w:rsidR="00683682" w:rsidRPr="000020CA" w:rsidRDefault="00683682" w:rsidP="00C832C9">
      <w:pPr>
        <w:shd w:val="clear" w:color="auto" w:fill="FFFFFF"/>
        <w:spacing w:line="240" w:lineRule="auto"/>
        <w:outlineLvl w:val="2"/>
        <w:rPr>
          <w:rFonts w:ascii="Arial" w:eastAsia="Times New Roman" w:hAnsi="Arial" w:cs="Arial"/>
          <w:b/>
          <w:bCs/>
          <w:color w:val="0F1115"/>
          <w:sz w:val="28"/>
          <w:szCs w:val="28"/>
          <w:lang w:val="en-GB"/>
        </w:rPr>
      </w:pPr>
    </w:p>
    <w:p w14:paraId="7F69731A" w14:textId="77777777" w:rsidR="00683682" w:rsidRPr="000020CA" w:rsidRDefault="00683682" w:rsidP="00C832C9">
      <w:pPr>
        <w:shd w:val="clear" w:color="auto" w:fill="FFFFFF"/>
        <w:spacing w:line="240" w:lineRule="auto"/>
        <w:outlineLvl w:val="2"/>
        <w:rPr>
          <w:rFonts w:ascii="Arial" w:eastAsia="Times New Roman" w:hAnsi="Arial" w:cs="Arial"/>
          <w:b/>
          <w:bCs/>
          <w:color w:val="0F1115"/>
          <w:sz w:val="28"/>
          <w:szCs w:val="28"/>
          <w:lang w:val="en-GB"/>
        </w:rPr>
        <w:sectPr w:rsidR="00683682" w:rsidRPr="000020CA" w:rsidSect="00683682">
          <w:footerReference w:type="default" r:id="rId7"/>
          <w:pgSz w:w="11907" w:h="16839" w:code="9"/>
          <w:pgMar w:top="1440" w:right="1440" w:bottom="1440" w:left="1440" w:header="720" w:footer="720" w:gutter="0"/>
          <w:cols w:space="720"/>
          <w:titlePg/>
          <w:docGrid w:linePitch="360"/>
        </w:sectPr>
      </w:pPr>
    </w:p>
    <w:p w14:paraId="0B719A12" w14:textId="77777777" w:rsidR="0019328C" w:rsidRPr="00C93EC9" w:rsidRDefault="0019328C" w:rsidP="00C832C9">
      <w:pPr>
        <w:shd w:val="clear" w:color="auto" w:fill="FFFFFF"/>
        <w:spacing w:line="240" w:lineRule="auto"/>
        <w:outlineLvl w:val="2"/>
        <w:rPr>
          <w:rFonts w:ascii="Arial" w:eastAsia="Times New Roman" w:hAnsi="Arial" w:cs="Arial"/>
          <w:b/>
          <w:bCs/>
          <w:lang w:val="en-GB"/>
        </w:rPr>
      </w:pPr>
      <w:r w:rsidRPr="00C93EC9">
        <w:rPr>
          <w:rFonts w:ascii="Arial" w:eastAsia="Times New Roman" w:hAnsi="Arial" w:cs="Arial"/>
          <w:b/>
          <w:bCs/>
          <w:lang w:val="en-GB"/>
        </w:rPr>
        <w:lastRenderedPageBreak/>
        <w:t>Introduction</w:t>
      </w:r>
    </w:p>
    <w:p w14:paraId="20304E20" w14:textId="66B6703C" w:rsidR="009026D9" w:rsidRPr="00C93EC9" w:rsidRDefault="00193C67"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This report reviews how the case of Mr. Ahmed (68 years old, stroke survivor with complex care needs) can be used to look at three major foundations of effective health/social care practice: communication, administrative support and collaborative working. Mr</w:t>
      </w:r>
      <w:r w:rsidR="00516DF3" w:rsidRPr="00C93EC9">
        <w:rPr>
          <w:rFonts w:ascii="Arial" w:eastAsia="Times New Roman" w:hAnsi="Arial" w:cs="Arial"/>
          <w:lang w:val="en-GB"/>
        </w:rPr>
        <w:t>.</w:t>
      </w:r>
      <w:r w:rsidRPr="00C93EC9">
        <w:rPr>
          <w:rFonts w:ascii="Arial" w:eastAsia="Times New Roman" w:hAnsi="Arial" w:cs="Arial"/>
          <w:lang w:val="en-GB"/>
        </w:rPr>
        <w:t xml:space="preserve"> Ahmed’s case includes a </w:t>
      </w:r>
      <w:r w:rsidR="00516DF3" w:rsidRPr="00C93EC9">
        <w:rPr>
          <w:rFonts w:ascii="Arial" w:eastAsia="Times New Roman" w:hAnsi="Arial" w:cs="Arial"/>
          <w:lang w:val="en-GB"/>
        </w:rPr>
        <w:t xml:space="preserve">domiciliary care agency </w:t>
      </w:r>
      <w:r w:rsidRPr="00C93EC9">
        <w:rPr>
          <w:rFonts w:ascii="Arial" w:eastAsia="Times New Roman" w:hAnsi="Arial" w:cs="Arial"/>
          <w:lang w:val="en-GB"/>
        </w:rPr>
        <w:t>providing support to him, his family and a co-ordinated multidisciplinary team providing support to both him and his family, hence providing a very useful context for analysis. Mr</w:t>
      </w:r>
      <w:r w:rsidR="00516DF3" w:rsidRPr="00C93EC9">
        <w:rPr>
          <w:rFonts w:ascii="Arial" w:eastAsia="Times New Roman" w:hAnsi="Arial" w:cs="Arial"/>
          <w:lang w:val="en-GB"/>
        </w:rPr>
        <w:t>.</w:t>
      </w:r>
      <w:r w:rsidRPr="00C93EC9">
        <w:rPr>
          <w:rFonts w:ascii="Arial" w:eastAsia="Times New Roman" w:hAnsi="Arial" w:cs="Arial"/>
          <w:lang w:val="en-GB"/>
        </w:rPr>
        <w:t xml:space="preserve"> Ahmed is limited in his ability to speak English and has experienced a missed visit for medication (a recent incident) which emphasises how critical these areas are. </w:t>
      </w:r>
      <w:r w:rsidR="00C93EC9" w:rsidRPr="00C93EC9">
        <w:rPr>
          <w:rFonts w:ascii="Arial" w:eastAsia="Times New Roman" w:hAnsi="Arial" w:cs="Arial"/>
          <w:lang w:val="en-GB"/>
        </w:rPr>
        <w:t>For</w:t>
      </w:r>
      <w:r w:rsidRPr="00C93EC9">
        <w:rPr>
          <w:rFonts w:ascii="Arial" w:eastAsia="Times New Roman" w:hAnsi="Arial" w:cs="Arial"/>
          <w:lang w:val="en-GB"/>
        </w:rPr>
        <w:t xml:space="preserve"> person-centred care to happen, communication must be effective, supported by legislation such as the Equality Act 2010. </w:t>
      </w:r>
      <w:r w:rsidR="00C93EC9" w:rsidRPr="00C93EC9">
        <w:rPr>
          <w:rFonts w:ascii="Arial" w:eastAsia="Times New Roman" w:hAnsi="Arial" w:cs="Arial"/>
          <w:lang w:val="en-GB"/>
        </w:rPr>
        <w:t>For</w:t>
      </w:r>
      <w:r w:rsidRPr="00C93EC9">
        <w:rPr>
          <w:rFonts w:ascii="Arial" w:eastAsia="Times New Roman" w:hAnsi="Arial" w:cs="Arial"/>
          <w:lang w:val="en-GB"/>
        </w:rPr>
        <w:t xml:space="preserve"> there to be safety and accountability there must be sound administrative support, governed by laws such as the Data Protection Act 2018. Finally, for holistic recovery to occur, there needs to be effective collaborative working between health professionals. This report discusses </w:t>
      </w:r>
      <w:proofErr w:type="gramStart"/>
      <w:r w:rsidRPr="00C93EC9">
        <w:rPr>
          <w:rFonts w:ascii="Arial" w:eastAsia="Times New Roman" w:hAnsi="Arial" w:cs="Arial"/>
          <w:lang w:val="en-GB"/>
        </w:rPr>
        <w:t>all of</w:t>
      </w:r>
      <w:proofErr w:type="gramEnd"/>
      <w:r w:rsidRPr="00C93EC9">
        <w:rPr>
          <w:rFonts w:ascii="Arial" w:eastAsia="Times New Roman" w:hAnsi="Arial" w:cs="Arial"/>
          <w:lang w:val="en-GB"/>
        </w:rPr>
        <w:t xml:space="preserve"> these issues through reference to models of care, legislation and government policies which are relevant in the context of Mr</w:t>
      </w:r>
      <w:r w:rsidR="00516DF3" w:rsidRPr="00C93EC9">
        <w:rPr>
          <w:rFonts w:ascii="Arial" w:eastAsia="Times New Roman" w:hAnsi="Arial" w:cs="Arial"/>
          <w:lang w:val="en-GB"/>
        </w:rPr>
        <w:t>.</w:t>
      </w:r>
      <w:r w:rsidR="0097777F" w:rsidRPr="00C93EC9">
        <w:rPr>
          <w:rFonts w:ascii="Arial" w:eastAsia="Times New Roman" w:hAnsi="Arial" w:cs="Arial"/>
          <w:lang w:val="en-GB"/>
        </w:rPr>
        <w:t xml:space="preserve"> </w:t>
      </w:r>
      <w:r w:rsidRPr="00C93EC9">
        <w:rPr>
          <w:rFonts w:ascii="Arial" w:eastAsia="Times New Roman" w:hAnsi="Arial" w:cs="Arial"/>
          <w:lang w:val="en-GB"/>
        </w:rPr>
        <w:t>Ahmed’s care.</w:t>
      </w:r>
    </w:p>
    <w:p w14:paraId="7831F431" w14:textId="77777777" w:rsidR="00683682" w:rsidRPr="00C93EC9" w:rsidRDefault="00683682" w:rsidP="00C832C9">
      <w:pPr>
        <w:shd w:val="clear" w:color="auto" w:fill="FFFFFF"/>
        <w:spacing w:after="0" w:line="240" w:lineRule="auto"/>
        <w:rPr>
          <w:rFonts w:ascii="Arial" w:eastAsia="Times New Roman" w:hAnsi="Arial" w:cs="Arial"/>
          <w:lang w:val="en-GB"/>
        </w:rPr>
      </w:pPr>
    </w:p>
    <w:p w14:paraId="2F720273" w14:textId="77777777" w:rsidR="0019328C" w:rsidRPr="00C93EC9" w:rsidRDefault="0019328C" w:rsidP="00C832C9">
      <w:pPr>
        <w:shd w:val="clear" w:color="auto" w:fill="FFFFFF"/>
        <w:spacing w:line="240" w:lineRule="auto"/>
        <w:outlineLvl w:val="2"/>
        <w:rPr>
          <w:rFonts w:ascii="Arial" w:eastAsia="Times New Roman" w:hAnsi="Arial" w:cs="Arial"/>
          <w:b/>
          <w:bCs/>
          <w:lang w:val="en-GB"/>
        </w:rPr>
      </w:pPr>
      <w:r w:rsidRPr="00C93EC9">
        <w:rPr>
          <w:rFonts w:ascii="Arial" w:eastAsia="Times New Roman" w:hAnsi="Arial" w:cs="Arial"/>
          <w:b/>
          <w:bCs/>
          <w:lang w:val="en-GB"/>
        </w:rPr>
        <w:t>1. The Importance of Effective Communication in Mr. Ahmed’s Care</w:t>
      </w:r>
    </w:p>
    <w:p w14:paraId="43D4B8FD" w14:textId="16B580D6" w:rsidR="007D53F4" w:rsidRPr="00C93EC9" w:rsidRDefault="007D53F4"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 xml:space="preserve">A vital component of safe and person-centred care is effective communication, as trust is developed, needs are fulfilled and appropriate care can be made available through effective communication (Kwame </w:t>
      </w:r>
      <w:r w:rsidR="002F03C9" w:rsidRPr="00C93EC9">
        <w:rPr>
          <w:rFonts w:ascii="Arial" w:eastAsia="Times New Roman" w:hAnsi="Arial" w:cs="Arial"/>
          <w:lang w:val="en-GB"/>
        </w:rPr>
        <w:t>and</w:t>
      </w:r>
      <w:r w:rsidRPr="00C93EC9">
        <w:rPr>
          <w:rFonts w:ascii="Arial" w:eastAsia="Times New Roman" w:hAnsi="Arial" w:cs="Arial"/>
          <w:lang w:val="en-GB"/>
        </w:rPr>
        <w:t xml:space="preserve"> Petrucka, 2021). Effective communication is particularly important in the case of Mr. Ahmed as he </w:t>
      </w:r>
      <w:r w:rsidR="00C93EC9" w:rsidRPr="00C93EC9">
        <w:rPr>
          <w:rFonts w:ascii="Arial" w:eastAsia="Times New Roman" w:hAnsi="Arial" w:cs="Arial"/>
          <w:lang w:val="en-GB"/>
        </w:rPr>
        <w:t>has trouble</w:t>
      </w:r>
      <w:r w:rsidRPr="00C93EC9">
        <w:rPr>
          <w:rFonts w:ascii="Arial" w:eastAsia="Times New Roman" w:hAnsi="Arial" w:cs="Arial"/>
          <w:lang w:val="en-GB"/>
        </w:rPr>
        <w:t xml:space="preserve"> with communication </w:t>
      </w:r>
      <w:proofErr w:type="gramStart"/>
      <w:r w:rsidRPr="00C93EC9">
        <w:rPr>
          <w:rFonts w:ascii="Arial" w:eastAsia="Times New Roman" w:hAnsi="Arial" w:cs="Arial"/>
          <w:lang w:val="en-GB"/>
        </w:rPr>
        <w:t>as a result of</w:t>
      </w:r>
      <w:proofErr w:type="gramEnd"/>
      <w:r w:rsidRPr="00C93EC9">
        <w:rPr>
          <w:rFonts w:ascii="Arial" w:eastAsia="Times New Roman" w:hAnsi="Arial" w:cs="Arial"/>
          <w:lang w:val="en-GB"/>
        </w:rPr>
        <w:t xml:space="preserve"> having a stroke and has Bengali as his first language. Therefore, appropriate communication must occur in a reciprocal and inclusive way, so that Mr. Ahmed is the centre of the interactions instead of his wife or other professionals.</w:t>
      </w:r>
    </w:p>
    <w:p w14:paraId="52C99920" w14:textId="764A27F9" w:rsidR="007D53F4" w:rsidRPr="00C93EC9" w:rsidRDefault="007D53F4"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 xml:space="preserve">To achieve this, </w:t>
      </w:r>
      <w:r w:rsidR="00B73FE6" w:rsidRPr="00C93EC9">
        <w:rPr>
          <w:rFonts w:ascii="Arial" w:eastAsia="Times New Roman" w:hAnsi="Arial" w:cs="Arial"/>
          <w:lang w:val="en-GB"/>
        </w:rPr>
        <w:t xml:space="preserve">Formica, Cristina and Corallo (2024) argued that </w:t>
      </w:r>
      <w:r w:rsidRPr="00C93EC9">
        <w:rPr>
          <w:rFonts w:ascii="Arial" w:eastAsia="Times New Roman" w:hAnsi="Arial" w:cs="Arial"/>
          <w:lang w:val="en-GB"/>
        </w:rPr>
        <w:t>practitioners must use clear and simple language, ensure their patient has understood what they have said and will use non-verbal forms of communication that would assist with the communication process, such as using gestures, pictures and/or translation apps. While Mr</w:t>
      </w:r>
      <w:r w:rsidR="0007704F" w:rsidRPr="00C93EC9">
        <w:rPr>
          <w:rFonts w:ascii="Arial" w:eastAsia="Times New Roman" w:hAnsi="Arial" w:cs="Arial"/>
          <w:lang w:val="en-GB"/>
        </w:rPr>
        <w:t>.</w:t>
      </w:r>
      <w:r w:rsidRPr="00C93EC9">
        <w:rPr>
          <w:rFonts w:ascii="Arial" w:eastAsia="Times New Roman" w:hAnsi="Arial" w:cs="Arial"/>
          <w:lang w:val="en-GB"/>
        </w:rPr>
        <w:t xml:space="preserve"> Ahmed's wife is a support to him, it is important that Mr</w:t>
      </w:r>
      <w:r w:rsidR="0007704F" w:rsidRPr="00C93EC9">
        <w:rPr>
          <w:rFonts w:ascii="Arial" w:eastAsia="Times New Roman" w:hAnsi="Arial" w:cs="Arial"/>
          <w:lang w:val="en-GB"/>
        </w:rPr>
        <w:t>.</w:t>
      </w:r>
      <w:r w:rsidRPr="00C93EC9">
        <w:rPr>
          <w:rFonts w:ascii="Arial" w:eastAsia="Times New Roman" w:hAnsi="Arial" w:cs="Arial"/>
          <w:lang w:val="en-GB"/>
        </w:rPr>
        <w:t xml:space="preserve"> Ahmed </w:t>
      </w:r>
      <w:r w:rsidR="00C93EC9" w:rsidRPr="00C93EC9">
        <w:rPr>
          <w:rFonts w:ascii="Arial" w:eastAsia="Times New Roman" w:hAnsi="Arial" w:cs="Arial"/>
          <w:lang w:val="en-GB"/>
        </w:rPr>
        <w:t>could</w:t>
      </w:r>
      <w:r w:rsidRPr="00C93EC9">
        <w:rPr>
          <w:rFonts w:ascii="Arial" w:eastAsia="Times New Roman" w:hAnsi="Arial" w:cs="Arial"/>
          <w:lang w:val="en-GB"/>
        </w:rPr>
        <w:t xml:space="preserve"> respond directly so that his autonomy and dignity are protected</w:t>
      </w:r>
      <w:r w:rsidR="00B73FE6" w:rsidRPr="00C93EC9">
        <w:rPr>
          <w:rFonts w:ascii="Arial" w:eastAsia="Times New Roman" w:hAnsi="Arial" w:cs="Arial"/>
          <w:lang w:val="en-GB"/>
        </w:rPr>
        <w:t>, as mandated by the Care Quality Commission (</w:t>
      </w:r>
      <w:r w:rsidR="005F2014" w:rsidRPr="00C93EC9">
        <w:rPr>
          <w:rFonts w:ascii="Arial" w:eastAsia="Times New Roman" w:hAnsi="Arial" w:cs="Arial"/>
          <w:lang w:val="en-GB"/>
        </w:rPr>
        <w:t>2025</w:t>
      </w:r>
      <w:r w:rsidR="00B73FE6" w:rsidRPr="00C93EC9">
        <w:rPr>
          <w:rFonts w:ascii="Arial" w:eastAsia="Times New Roman" w:hAnsi="Arial" w:cs="Arial"/>
          <w:lang w:val="en-GB"/>
        </w:rPr>
        <w:t>) and enshrined in the NHS Constitution (</w:t>
      </w:r>
      <w:r w:rsidR="00EF3AF5" w:rsidRPr="00C93EC9">
        <w:rPr>
          <w:rFonts w:ascii="Arial" w:eastAsia="Times New Roman" w:hAnsi="Arial" w:cs="Arial"/>
          <w:lang w:val="en-GB"/>
        </w:rPr>
        <w:t>2023</w:t>
      </w:r>
      <w:r w:rsidR="00B73FE6" w:rsidRPr="00C93EC9">
        <w:rPr>
          <w:rFonts w:ascii="Arial" w:eastAsia="Times New Roman" w:hAnsi="Arial" w:cs="Arial"/>
          <w:lang w:val="en-GB"/>
        </w:rPr>
        <w:t>)</w:t>
      </w:r>
      <w:r w:rsidRPr="00C93EC9">
        <w:rPr>
          <w:rFonts w:ascii="Arial" w:eastAsia="Times New Roman" w:hAnsi="Arial" w:cs="Arial"/>
          <w:lang w:val="en-GB"/>
        </w:rPr>
        <w:t xml:space="preserve">. </w:t>
      </w:r>
    </w:p>
    <w:p w14:paraId="1B044AF3" w14:textId="77777777" w:rsidR="0019328C" w:rsidRPr="00C93EC9" w:rsidRDefault="0053409D"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A</w:t>
      </w:r>
      <w:r w:rsidR="007D53F4" w:rsidRPr="00C93EC9">
        <w:rPr>
          <w:rFonts w:ascii="Arial" w:eastAsia="Times New Roman" w:hAnsi="Arial" w:cs="Arial"/>
          <w:lang w:val="en-GB"/>
        </w:rPr>
        <w:t>ddition</w:t>
      </w:r>
      <w:r w:rsidRPr="00C93EC9">
        <w:rPr>
          <w:rFonts w:ascii="Arial" w:eastAsia="Times New Roman" w:hAnsi="Arial" w:cs="Arial"/>
          <w:lang w:val="en-GB"/>
        </w:rPr>
        <w:t>ally</w:t>
      </w:r>
      <w:r w:rsidR="007D53F4" w:rsidRPr="00C93EC9">
        <w:rPr>
          <w:rFonts w:ascii="Arial" w:eastAsia="Times New Roman" w:hAnsi="Arial" w:cs="Arial"/>
          <w:lang w:val="en-GB"/>
        </w:rPr>
        <w:t>, a more structured framework can be used to assist with these interactions. A good example is the SAIDAR model of communication, which has recently been developed (Laari, 2025). The SAIDAR model consists of six elements:</w:t>
      </w:r>
    </w:p>
    <w:p w14:paraId="0EBC1C74" w14:textId="77777777" w:rsidR="0019328C"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Salutation:</w:t>
      </w:r>
      <w:r w:rsidRPr="00C93EC9">
        <w:rPr>
          <w:rFonts w:ascii="Arial" w:eastAsia="Times New Roman" w:hAnsi="Arial" w:cs="Arial"/>
          <w:lang w:val="en-GB"/>
        </w:rPr>
        <w:t xml:space="preserve"> Greet Mr. Ahmed warmly by name.</w:t>
      </w:r>
    </w:p>
    <w:p w14:paraId="619C4F40" w14:textId="77777777" w:rsidR="0019328C"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Assessing the environment:</w:t>
      </w:r>
      <w:r w:rsidRPr="00C93EC9">
        <w:rPr>
          <w:rFonts w:ascii="Arial" w:eastAsia="Times New Roman" w:hAnsi="Arial" w:cs="Arial"/>
          <w:lang w:val="en-GB"/>
        </w:rPr>
        <w:t xml:space="preserve"> Ensure the setting is private and conducive to communication, checking if he is comfortable and ready to engage.</w:t>
      </w:r>
    </w:p>
    <w:p w14:paraId="44994488" w14:textId="77777777" w:rsidR="0019328C"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Informing and explaining the task:</w:t>
      </w:r>
      <w:r w:rsidRPr="00C93EC9">
        <w:rPr>
          <w:rFonts w:ascii="Arial" w:eastAsia="Times New Roman" w:hAnsi="Arial" w:cs="Arial"/>
          <w:lang w:val="en-GB"/>
        </w:rPr>
        <w:t xml:space="preserve"> Clearly explain the purpose of the visit, e.g., "Mr. Ahmed, I am here to help you with your medication."</w:t>
      </w:r>
    </w:p>
    <w:p w14:paraId="46E70007" w14:textId="77777777" w:rsidR="0019328C"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Doing, demonstrating, and performing the task:</w:t>
      </w:r>
      <w:r w:rsidRPr="00C93EC9">
        <w:rPr>
          <w:rFonts w:ascii="Arial" w:eastAsia="Times New Roman" w:hAnsi="Arial" w:cs="Arial"/>
          <w:lang w:val="en-GB"/>
        </w:rPr>
        <w:t xml:space="preserve"> Carry out the care task while maintaining a dialogue.</w:t>
      </w:r>
    </w:p>
    <w:p w14:paraId="26F8F897" w14:textId="77777777" w:rsidR="0019328C"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Applauding, correcting, and appreciating:</w:t>
      </w:r>
      <w:r w:rsidRPr="00C93EC9">
        <w:rPr>
          <w:rFonts w:ascii="Arial" w:eastAsia="Times New Roman" w:hAnsi="Arial" w:cs="Arial"/>
          <w:lang w:val="en-GB"/>
        </w:rPr>
        <w:t xml:space="preserve"> Offer encouragement, e.g., "You did that really well."</w:t>
      </w:r>
    </w:p>
    <w:p w14:paraId="38658FD9" w14:textId="77777777" w:rsidR="008B0E3D" w:rsidRPr="00C93EC9" w:rsidRDefault="0019328C" w:rsidP="00C832C9">
      <w:pPr>
        <w:numPr>
          <w:ilvl w:val="0"/>
          <w:numId w:val="1"/>
        </w:numPr>
        <w:shd w:val="clear" w:color="auto" w:fill="FFFFFF"/>
        <w:spacing w:line="240" w:lineRule="auto"/>
        <w:ind w:left="0"/>
        <w:rPr>
          <w:rFonts w:ascii="Arial" w:eastAsia="Times New Roman" w:hAnsi="Arial" w:cs="Arial"/>
          <w:lang w:val="en-GB"/>
        </w:rPr>
      </w:pPr>
      <w:r w:rsidRPr="00C93EC9">
        <w:rPr>
          <w:rFonts w:ascii="Arial" w:eastAsia="Times New Roman" w:hAnsi="Arial" w:cs="Arial"/>
          <w:b/>
          <w:bCs/>
          <w:lang w:val="en-GB"/>
        </w:rPr>
        <w:t>Reinforcing knowledge:</w:t>
      </w:r>
      <w:r w:rsidRPr="00C93EC9">
        <w:rPr>
          <w:rFonts w:ascii="Arial" w:eastAsia="Times New Roman" w:hAnsi="Arial" w:cs="Arial"/>
          <w:lang w:val="en-GB"/>
        </w:rPr>
        <w:t xml:space="preserve"> Remind him of key points, </w:t>
      </w:r>
      <w:r w:rsidR="0053409D" w:rsidRPr="00C93EC9">
        <w:rPr>
          <w:rFonts w:ascii="Arial" w:eastAsia="Times New Roman" w:hAnsi="Arial" w:cs="Arial"/>
          <w:lang w:val="en-GB"/>
        </w:rPr>
        <w:t>including</w:t>
      </w:r>
      <w:r w:rsidRPr="00C93EC9">
        <w:rPr>
          <w:rFonts w:ascii="Arial" w:eastAsia="Times New Roman" w:hAnsi="Arial" w:cs="Arial"/>
          <w:lang w:val="en-GB"/>
        </w:rPr>
        <w:t xml:space="preserve"> when the next visit will be (</w:t>
      </w:r>
      <w:r w:rsidRPr="00C93EC9">
        <w:rPr>
          <w:rFonts w:ascii="Arial" w:hAnsi="Arial" w:cs="Arial"/>
          <w:shd w:val="clear" w:color="auto" w:fill="FFFFFF"/>
          <w:lang w:val="en-GB"/>
        </w:rPr>
        <w:t>Laari, 2025</w:t>
      </w:r>
      <w:r w:rsidRPr="00C93EC9">
        <w:rPr>
          <w:rFonts w:ascii="Arial" w:eastAsia="Times New Roman" w:hAnsi="Arial" w:cs="Arial"/>
          <w:lang w:val="en-GB"/>
        </w:rPr>
        <w:t>).</w:t>
      </w:r>
    </w:p>
    <w:p w14:paraId="2B4C4D40" w14:textId="77777777" w:rsidR="00F7262B" w:rsidRPr="00C93EC9" w:rsidRDefault="00F7262B" w:rsidP="00C832C9">
      <w:pPr>
        <w:shd w:val="clear" w:color="auto" w:fill="FFFFFF"/>
        <w:spacing w:after="0" w:line="240" w:lineRule="auto"/>
        <w:ind w:left="90"/>
        <w:rPr>
          <w:rFonts w:ascii="Arial" w:eastAsia="Times New Roman" w:hAnsi="Arial" w:cs="Arial"/>
          <w:lang w:val="en-GB"/>
        </w:rPr>
      </w:pPr>
    </w:p>
    <w:p w14:paraId="293C6CCA" w14:textId="77777777" w:rsidR="008B0E3D" w:rsidRPr="00C93EC9" w:rsidRDefault="004464C7" w:rsidP="00C832C9">
      <w:pPr>
        <w:shd w:val="clear" w:color="auto" w:fill="FFFFFF"/>
        <w:spacing w:line="240" w:lineRule="auto"/>
        <w:ind w:left="90"/>
        <w:rPr>
          <w:rFonts w:ascii="Arial" w:eastAsia="Times New Roman" w:hAnsi="Arial" w:cs="Arial"/>
          <w:lang w:val="en-GB"/>
        </w:rPr>
      </w:pPr>
      <w:r w:rsidRPr="00C93EC9">
        <w:rPr>
          <w:rFonts w:ascii="Arial" w:eastAsia="Times New Roman" w:hAnsi="Arial" w:cs="Arial"/>
          <w:lang w:val="en-GB"/>
        </w:rPr>
        <w:lastRenderedPageBreak/>
        <w:t>SAIDAR ensures communication is deliberate and therapeutic rather than merely transactional, recognising patient individuality and fostering trust, which is vital when addressing language barriers and the psychological effects of stroke</w:t>
      </w:r>
      <w:r w:rsidR="00D027A0" w:rsidRPr="00C93EC9">
        <w:rPr>
          <w:rFonts w:ascii="Arial" w:eastAsia="Times New Roman" w:hAnsi="Arial" w:cs="Arial"/>
          <w:lang w:val="en-GB"/>
        </w:rPr>
        <w:t xml:space="preserve"> (</w:t>
      </w:r>
      <w:proofErr w:type="spellStart"/>
      <w:r w:rsidR="00D027A0" w:rsidRPr="00C93EC9">
        <w:rPr>
          <w:rFonts w:ascii="Arial" w:eastAsia="Times New Roman" w:hAnsi="Arial" w:cs="Arial"/>
          <w:lang w:val="en-GB"/>
        </w:rPr>
        <w:t>Laarl</w:t>
      </w:r>
      <w:proofErr w:type="spellEnd"/>
      <w:r w:rsidR="00D027A0" w:rsidRPr="00C93EC9">
        <w:rPr>
          <w:rFonts w:ascii="Arial" w:eastAsia="Times New Roman" w:hAnsi="Arial" w:cs="Arial"/>
          <w:lang w:val="en-GB"/>
        </w:rPr>
        <w:t>, 2025)</w:t>
      </w:r>
      <w:r w:rsidRPr="00C93EC9">
        <w:rPr>
          <w:rFonts w:ascii="Arial" w:eastAsia="Times New Roman" w:hAnsi="Arial" w:cs="Arial"/>
          <w:lang w:val="en-GB"/>
        </w:rPr>
        <w:t xml:space="preserve">. Supporting this, Hersh </w:t>
      </w:r>
      <w:r w:rsidR="0097777F" w:rsidRPr="00C93EC9">
        <w:rPr>
          <w:rFonts w:ascii="Arial" w:eastAsia="Times New Roman" w:hAnsi="Arial" w:cs="Arial"/>
          <w:i/>
          <w:lang w:val="en-GB"/>
        </w:rPr>
        <w:t>et al.</w:t>
      </w:r>
      <w:r w:rsidRPr="00C93EC9">
        <w:rPr>
          <w:rFonts w:ascii="Arial" w:eastAsia="Times New Roman" w:hAnsi="Arial" w:cs="Arial"/>
          <w:lang w:val="en-GB"/>
        </w:rPr>
        <w:t xml:space="preserve"> (2012) argue that person-centred communication in aphasia rehabilitation</w:t>
      </w:r>
      <w:r w:rsidR="00C832C9" w:rsidRPr="00C93EC9">
        <w:rPr>
          <w:rFonts w:ascii="Arial" w:eastAsia="Times New Roman" w:hAnsi="Arial" w:cs="Arial"/>
          <w:lang w:val="en-GB"/>
        </w:rPr>
        <w:t xml:space="preserve">, </w:t>
      </w:r>
      <w:r w:rsidRPr="00C93EC9">
        <w:rPr>
          <w:rFonts w:ascii="Arial" w:eastAsia="Times New Roman" w:hAnsi="Arial" w:cs="Arial"/>
          <w:lang w:val="en-GB"/>
        </w:rPr>
        <w:t>emphasising empathy, identity, and participation</w:t>
      </w:r>
      <w:r w:rsidR="00C832C9" w:rsidRPr="00C93EC9">
        <w:rPr>
          <w:rFonts w:ascii="Arial" w:eastAsia="Times New Roman" w:hAnsi="Arial" w:cs="Arial"/>
          <w:lang w:val="en-GB"/>
        </w:rPr>
        <w:t xml:space="preserve">, </w:t>
      </w:r>
      <w:r w:rsidRPr="00C93EC9">
        <w:rPr>
          <w:rFonts w:ascii="Arial" w:eastAsia="Times New Roman" w:hAnsi="Arial" w:cs="Arial"/>
          <w:lang w:val="en-GB"/>
        </w:rPr>
        <w:t xml:space="preserve">improves engagement and recovery, with structured frameworks like SAIDAR helping rebuild confidence and trust. However, Simmons-Mackie </w:t>
      </w:r>
      <w:r w:rsidR="0097777F" w:rsidRPr="00C93EC9">
        <w:rPr>
          <w:rFonts w:ascii="Arial" w:eastAsia="Times New Roman" w:hAnsi="Arial" w:cs="Arial"/>
          <w:i/>
          <w:lang w:val="en-GB"/>
        </w:rPr>
        <w:t>et al.</w:t>
      </w:r>
      <w:r w:rsidRPr="00C93EC9">
        <w:rPr>
          <w:rFonts w:ascii="Arial" w:eastAsia="Times New Roman" w:hAnsi="Arial" w:cs="Arial"/>
          <w:lang w:val="en-GB"/>
        </w:rPr>
        <w:t xml:space="preserve"> (2010) caution that overly structured models may limit spontaneity and restrict patient-led expression, particularly in culturally diverse contexts, advocating for flexible, context-driven approaches.</w:t>
      </w:r>
    </w:p>
    <w:p w14:paraId="0E264160" w14:textId="77777777" w:rsidR="004464C7" w:rsidRPr="00C93EC9" w:rsidRDefault="008B0E3D" w:rsidP="00C832C9">
      <w:pPr>
        <w:shd w:val="clear" w:color="auto" w:fill="FFFFFF"/>
        <w:spacing w:line="240" w:lineRule="auto"/>
        <w:ind w:left="90"/>
        <w:rPr>
          <w:rFonts w:ascii="Arial" w:eastAsia="Times New Roman" w:hAnsi="Arial" w:cs="Arial"/>
          <w:lang w:val="en-GB"/>
        </w:rPr>
      </w:pPr>
      <w:r w:rsidRPr="00C93EC9">
        <w:rPr>
          <w:rFonts w:ascii="Arial" w:eastAsia="Times New Roman" w:hAnsi="Arial" w:cs="Arial"/>
          <w:lang w:val="en-GB"/>
        </w:rPr>
        <w:t>Nonetheless, SAIDAR is also a practical application of the </w:t>
      </w:r>
      <w:r w:rsidRPr="00C93EC9">
        <w:rPr>
          <w:rFonts w:ascii="Arial" w:eastAsia="Times New Roman" w:hAnsi="Arial" w:cs="Arial"/>
          <w:b/>
          <w:bCs/>
          <w:lang w:val="en-GB"/>
        </w:rPr>
        <w:t>Equality Act 2010</w:t>
      </w:r>
      <w:r w:rsidRPr="00C93EC9">
        <w:rPr>
          <w:rFonts w:ascii="Arial" w:eastAsia="Times New Roman" w:hAnsi="Arial" w:cs="Arial"/>
          <w:lang w:val="en-GB"/>
        </w:rPr>
        <w:t>, which protects individuals from discrimination based on protected characteristics, including race and disability (</w:t>
      </w:r>
      <w:r w:rsidR="00DB62BD" w:rsidRPr="00C93EC9">
        <w:rPr>
          <w:rFonts w:ascii="Arial" w:eastAsia="Times New Roman" w:hAnsi="Arial" w:cs="Arial"/>
          <w:lang w:val="en-GB"/>
        </w:rPr>
        <w:t>Gov.UK, 2010</w:t>
      </w:r>
      <w:r w:rsidRPr="00C93EC9">
        <w:rPr>
          <w:rFonts w:ascii="Arial" w:eastAsia="Times New Roman" w:hAnsi="Arial" w:cs="Arial"/>
          <w:lang w:val="en-GB"/>
        </w:rPr>
        <w:t>). Mr. Ahmed’s need for a Bengali interpreter or translated materials is not simply a preference but a legal requirement to ensure he is not disadvantaged in accessing care. A recent parliamentary response confirmed that the Act's protections are clear, and health communications must be adapted to ensure they are clear and accessible, appropriately reflecting characteristics like race to meet the needs of all patients (</w:t>
      </w:r>
      <w:r w:rsidRPr="00C93EC9">
        <w:rPr>
          <w:rFonts w:ascii="Arial" w:hAnsi="Arial" w:cs="Arial"/>
          <w:shd w:val="clear" w:color="auto" w:fill="FFFFFF"/>
          <w:lang w:val="en-GB"/>
        </w:rPr>
        <w:t>UK Parliament, 2025</w:t>
      </w:r>
      <w:r w:rsidRPr="00C93EC9">
        <w:rPr>
          <w:rFonts w:ascii="Arial" w:eastAsia="Times New Roman" w:hAnsi="Arial" w:cs="Arial"/>
          <w:lang w:val="en-GB"/>
        </w:rPr>
        <w:t xml:space="preserve">). By using models like SAIDAR and providing language support, the care team </w:t>
      </w:r>
      <w:proofErr w:type="spellStart"/>
      <w:r w:rsidRPr="00C93EC9">
        <w:rPr>
          <w:rFonts w:ascii="Arial" w:eastAsia="Times New Roman" w:hAnsi="Arial" w:cs="Arial"/>
          <w:lang w:val="en-GB"/>
        </w:rPr>
        <w:t>fulfills</w:t>
      </w:r>
      <w:proofErr w:type="spellEnd"/>
      <w:r w:rsidRPr="00C93EC9">
        <w:rPr>
          <w:rFonts w:ascii="Arial" w:eastAsia="Times New Roman" w:hAnsi="Arial" w:cs="Arial"/>
          <w:lang w:val="en-GB"/>
        </w:rPr>
        <w:t xml:space="preserve"> its duty to make "reasonable adjustments," actively promoting equality and ensuring Mr. Ahmed receives care of the same quality as any other patient.</w:t>
      </w:r>
    </w:p>
    <w:p w14:paraId="6CA6B7FE" w14:textId="77777777" w:rsidR="009D7799" w:rsidRPr="00C93EC9" w:rsidRDefault="009D7799" w:rsidP="00C832C9">
      <w:pPr>
        <w:shd w:val="clear" w:color="auto" w:fill="FFFFFF"/>
        <w:spacing w:after="0" w:line="240" w:lineRule="auto"/>
        <w:ind w:left="90"/>
        <w:rPr>
          <w:rFonts w:ascii="Arial" w:eastAsia="Times New Roman" w:hAnsi="Arial" w:cs="Arial"/>
          <w:lang w:val="en-GB"/>
        </w:rPr>
      </w:pPr>
    </w:p>
    <w:p w14:paraId="52ED8D59" w14:textId="77777777" w:rsidR="0019328C" w:rsidRPr="00C93EC9" w:rsidRDefault="0019328C" w:rsidP="00C832C9">
      <w:pPr>
        <w:shd w:val="clear" w:color="auto" w:fill="FFFFFF"/>
        <w:spacing w:line="240" w:lineRule="auto"/>
        <w:outlineLvl w:val="2"/>
        <w:rPr>
          <w:rFonts w:ascii="Arial" w:eastAsia="Times New Roman" w:hAnsi="Arial" w:cs="Arial"/>
          <w:b/>
          <w:bCs/>
          <w:lang w:val="en-GB"/>
        </w:rPr>
      </w:pPr>
      <w:r w:rsidRPr="00C93EC9">
        <w:rPr>
          <w:rFonts w:ascii="Arial" w:eastAsia="Times New Roman" w:hAnsi="Arial" w:cs="Arial"/>
          <w:b/>
          <w:bCs/>
          <w:lang w:val="en-GB"/>
        </w:rPr>
        <w:t>2. The</w:t>
      </w:r>
      <w:r w:rsidR="00297A76" w:rsidRPr="00C93EC9">
        <w:rPr>
          <w:rFonts w:ascii="Arial" w:eastAsia="Times New Roman" w:hAnsi="Arial" w:cs="Arial"/>
          <w:b/>
          <w:bCs/>
          <w:lang w:val="en-GB"/>
        </w:rPr>
        <w:t xml:space="preserve"> Importance of Good Administrative Skills within Professional</w:t>
      </w:r>
      <w:r w:rsidR="0097777F" w:rsidRPr="00C93EC9">
        <w:rPr>
          <w:rFonts w:ascii="Arial" w:eastAsia="Times New Roman" w:hAnsi="Arial" w:cs="Arial"/>
          <w:b/>
          <w:bCs/>
          <w:lang w:val="en-GB"/>
        </w:rPr>
        <w:t xml:space="preserve"> </w:t>
      </w:r>
      <w:r w:rsidR="00297A76" w:rsidRPr="00C93EC9">
        <w:rPr>
          <w:rFonts w:ascii="Arial" w:eastAsia="Times New Roman" w:hAnsi="Arial" w:cs="Arial"/>
          <w:b/>
          <w:bCs/>
          <w:lang w:val="en-GB"/>
        </w:rPr>
        <w:t>Practice within the Context of Mr</w:t>
      </w:r>
      <w:r w:rsidR="004464C7" w:rsidRPr="00C93EC9">
        <w:rPr>
          <w:rFonts w:ascii="Arial" w:eastAsia="Times New Roman" w:hAnsi="Arial" w:cs="Arial"/>
          <w:b/>
          <w:bCs/>
          <w:lang w:val="en-GB"/>
        </w:rPr>
        <w:t xml:space="preserve">. </w:t>
      </w:r>
      <w:r w:rsidR="00297A76" w:rsidRPr="00C93EC9">
        <w:rPr>
          <w:rFonts w:ascii="Arial" w:eastAsia="Times New Roman" w:hAnsi="Arial" w:cs="Arial"/>
          <w:b/>
          <w:bCs/>
          <w:lang w:val="en-GB"/>
        </w:rPr>
        <w:t>Ahmed’s Care</w:t>
      </w:r>
    </w:p>
    <w:p w14:paraId="7E5475C1" w14:textId="77777777" w:rsidR="0007704F" w:rsidRPr="00C93EC9" w:rsidRDefault="0007704F"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To achieve safe and effective professional practice, strong administrative skills (especially accurate and timely record keeping) are essential (</w:t>
      </w:r>
      <w:proofErr w:type="spellStart"/>
      <w:r w:rsidRPr="00C93EC9">
        <w:rPr>
          <w:rFonts w:ascii="Arial" w:eastAsia="Times New Roman" w:hAnsi="Arial" w:cs="Arial"/>
          <w:lang w:val="en-GB"/>
        </w:rPr>
        <w:t>Almotairi</w:t>
      </w:r>
      <w:proofErr w:type="spellEnd"/>
      <w:r w:rsidRPr="00C93EC9">
        <w:rPr>
          <w:rFonts w:ascii="Arial" w:eastAsia="Times New Roman" w:hAnsi="Arial" w:cs="Arial"/>
          <w:lang w:val="en-GB"/>
        </w:rPr>
        <w:t xml:space="preserve"> </w:t>
      </w:r>
      <w:r w:rsidR="0097777F" w:rsidRPr="00C93EC9">
        <w:rPr>
          <w:rFonts w:ascii="Arial" w:eastAsia="Times New Roman" w:hAnsi="Arial" w:cs="Arial"/>
          <w:i/>
          <w:lang w:val="en-GB"/>
        </w:rPr>
        <w:t>et al.</w:t>
      </w:r>
      <w:r w:rsidRPr="00C93EC9">
        <w:rPr>
          <w:rFonts w:ascii="Arial" w:eastAsia="Times New Roman" w:hAnsi="Arial" w:cs="Arial"/>
          <w:lang w:val="en-GB"/>
        </w:rPr>
        <w:t xml:space="preserve">, 2024). The missed home visit and subsequent missed medication for Mr. Ahmed demonstrate how critical the administrative processes are to the continuity of care, the provision of accountability and the safety of patients. The proper documentation of scheduled visits, administration of medications (including missed or disrupted doses) and follow up actions will serve as the basis for ongoing care and the potential for future investigation (Malik and Khan, 2024).  </w:t>
      </w:r>
    </w:p>
    <w:p w14:paraId="093678EF" w14:textId="2D81866F" w:rsidR="009D7799" w:rsidRPr="00C93EC9" w:rsidRDefault="0007704F"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 xml:space="preserve">Records that include the administration of, for example, Mr. Ahmed's blood pressure, medications, and progress through therapy, need to be maintained accurately and in a timely manner following the Data Protection Act (2018) and the UK General Data Protection Regulation (UK GDPR). The DPA (2018) has specific requirements regarding how the data is collected, processed and protected (NHS England Digital, 2024). The legislative framework requires that data be processed lawfully, fairly and transparently; for a specified purpose; be accurate and </w:t>
      </w:r>
      <w:r w:rsidR="00C93EC9" w:rsidRPr="00C93EC9">
        <w:rPr>
          <w:rFonts w:ascii="Arial" w:eastAsia="Times New Roman" w:hAnsi="Arial" w:cs="Arial"/>
          <w:lang w:val="en-GB"/>
        </w:rPr>
        <w:t>up to date</w:t>
      </w:r>
      <w:r w:rsidRPr="00C93EC9">
        <w:rPr>
          <w:rFonts w:ascii="Arial" w:eastAsia="Times New Roman" w:hAnsi="Arial" w:cs="Arial"/>
          <w:lang w:val="en-GB"/>
        </w:rPr>
        <w:t>; be limited to what is a necessary; be held securely; and be kept no longer than is necessary (Avon and Wiltshire Mental Health Partnership NHS Trust, 2025). Mr. Ahmed's care team will need prompt and accurate records to ensure that they have an appropriate and shared understanding of Mr. Ahmed's condition.</w:t>
      </w:r>
    </w:p>
    <w:p w14:paraId="09CA1A35" w14:textId="77777777" w:rsidR="0016716C" w:rsidRPr="00C93EC9" w:rsidRDefault="0016716C"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 xml:space="preserve">Transparency is critical. Mr. Ahmed and his wife have a right to understand how their data is used, as described in privacy notices which explain how data will be used, owned, and shared (Avon and Wiltshire Mental Health Partnership NHS Trust, 2025). Given Mr. Ahmed’s limited English abilities, this information should also be provided to him in Bengali so he can fully understand it. Furthermore, to lawfully process his information, </w:t>
      </w:r>
      <w:r w:rsidR="00BC68B7" w:rsidRPr="00C93EC9">
        <w:rPr>
          <w:rFonts w:ascii="Arial" w:eastAsia="Times New Roman" w:hAnsi="Arial" w:cs="Arial"/>
          <w:lang w:val="en-GB"/>
        </w:rPr>
        <w:t>one</w:t>
      </w:r>
      <w:r w:rsidRPr="00C93EC9">
        <w:rPr>
          <w:rFonts w:ascii="Arial" w:eastAsia="Times New Roman" w:hAnsi="Arial" w:cs="Arial"/>
          <w:lang w:val="en-GB"/>
        </w:rPr>
        <w:t xml:space="preserve"> must have either consent or a necessary statutory reason to process his data and maintain strict data security as required under national standards (NHS England Digital, 2024).</w:t>
      </w:r>
    </w:p>
    <w:p w14:paraId="295C0B44" w14:textId="77777777" w:rsidR="00683682" w:rsidRPr="00C93EC9" w:rsidRDefault="0016716C"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Keeping accurate records and documenting a missed visit is more than a matter of administrative management; rather, it is also a clinical/Ethical requirement which allows health-care providers to intervene promptly; assists with the investigation; and maintains the accountability of the provider as well as the transparency of the DPA 2018.</w:t>
      </w:r>
    </w:p>
    <w:p w14:paraId="4B290964" w14:textId="77777777" w:rsidR="009D2E96" w:rsidRPr="00C93EC9" w:rsidRDefault="009D2E96" w:rsidP="00C832C9">
      <w:pPr>
        <w:shd w:val="clear" w:color="auto" w:fill="FFFFFF"/>
        <w:spacing w:after="0" w:line="240" w:lineRule="auto"/>
        <w:rPr>
          <w:rFonts w:ascii="Arial" w:eastAsia="Times New Roman" w:hAnsi="Arial" w:cs="Arial"/>
          <w:lang w:val="en-GB"/>
        </w:rPr>
      </w:pPr>
    </w:p>
    <w:p w14:paraId="005A2B6E" w14:textId="77777777" w:rsidR="0019328C" w:rsidRPr="00C93EC9" w:rsidRDefault="0019328C" w:rsidP="00C832C9">
      <w:pPr>
        <w:shd w:val="clear" w:color="auto" w:fill="FFFFFF"/>
        <w:spacing w:line="240" w:lineRule="auto"/>
        <w:outlineLvl w:val="2"/>
        <w:rPr>
          <w:rFonts w:ascii="Arial" w:eastAsia="Times New Roman" w:hAnsi="Arial" w:cs="Arial"/>
          <w:b/>
          <w:bCs/>
          <w:lang w:val="en-GB"/>
        </w:rPr>
      </w:pPr>
      <w:r w:rsidRPr="00C93EC9">
        <w:rPr>
          <w:rFonts w:ascii="Arial" w:eastAsia="Times New Roman" w:hAnsi="Arial" w:cs="Arial"/>
          <w:b/>
          <w:bCs/>
          <w:lang w:val="en-GB"/>
        </w:rPr>
        <w:t>3. The Importance of Working Collaboratively with Other Professionals</w:t>
      </w:r>
    </w:p>
    <w:p w14:paraId="1E40D63B" w14:textId="77777777" w:rsidR="00AD7A0C" w:rsidRPr="00C93EC9" w:rsidRDefault="00AD7A0C" w:rsidP="00C832C9">
      <w:pPr>
        <w:spacing w:line="240" w:lineRule="auto"/>
        <w:rPr>
          <w:rFonts w:ascii="Arial" w:eastAsia="Times New Roman" w:hAnsi="Arial" w:cs="Arial"/>
          <w:lang w:val="en-GB"/>
        </w:rPr>
      </w:pPr>
      <w:r w:rsidRPr="00C93EC9">
        <w:rPr>
          <w:rFonts w:ascii="Arial" w:eastAsia="Times New Roman" w:hAnsi="Arial" w:cs="Arial"/>
          <w:lang w:val="en-GB"/>
        </w:rPr>
        <w:t>To effectively recover, Mr. Ahmed needs to work extensively with many members of a multidisciplinary team, such as his GP, district nurse, domiciliary care workers and speech and language therapist, all of whom have their own specialties to assist in meeting Mr. Ahmed's complex needs; no one practitioner can meet all of Mr. Ahmed's needs (Clarke &amp; Forster, 2015). Through this “partnership working” approach, their delivery of holistic, seamless care is an integral part of contemporary practice in health and social care service provision (Croner-I, 2025). For instance, the input of the district nurse through his clinical observations informs the GP's clinical decisions, while the interventions of therapists are supported by the input of the care workers.</w:t>
      </w:r>
    </w:p>
    <w:p w14:paraId="386762E9" w14:textId="28924D49" w:rsidR="00AD7A0C" w:rsidRPr="00C93EC9" w:rsidRDefault="00AD7A0C" w:rsidP="00C832C9">
      <w:pPr>
        <w:spacing w:line="240" w:lineRule="auto"/>
        <w:rPr>
          <w:rFonts w:ascii="Arial" w:eastAsia="Times New Roman" w:hAnsi="Arial" w:cs="Arial"/>
          <w:lang w:val="en-GB"/>
        </w:rPr>
      </w:pPr>
      <w:r w:rsidRPr="00C93EC9">
        <w:rPr>
          <w:rFonts w:ascii="Arial" w:eastAsia="Times New Roman" w:hAnsi="Arial" w:cs="Arial"/>
          <w:lang w:val="en-GB"/>
        </w:rPr>
        <w:t xml:space="preserve">The Health and Care Act 2022 further </w:t>
      </w:r>
      <w:r w:rsidR="00C93EC9" w:rsidRPr="00C93EC9">
        <w:rPr>
          <w:rFonts w:ascii="Arial" w:eastAsia="Times New Roman" w:hAnsi="Arial" w:cs="Arial"/>
          <w:lang w:val="en-GB"/>
        </w:rPr>
        <w:t>support</w:t>
      </w:r>
      <w:r w:rsidRPr="00C93EC9">
        <w:rPr>
          <w:rFonts w:ascii="Arial" w:eastAsia="Times New Roman" w:hAnsi="Arial" w:cs="Arial"/>
          <w:lang w:val="en-GB"/>
        </w:rPr>
        <w:t xml:space="preserve"> collaborative working through legislation requiring integrated working through Integrated Care Systems (ICSs) (Health and Care Act, 2022). Effective teamwork is reliant upon open lines of communication; using the same clinical records; having clearly defined job roles, and often one or more individuals who are responsible for co-ordinating the patient's care (Croner-I, 2025). Additionally, mutual respect and shared commitment to providing patient-centred care are also important contributors to the success of collaborative working arrangements.</w:t>
      </w:r>
    </w:p>
    <w:p w14:paraId="714A65D3" w14:textId="77777777" w:rsidR="00F80089" w:rsidRPr="00C93EC9" w:rsidRDefault="00AD7A0C" w:rsidP="00C832C9">
      <w:pPr>
        <w:spacing w:line="240" w:lineRule="auto"/>
        <w:rPr>
          <w:rFonts w:ascii="Arial" w:eastAsia="Times New Roman" w:hAnsi="Arial" w:cs="Arial"/>
          <w:lang w:val="en-GB"/>
        </w:rPr>
      </w:pPr>
      <w:r w:rsidRPr="00C93EC9">
        <w:rPr>
          <w:rFonts w:ascii="Arial" w:eastAsia="Times New Roman" w:hAnsi="Arial" w:cs="Arial"/>
          <w:lang w:val="en-GB"/>
        </w:rPr>
        <w:t xml:space="preserve">However, the process of collaborating with each other can create barriers to collaboration, as was the case with the missed visit; poor communication and the delay in sharing information can interrupt continuity of care (Alshammari </w:t>
      </w:r>
      <w:r w:rsidR="0097777F" w:rsidRPr="00C93EC9">
        <w:rPr>
          <w:rFonts w:ascii="Arial" w:eastAsia="Times New Roman" w:hAnsi="Arial" w:cs="Arial"/>
          <w:i/>
          <w:lang w:val="en-GB"/>
        </w:rPr>
        <w:t>et al.</w:t>
      </w:r>
      <w:r w:rsidRPr="00C93EC9">
        <w:rPr>
          <w:rFonts w:ascii="Arial" w:eastAsia="Times New Roman" w:hAnsi="Arial" w:cs="Arial"/>
          <w:lang w:val="en-GB"/>
        </w:rPr>
        <w:t>, 2024; Norman, 2024) and having conflicting priorities can restrict how decisions are made (</w:t>
      </w:r>
      <w:proofErr w:type="spellStart"/>
      <w:r w:rsidRPr="00C93EC9">
        <w:rPr>
          <w:rFonts w:ascii="Arial" w:eastAsia="Times New Roman" w:hAnsi="Arial" w:cs="Arial"/>
          <w:lang w:val="en-GB"/>
        </w:rPr>
        <w:t>Daghriri</w:t>
      </w:r>
      <w:proofErr w:type="spellEnd"/>
      <w:r w:rsidRPr="00C93EC9">
        <w:rPr>
          <w:rFonts w:ascii="Arial" w:eastAsia="Times New Roman" w:hAnsi="Arial" w:cs="Arial"/>
          <w:lang w:val="en-GB"/>
        </w:rPr>
        <w:t xml:space="preserve"> </w:t>
      </w:r>
      <w:r w:rsidR="0097777F" w:rsidRPr="00C93EC9">
        <w:rPr>
          <w:rFonts w:ascii="Arial" w:eastAsia="Times New Roman" w:hAnsi="Arial" w:cs="Arial"/>
          <w:i/>
          <w:lang w:val="en-GB"/>
        </w:rPr>
        <w:t>et al.</w:t>
      </w:r>
      <w:r w:rsidRPr="00C93EC9">
        <w:rPr>
          <w:rFonts w:ascii="Arial" w:eastAsia="Times New Roman" w:hAnsi="Arial" w:cs="Arial"/>
          <w:lang w:val="en-GB"/>
        </w:rPr>
        <w:t>, 2024).</w:t>
      </w:r>
      <w:r w:rsidR="009D7799" w:rsidRPr="00C93EC9">
        <w:rPr>
          <w:rFonts w:ascii="Arial" w:eastAsia="Times New Roman" w:hAnsi="Arial" w:cs="Arial"/>
          <w:lang w:val="en-GB"/>
        </w:rPr>
        <w:t xml:space="preserve">Unclear roles can reduce accountability (Alshammari </w:t>
      </w:r>
      <w:r w:rsidR="0097777F" w:rsidRPr="00C93EC9">
        <w:rPr>
          <w:rFonts w:ascii="Arial" w:eastAsia="Times New Roman" w:hAnsi="Arial" w:cs="Arial"/>
          <w:i/>
          <w:lang w:val="en-GB"/>
        </w:rPr>
        <w:t>et al.</w:t>
      </w:r>
      <w:r w:rsidR="009D7799" w:rsidRPr="00C93EC9">
        <w:rPr>
          <w:rFonts w:ascii="Arial" w:eastAsia="Times New Roman" w:hAnsi="Arial" w:cs="Arial"/>
          <w:lang w:val="en-GB"/>
        </w:rPr>
        <w:t xml:space="preserve">, 2024; El-Ansari </w:t>
      </w:r>
      <w:r w:rsidR="0097777F" w:rsidRPr="00C93EC9">
        <w:rPr>
          <w:rFonts w:ascii="Arial" w:eastAsia="Times New Roman" w:hAnsi="Arial" w:cs="Arial"/>
          <w:i/>
          <w:lang w:val="en-GB"/>
        </w:rPr>
        <w:t>et al.</w:t>
      </w:r>
      <w:r w:rsidR="009D7799" w:rsidRPr="00C93EC9">
        <w:rPr>
          <w:rFonts w:ascii="Arial" w:eastAsia="Times New Roman" w:hAnsi="Arial" w:cs="Arial"/>
          <w:lang w:val="en-GB"/>
        </w:rPr>
        <w:t xml:space="preserve">, 2024), and organisational complexity may lead to coordination failures (Xu </w:t>
      </w:r>
      <w:r w:rsidR="0097777F" w:rsidRPr="00C93EC9">
        <w:rPr>
          <w:rFonts w:ascii="Arial" w:eastAsia="Times New Roman" w:hAnsi="Arial" w:cs="Arial"/>
          <w:i/>
          <w:lang w:val="en-GB"/>
        </w:rPr>
        <w:t>et al.</w:t>
      </w:r>
      <w:r w:rsidR="009D7799" w:rsidRPr="00C93EC9">
        <w:rPr>
          <w:rFonts w:ascii="Arial" w:eastAsia="Times New Roman" w:hAnsi="Arial" w:cs="Arial"/>
          <w:lang w:val="en-GB"/>
        </w:rPr>
        <w:t xml:space="preserve">, 2025; Townley </w:t>
      </w:r>
      <w:r w:rsidR="0097777F" w:rsidRPr="00C93EC9">
        <w:rPr>
          <w:rFonts w:ascii="Arial" w:eastAsia="Times New Roman" w:hAnsi="Arial" w:cs="Arial"/>
          <w:i/>
          <w:lang w:val="en-GB"/>
        </w:rPr>
        <w:t>et al.</w:t>
      </w:r>
      <w:r w:rsidR="009D7799" w:rsidRPr="00C93EC9">
        <w:rPr>
          <w:rFonts w:ascii="Arial" w:eastAsia="Times New Roman" w:hAnsi="Arial" w:cs="Arial"/>
          <w:lang w:val="en-GB"/>
        </w:rPr>
        <w:t>, 2025). Addressing these issues requires robust information-sharing, joint training, and clear escalation procedures.</w:t>
      </w:r>
    </w:p>
    <w:p w14:paraId="4E31400B" w14:textId="77777777" w:rsidR="00683682" w:rsidRPr="00C93EC9" w:rsidRDefault="00683682" w:rsidP="00C832C9">
      <w:pPr>
        <w:shd w:val="clear" w:color="auto" w:fill="FFFFFF"/>
        <w:spacing w:after="0" w:line="240" w:lineRule="auto"/>
        <w:outlineLvl w:val="2"/>
        <w:rPr>
          <w:rFonts w:ascii="Arial" w:eastAsia="Times New Roman" w:hAnsi="Arial" w:cs="Arial"/>
          <w:b/>
          <w:bCs/>
          <w:lang w:val="en-GB"/>
        </w:rPr>
      </w:pPr>
    </w:p>
    <w:p w14:paraId="5272D184" w14:textId="77777777" w:rsidR="0019328C" w:rsidRPr="00C93EC9" w:rsidRDefault="0019328C" w:rsidP="00C832C9">
      <w:pPr>
        <w:shd w:val="clear" w:color="auto" w:fill="FFFFFF"/>
        <w:spacing w:line="240" w:lineRule="auto"/>
        <w:outlineLvl w:val="2"/>
        <w:rPr>
          <w:rFonts w:ascii="Arial" w:eastAsia="Times New Roman" w:hAnsi="Arial" w:cs="Arial"/>
          <w:b/>
          <w:bCs/>
          <w:lang w:val="en-GB"/>
        </w:rPr>
      </w:pPr>
      <w:r w:rsidRPr="00C93EC9">
        <w:rPr>
          <w:rFonts w:ascii="Arial" w:eastAsia="Times New Roman" w:hAnsi="Arial" w:cs="Arial"/>
          <w:b/>
          <w:bCs/>
          <w:lang w:val="en-GB"/>
        </w:rPr>
        <w:t>Conclusion</w:t>
      </w:r>
    </w:p>
    <w:p w14:paraId="19DCA7E5" w14:textId="77777777" w:rsidR="009D2E96" w:rsidRPr="00C93EC9" w:rsidRDefault="006F420F" w:rsidP="00C832C9">
      <w:pPr>
        <w:shd w:val="clear" w:color="auto" w:fill="FFFFFF"/>
        <w:spacing w:line="240" w:lineRule="auto"/>
        <w:rPr>
          <w:rFonts w:ascii="Arial" w:eastAsia="Times New Roman" w:hAnsi="Arial" w:cs="Arial"/>
          <w:lang w:val="en-GB"/>
        </w:rPr>
      </w:pPr>
      <w:r w:rsidRPr="00C93EC9">
        <w:rPr>
          <w:rFonts w:ascii="Arial" w:eastAsia="Times New Roman" w:hAnsi="Arial" w:cs="Arial"/>
          <w:lang w:val="en-GB"/>
        </w:rPr>
        <w:t>In conclusion, Mr Ahmed's case is a prime example of how important it is to communicate effectively, administratively and collaboratively, through safe, person-centred health and social care systems. Models, like SAIDAR, alongside legislative frameworks, such as the Equality Act 2010, facilitate inclusive communication. This allows people to understand and exercise their autonomy. Maintaining accurate records, in accordance with the Data Protection Act 2018, provides a framework for ensuring continuity, accountability and patient safety. The multidisciplinary collaboration that takes place within a system such as an Integrated Care System (ICS) ultimately provides holistic and coordinated care. To ensure patient safety and avoid errors or unethical behaviour, it is essential to address the barriers present in the areas mentioned to achieve optimal recovery outcomes for patients with multiple or high-level needs.</w:t>
      </w:r>
    </w:p>
    <w:p w14:paraId="4121C818" w14:textId="77777777" w:rsidR="009D2E96" w:rsidRPr="00C93EC9" w:rsidRDefault="009D2E96" w:rsidP="00C832C9">
      <w:pPr>
        <w:shd w:val="clear" w:color="auto" w:fill="FFFFFF"/>
        <w:spacing w:line="240" w:lineRule="auto"/>
        <w:rPr>
          <w:rFonts w:ascii="Arial" w:eastAsia="Times New Roman" w:hAnsi="Arial" w:cs="Arial"/>
          <w:color w:val="0F1115"/>
          <w:lang w:val="en-GB"/>
        </w:rPr>
      </w:pPr>
    </w:p>
    <w:p w14:paraId="48061AA2" w14:textId="77777777" w:rsidR="009D2E96" w:rsidRPr="00C93EC9" w:rsidRDefault="009D2E96" w:rsidP="00C832C9">
      <w:pPr>
        <w:shd w:val="clear" w:color="auto" w:fill="FFFFFF"/>
        <w:spacing w:line="240" w:lineRule="auto"/>
        <w:rPr>
          <w:rFonts w:ascii="Arial" w:eastAsia="Times New Roman" w:hAnsi="Arial" w:cs="Arial"/>
          <w:color w:val="0F1115"/>
          <w:lang w:val="en-GB"/>
        </w:rPr>
      </w:pPr>
    </w:p>
    <w:p w14:paraId="2D38917E" w14:textId="77777777" w:rsidR="009D2E96" w:rsidRPr="00C93EC9" w:rsidRDefault="009D2E96" w:rsidP="00C832C9">
      <w:pPr>
        <w:shd w:val="clear" w:color="auto" w:fill="FFFFFF"/>
        <w:spacing w:line="240" w:lineRule="auto"/>
        <w:rPr>
          <w:rFonts w:ascii="Arial" w:eastAsia="Times New Roman" w:hAnsi="Arial" w:cs="Arial"/>
          <w:color w:val="0F1115"/>
          <w:lang w:val="en-GB"/>
        </w:rPr>
      </w:pPr>
    </w:p>
    <w:p w14:paraId="4AF117EA" w14:textId="77777777" w:rsidR="00C93EC9" w:rsidRDefault="00C93EC9" w:rsidP="00C93EC9">
      <w:pPr>
        <w:shd w:val="clear" w:color="auto" w:fill="FFFFFF"/>
        <w:spacing w:line="240" w:lineRule="auto"/>
        <w:rPr>
          <w:rFonts w:ascii="Arial" w:eastAsia="Times New Roman" w:hAnsi="Arial" w:cs="Arial"/>
          <w:color w:val="0F1115"/>
          <w:lang w:val="en-GB"/>
        </w:rPr>
      </w:pPr>
      <w:bookmarkStart w:id="0" w:name="_Hlk225732708"/>
    </w:p>
    <w:p w14:paraId="1591D347" w14:textId="77777777" w:rsidR="00C93EC9" w:rsidRDefault="00C93EC9" w:rsidP="00C93EC9">
      <w:pPr>
        <w:shd w:val="clear" w:color="auto" w:fill="FFFFFF"/>
        <w:spacing w:line="240" w:lineRule="auto"/>
        <w:rPr>
          <w:rFonts w:ascii="Arial" w:eastAsia="Times New Roman" w:hAnsi="Arial" w:cs="Arial"/>
          <w:color w:val="0F1115"/>
          <w:lang w:val="en-GB"/>
        </w:rPr>
      </w:pPr>
    </w:p>
    <w:p w14:paraId="6D659E62" w14:textId="77777777" w:rsidR="00C93EC9" w:rsidRDefault="00C93EC9" w:rsidP="00C93EC9">
      <w:pPr>
        <w:shd w:val="clear" w:color="auto" w:fill="FFFFFF"/>
        <w:spacing w:line="240" w:lineRule="auto"/>
        <w:rPr>
          <w:rFonts w:ascii="Arial" w:eastAsia="Times New Roman" w:hAnsi="Arial" w:cs="Arial"/>
          <w:color w:val="0F1115"/>
          <w:lang w:val="en-GB"/>
        </w:rPr>
      </w:pPr>
    </w:p>
    <w:p w14:paraId="5C8F3269" w14:textId="77777777" w:rsidR="00C93EC9" w:rsidRDefault="00C93EC9" w:rsidP="00C93EC9">
      <w:pPr>
        <w:shd w:val="clear" w:color="auto" w:fill="FFFFFF"/>
        <w:spacing w:line="240" w:lineRule="auto"/>
        <w:rPr>
          <w:rFonts w:ascii="Arial" w:eastAsia="Times New Roman" w:hAnsi="Arial" w:cs="Arial"/>
          <w:color w:val="0F1115"/>
          <w:lang w:val="en-GB"/>
        </w:rPr>
      </w:pPr>
    </w:p>
    <w:p w14:paraId="3F4D4E33" w14:textId="6E7A1547" w:rsidR="009D7799" w:rsidRPr="00C93EC9" w:rsidRDefault="009D7799" w:rsidP="00C93EC9">
      <w:pPr>
        <w:shd w:val="clear" w:color="auto" w:fill="FFFFFF"/>
        <w:spacing w:line="240" w:lineRule="auto"/>
        <w:jc w:val="center"/>
        <w:rPr>
          <w:rFonts w:ascii="Arial" w:eastAsia="Times New Roman" w:hAnsi="Arial" w:cs="Arial"/>
          <w:b/>
          <w:bCs/>
          <w:color w:val="0F1115"/>
          <w:lang w:val="en-GB"/>
        </w:rPr>
      </w:pPr>
      <w:r w:rsidRPr="00C93EC9">
        <w:rPr>
          <w:rFonts w:ascii="Arial" w:eastAsia="Times New Roman" w:hAnsi="Arial" w:cs="Arial"/>
          <w:b/>
          <w:bCs/>
          <w:color w:val="0F1115"/>
          <w:lang w:val="en-GB"/>
        </w:rPr>
        <w:lastRenderedPageBreak/>
        <w:t>Reference list</w:t>
      </w:r>
    </w:p>
    <w:p w14:paraId="13BDDB43"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proofErr w:type="spellStart"/>
      <w:r w:rsidRPr="00C93EC9">
        <w:rPr>
          <w:rFonts w:ascii="Arial" w:eastAsia="Times New Roman" w:hAnsi="Arial" w:cs="Arial"/>
          <w:color w:val="0F1115"/>
          <w:lang w:val="en-GB"/>
        </w:rPr>
        <w:t>Almotairi</w:t>
      </w:r>
      <w:proofErr w:type="spellEnd"/>
      <w:r w:rsidRPr="00C93EC9">
        <w:rPr>
          <w:rFonts w:ascii="Arial" w:eastAsia="Times New Roman" w:hAnsi="Arial" w:cs="Arial"/>
          <w:color w:val="0F1115"/>
          <w:lang w:val="en-GB"/>
        </w:rPr>
        <w:t xml:space="preserve">, M.A., Abdullah, Khalid, </w:t>
      </w:r>
      <w:proofErr w:type="spellStart"/>
      <w:r w:rsidRPr="00C93EC9">
        <w:rPr>
          <w:rFonts w:ascii="Arial" w:eastAsia="Times New Roman" w:hAnsi="Arial" w:cs="Arial"/>
          <w:color w:val="0F1115"/>
          <w:lang w:val="en-GB"/>
        </w:rPr>
        <w:t>Ghaythan</w:t>
      </w:r>
      <w:proofErr w:type="spellEnd"/>
      <w:r w:rsidRPr="00C93EC9">
        <w:rPr>
          <w:rFonts w:ascii="Arial" w:eastAsia="Times New Roman" w:hAnsi="Arial" w:cs="Arial"/>
          <w:color w:val="0F1115"/>
          <w:lang w:val="en-GB"/>
        </w:rPr>
        <w:t xml:space="preserve">, M., </w:t>
      </w:r>
      <w:proofErr w:type="spellStart"/>
      <w:r w:rsidRPr="00C93EC9">
        <w:rPr>
          <w:rFonts w:ascii="Arial" w:eastAsia="Times New Roman" w:hAnsi="Arial" w:cs="Arial"/>
          <w:color w:val="0F1115"/>
          <w:lang w:val="en-GB"/>
        </w:rPr>
        <w:t>Sumaihan</w:t>
      </w:r>
      <w:proofErr w:type="spellEnd"/>
      <w:r w:rsidRPr="00C93EC9">
        <w:rPr>
          <w:rFonts w:ascii="Arial" w:eastAsia="Times New Roman" w:hAnsi="Arial" w:cs="Arial"/>
          <w:color w:val="0F1115"/>
          <w:lang w:val="en-GB"/>
        </w:rPr>
        <w:t xml:space="preserve">, M., </w:t>
      </w:r>
      <w:proofErr w:type="spellStart"/>
      <w:r w:rsidRPr="00C93EC9">
        <w:rPr>
          <w:rFonts w:ascii="Arial" w:eastAsia="Times New Roman" w:hAnsi="Arial" w:cs="Arial"/>
          <w:color w:val="0F1115"/>
          <w:lang w:val="en-GB"/>
        </w:rPr>
        <w:t>Alqasir</w:t>
      </w:r>
      <w:proofErr w:type="spellEnd"/>
      <w:r w:rsidRPr="00C93EC9">
        <w:rPr>
          <w:rFonts w:ascii="Arial" w:eastAsia="Times New Roman" w:hAnsi="Arial" w:cs="Arial"/>
          <w:color w:val="0F1115"/>
          <w:lang w:val="en-GB"/>
        </w:rPr>
        <w:t xml:space="preserve">, M.A., Faisal, Shimah </w:t>
      </w:r>
      <w:proofErr w:type="spellStart"/>
      <w:r w:rsidRPr="00C93EC9">
        <w:rPr>
          <w:rFonts w:ascii="Arial" w:eastAsia="Times New Roman" w:hAnsi="Arial" w:cs="Arial"/>
          <w:color w:val="0F1115"/>
          <w:lang w:val="en-GB"/>
        </w:rPr>
        <w:t>Alhelo</w:t>
      </w:r>
      <w:proofErr w:type="spellEnd"/>
      <w:r w:rsidRPr="00C93EC9">
        <w:rPr>
          <w:rFonts w:ascii="Arial" w:eastAsia="Times New Roman" w:hAnsi="Arial" w:cs="Arial"/>
          <w:color w:val="0F1115"/>
          <w:lang w:val="en-GB"/>
        </w:rPr>
        <w:t xml:space="preserve"> T. </w:t>
      </w:r>
      <w:proofErr w:type="spellStart"/>
      <w:r w:rsidRPr="00C93EC9">
        <w:rPr>
          <w:rFonts w:ascii="Arial" w:eastAsia="Times New Roman" w:hAnsi="Arial" w:cs="Arial"/>
          <w:color w:val="0F1115"/>
          <w:lang w:val="en-GB"/>
        </w:rPr>
        <w:t>Alrowaily</w:t>
      </w:r>
      <w:proofErr w:type="spellEnd"/>
      <w:r w:rsidRPr="00C93EC9">
        <w:rPr>
          <w:rFonts w:ascii="Arial" w:eastAsia="Times New Roman" w:hAnsi="Arial" w:cs="Arial"/>
          <w:color w:val="0F1115"/>
          <w:lang w:val="en-GB"/>
        </w:rPr>
        <w:t xml:space="preserve">, Bellen, A.C., </w:t>
      </w:r>
      <w:proofErr w:type="spellStart"/>
      <w:r w:rsidRPr="00C93EC9">
        <w:rPr>
          <w:rFonts w:ascii="Arial" w:eastAsia="Times New Roman" w:hAnsi="Arial" w:cs="Arial"/>
          <w:color w:val="0F1115"/>
          <w:lang w:val="en-GB"/>
        </w:rPr>
        <w:t>AlbandariAlsoaib</w:t>
      </w:r>
      <w:proofErr w:type="spellEnd"/>
      <w:r w:rsidRPr="00C93EC9">
        <w:rPr>
          <w:rFonts w:ascii="Arial" w:eastAsia="Times New Roman" w:hAnsi="Arial" w:cs="Arial"/>
          <w:color w:val="0F1115"/>
          <w:lang w:val="en-GB"/>
        </w:rPr>
        <w:t xml:space="preserve">, </w:t>
      </w:r>
      <w:proofErr w:type="spellStart"/>
      <w:r w:rsidRPr="00C93EC9">
        <w:rPr>
          <w:rFonts w:ascii="Arial" w:eastAsia="Times New Roman" w:hAnsi="Arial" w:cs="Arial"/>
          <w:color w:val="0F1115"/>
          <w:lang w:val="en-GB"/>
        </w:rPr>
        <w:t>ThaarMoeshAlraggas</w:t>
      </w:r>
      <w:proofErr w:type="spellEnd"/>
      <w:r w:rsidRPr="00C93EC9">
        <w:rPr>
          <w:rFonts w:ascii="Arial" w:eastAsia="Times New Roman" w:hAnsi="Arial" w:cs="Arial"/>
          <w:color w:val="0F1115"/>
          <w:lang w:val="en-GB"/>
        </w:rPr>
        <w:t xml:space="preserve">, Abeer Ali Alojairi, Nasser Hamad Alessa, Riyadh </w:t>
      </w:r>
      <w:proofErr w:type="spellStart"/>
      <w:r w:rsidRPr="00C93EC9">
        <w:rPr>
          <w:rFonts w:ascii="Arial" w:eastAsia="Times New Roman" w:hAnsi="Arial" w:cs="Arial"/>
          <w:color w:val="0F1115"/>
          <w:lang w:val="en-GB"/>
        </w:rPr>
        <w:t>Tufeq</w:t>
      </w:r>
      <w:proofErr w:type="spellEnd"/>
      <w:r w:rsidR="0097777F" w:rsidRPr="00C93EC9">
        <w:rPr>
          <w:rFonts w:ascii="Arial" w:eastAsia="Times New Roman" w:hAnsi="Arial" w:cs="Arial"/>
          <w:color w:val="0F1115"/>
          <w:lang w:val="en-GB"/>
        </w:rPr>
        <w:t xml:space="preserve"> </w:t>
      </w:r>
      <w:r w:rsidRPr="00C93EC9">
        <w:rPr>
          <w:rFonts w:ascii="Arial" w:eastAsia="Times New Roman" w:hAnsi="Arial" w:cs="Arial"/>
          <w:color w:val="0F1115"/>
          <w:lang w:val="en-GB"/>
        </w:rPr>
        <w:t xml:space="preserve">Alrabeeah, Alshehri, W.D. and Abdullah, T. (2024) ‘Nursing Documentation as a Foundation of Safe, Ethical, and Accountable Care: A Systematic Review’, </w:t>
      </w:r>
      <w:r w:rsidRPr="00C93EC9">
        <w:rPr>
          <w:rFonts w:ascii="Arial" w:eastAsia="Times New Roman" w:hAnsi="Arial" w:cs="Arial"/>
          <w:i/>
          <w:iCs/>
          <w:color w:val="0F1115"/>
          <w:lang w:val="en-GB"/>
        </w:rPr>
        <w:t xml:space="preserve">Journal of </w:t>
      </w:r>
      <w:proofErr w:type="spellStart"/>
      <w:r w:rsidRPr="00C93EC9">
        <w:rPr>
          <w:rFonts w:ascii="Arial" w:eastAsia="Times New Roman" w:hAnsi="Arial" w:cs="Arial"/>
          <w:i/>
          <w:iCs/>
          <w:color w:val="0F1115"/>
          <w:lang w:val="en-GB"/>
        </w:rPr>
        <w:t>Angiotherapy</w:t>
      </w:r>
      <w:proofErr w:type="spellEnd"/>
      <w:r w:rsidRPr="00C93EC9">
        <w:rPr>
          <w:rFonts w:ascii="Arial" w:eastAsia="Times New Roman" w:hAnsi="Arial" w:cs="Arial"/>
          <w:color w:val="0F1115"/>
          <w:lang w:val="en-GB"/>
        </w:rPr>
        <w:t xml:space="preserve">, 8(5), pp. 1–13. Available at: </w:t>
      </w:r>
      <w:hyperlink r:id="rId8" w:history="1">
        <w:r w:rsidRPr="00C93EC9">
          <w:rPr>
            <w:rStyle w:val="Hyperlink"/>
            <w:rFonts w:ascii="Arial" w:eastAsia="Times New Roman" w:hAnsi="Arial" w:cs="Arial"/>
            <w:lang w:val="en-GB"/>
          </w:rPr>
          <w:t>https://doi.org/10.25163/angiotherapy.8510497</w:t>
        </w:r>
      </w:hyperlink>
      <w:r w:rsidRPr="00C93EC9">
        <w:rPr>
          <w:rFonts w:ascii="Arial" w:eastAsia="Times New Roman" w:hAnsi="Arial" w:cs="Arial"/>
          <w:color w:val="0F1115"/>
          <w:lang w:val="en-GB"/>
        </w:rPr>
        <w:t>.</w:t>
      </w:r>
    </w:p>
    <w:p w14:paraId="75915FEB"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Avon and Wiltshire Mental Health Partnership NHS Trust (2025) </w:t>
      </w:r>
      <w:r w:rsidRPr="00C93EC9">
        <w:rPr>
          <w:rFonts w:ascii="Arial" w:eastAsia="Times New Roman" w:hAnsi="Arial" w:cs="Arial"/>
          <w:i/>
          <w:iCs/>
          <w:color w:val="0F1115"/>
          <w:lang w:val="en-GB"/>
        </w:rPr>
        <w:t>Data Protection Act 2018 Fair Processing Notices</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Awp.nhs.uk</w:t>
      </w:r>
      <w:r w:rsidRPr="00C93EC9">
        <w:rPr>
          <w:rFonts w:ascii="Arial" w:eastAsia="Times New Roman" w:hAnsi="Arial" w:cs="Arial"/>
          <w:color w:val="0F1115"/>
          <w:lang w:val="en-GB"/>
        </w:rPr>
        <w:t xml:space="preserve">. Available at: </w:t>
      </w:r>
      <w:hyperlink r:id="rId9" w:history="1">
        <w:r w:rsidRPr="00C93EC9">
          <w:rPr>
            <w:rStyle w:val="Hyperlink"/>
            <w:rFonts w:ascii="Arial" w:eastAsia="Times New Roman" w:hAnsi="Arial" w:cs="Arial"/>
            <w:lang w:val="en-GB"/>
          </w:rPr>
          <w:t>https://www.awp.nhs.uk/about-us/publications/trust-policies/fair-processing-notice</w:t>
        </w:r>
      </w:hyperlink>
      <w:r w:rsidRPr="00C93EC9">
        <w:rPr>
          <w:rFonts w:ascii="Arial" w:eastAsia="Times New Roman" w:hAnsi="Arial" w:cs="Arial"/>
          <w:color w:val="0F1115"/>
          <w:lang w:val="en-GB"/>
        </w:rPr>
        <w:t>(Accessed: 26 March 2026).</w:t>
      </w:r>
    </w:p>
    <w:p w14:paraId="6519BE9E"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Clarke, D. and Forster, A. (2015) ‘Improving post-stroke recovery: the Role of the Multidisciplinary Health Care Team’, </w:t>
      </w:r>
      <w:r w:rsidRPr="00C93EC9">
        <w:rPr>
          <w:rFonts w:ascii="Arial" w:eastAsia="Times New Roman" w:hAnsi="Arial" w:cs="Arial"/>
          <w:i/>
          <w:iCs/>
          <w:color w:val="0F1115"/>
          <w:lang w:val="en-GB"/>
        </w:rPr>
        <w:t>Journal of Multidisciplinary Healthcare</w:t>
      </w:r>
      <w:r w:rsidRPr="00C93EC9">
        <w:rPr>
          <w:rFonts w:ascii="Arial" w:eastAsia="Times New Roman" w:hAnsi="Arial" w:cs="Arial"/>
          <w:color w:val="0F1115"/>
          <w:lang w:val="en-GB"/>
        </w:rPr>
        <w:t xml:space="preserve">, 8(1), pp. 433–442. Available at: </w:t>
      </w:r>
      <w:hyperlink r:id="rId10" w:history="1">
        <w:r w:rsidRPr="00C93EC9">
          <w:rPr>
            <w:rStyle w:val="Hyperlink"/>
            <w:rFonts w:ascii="Arial" w:eastAsia="Times New Roman" w:hAnsi="Arial" w:cs="Arial"/>
            <w:lang w:val="en-GB"/>
          </w:rPr>
          <w:t>https://doi.org/10.2147/jmdh.s68764</w:t>
        </w:r>
      </w:hyperlink>
      <w:r w:rsidRPr="00C93EC9">
        <w:rPr>
          <w:rFonts w:ascii="Arial" w:eastAsia="Times New Roman" w:hAnsi="Arial" w:cs="Arial"/>
          <w:color w:val="0F1115"/>
          <w:lang w:val="en-GB"/>
        </w:rPr>
        <w:t>.</w:t>
      </w:r>
    </w:p>
    <w:p w14:paraId="27B2A42B"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Croner-</w:t>
      </w:r>
      <w:proofErr w:type="spellStart"/>
      <w:r w:rsidRPr="00C93EC9">
        <w:rPr>
          <w:rFonts w:ascii="Arial" w:eastAsia="Times New Roman" w:hAnsi="Arial" w:cs="Arial"/>
          <w:color w:val="0F1115"/>
          <w:lang w:val="en-GB"/>
        </w:rPr>
        <w:t>i</w:t>
      </w:r>
      <w:proofErr w:type="spellEnd"/>
      <w:r w:rsidRPr="00C93EC9">
        <w:rPr>
          <w:rFonts w:ascii="Arial" w:eastAsia="Times New Roman" w:hAnsi="Arial" w:cs="Arial"/>
          <w:color w:val="0F1115"/>
          <w:lang w:val="en-GB"/>
        </w:rPr>
        <w:t xml:space="preserve"> (2025) </w:t>
      </w:r>
      <w:r w:rsidRPr="00C93EC9">
        <w:rPr>
          <w:rFonts w:ascii="Arial" w:eastAsia="Times New Roman" w:hAnsi="Arial" w:cs="Arial"/>
          <w:i/>
          <w:iCs/>
          <w:color w:val="0F1115"/>
          <w:lang w:val="en-GB"/>
        </w:rPr>
        <w:t>Partnership Working and Integrated Care</w:t>
      </w:r>
      <w:r w:rsidRPr="00C93EC9">
        <w:rPr>
          <w:rFonts w:ascii="Arial" w:eastAsia="Times New Roman" w:hAnsi="Arial" w:cs="Arial"/>
          <w:color w:val="0F1115"/>
          <w:lang w:val="en-GB"/>
        </w:rPr>
        <w:t>. Available at: </w:t>
      </w:r>
      <w:hyperlink r:id="rId11" w:tgtFrame="_blank" w:history="1">
        <w:r w:rsidRPr="00C93EC9">
          <w:rPr>
            <w:rFonts w:ascii="Arial" w:eastAsia="Times New Roman" w:hAnsi="Arial" w:cs="Arial"/>
            <w:color w:val="3964FE"/>
            <w:lang w:val="en-GB"/>
          </w:rPr>
          <w:t>https://bsc.croneri.co.uk/topics/partnership-working-and-integrated-care/summary</w:t>
        </w:r>
      </w:hyperlink>
      <w:r w:rsidRPr="00C93EC9">
        <w:rPr>
          <w:rFonts w:ascii="Arial" w:eastAsia="Times New Roman" w:hAnsi="Arial" w:cs="Arial"/>
          <w:color w:val="0F1115"/>
          <w:lang w:val="en-GB"/>
        </w:rPr>
        <w:t> (Accessed: 11 March 2026).</w:t>
      </w:r>
    </w:p>
    <w:p w14:paraId="0B50C743"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proofErr w:type="spellStart"/>
      <w:r w:rsidRPr="00C93EC9">
        <w:rPr>
          <w:rFonts w:ascii="Arial" w:eastAsia="Times New Roman" w:hAnsi="Arial" w:cs="Arial"/>
          <w:color w:val="0F1115"/>
          <w:lang w:val="en-GB"/>
        </w:rPr>
        <w:t>Daghriri</w:t>
      </w:r>
      <w:proofErr w:type="spellEnd"/>
      <w:r w:rsidRPr="00C93EC9">
        <w:rPr>
          <w:rFonts w:ascii="Arial" w:eastAsia="Times New Roman" w:hAnsi="Arial" w:cs="Arial"/>
          <w:color w:val="0F1115"/>
          <w:lang w:val="en-GB"/>
        </w:rPr>
        <w:t xml:space="preserve">, S.M. (2024) </w:t>
      </w:r>
      <w:r w:rsidRPr="00C93EC9">
        <w:rPr>
          <w:rFonts w:ascii="Arial" w:eastAsia="Times New Roman" w:hAnsi="Arial" w:cs="Arial"/>
          <w:i/>
          <w:iCs/>
          <w:color w:val="0F1115"/>
          <w:lang w:val="en-GB"/>
        </w:rPr>
        <w:t>View of Collaboration Among Multidisciplinary Medical Teams: Strategies and Challenges of Building Collaborative Teams to Improve Health Care</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Jicrcr.com</w:t>
      </w:r>
      <w:r w:rsidRPr="00C93EC9">
        <w:rPr>
          <w:rFonts w:ascii="Arial" w:eastAsia="Times New Roman" w:hAnsi="Arial" w:cs="Arial"/>
          <w:color w:val="0F1115"/>
          <w:lang w:val="en-GB"/>
        </w:rPr>
        <w:t xml:space="preserve">. Available at: </w:t>
      </w:r>
      <w:hyperlink r:id="rId12" w:history="1">
        <w:r w:rsidRPr="00C93EC9">
          <w:rPr>
            <w:rStyle w:val="Hyperlink"/>
            <w:rFonts w:ascii="Arial" w:eastAsia="Times New Roman" w:hAnsi="Arial" w:cs="Arial"/>
            <w:lang w:val="en-GB"/>
          </w:rPr>
          <w:t>https://jicrcr.com/index.php/jicrcr/article/view/579/390</w:t>
        </w:r>
      </w:hyperlink>
      <w:r w:rsidRPr="00C93EC9">
        <w:rPr>
          <w:rFonts w:ascii="Arial" w:eastAsia="Times New Roman" w:hAnsi="Arial" w:cs="Arial"/>
          <w:color w:val="0F1115"/>
          <w:lang w:val="en-GB"/>
        </w:rPr>
        <w:t>.</w:t>
      </w:r>
    </w:p>
    <w:p w14:paraId="34F90D50"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DPA (2018) </w:t>
      </w:r>
      <w:r w:rsidRPr="00C93EC9">
        <w:rPr>
          <w:rFonts w:ascii="Arial" w:eastAsia="Times New Roman" w:hAnsi="Arial" w:cs="Arial"/>
          <w:i/>
          <w:iCs/>
          <w:color w:val="0F1115"/>
          <w:lang w:val="en-GB"/>
        </w:rPr>
        <w:t>Data Protection Act 2018</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legislation.gov.uk</w:t>
      </w:r>
      <w:r w:rsidRPr="00C93EC9">
        <w:rPr>
          <w:rFonts w:ascii="Arial" w:eastAsia="Times New Roman" w:hAnsi="Arial" w:cs="Arial"/>
          <w:color w:val="0F1115"/>
          <w:lang w:val="en-GB"/>
        </w:rPr>
        <w:t xml:space="preserve">. Available at: </w:t>
      </w:r>
      <w:hyperlink r:id="rId13" w:history="1">
        <w:r w:rsidRPr="00C93EC9">
          <w:rPr>
            <w:rStyle w:val="Hyperlink"/>
            <w:rFonts w:ascii="Arial" w:eastAsia="Times New Roman" w:hAnsi="Arial" w:cs="Arial"/>
            <w:lang w:val="en-GB"/>
          </w:rPr>
          <w:t>https://www.legislation.gov.uk/ukpga/2018/12/contents</w:t>
        </w:r>
      </w:hyperlink>
      <w:r w:rsidRPr="00C93EC9">
        <w:rPr>
          <w:rFonts w:ascii="Arial" w:eastAsia="Times New Roman" w:hAnsi="Arial" w:cs="Arial"/>
          <w:color w:val="0F1115"/>
          <w:lang w:val="en-GB"/>
        </w:rPr>
        <w:t>(Accessed: 20 March 2026).</w:t>
      </w:r>
    </w:p>
    <w:p w14:paraId="518083D6"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El Ansari, W., El-Ansari, K., Arafa, H. and Al-Ansari, A. (2024) ‘Multidisciplinary Teamwork and Interprofessional Partnerships in Healthcare Setting: The Critical Ingredients’, </w:t>
      </w:r>
      <w:proofErr w:type="spellStart"/>
      <w:r w:rsidRPr="00C93EC9">
        <w:rPr>
          <w:rFonts w:ascii="Arial" w:eastAsia="Times New Roman" w:hAnsi="Arial" w:cs="Arial"/>
          <w:i/>
          <w:iCs/>
          <w:color w:val="0F1115"/>
          <w:lang w:val="en-GB"/>
        </w:rPr>
        <w:t>IntechOpen</w:t>
      </w:r>
      <w:proofErr w:type="spellEnd"/>
      <w:r w:rsidRPr="00C93EC9">
        <w:rPr>
          <w:rFonts w:ascii="Arial" w:eastAsia="Times New Roman" w:hAnsi="Arial" w:cs="Arial"/>
          <w:i/>
          <w:iCs/>
          <w:color w:val="0F1115"/>
          <w:lang w:val="en-GB"/>
        </w:rPr>
        <w:t xml:space="preserve"> eBooks</w:t>
      </w:r>
      <w:r w:rsidRPr="00C93EC9">
        <w:rPr>
          <w:rFonts w:ascii="Arial" w:eastAsia="Times New Roman" w:hAnsi="Arial" w:cs="Arial"/>
          <w:color w:val="0F1115"/>
          <w:lang w:val="en-GB"/>
        </w:rPr>
        <w:t xml:space="preserve"> [Preprint]. Available at: </w:t>
      </w:r>
      <w:hyperlink r:id="rId14" w:history="1">
        <w:r w:rsidRPr="00C93EC9">
          <w:rPr>
            <w:rStyle w:val="Hyperlink"/>
            <w:rFonts w:ascii="Arial" w:eastAsia="Times New Roman" w:hAnsi="Arial" w:cs="Arial"/>
            <w:lang w:val="en-GB"/>
          </w:rPr>
          <w:t>https://doi.org/10.5772/intechopen.1005322</w:t>
        </w:r>
      </w:hyperlink>
      <w:r w:rsidRPr="00C93EC9">
        <w:rPr>
          <w:rFonts w:ascii="Arial" w:eastAsia="Times New Roman" w:hAnsi="Arial" w:cs="Arial"/>
          <w:color w:val="0F1115"/>
          <w:lang w:val="en-GB"/>
        </w:rPr>
        <w:t>.</w:t>
      </w:r>
    </w:p>
    <w:p w14:paraId="4A4E9769"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Formica, C., Cristina, M., Corallo, F. and Viviana Lo Buono (2024) ‘Role of Alternative and Augmentative Communication in Three Cases of Severe Acquired Brain Injury: A </w:t>
      </w:r>
      <w:proofErr w:type="spellStart"/>
      <w:r w:rsidRPr="00C93EC9">
        <w:rPr>
          <w:rFonts w:ascii="Arial" w:eastAsia="Times New Roman" w:hAnsi="Arial" w:cs="Arial"/>
          <w:color w:val="0F1115"/>
          <w:lang w:val="en-GB"/>
        </w:rPr>
        <w:t>Neurorehabilitative</w:t>
      </w:r>
      <w:proofErr w:type="spellEnd"/>
      <w:r w:rsidRPr="00C93EC9">
        <w:rPr>
          <w:rFonts w:ascii="Arial" w:eastAsia="Times New Roman" w:hAnsi="Arial" w:cs="Arial"/>
          <w:color w:val="0F1115"/>
          <w:lang w:val="en-GB"/>
        </w:rPr>
        <w:t xml:space="preserve"> Approach’, </w:t>
      </w:r>
      <w:r w:rsidRPr="00C93EC9">
        <w:rPr>
          <w:rFonts w:ascii="Arial" w:eastAsia="Times New Roman" w:hAnsi="Arial" w:cs="Arial"/>
          <w:i/>
          <w:iCs/>
          <w:color w:val="0F1115"/>
          <w:lang w:val="en-GB"/>
        </w:rPr>
        <w:t>Brain Sciences</w:t>
      </w:r>
      <w:r w:rsidRPr="00C93EC9">
        <w:rPr>
          <w:rFonts w:ascii="Arial" w:eastAsia="Times New Roman" w:hAnsi="Arial" w:cs="Arial"/>
          <w:color w:val="0F1115"/>
          <w:lang w:val="en-GB"/>
        </w:rPr>
        <w:t xml:space="preserve">, 14(7), pp. 709–709. Available at: </w:t>
      </w:r>
      <w:hyperlink r:id="rId15" w:history="1">
        <w:r w:rsidRPr="00C93EC9">
          <w:rPr>
            <w:rStyle w:val="Hyperlink"/>
            <w:rFonts w:ascii="Arial" w:eastAsia="Times New Roman" w:hAnsi="Arial" w:cs="Arial"/>
            <w:lang w:val="en-GB"/>
          </w:rPr>
          <w:t>https://doi.org/10.3390/brainsci14070709</w:t>
        </w:r>
      </w:hyperlink>
      <w:r w:rsidRPr="00C93EC9">
        <w:rPr>
          <w:rFonts w:ascii="Arial" w:eastAsia="Times New Roman" w:hAnsi="Arial" w:cs="Arial"/>
          <w:color w:val="0F1115"/>
          <w:lang w:val="en-GB"/>
        </w:rPr>
        <w:t>.</w:t>
      </w:r>
    </w:p>
    <w:p w14:paraId="44137BD9"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GOV.Uk (2010) </w:t>
      </w:r>
      <w:r w:rsidRPr="00C93EC9">
        <w:rPr>
          <w:rFonts w:ascii="Arial" w:eastAsia="Times New Roman" w:hAnsi="Arial" w:cs="Arial"/>
          <w:i/>
          <w:iCs/>
          <w:color w:val="0F1115"/>
          <w:lang w:val="en-GB"/>
        </w:rPr>
        <w:t>Equality Act 2010</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Legislation.gov.uk</w:t>
      </w:r>
      <w:r w:rsidRPr="00C93EC9">
        <w:rPr>
          <w:rFonts w:ascii="Arial" w:eastAsia="Times New Roman" w:hAnsi="Arial" w:cs="Arial"/>
          <w:color w:val="0F1115"/>
          <w:lang w:val="en-GB"/>
        </w:rPr>
        <w:t xml:space="preserve">. Gov.uk. Available at: </w:t>
      </w:r>
      <w:hyperlink r:id="rId16" w:history="1">
        <w:r w:rsidRPr="00C93EC9">
          <w:rPr>
            <w:rStyle w:val="Hyperlink"/>
            <w:rFonts w:ascii="Arial" w:eastAsia="Times New Roman" w:hAnsi="Arial" w:cs="Arial"/>
            <w:lang w:val="en-GB"/>
          </w:rPr>
          <w:t>https://www.legislation.gov.uk/ukpga/2010/15/contents</w:t>
        </w:r>
      </w:hyperlink>
      <w:r w:rsidRPr="00C93EC9">
        <w:rPr>
          <w:rFonts w:ascii="Arial" w:eastAsia="Times New Roman" w:hAnsi="Arial" w:cs="Arial"/>
          <w:color w:val="0F1115"/>
          <w:lang w:val="en-GB"/>
        </w:rPr>
        <w:t>(Accessed: 22 March 2026).</w:t>
      </w:r>
    </w:p>
    <w:p w14:paraId="3A831278"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Health and Care Act (2022) </w:t>
      </w:r>
      <w:r w:rsidRPr="00C93EC9">
        <w:rPr>
          <w:rFonts w:ascii="Arial" w:eastAsia="Times New Roman" w:hAnsi="Arial" w:cs="Arial"/>
          <w:i/>
          <w:iCs/>
          <w:color w:val="0F1115"/>
          <w:lang w:val="en-GB"/>
        </w:rPr>
        <w:t>Health and Care Act 2022</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Legislation.gov.uk</w:t>
      </w:r>
      <w:r w:rsidRPr="00C93EC9">
        <w:rPr>
          <w:rFonts w:ascii="Arial" w:eastAsia="Times New Roman" w:hAnsi="Arial" w:cs="Arial"/>
          <w:color w:val="0F1115"/>
          <w:lang w:val="en-GB"/>
        </w:rPr>
        <w:t xml:space="preserve">. Available at: </w:t>
      </w:r>
      <w:hyperlink r:id="rId17" w:history="1">
        <w:r w:rsidRPr="00C93EC9">
          <w:rPr>
            <w:rStyle w:val="Hyperlink"/>
            <w:rFonts w:ascii="Arial" w:eastAsia="Times New Roman" w:hAnsi="Arial" w:cs="Arial"/>
            <w:lang w:val="en-GB"/>
          </w:rPr>
          <w:t>https://www.legislation.gov.uk/ukpga/2022/31/contents</w:t>
        </w:r>
      </w:hyperlink>
      <w:r w:rsidRPr="00C93EC9">
        <w:rPr>
          <w:rFonts w:ascii="Arial" w:eastAsia="Times New Roman" w:hAnsi="Arial" w:cs="Arial"/>
          <w:color w:val="0F1115"/>
          <w:lang w:val="en-GB"/>
        </w:rPr>
        <w:t>(Accessed: 30 March 2026).</w:t>
      </w:r>
    </w:p>
    <w:p w14:paraId="516848E1"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Hersh, D., Worrall, L., Howe, T., Sherratt, S. and Davidson, B. (2012) ‘SMARTER goal setting in aphasia rehabilitation’, </w:t>
      </w:r>
      <w:r w:rsidRPr="00C93EC9">
        <w:rPr>
          <w:rFonts w:ascii="Arial" w:eastAsia="Times New Roman" w:hAnsi="Arial" w:cs="Arial"/>
          <w:i/>
          <w:iCs/>
          <w:color w:val="0F1115"/>
          <w:lang w:val="en-GB"/>
        </w:rPr>
        <w:t>Aphasiology</w:t>
      </w:r>
      <w:r w:rsidRPr="00C93EC9">
        <w:rPr>
          <w:rFonts w:ascii="Arial" w:eastAsia="Times New Roman" w:hAnsi="Arial" w:cs="Arial"/>
          <w:color w:val="0F1115"/>
          <w:lang w:val="en-GB"/>
        </w:rPr>
        <w:t xml:space="preserve">, 26(2), pp. 220–233. Available at: </w:t>
      </w:r>
      <w:hyperlink r:id="rId18" w:history="1">
        <w:r w:rsidRPr="00C93EC9">
          <w:rPr>
            <w:rStyle w:val="Hyperlink"/>
            <w:rFonts w:ascii="Arial" w:eastAsia="Times New Roman" w:hAnsi="Arial" w:cs="Arial"/>
            <w:lang w:val="en-GB"/>
          </w:rPr>
          <w:t>https://doi.org/10.1080/02687038.2011.640392</w:t>
        </w:r>
      </w:hyperlink>
      <w:r w:rsidRPr="00C93EC9">
        <w:rPr>
          <w:rFonts w:ascii="Arial" w:eastAsia="Times New Roman" w:hAnsi="Arial" w:cs="Arial"/>
          <w:color w:val="0F1115"/>
          <w:lang w:val="en-GB"/>
        </w:rPr>
        <w:t xml:space="preserve">. </w:t>
      </w:r>
    </w:p>
    <w:p w14:paraId="28C0BDED"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Kwame, A. and </w:t>
      </w:r>
      <w:proofErr w:type="spellStart"/>
      <w:r w:rsidRPr="00C93EC9">
        <w:rPr>
          <w:rFonts w:ascii="Arial" w:eastAsia="Times New Roman" w:hAnsi="Arial" w:cs="Arial"/>
          <w:color w:val="0F1115"/>
          <w:lang w:val="en-GB"/>
        </w:rPr>
        <w:t>Petrucka</w:t>
      </w:r>
      <w:proofErr w:type="spellEnd"/>
      <w:r w:rsidRPr="00C93EC9">
        <w:rPr>
          <w:rFonts w:ascii="Arial" w:eastAsia="Times New Roman" w:hAnsi="Arial" w:cs="Arial"/>
          <w:color w:val="0F1115"/>
          <w:lang w:val="en-GB"/>
        </w:rPr>
        <w:t>, P. (2021) ‘A literature-based study of patient-</w:t>
      </w:r>
      <w:proofErr w:type="spellStart"/>
      <w:r w:rsidRPr="00C93EC9">
        <w:rPr>
          <w:rFonts w:ascii="Arial" w:eastAsia="Times New Roman" w:hAnsi="Arial" w:cs="Arial"/>
          <w:color w:val="0F1115"/>
          <w:lang w:val="en-GB"/>
        </w:rPr>
        <w:t>centered</w:t>
      </w:r>
      <w:proofErr w:type="spellEnd"/>
      <w:r w:rsidRPr="00C93EC9">
        <w:rPr>
          <w:rFonts w:ascii="Arial" w:eastAsia="Times New Roman" w:hAnsi="Arial" w:cs="Arial"/>
          <w:color w:val="0F1115"/>
          <w:lang w:val="en-GB"/>
        </w:rPr>
        <w:t xml:space="preserve"> care and communication in nurse-patient interactions: Barriers, facilitators, and the way forward’, </w:t>
      </w:r>
      <w:r w:rsidRPr="00C93EC9">
        <w:rPr>
          <w:rFonts w:ascii="Arial" w:eastAsia="Times New Roman" w:hAnsi="Arial" w:cs="Arial"/>
          <w:i/>
          <w:iCs/>
          <w:color w:val="0F1115"/>
          <w:lang w:val="en-GB"/>
        </w:rPr>
        <w:t>BMC Nursing</w:t>
      </w:r>
      <w:r w:rsidRPr="00C93EC9">
        <w:rPr>
          <w:rFonts w:ascii="Arial" w:eastAsia="Times New Roman" w:hAnsi="Arial" w:cs="Arial"/>
          <w:color w:val="0F1115"/>
          <w:lang w:val="en-GB"/>
        </w:rPr>
        <w:t xml:space="preserve">, 20(158), pp. 1–10. Available at: </w:t>
      </w:r>
      <w:hyperlink r:id="rId19" w:history="1">
        <w:r w:rsidRPr="00C93EC9">
          <w:rPr>
            <w:rStyle w:val="Hyperlink"/>
            <w:rFonts w:ascii="Arial" w:eastAsia="Times New Roman" w:hAnsi="Arial" w:cs="Arial"/>
            <w:lang w:val="en-GB"/>
          </w:rPr>
          <w:t>https://doi.org/10.1186/s12912-021-00684-2</w:t>
        </w:r>
      </w:hyperlink>
      <w:r w:rsidRPr="00C93EC9">
        <w:rPr>
          <w:rFonts w:ascii="Arial" w:eastAsia="Times New Roman" w:hAnsi="Arial" w:cs="Arial"/>
          <w:color w:val="0F1115"/>
          <w:lang w:val="en-GB"/>
        </w:rPr>
        <w:t>.</w:t>
      </w:r>
    </w:p>
    <w:p w14:paraId="0542ECF1"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Laari, L. (2025) ‘The SAIDAR communication model for nurse–patient encounters and interactions: An integrative critical review and model development’, </w:t>
      </w:r>
      <w:r w:rsidRPr="00C93EC9">
        <w:rPr>
          <w:rFonts w:ascii="Arial" w:eastAsia="Times New Roman" w:hAnsi="Arial" w:cs="Arial"/>
          <w:i/>
          <w:iCs/>
          <w:color w:val="0F1115"/>
          <w:lang w:val="en-GB"/>
        </w:rPr>
        <w:t>Journal of Integrative Nursing</w:t>
      </w:r>
      <w:r w:rsidRPr="00C93EC9">
        <w:rPr>
          <w:rFonts w:ascii="Arial" w:eastAsia="Times New Roman" w:hAnsi="Arial" w:cs="Arial"/>
          <w:color w:val="0F1115"/>
          <w:lang w:val="en-GB"/>
        </w:rPr>
        <w:t xml:space="preserve">, 7(4), pp. 238–248. Available at: </w:t>
      </w:r>
      <w:hyperlink r:id="rId20" w:history="1">
        <w:r w:rsidRPr="00C93EC9">
          <w:rPr>
            <w:rStyle w:val="Hyperlink"/>
            <w:rFonts w:ascii="Arial" w:eastAsia="Times New Roman" w:hAnsi="Arial" w:cs="Arial"/>
            <w:lang w:val="en-GB"/>
          </w:rPr>
          <w:t>https://doi.org/10.4103/jin.jin_121_25</w:t>
        </w:r>
      </w:hyperlink>
      <w:r w:rsidRPr="00C93EC9">
        <w:rPr>
          <w:rFonts w:ascii="Arial" w:eastAsia="Times New Roman" w:hAnsi="Arial" w:cs="Arial"/>
          <w:color w:val="0F1115"/>
          <w:lang w:val="en-GB"/>
        </w:rPr>
        <w:t>.</w:t>
      </w:r>
    </w:p>
    <w:p w14:paraId="738883BC"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Mailk, H. and Khan, M.O. (2024) ‘Optimizing Patient Outcomes Through Effective Record-Keeping Practices in Healthcare Delivery’. Available at: </w:t>
      </w:r>
      <w:hyperlink r:id="rId21" w:history="1">
        <w:r w:rsidRPr="00C93EC9">
          <w:rPr>
            <w:rStyle w:val="Hyperlink"/>
            <w:rFonts w:ascii="Arial" w:eastAsia="Times New Roman" w:hAnsi="Arial" w:cs="Arial"/>
            <w:lang w:val="en-GB"/>
          </w:rPr>
          <w:t>https://doi.org/10.13140/rg.2.2.11432.07684</w:t>
        </w:r>
      </w:hyperlink>
      <w:r w:rsidRPr="00C93EC9">
        <w:rPr>
          <w:rFonts w:ascii="Arial" w:eastAsia="Times New Roman" w:hAnsi="Arial" w:cs="Arial"/>
          <w:color w:val="0F1115"/>
          <w:lang w:val="en-GB"/>
        </w:rPr>
        <w:t>.</w:t>
      </w:r>
    </w:p>
    <w:p w14:paraId="5732A740"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de-DE"/>
        </w:rPr>
        <w:lastRenderedPageBreak/>
        <w:t xml:space="preserve">NHS England Digital (2024) </w:t>
      </w:r>
      <w:r w:rsidRPr="00C93EC9">
        <w:rPr>
          <w:rFonts w:ascii="Arial" w:eastAsia="Times New Roman" w:hAnsi="Arial" w:cs="Arial"/>
          <w:i/>
          <w:iCs/>
          <w:color w:val="0F1115"/>
          <w:lang w:val="de-DE"/>
        </w:rPr>
        <w:t>Protecting Patient Data - NHS Digital</w:t>
      </w:r>
      <w:r w:rsidRPr="00C93EC9">
        <w:rPr>
          <w:rFonts w:ascii="Arial" w:eastAsia="Times New Roman" w:hAnsi="Arial" w:cs="Arial"/>
          <w:color w:val="0F1115"/>
          <w:lang w:val="de-DE"/>
        </w:rPr>
        <w:t xml:space="preserve">, </w:t>
      </w:r>
      <w:r w:rsidRPr="00C93EC9">
        <w:rPr>
          <w:rFonts w:ascii="Arial" w:eastAsia="Times New Roman" w:hAnsi="Arial" w:cs="Arial"/>
          <w:i/>
          <w:iCs/>
          <w:color w:val="0F1115"/>
          <w:lang w:val="de-DE"/>
        </w:rPr>
        <w:t>NHS Digital</w:t>
      </w:r>
      <w:r w:rsidRPr="00C93EC9">
        <w:rPr>
          <w:rFonts w:ascii="Arial" w:eastAsia="Times New Roman" w:hAnsi="Arial" w:cs="Arial"/>
          <w:color w:val="0F1115"/>
          <w:lang w:val="de-DE"/>
        </w:rPr>
        <w:t xml:space="preserve">. </w:t>
      </w:r>
      <w:r w:rsidRPr="00C93EC9">
        <w:rPr>
          <w:rFonts w:ascii="Arial" w:eastAsia="Times New Roman" w:hAnsi="Arial" w:cs="Arial"/>
          <w:color w:val="0F1115"/>
          <w:lang w:val="en-GB"/>
        </w:rPr>
        <w:t xml:space="preserve">Available at: </w:t>
      </w:r>
      <w:hyperlink r:id="rId22" w:history="1">
        <w:r w:rsidRPr="00C93EC9">
          <w:rPr>
            <w:rStyle w:val="Hyperlink"/>
            <w:rFonts w:ascii="Arial" w:eastAsia="Times New Roman" w:hAnsi="Arial" w:cs="Arial"/>
            <w:lang w:val="en-GB"/>
          </w:rPr>
          <w:t>https://digital.nhs.uk/services/national-data-opt-out/understanding-the-national-data-opt-out/protecting-patient-data</w:t>
        </w:r>
      </w:hyperlink>
      <w:r w:rsidRPr="00C93EC9">
        <w:rPr>
          <w:rFonts w:ascii="Arial" w:eastAsia="Times New Roman" w:hAnsi="Arial" w:cs="Arial"/>
          <w:color w:val="0F1115"/>
          <w:lang w:val="en-GB"/>
        </w:rPr>
        <w:t>(Accessed: 25 March 2026).</w:t>
      </w:r>
    </w:p>
    <w:p w14:paraId="4D472814"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Norman, K. (2024) ‘Enhancing Communication within Nursing and Multiprofessional Healthcare Teams’, </w:t>
      </w:r>
      <w:r w:rsidRPr="00C93EC9">
        <w:rPr>
          <w:rFonts w:ascii="Arial" w:eastAsia="Times New Roman" w:hAnsi="Arial" w:cs="Arial"/>
          <w:i/>
          <w:iCs/>
          <w:color w:val="0F1115"/>
          <w:lang w:val="en-GB"/>
        </w:rPr>
        <w:t>Nursing Standard</w:t>
      </w:r>
      <w:r w:rsidRPr="00C93EC9">
        <w:rPr>
          <w:rFonts w:ascii="Arial" w:eastAsia="Times New Roman" w:hAnsi="Arial" w:cs="Arial"/>
          <w:color w:val="0F1115"/>
          <w:lang w:val="en-GB"/>
        </w:rPr>
        <w:t xml:space="preserve">, 39(5). Available at: </w:t>
      </w:r>
      <w:hyperlink r:id="rId23" w:history="1">
        <w:r w:rsidRPr="00C93EC9">
          <w:rPr>
            <w:rStyle w:val="Hyperlink"/>
            <w:rFonts w:ascii="Arial" w:eastAsia="Times New Roman" w:hAnsi="Arial" w:cs="Arial"/>
            <w:lang w:val="en-GB"/>
          </w:rPr>
          <w:t>https://doi.org/10.7748/ns.2024.e12270</w:t>
        </w:r>
      </w:hyperlink>
      <w:r w:rsidRPr="00C93EC9">
        <w:rPr>
          <w:rFonts w:ascii="Arial" w:eastAsia="Times New Roman" w:hAnsi="Arial" w:cs="Arial"/>
          <w:color w:val="0F1115"/>
          <w:lang w:val="en-GB"/>
        </w:rPr>
        <w:t>.</w:t>
      </w:r>
    </w:p>
    <w:p w14:paraId="3DD95B56"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Simmons-Mackie, N., Raymer, A., Armstrong, E., Holland, A. and Cherney, L.R. (2010) ‘Communication Partner Training in Aphasia: A Systematic Review’, </w:t>
      </w:r>
      <w:r w:rsidRPr="00C93EC9">
        <w:rPr>
          <w:rFonts w:ascii="Arial" w:eastAsia="Times New Roman" w:hAnsi="Arial" w:cs="Arial"/>
          <w:i/>
          <w:iCs/>
          <w:color w:val="0F1115"/>
          <w:lang w:val="en-GB"/>
        </w:rPr>
        <w:t>Archives of Physical Medicine and Rehabilitation</w:t>
      </w:r>
      <w:r w:rsidRPr="00C93EC9">
        <w:rPr>
          <w:rFonts w:ascii="Arial" w:eastAsia="Times New Roman" w:hAnsi="Arial" w:cs="Arial"/>
          <w:color w:val="0F1115"/>
          <w:lang w:val="en-GB"/>
        </w:rPr>
        <w:t xml:space="preserve">, 91(12), pp. 1814–1837. Available at: </w:t>
      </w:r>
      <w:hyperlink r:id="rId24" w:history="1">
        <w:r w:rsidRPr="00C93EC9">
          <w:rPr>
            <w:rStyle w:val="Hyperlink"/>
            <w:rFonts w:ascii="Arial" w:eastAsia="Times New Roman" w:hAnsi="Arial" w:cs="Arial"/>
            <w:lang w:val="en-GB"/>
          </w:rPr>
          <w:t>https://doi.org/10.1016/j.apmr.2010.08.026</w:t>
        </w:r>
      </w:hyperlink>
      <w:r w:rsidRPr="00C93EC9">
        <w:rPr>
          <w:rFonts w:ascii="Arial" w:eastAsia="Times New Roman" w:hAnsi="Arial" w:cs="Arial"/>
          <w:color w:val="0F1115"/>
          <w:lang w:val="en-GB"/>
        </w:rPr>
        <w:t>.</w:t>
      </w:r>
    </w:p>
    <w:p w14:paraId="5691C470"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Townley, C., Grace, R. and Keidar, T. (2025) ‘“Uncharted territory”: The experiences of health and social care practitioners in a multi-agency collaboration to support integrated service provision for children and young people in a disadvantaged community’, </w:t>
      </w:r>
      <w:r w:rsidRPr="00C93EC9">
        <w:rPr>
          <w:rFonts w:ascii="Arial" w:eastAsia="Times New Roman" w:hAnsi="Arial" w:cs="Arial"/>
          <w:i/>
          <w:iCs/>
          <w:color w:val="0F1115"/>
          <w:lang w:val="en-GB"/>
        </w:rPr>
        <w:t>Health Policy</w:t>
      </w:r>
      <w:r w:rsidRPr="00C93EC9">
        <w:rPr>
          <w:rFonts w:ascii="Arial" w:eastAsia="Times New Roman" w:hAnsi="Arial" w:cs="Arial"/>
          <w:color w:val="0F1115"/>
          <w:lang w:val="en-GB"/>
        </w:rPr>
        <w:t xml:space="preserve">, p. 105299. Available at: </w:t>
      </w:r>
      <w:hyperlink r:id="rId25" w:history="1">
        <w:r w:rsidRPr="00C93EC9">
          <w:rPr>
            <w:rStyle w:val="Hyperlink"/>
            <w:rFonts w:ascii="Arial" w:eastAsia="Times New Roman" w:hAnsi="Arial" w:cs="Arial"/>
            <w:lang w:val="en-GB"/>
          </w:rPr>
          <w:t>https://doi.org/10.1016/j.healthpol.2025.105299</w:t>
        </w:r>
      </w:hyperlink>
      <w:r w:rsidRPr="00C93EC9">
        <w:rPr>
          <w:rFonts w:ascii="Arial" w:eastAsia="Times New Roman" w:hAnsi="Arial" w:cs="Arial"/>
          <w:color w:val="0F1115"/>
          <w:lang w:val="en-GB"/>
        </w:rPr>
        <w:t>.</w:t>
      </w:r>
    </w:p>
    <w:p w14:paraId="3129E07E"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UK Parliament (2025) </w:t>
      </w:r>
      <w:r w:rsidRPr="00C93EC9">
        <w:rPr>
          <w:rFonts w:ascii="Arial" w:eastAsia="Times New Roman" w:hAnsi="Arial" w:cs="Arial"/>
          <w:i/>
          <w:iCs/>
          <w:color w:val="0F1115"/>
          <w:lang w:val="en-GB"/>
        </w:rPr>
        <w:t>Written questions and answers - Written questions, answers and statements - UK Parliament</w:t>
      </w:r>
      <w:r w:rsidRPr="00C93EC9">
        <w:rPr>
          <w:rFonts w:ascii="Arial" w:eastAsia="Times New Roman" w:hAnsi="Arial" w:cs="Arial"/>
          <w:color w:val="0F1115"/>
          <w:lang w:val="en-GB"/>
        </w:rPr>
        <w:t xml:space="preserve">, </w:t>
      </w:r>
      <w:r w:rsidRPr="00C93EC9">
        <w:rPr>
          <w:rFonts w:ascii="Arial" w:eastAsia="Times New Roman" w:hAnsi="Arial" w:cs="Arial"/>
          <w:i/>
          <w:iCs/>
          <w:color w:val="0F1115"/>
          <w:lang w:val="en-GB"/>
        </w:rPr>
        <w:t>Parliament.uk</w:t>
      </w:r>
      <w:r w:rsidRPr="00C93EC9">
        <w:rPr>
          <w:rFonts w:ascii="Arial" w:eastAsia="Times New Roman" w:hAnsi="Arial" w:cs="Arial"/>
          <w:color w:val="0F1115"/>
          <w:lang w:val="en-GB"/>
        </w:rPr>
        <w:t xml:space="preserve">. Available at: </w:t>
      </w:r>
      <w:hyperlink r:id="rId26" w:history="1">
        <w:r w:rsidRPr="00C93EC9">
          <w:rPr>
            <w:rStyle w:val="Hyperlink"/>
            <w:rFonts w:ascii="Arial" w:eastAsia="Times New Roman" w:hAnsi="Arial" w:cs="Arial"/>
            <w:lang w:val="en-GB"/>
          </w:rPr>
          <w:t>https://questions-statements.parliament.uk/written-questions/detail/2025-10-17/83158</w:t>
        </w:r>
      </w:hyperlink>
      <w:r w:rsidRPr="00C93EC9">
        <w:rPr>
          <w:rFonts w:ascii="Arial" w:eastAsia="Times New Roman" w:hAnsi="Arial" w:cs="Arial"/>
          <w:color w:val="0F1115"/>
          <w:lang w:val="en-GB"/>
        </w:rPr>
        <w:t>(Accessed: 17 March 2026).</w:t>
      </w:r>
    </w:p>
    <w:p w14:paraId="2E961984" w14:textId="77777777" w:rsidR="00B4108A" w:rsidRPr="00C93EC9" w:rsidRDefault="00B4108A" w:rsidP="00C832C9">
      <w:pPr>
        <w:shd w:val="clear" w:color="auto" w:fill="FFFFFF"/>
        <w:spacing w:line="240" w:lineRule="auto"/>
        <w:ind w:left="-360"/>
        <w:rPr>
          <w:rFonts w:ascii="Arial" w:eastAsia="Times New Roman" w:hAnsi="Arial" w:cs="Arial"/>
          <w:color w:val="0F1115"/>
          <w:lang w:val="en-GB"/>
        </w:rPr>
      </w:pPr>
      <w:r w:rsidRPr="00C93EC9">
        <w:rPr>
          <w:rFonts w:ascii="Arial" w:eastAsia="Times New Roman" w:hAnsi="Arial" w:cs="Arial"/>
          <w:color w:val="0F1115"/>
          <w:lang w:val="en-GB"/>
        </w:rPr>
        <w:t xml:space="preserve">Xu, X., Jing, M., Zhu, Y., Jin, H. and Li, L. (2025) ‘A Qualitative Study of the Experience of Multidisciplinary Teamwork in Chronic Critical Illness Patients’, </w:t>
      </w:r>
      <w:r w:rsidRPr="00C93EC9">
        <w:rPr>
          <w:rFonts w:ascii="Arial" w:eastAsia="Times New Roman" w:hAnsi="Arial" w:cs="Arial"/>
          <w:i/>
          <w:iCs/>
          <w:color w:val="0F1115"/>
          <w:lang w:val="en-GB"/>
        </w:rPr>
        <w:t>Journal of Multidisciplinary Healthcare</w:t>
      </w:r>
      <w:r w:rsidRPr="00C93EC9">
        <w:rPr>
          <w:rFonts w:ascii="Arial" w:eastAsia="Times New Roman" w:hAnsi="Arial" w:cs="Arial"/>
          <w:color w:val="0F1115"/>
          <w:lang w:val="en-GB"/>
        </w:rPr>
        <w:t xml:space="preserve">, Volume 18, pp. 827–836. Available at: </w:t>
      </w:r>
      <w:hyperlink r:id="rId27" w:history="1">
        <w:r w:rsidRPr="00C93EC9">
          <w:rPr>
            <w:rStyle w:val="Hyperlink"/>
            <w:rFonts w:ascii="Arial" w:eastAsia="Times New Roman" w:hAnsi="Arial" w:cs="Arial"/>
            <w:lang w:val="en-GB"/>
          </w:rPr>
          <w:t>https://doi.org/10.2147/jmdh.s505022</w:t>
        </w:r>
      </w:hyperlink>
      <w:r w:rsidRPr="00C93EC9">
        <w:rPr>
          <w:rFonts w:ascii="Arial" w:eastAsia="Times New Roman" w:hAnsi="Arial" w:cs="Arial"/>
          <w:color w:val="0F1115"/>
          <w:lang w:val="en-GB"/>
        </w:rPr>
        <w:t>.</w:t>
      </w:r>
    </w:p>
    <w:p w14:paraId="4F5DAB54" w14:textId="77777777" w:rsidR="00AE08E8" w:rsidRPr="00C93EC9" w:rsidRDefault="00AE08E8" w:rsidP="00C832C9">
      <w:pPr>
        <w:shd w:val="clear" w:color="auto" w:fill="FFFFFF"/>
        <w:spacing w:line="240" w:lineRule="auto"/>
        <w:ind w:left="-360"/>
        <w:rPr>
          <w:rFonts w:ascii="Arial" w:eastAsia="Times New Roman" w:hAnsi="Arial" w:cs="Arial"/>
          <w:color w:val="0F1115"/>
          <w:lang w:val="en-GB"/>
        </w:rPr>
      </w:pPr>
    </w:p>
    <w:p w14:paraId="57828F34" w14:textId="77777777" w:rsidR="009D7799" w:rsidRPr="00C93EC9" w:rsidRDefault="009D7799" w:rsidP="00C832C9">
      <w:pPr>
        <w:shd w:val="clear" w:color="auto" w:fill="FFFFFF"/>
        <w:spacing w:line="240" w:lineRule="auto"/>
        <w:ind w:left="-360"/>
        <w:rPr>
          <w:rFonts w:ascii="Arial" w:eastAsia="Times New Roman" w:hAnsi="Arial" w:cs="Arial"/>
          <w:color w:val="0F1115"/>
          <w:lang w:val="en-GB"/>
        </w:rPr>
      </w:pPr>
    </w:p>
    <w:bookmarkEnd w:id="0"/>
    <w:p w14:paraId="46BCA7FD" w14:textId="77777777" w:rsidR="004F65E2" w:rsidRPr="000020CA" w:rsidRDefault="004F65E2" w:rsidP="00C832C9">
      <w:pPr>
        <w:spacing w:line="240" w:lineRule="auto"/>
        <w:rPr>
          <w:rFonts w:ascii="Arial" w:hAnsi="Arial" w:cs="Arial"/>
          <w:sz w:val="28"/>
          <w:szCs w:val="28"/>
          <w:lang w:val="en-GB"/>
        </w:rPr>
      </w:pPr>
    </w:p>
    <w:sectPr w:rsidR="004F65E2" w:rsidRPr="000020CA" w:rsidSect="00683682">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0C628" w14:textId="77777777" w:rsidR="008437E4" w:rsidRDefault="008437E4" w:rsidP="00683682">
      <w:pPr>
        <w:spacing w:after="0" w:line="240" w:lineRule="auto"/>
      </w:pPr>
      <w:r>
        <w:separator/>
      </w:r>
    </w:p>
  </w:endnote>
  <w:endnote w:type="continuationSeparator" w:id="0">
    <w:p w14:paraId="1F7508B7" w14:textId="77777777" w:rsidR="008437E4" w:rsidRDefault="008437E4" w:rsidP="00683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282657"/>
      <w:docPartObj>
        <w:docPartGallery w:val="Page Numbers (Bottom of Page)"/>
        <w:docPartUnique/>
      </w:docPartObj>
    </w:sdtPr>
    <w:sdtContent>
      <w:p w14:paraId="5DA73A05" w14:textId="77777777" w:rsidR="00683682" w:rsidRDefault="007E06DD">
        <w:pPr>
          <w:pStyle w:val="Footer"/>
          <w:jc w:val="center"/>
        </w:pPr>
        <w:r>
          <w:fldChar w:fldCharType="begin"/>
        </w:r>
        <w:r w:rsidR="009E375D">
          <w:instrText xml:space="preserve"> PAGE   \* MERGEFORMAT </w:instrText>
        </w:r>
        <w:r>
          <w:fldChar w:fldCharType="separate"/>
        </w:r>
        <w:r w:rsidR="0097777F">
          <w:rPr>
            <w:noProof/>
          </w:rPr>
          <w:t>1</w:t>
        </w:r>
        <w:r>
          <w:rPr>
            <w:noProof/>
          </w:rPr>
          <w:fldChar w:fldCharType="end"/>
        </w:r>
      </w:p>
    </w:sdtContent>
  </w:sdt>
  <w:p w14:paraId="7369CD25" w14:textId="77777777" w:rsidR="00683682" w:rsidRDefault="00683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52958" w14:textId="77777777" w:rsidR="008437E4" w:rsidRDefault="008437E4" w:rsidP="00683682">
      <w:pPr>
        <w:spacing w:after="0" w:line="240" w:lineRule="auto"/>
      </w:pPr>
      <w:r>
        <w:separator/>
      </w:r>
    </w:p>
  </w:footnote>
  <w:footnote w:type="continuationSeparator" w:id="0">
    <w:p w14:paraId="26420771" w14:textId="77777777" w:rsidR="008437E4" w:rsidRDefault="008437E4" w:rsidP="006836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803B5"/>
    <w:multiLevelType w:val="multilevel"/>
    <w:tmpl w:val="EDEE7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D48DC"/>
    <w:multiLevelType w:val="multilevel"/>
    <w:tmpl w:val="C70E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CD3845"/>
    <w:multiLevelType w:val="multilevel"/>
    <w:tmpl w:val="E2B28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B94DB9"/>
    <w:multiLevelType w:val="multilevel"/>
    <w:tmpl w:val="DB8E5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2D7B0A"/>
    <w:multiLevelType w:val="multilevel"/>
    <w:tmpl w:val="0EF40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0789027">
    <w:abstractNumId w:val="4"/>
  </w:num>
  <w:num w:numId="2" w16cid:durableId="1632200316">
    <w:abstractNumId w:val="1"/>
  </w:num>
  <w:num w:numId="3" w16cid:durableId="958949211">
    <w:abstractNumId w:val="2"/>
  </w:num>
  <w:num w:numId="4" w16cid:durableId="1312903688">
    <w:abstractNumId w:val="3"/>
  </w:num>
  <w:num w:numId="5" w16cid:durableId="2044934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28C"/>
    <w:rsid w:val="000020CA"/>
    <w:rsid w:val="0007704F"/>
    <w:rsid w:val="00096748"/>
    <w:rsid w:val="00141A2D"/>
    <w:rsid w:val="0016716C"/>
    <w:rsid w:val="0019328C"/>
    <w:rsid w:val="001939A8"/>
    <w:rsid w:val="00193C67"/>
    <w:rsid w:val="001C4233"/>
    <w:rsid w:val="001D4139"/>
    <w:rsid w:val="00242964"/>
    <w:rsid w:val="00280BC3"/>
    <w:rsid w:val="002869BD"/>
    <w:rsid w:val="00297A76"/>
    <w:rsid w:val="002F03C9"/>
    <w:rsid w:val="003A3E82"/>
    <w:rsid w:val="003C5AFD"/>
    <w:rsid w:val="00423208"/>
    <w:rsid w:val="004464C7"/>
    <w:rsid w:val="0048654C"/>
    <w:rsid w:val="004E3A52"/>
    <w:rsid w:val="004F65E2"/>
    <w:rsid w:val="00516DF3"/>
    <w:rsid w:val="0053409D"/>
    <w:rsid w:val="005F2014"/>
    <w:rsid w:val="00683682"/>
    <w:rsid w:val="006A4D04"/>
    <w:rsid w:val="006D3FDD"/>
    <w:rsid w:val="006F420F"/>
    <w:rsid w:val="00731AC0"/>
    <w:rsid w:val="007D53F4"/>
    <w:rsid w:val="007E06DD"/>
    <w:rsid w:val="00807BF2"/>
    <w:rsid w:val="008437E4"/>
    <w:rsid w:val="008B0E3D"/>
    <w:rsid w:val="008B6DC9"/>
    <w:rsid w:val="008D757F"/>
    <w:rsid w:val="008F5483"/>
    <w:rsid w:val="009026D9"/>
    <w:rsid w:val="009037DA"/>
    <w:rsid w:val="00917BD6"/>
    <w:rsid w:val="00961902"/>
    <w:rsid w:val="0097777F"/>
    <w:rsid w:val="009D2E96"/>
    <w:rsid w:val="009D7799"/>
    <w:rsid w:val="009E375D"/>
    <w:rsid w:val="00A61209"/>
    <w:rsid w:val="00AD7A0C"/>
    <w:rsid w:val="00AE08E8"/>
    <w:rsid w:val="00B4108A"/>
    <w:rsid w:val="00B73FE6"/>
    <w:rsid w:val="00B97478"/>
    <w:rsid w:val="00BA0F40"/>
    <w:rsid w:val="00BA4D55"/>
    <w:rsid w:val="00BC68B7"/>
    <w:rsid w:val="00C010E0"/>
    <w:rsid w:val="00C832C9"/>
    <w:rsid w:val="00C93EC9"/>
    <w:rsid w:val="00D027A0"/>
    <w:rsid w:val="00D511EA"/>
    <w:rsid w:val="00D51ACF"/>
    <w:rsid w:val="00DA195F"/>
    <w:rsid w:val="00DB62BD"/>
    <w:rsid w:val="00E9780D"/>
    <w:rsid w:val="00EF3AF5"/>
    <w:rsid w:val="00F7262B"/>
    <w:rsid w:val="00F80089"/>
    <w:rsid w:val="00F81160"/>
    <w:rsid w:val="00F972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882AF"/>
  <w15:docId w15:val="{8242020B-581B-4EDD-9BC5-EC52251DB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5E2"/>
  </w:style>
  <w:style w:type="paragraph" w:styleId="Heading1">
    <w:name w:val="heading 1"/>
    <w:basedOn w:val="Normal"/>
    <w:next w:val="Normal"/>
    <w:link w:val="Heading1Char"/>
    <w:uiPriority w:val="9"/>
    <w:qFormat/>
    <w:rsid w:val="009D77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9328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28C"/>
    <w:rPr>
      <w:rFonts w:ascii="Times New Roman" w:eastAsia="Times New Roman" w:hAnsi="Times New Roman" w:cs="Times New Roman"/>
      <w:b/>
      <w:bCs/>
      <w:sz w:val="27"/>
      <w:szCs w:val="27"/>
    </w:rPr>
  </w:style>
  <w:style w:type="paragraph" w:customStyle="1" w:styleId="ds-markdown-paragraph">
    <w:name w:val="ds-markdown-paragraph"/>
    <w:basedOn w:val="Normal"/>
    <w:rsid w:val="0019328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9328C"/>
    <w:rPr>
      <w:color w:val="0000FF"/>
      <w:u w:val="single"/>
    </w:rPr>
  </w:style>
  <w:style w:type="character" w:styleId="Strong">
    <w:name w:val="Strong"/>
    <w:basedOn w:val="DefaultParagraphFont"/>
    <w:uiPriority w:val="22"/>
    <w:qFormat/>
    <w:rsid w:val="0019328C"/>
    <w:rPr>
      <w:b/>
      <w:bCs/>
    </w:rPr>
  </w:style>
  <w:style w:type="character" w:styleId="Emphasis">
    <w:name w:val="Emphasis"/>
    <w:basedOn w:val="DefaultParagraphFont"/>
    <w:uiPriority w:val="20"/>
    <w:qFormat/>
    <w:rsid w:val="0019328C"/>
    <w:rPr>
      <w:i/>
      <w:iCs/>
    </w:rPr>
  </w:style>
  <w:style w:type="paragraph" w:styleId="Header">
    <w:name w:val="header"/>
    <w:basedOn w:val="Normal"/>
    <w:link w:val="HeaderChar"/>
    <w:uiPriority w:val="99"/>
    <w:semiHidden/>
    <w:unhideWhenUsed/>
    <w:rsid w:val="006836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3682"/>
  </w:style>
  <w:style w:type="paragraph" w:styleId="Footer">
    <w:name w:val="footer"/>
    <w:basedOn w:val="Normal"/>
    <w:link w:val="FooterChar"/>
    <w:uiPriority w:val="99"/>
    <w:unhideWhenUsed/>
    <w:rsid w:val="00683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3682"/>
  </w:style>
  <w:style w:type="character" w:customStyle="1" w:styleId="UnresolvedMention1">
    <w:name w:val="Unresolved Mention1"/>
    <w:basedOn w:val="DefaultParagraphFont"/>
    <w:uiPriority w:val="99"/>
    <w:semiHidden/>
    <w:unhideWhenUsed/>
    <w:rsid w:val="00B97478"/>
    <w:rPr>
      <w:color w:val="605E5C"/>
      <w:shd w:val="clear" w:color="auto" w:fill="E1DFDD"/>
    </w:rPr>
  </w:style>
  <w:style w:type="paragraph" w:styleId="ListParagraph">
    <w:name w:val="List Paragraph"/>
    <w:basedOn w:val="Normal"/>
    <w:uiPriority w:val="34"/>
    <w:qFormat/>
    <w:rsid w:val="008B6DC9"/>
    <w:pPr>
      <w:ind w:left="720"/>
      <w:contextualSpacing/>
    </w:pPr>
  </w:style>
  <w:style w:type="character" w:customStyle="1" w:styleId="Heading1Char">
    <w:name w:val="Heading 1 Char"/>
    <w:basedOn w:val="DefaultParagraphFont"/>
    <w:link w:val="Heading1"/>
    <w:uiPriority w:val="9"/>
    <w:rsid w:val="009D7799"/>
    <w:rPr>
      <w:rFonts w:asciiTheme="majorHAnsi" w:eastAsiaTheme="majorEastAsia" w:hAnsiTheme="majorHAnsi" w:cstheme="majorBidi"/>
      <w:color w:val="2F5496" w:themeColor="accent1" w:themeShade="BF"/>
      <w:sz w:val="32"/>
      <w:szCs w:val="32"/>
    </w:rPr>
  </w:style>
  <w:style w:type="character" w:customStyle="1" w:styleId="UnresolvedMention2">
    <w:name w:val="Unresolved Mention2"/>
    <w:basedOn w:val="DefaultParagraphFont"/>
    <w:uiPriority w:val="99"/>
    <w:semiHidden/>
    <w:unhideWhenUsed/>
    <w:rsid w:val="00B73F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021785">
      <w:bodyDiv w:val="1"/>
      <w:marLeft w:val="0"/>
      <w:marRight w:val="0"/>
      <w:marTop w:val="0"/>
      <w:marBottom w:val="0"/>
      <w:divBdr>
        <w:top w:val="none" w:sz="0" w:space="0" w:color="auto"/>
        <w:left w:val="none" w:sz="0" w:space="0" w:color="auto"/>
        <w:bottom w:val="none" w:sz="0" w:space="0" w:color="auto"/>
        <w:right w:val="none" w:sz="0" w:space="0" w:color="auto"/>
      </w:divBdr>
    </w:div>
    <w:div w:id="306784474">
      <w:bodyDiv w:val="1"/>
      <w:marLeft w:val="0"/>
      <w:marRight w:val="0"/>
      <w:marTop w:val="0"/>
      <w:marBottom w:val="0"/>
      <w:divBdr>
        <w:top w:val="none" w:sz="0" w:space="0" w:color="auto"/>
        <w:left w:val="none" w:sz="0" w:space="0" w:color="auto"/>
        <w:bottom w:val="none" w:sz="0" w:space="0" w:color="auto"/>
        <w:right w:val="none" w:sz="0" w:space="0" w:color="auto"/>
      </w:divBdr>
    </w:div>
    <w:div w:id="557132049">
      <w:bodyDiv w:val="1"/>
      <w:marLeft w:val="0"/>
      <w:marRight w:val="0"/>
      <w:marTop w:val="0"/>
      <w:marBottom w:val="0"/>
      <w:divBdr>
        <w:top w:val="none" w:sz="0" w:space="0" w:color="auto"/>
        <w:left w:val="none" w:sz="0" w:space="0" w:color="auto"/>
        <w:bottom w:val="none" w:sz="0" w:space="0" w:color="auto"/>
        <w:right w:val="none" w:sz="0" w:space="0" w:color="auto"/>
      </w:divBdr>
    </w:div>
    <w:div w:id="912621556">
      <w:bodyDiv w:val="1"/>
      <w:marLeft w:val="0"/>
      <w:marRight w:val="0"/>
      <w:marTop w:val="0"/>
      <w:marBottom w:val="0"/>
      <w:divBdr>
        <w:top w:val="none" w:sz="0" w:space="0" w:color="auto"/>
        <w:left w:val="none" w:sz="0" w:space="0" w:color="auto"/>
        <w:bottom w:val="none" w:sz="0" w:space="0" w:color="auto"/>
        <w:right w:val="none" w:sz="0" w:space="0" w:color="auto"/>
      </w:divBdr>
    </w:div>
    <w:div w:id="958218912">
      <w:bodyDiv w:val="1"/>
      <w:marLeft w:val="0"/>
      <w:marRight w:val="0"/>
      <w:marTop w:val="0"/>
      <w:marBottom w:val="0"/>
      <w:divBdr>
        <w:top w:val="none" w:sz="0" w:space="0" w:color="auto"/>
        <w:left w:val="none" w:sz="0" w:space="0" w:color="auto"/>
        <w:bottom w:val="none" w:sz="0" w:space="0" w:color="auto"/>
        <w:right w:val="none" w:sz="0" w:space="0" w:color="auto"/>
      </w:divBdr>
    </w:div>
    <w:div w:id="975183444">
      <w:bodyDiv w:val="1"/>
      <w:marLeft w:val="0"/>
      <w:marRight w:val="0"/>
      <w:marTop w:val="0"/>
      <w:marBottom w:val="0"/>
      <w:divBdr>
        <w:top w:val="none" w:sz="0" w:space="0" w:color="auto"/>
        <w:left w:val="none" w:sz="0" w:space="0" w:color="auto"/>
        <w:bottom w:val="none" w:sz="0" w:space="0" w:color="auto"/>
        <w:right w:val="none" w:sz="0" w:space="0" w:color="auto"/>
      </w:divBdr>
      <w:divsChild>
        <w:div w:id="1536498391">
          <w:marLeft w:val="0"/>
          <w:marRight w:val="0"/>
          <w:marTop w:val="0"/>
          <w:marBottom w:val="0"/>
          <w:divBdr>
            <w:top w:val="none" w:sz="0" w:space="0" w:color="auto"/>
            <w:left w:val="none" w:sz="0" w:space="0" w:color="auto"/>
            <w:bottom w:val="none" w:sz="0" w:space="0" w:color="auto"/>
            <w:right w:val="none" w:sz="0" w:space="0" w:color="auto"/>
          </w:divBdr>
        </w:div>
      </w:divsChild>
    </w:div>
    <w:div w:id="1257716333">
      <w:bodyDiv w:val="1"/>
      <w:marLeft w:val="0"/>
      <w:marRight w:val="0"/>
      <w:marTop w:val="0"/>
      <w:marBottom w:val="0"/>
      <w:divBdr>
        <w:top w:val="none" w:sz="0" w:space="0" w:color="auto"/>
        <w:left w:val="none" w:sz="0" w:space="0" w:color="auto"/>
        <w:bottom w:val="none" w:sz="0" w:space="0" w:color="auto"/>
        <w:right w:val="none" w:sz="0" w:space="0" w:color="auto"/>
      </w:divBdr>
    </w:div>
    <w:div w:id="1258633833">
      <w:bodyDiv w:val="1"/>
      <w:marLeft w:val="0"/>
      <w:marRight w:val="0"/>
      <w:marTop w:val="0"/>
      <w:marBottom w:val="0"/>
      <w:divBdr>
        <w:top w:val="none" w:sz="0" w:space="0" w:color="auto"/>
        <w:left w:val="none" w:sz="0" w:space="0" w:color="auto"/>
        <w:bottom w:val="none" w:sz="0" w:space="0" w:color="auto"/>
        <w:right w:val="none" w:sz="0" w:space="0" w:color="auto"/>
      </w:divBdr>
      <w:divsChild>
        <w:div w:id="608974006">
          <w:marLeft w:val="0"/>
          <w:marRight w:val="0"/>
          <w:marTop w:val="0"/>
          <w:marBottom w:val="0"/>
          <w:divBdr>
            <w:top w:val="none" w:sz="0" w:space="0" w:color="auto"/>
            <w:left w:val="none" w:sz="0" w:space="0" w:color="auto"/>
            <w:bottom w:val="none" w:sz="0" w:space="0" w:color="auto"/>
            <w:right w:val="none" w:sz="0" w:space="0" w:color="auto"/>
          </w:divBdr>
        </w:div>
      </w:divsChild>
    </w:div>
    <w:div w:id="1323897837">
      <w:bodyDiv w:val="1"/>
      <w:marLeft w:val="0"/>
      <w:marRight w:val="0"/>
      <w:marTop w:val="0"/>
      <w:marBottom w:val="0"/>
      <w:divBdr>
        <w:top w:val="none" w:sz="0" w:space="0" w:color="auto"/>
        <w:left w:val="none" w:sz="0" w:space="0" w:color="auto"/>
        <w:bottom w:val="none" w:sz="0" w:space="0" w:color="auto"/>
        <w:right w:val="none" w:sz="0" w:space="0" w:color="auto"/>
      </w:divBdr>
      <w:divsChild>
        <w:div w:id="1585914057">
          <w:marLeft w:val="0"/>
          <w:marRight w:val="0"/>
          <w:marTop w:val="0"/>
          <w:marBottom w:val="0"/>
          <w:divBdr>
            <w:top w:val="none" w:sz="0" w:space="0" w:color="auto"/>
            <w:left w:val="none" w:sz="0" w:space="0" w:color="auto"/>
            <w:bottom w:val="none" w:sz="0" w:space="0" w:color="auto"/>
            <w:right w:val="none" w:sz="0" w:space="0" w:color="auto"/>
          </w:divBdr>
        </w:div>
      </w:divsChild>
    </w:div>
    <w:div w:id="1437628301">
      <w:bodyDiv w:val="1"/>
      <w:marLeft w:val="0"/>
      <w:marRight w:val="0"/>
      <w:marTop w:val="0"/>
      <w:marBottom w:val="0"/>
      <w:divBdr>
        <w:top w:val="none" w:sz="0" w:space="0" w:color="auto"/>
        <w:left w:val="none" w:sz="0" w:space="0" w:color="auto"/>
        <w:bottom w:val="none" w:sz="0" w:space="0" w:color="auto"/>
        <w:right w:val="none" w:sz="0" w:space="0" w:color="auto"/>
      </w:divBdr>
    </w:div>
    <w:div w:id="1482305291">
      <w:bodyDiv w:val="1"/>
      <w:marLeft w:val="0"/>
      <w:marRight w:val="0"/>
      <w:marTop w:val="0"/>
      <w:marBottom w:val="0"/>
      <w:divBdr>
        <w:top w:val="none" w:sz="0" w:space="0" w:color="auto"/>
        <w:left w:val="none" w:sz="0" w:space="0" w:color="auto"/>
        <w:bottom w:val="none" w:sz="0" w:space="0" w:color="auto"/>
        <w:right w:val="none" w:sz="0" w:space="0" w:color="auto"/>
      </w:divBdr>
      <w:divsChild>
        <w:div w:id="183252341">
          <w:marLeft w:val="0"/>
          <w:marRight w:val="0"/>
          <w:marTop w:val="0"/>
          <w:marBottom w:val="0"/>
          <w:divBdr>
            <w:top w:val="none" w:sz="0" w:space="0" w:color="auto"/>
            <w:left w:val="none" w:sz="0" w:space="0" w:color="auto"/>
            <w:bottom w:val="none" w:sz="0" w:space="0" w:color="auto"/>
            <w:right w:val="none" w:sz="0" w:space="0" w:color="auto"/>
          </w:divBdr>
        </w:div>
      </w:divsChild>
    </w:div>
    <w:div w:id="1788233054">
      <w:bodyDiv w:val="1"/>
      <w:marLeft w:val="0"/>
      <w:marRight w:val="0"/>
      <w:marTop w:val="0"/>
      <w:marBottom w:val="0"/>
      <w:divBdr>
        <w:top w:val="none" w:sz="0" w:space="0" w:color="auto"/>
        <w:left w:val="none" w:sz="0" w:space="0" w:color="auto"/>
        <w:bottom w:val="none" w:sz="0" w:space="0" w:color="auto"/>
        <w:right w:val="none" w:sz="0" w:space="0" w:color="auto"/>
      </w:divBdr>
    </w:div>
    <w:div w:id="1954356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25163/angiotherapy.8510497" TargetMode="External"/><Relationship Id="rId13" Type="http://schemas.openxmlformats.org/officeDocument/2006/relationships/hyperlink" Target="https://www.legislation.gov.uk/ukpga/2018/12/contents" TargetMode="External"/><Relationship Id="rId18" Type="http://schemas.openxmlformats.org/officeDocument/2006/relationships/hyperlink" Target="https://doi.org/10.1080/02687038.2011.640392" TargetMode="External"/><Relationship Id="rId26" Type="http://schemas.openxmlformats.org/officeDocument/2006/relationships/hyperlink" Target="https://questions-statements.parliament.uk/written-questions/detail/2025-10-17/83158" TargetMode="External"/><Relationship Id="rId3" Type="http://schemas.openxmlformats.org/officeDocument/2006/relationships/settings" Target="settings.xml"/><Relationship Id="rId21" Type="http://schemas.openxmlformats.org/officeDocument/2006/relationships/hyperlink" Target="https://doi.org/10.13140/rg.2.2.11432.07684" TargetMode="External"/><Relationship Id="rId7" Type="http://schemas.openxmlformats.org/officeDocument/2006/relationships/footer" Target="footer1.xml"/><Relationship Id="rId12" Type="http://schemas.openxmlformats.org/officeDocument/2006/relationships/hyperlink" Target="https://jicrcr.com/index.php/jicrcr/article/view/579/390" TargetMode="External"/><Relationship Id="rId17" Type="http://schemas.openxmlformats.org/officeDocument/2006/relationships/hyperlink" Target="https://www.legislation.gov.uk/ukpga/2022/31/contents" TargetMode="External"/><Relationship Id="rId25" Type="http://schemas.openxmlformats.org/officeDocument/2006/relationships/hyperlink" Target="https://doi.org/10.1016/j.healthpol.2025.105299" TargetMode="External"/><Relationship Id="rId2" Type="http://schemas.openxmlformats.org/officeDocument/2006/relationships/styles" Target="styles.xml"/><Relationship Id="rId16" Type="http://schemas.openxmlformats.org/officeDocument/2006/relationships/hyperlink" Target="https://www.legislation.gov.uk/ukpga/2010/15/contents" TargetMode="External"/><Relationship Id="rId20" Type="http://schemas.openxmlformats.org/officeDocument/2006/relationships/hyperlink" Target="https://doi.org/10.4103/jin.jin_121_25"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sc.croneri.co.uk/topics/partnership-working-and-integrated-care/summary" TargetMode="External"/><Relationship Id="rId24" Type="http://schemas.openxmlformats.org/officeDocument/2006/relationships/hyperlink" Target="https://doi.org/10.1016/j.apmr.2010.08.026" TargetMode="External"/><Relationship Id="rId5" Type="http://schemas.openxmlformats.org/officeDocument/2006/relationships/footnotes" Target="footnotes.xml"/><Relationship Id="rId15" Type="http://schemas.openxmlformats.org/officeDocument/2006/relationships/hyperlink" Target="https://doi.org/10.3390/brainsci14070709" TargetMode="External"/><Relationship Id="rId23" Type="http://schemas.openxmlformats.org/officeDocument/2006/relationships/hyperlink" Target="https://doi.org/10.7748/ns.2024.e12270" TargetMode="External"/><Relationship Id="rId28" Type="http://schemas.openxmlformats.org/officeDocument/2006/relationships/fontTable" Target="fontTable.xml"/><Relationship Id="rId10" Type="http://schemas.openxmlformats.org/officeDocument/2006/relationships/hyperlink" Target="https://doi.org/10.2147/jmdh.s68764" TargetMode="External"/><Relationship Id="rId19" Type="http://schemas.openxmlformats.org/officeDocument/2006/relationships/hyperlink" Target="https://doi.org/10.1186/s12912-021-00684-2" TargetMode="External"/><Relationship Id="rId4" Type="http://schemas.openxmlformats.org/officeDocument/2006/relationships/webSettings" Target="webSettings.xml"/><Relationship Id="rId9" Type="http://schemas.openxmlformats.org/officeDocument/2006/relationships/hyperlink" Target="https://www.awp.nhs.uk/about-us/publications/trust-policies/fair-processing-notice" TargetMode="External"/><Relationship Id="rId14" Type="http://schemas.openxmlformats.org/officeDocument/2006/relationships/hyperlink" Target="https://doi.org/10.5772/intechopen.1005322" TargetMode="External"/><Relationship Id="rId22" Type="http://schemas.openxmlformats.org/officeDocument/2006/relationships/hyperlink" Target="https://digital.nhs.uk/services/national-data-opt-out/understanding-the-national-data-opt-out/protecting-patient-data" TargetMode="External"/><Relationship Id="rId27" Type="http://schemas.openxmlformats.org/officeDocument/2006/relationships/hyperlink" Target="https://doi.org/10.2147/jmdh.s505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2573</Words>
  <Characters>14667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Hope Ugbebor</cp:lastModifiedBy>
  <cp:revision>3</cp:revision>
  <dcterms:created xsi:type="dcterms:W3CDTF">2026-04-18T21:10:00Z</dcterms:created>
  <dcterms:modified xsi:type="dcterms:W3CDTF">2026-04-18T21:11:00Z</dcterms:modified>
</cp:coreProperties>
</file>