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0CF6C7" w14:textId="77777777" w:rsidR="00663EC0" w:rsidRDefault="00091CE4"/>
    <w:p w14:paraId="2263E798" w14:textId="77777777" w:rsidR="005A402B" w:rsidRPr="005A402B" w:rsidRDefault="005A402B" w:rsidP="005A402B"/>
    <w:p w14:paraId="6DB867A4" w14:textId="77777777" w:rsidR="005A402B" w:rsidRPr="005A402B" w:rsidRDefault="005A402B" w:rsidP="005A402B"/>
    <w:p w14:paraId="566CEBF9" w14:textId="77777777" w:rsidR="005A402B" w:rsidRDefault="005A402B" w:rsidP="005A402B"/>
    <w:p w14:paraId="6AA561B9" w14:textId="659EEE88" w:rsidR="002E12BC" w:rsidRPr="002E12BC" w:rsidRDefault="002E12BC" w:rsidP="005A402B">
      <w:pPr>
        <w:rPr>
          <w:u w:val="single"/>
        </w:rPr>
      </w:pPr>
      <w:r>
        <w:t xml:space="preserve"> </w:t>
      </w:r>
      <w:r>
        <w:rPr>
          <w:u w:val="single"/>
        </w:rPr>
        <w:t>Defence and National Security Policies of Margaret Thatcher and her willingness to use force?</w:t>
      </w:r>
    </w:p>
    <w:p w14:paraId="34CEAE9B" w14:textId="77777777" w:rsidR="002E12BC" w:rsidRDefault="002E12BC" w:rsidP="005A402B"/>
    <w:p w14:paraId="2BA590CA" w14:textId="7CB9E057" w:rsidR="005A402B" w:rsidRDefault="005A402B" w:rsidP="005A402B">
      <w:r>
        <w:t xml:space="preserve">Margaret Thatcher was the Prime Minister of the United Kingdom of Great Britain and Northern Ireland from 1979 to 1990. She was well known for her strong leadership and willingness to make a decision. Her moniker of the “Iron Lady” really epitomises the way in which she made decisions. One area in which she was extremely definite and unafraid of acting on was in matters of defence and national security. She held a firm belief that she would not negotiate with terrorists or thugs and would </w:t>
      </w:r>
      <w:r w:rsidR="002E12BC">
        <w:t xml:space="preserve">not </w:t>
      </w:r>
      <w:r>
        <w:t xml:space="preserve">hesitate to defend British sovereignty and territory from potential foreign aggression. She was the Prime Minister through the Iranian Embassy </w:t>
      </w:r>
      <w:r w:rsidR="002E12BC">
        <w:t>Siege;</w:t>
      </w:r>
      <w:r>
        <w:t xml:space="preserve"> the Falklands War and part of the</w:t>
      </w:r>
      <w:r w:rsidR="002E12BC">
        <w:t xml:space="preserve"> Northern Ireland Troubles</w:t>
      </w:r>
      <w:r w:rsidR="004C2847">
        <w:t xml:space="preserve"> and </w:t>
      </w:r>
      <w:r w:rsidR="002E12BC">
        <w:t xml:space="preserve">evidence suggests that she </w:t>
      </w:r>
      <w:r w:rsidR="004C2847">
        <w:t xml:space="preserve">did not hesitate to respond with force </w:t>
      </w:r>
      <w:r w:rsidR="002E12BC">
        <w:t>when necessary</w:t>
      </w:r>
      <w:r w:rsidR="004C2847">
        <w:t>.</w:t>
      </w:r>
      <w:r w:rsidR="002E12BC">
        <w:t xml:space="preserve"> The focus of this essay will be on Thatcher’s response and management of these three events. </w:t>
      </w:r>
      <w:r w:rsidR="00775F47">
        <w:t>Firstly though, a look at Thatcher’s early life is called for to provide some context and possible reasoning for her actions.</w:t>
      </w:r>
    </w:p>
    <w:p w14:paraId="31519B14" w14:textId="22B7100E" w:rsidR="006A6326" w:rsidRDefault="006A6326" w:rsidP="005A402B"/>
    <w:p w14:paraId="63EFAEFE" w14:textId="10976CFD" w:rsidR="006A6326" w:rsidRDefault="006A6326" w:rsidP="005A402B">
      <w:r>
        <w:t>Margaret Hilda Roberts was born on the 13</w:t>
      </w:r>
      <w:r w:rsidRPr="006A6326">
        <w:rPr>
          <w:vertAlign w:val="superscript"/>
        </w:rPr>
        <w:t>th</w:t>
      </w:r>
      <w:r>
        <w:t xml:space="preserve"> October 1925 in Grantham, Lincolnshire</w:t>
      </w:r>
      <w:r w:rsidR="00AB53F1">
        <w:rPr>
          <w:rStyle w:val="FootnoteReference"/>
        </w:rPr>
        <w:footnoteReference w:id="1"/>
      </w:r>
      <w:r>
        <w:t xml:space="preserve"> to Alfred Roberts and his wife, Beatrice Ethel. Her father was a </w:t>
      </w:r>
      <w:r w:rsidR="00BB535F">
        <w:t>greengrocer</w:t>
      </w:r>
      <w:r>
        <w:t xml:space="preserve"> and tobacconist</w:t>
      </w:r>
      <w:r w:rsidR="00AB53F1">
        <w:rPr>
          <w:rStyle w:val="FootnoteReference"/>
        </w:rPr>
        <w:footnoteReference w:id="2"/>
      </w:r>
      <w:r>
        <w:t xml:space="preserve"> as well as an alderman and </w:t>
      </w:r>
      <w:r w:rsidR="00BB535F">
        <w:t>a Methodist local preacher</w:t>
      </w:r>
      <w:r w:rsidR="00940798">
        <w:rPr>
          <w:rStyle w:val="FootnoteReference"/>
        </w:rPr>
        <w:footnoteReference w:id="3"/>
      </w:r>
      <w:r w:rsidR="00BB535F">
        <w:t>. She was brought up as a strict Wesleyan Methodist</w:t>
      </w:r>
      <w:r>
        <w:t xml:space="preserve"> </w:t>
      </w:r>
      <w:r w:rsidR="00BB535F">
        <w:t>by her father who made her attend Finkin Street Methodist Church, but she was highly sceptical. Ever the budding scientist even in her youth she told a friend that she did not believe in angels as she had calculated that a person required a breastbone of at least six feet in length to support wings</w:t>
      </w:r>
      <w:r w:rsidR="00823EB0">
        <w:rPr>
          <w:rStyle w:val="FootnoteReference"/>
        </w:rPr>
        <w:footnoteReference w:id="4"/>
      </w:r>
      <w:r w:rsidR="00BB535F">
        <w:t>. It also possible that a couple of events in her youth may have had some effect on her political leanings later in life. Her father came from a Liberal family but stood as an Independent as was common in local elections. He was Mayor of Grantham from 1945-46 and lost his position as alderman in 1952 after the labour Party won their first majority on Grantham Council in 1950</w:t>
      </w:r>
      <w:r w:rsidR="00823EB0">
        <w:rPr>
          <w:rStyle w:val="FootnoteReference"/>
        </w:rPr>
        <w:footnoteReference w:id="5"/>
      </w:r>
      <w:r w:rsidR="00FA3A16">
        <w:t>. This loss of position at the hands of the Labour Party may have caused the young Margaret’s political leanings to lean more towards the ideology of the Conservative Party over the Labour Party especially as the Liberal Party was in decline and eventually merged with the Democratic Party in 1988 to form the Liberal Democrats.</w:t>
      </w:r>
    </w:p>
    <w:p w14:paraId="29186C54" w14:textId="29009D98" w:rsidR="008401EC" w:rsidRDefault="008401EC" w:rsidP="005A402B"/>
    <w:p w14:paraId="17AAAA36" w14:textId="51DEF9C5" w:rsidR="008401EC" w:rsidRDefault="008401EC" w:rsidP="005A402B">
      <w:r>
        <w:t>When elected and sworn in as Prime Minister she was immediately placed in a positi</w:t>
      </w:r>
      <w:r w:rsidR="00546F8E">
        <w:t xml:space="preserve">on </w:t>
      </w:r>
      <w:r>
        <w:t xml:space="preserve">where the use of force was not only </w:t>
      </w:r>
      <w:r w:rsidR="00546F8E">
        <w:t>inevitable but even advisable. She had to oversee over a third of the Troubles and the eighties were arguably the bloodiest decade where she had to cope with bombings of the Conservative Party Conference in Brighton in 1984</w:t>
      </w:r>
      <w:r w:rsidR="00CA5CCC">
        <w:rPr>
          <w:rStyle w:val="FootnoteReference"/>
        </w:rPr>
        <w:footnoteReference w:id="6"/>
      </w:r>
      <w:r w:rsidR="00546F8E">
        <w:t xml:space="preserve"> to increasing killings and attacks in Northern Ireland by the IRA. </w:t>
      </w:r>
    </w:p>
    <w:p w14:paraId="230AF5EC" w14:textId="76892A69" w:rsidR="00546F8E" w:rsidRDefault="00546F8E" w:rsidP="005A402B"/>
    <w:p w14:paraId="072CE985" w14:textId="55ED3C25" w:rsidR="00546F8E" w:rsidRDefault="00546F8E" w:rsidP="005A402B">
      <w:r>
        <w:lastRenderedPageBreak/>
        <w:t xml:space="preserve">As Prime Minister she continued the deployment of both the Special Air Service (SAS) as well as the 14 Intelligence Company (aka “the Det” as they will be referred to from now on in this essay). These controversial but </w:t>
      </w:r>
      <w:r w:rsidR="001D4C3A">
        <w:t xml:space="preserve">arguably </w:t>
      </w:r>
      <w:r>
        <w:t xml:space="preserve">necessary deployments showed that she had zero issue with using force to </w:t>
      </w:r>
      <w:r w:rsidR="001D4C3A">
        <w:t>address the threat of</w:t>
      </w:r>
      <w:r>
        <w:t xml:space="preserve"> terrorism.</w:t>
      </w:r>
      <w:r w:rsidR="00775F47">
        <w:t xml:space="preserve"> Her defence policy was that she was would use aggressive tactics including the deployment of military forces to maintain national defence both at home and abroad.</w:t>
      </w:r>
    </w:p>
    <w:p w14:paraId="20F4685F" w14:textId="5B54C9D2" w:rsidR="00546F8E" w:rsidRDefault="00546F8E" w:rsidP="005A402B"/>
    <w:p w14:paraId="3029BBBA" w14:textId="27BB237C" w:rsidR="00953350" w:rsidRDefault="001D4C3A" w:rsidP="005A402B">
      <w:r>
        <w:t>The first event in which she was required to authorise the use of force was the Iranian Embassy Siege that occurred between the 30</w:t>
      </w:r>
      <w:r w:rsidRPr="001D4C3A">
        <w:rPr>
          <w:vertAlign w:val="superscript"/>
        </w:rPr>
        <w:t>th</w:t>
      </w:r>
      <w:r>
        <w:t xml:space="preserve"> April to 5</w:t>
      </w:r>
      <w:r w:rsidRPr="001D4C3A">
        <w:rPr>
          <w:vertAlign w:val="superscript"/>
        </w:rPr>
        <w:t>th</w:t>
      </w:r>
      <w:r>
        <w:t xml:space="preserve"> May 1980.</w:t>
      </w:r>
      <w:r w:rsidR="007531E4">
        <w:t xml:space="preserve"> </w:t>
      </w:r>
      <w:r w:rsidR="00546F8E">
        <w:t xml:space="preserve">Her willingness to use force to </w:t>
      </w:r>
      <w:r w:rsidR="00823EB0">
        <w:t>fight</w:t>
      </w:r>
      <w:r w:rsidR="00546F8E">
        <w:t xml:space="preserve"> terrorism and her unwillingness to negotiate with them was best exemplified by her and her governments response to the </w:t>
      </w:r>
      <w:r w:rsidR="00823EB0">
        <w:t>siege</w:t>
      </w:r>
      <w:r w:rsidR="00546F8E">
        <w:t>. It occurred when six gunm</w:t>
      </w:r>
      <w:r w:rsidR="00953350">
        <w:t>e</w:t>
      </w:r>
      <w:r w:rsidR="00546F8E">
        <w:t xml:space="preserve">n from the Arab Iranian province of </w:t>
      </w:r>
      <w:r w:rsidR="00282C2F">
        <w:t>Khuzestan (aka Arabistan and how it shall be referred to henceforth)</w:t>
      </w:r>
      <w:r w:rsidR="00546F8E">
        <w:t xml:space="preserve"> charged into and overtook the Iranian Embassy to the United Kingdom at 16 Princes Gate, London. </w:t>
      </w:r>
      <w:r w:rsidR="00953350">
        <w:t>The terrorists were demanding freedom from Iranian oppression and for the independence of the oil rich Arabistan from the Persian Iranian state. However, a more clandestine reason for this attack was that Iraqi Intelligence</w:t>
      </w:r>
      <w:r w:rsidR="00282C2F">
        <w:t xml:space="preserve"> wanted to rile up their rivals in Iran and saw sponsoring various separatist and terrorist groups across Iran which, due to the Iranian Revolution in 1979, was politically unstable and a prime target. It should also be noted that Arabistan is an extremely oil rich province and had been widely developed by foreign companies under the reign of the Shah.</w:t>
      </w:r>
    </w:p>
    <w:p w14:paraId="27B14855" w14:textId="5730AB89" w:rsidR="00282C2F" w:rsidRDefault="00282C2F" w:rsidP="005A402B"/>
    <w:p w14:paraId="01318BA1" w14:textId="44018E2C" w:rsidR="00282C2F" w:rsidRDefault="00282C2F" w:rsidP="005A402B">
      <w:r>
        <w:t xml:space="preserve">The gunmen proceeded to take </w:t>
      </w:r>
      <w:r w:rsidR="00AF1BA1">
        <w:t>twenty-six</w:t>
      </w:r>
      <w:r>
        <w:t xml:space="preserve"> people hostage including PC Trevor Locke of the Metropolitan Police’s Diplomatic Protection Group, Sim Harris a BBC sound </w:t>
      </w:r>
      <w:r w:rsidR="00AF1BA1">
        <w:t>man and the embassy staff. Thatcher made it clear from the very beginning that she would not negotiate with terrorists and that under no circumstances would the gunmen leave the United Kingdom.</w:t>
      </w:r>
      <w:r w:rsidR="009A501D">
        <w:t xml:space="preserve"> This strong </w:t>
      </w:r>
      <w:r w:rsidR="00CB709E">
        <w:t xml:space="preserve">stance against terrorism and the willingness to use force would enshrine Thatcher as the face of state response to terrorism and as a leader that terrorist organisations did not want to mess with. </w:t>
      </w:r>
      <w:r w:rsidR="001D4C3A">
        <w:t>As a result of this Siege a number of changes were made to the Governments policy on terrorism</w:t>
      </w:r>
      <w:r w:rsidR="009878BF">
        <w:rPr>
          <w:rStyle w:val="FootnoteReference"/>
        </w:rPr>
        <w:footnoteReference w:id="7"/>
      </w:r>
      <w:r w:rsidR="00940798">
        <w:t>.</w:t>
      </w:r>
      <w:r w:rsidR="001D4C3A">
        <w:t xml:space="preserve"> </w:t>
      </w:r>
    </w:p>
    <w:p w14:paraId="15886EC5" w14:textId="2E0E2CDF" w:rsidR="00CB709E" w:rsidRDefault="00CB709E" w:rsidP="005A402B"/>
    <w:p w14:paraId="70DC2E6A" w14:textId="4BB3E344" w:rsidR="00CB709E" w:rsidRDefault="00CB709E" w:rsidP="005A402B">
      <w:r>
        <w:t>Over the next six days a few hostages were released before the gunmen executed the embassy’s press attaché. In response to this Thatcher ordered Home Secretary William Whitelaw to authorise an SAS assault on the embassy (having rejected an earlier plan to allow the terrorists to board a bus to Heathrow Airport that the SAS would then attack</w:t>
      </w:r>
      <w:r w:rsidR="006273E2">
        <w:t>), she also asked that there be no smoke screen in place to block the assault from the TV cameras. As a result of this decision, millions around the world watched the assault take place on the seven o’clock news as the SAS carried out one of, if not the greatest, hostage rescues in history. The assault resulted in the rescue of all but one of the hostages and the deaths of all but one of the terrorists, no SAS members were killed although one was injured.</w:t>
      </w:r>
      <w:r w:rsidR="00CC4722">
        <w:t xml:space="preserve"> This decision to authorise the use of extreme force when an appropriate situation arose was a hallmark of Thatcher. There are many reasons in which using this amount of force would have been necessary such as the fact that the West needed a win on the counter-terrorism front</w:t>
      </w:r>
      <w:r w:rsidR="001A7D18">
        <w:t xml:space="preserve"> because it appeared that terrorism was increasing as there were multiple failed hostage recues carried out by the West in the years proceeding the siege, notable examples being the 1972 Munich Olympics Massacre and the failure of Operation Eagle Claw</w:t>
      </w:r>
      <w:r w:rsidR="00CC4722">
        <w:t xml:space="preserve"> and that a </w:t>
      </w:r>
      <w:r w:rsidR="00CC4722">
        <w:lastRenderedPageBreak/>
        <w:t>successful use of controlled force helped to establish Britain’s post-second world war military as the best in the world.</w:t>
      </w:r>
    </w:p>
    <w:p w14:paraId="5EDC8A1C" w14:textId="4DAB4384" w:rsidR="00CC4722" w:rsidRDefault="00CC4722" w:rsidP="005A402B"/>
    <w:p w14:paraId="5CC62B75" w14:textId="23D0034F" w:rsidR="00BA270A" w:rsidRDefault="00CC4722" w:rsidP="005A402B">
      <w:r>
        <w:t xml:space="preserve">Another instance of Thatcher using force without a problem and </w:t>
      </w:r>
      <w:r w:rsidR="005E78E5">
        <w:t>to</w:t>
      </w:r>
      <w:r>
        <w:t xml:space="preserve"> link with her defence policy was when Argentina invaded the Falkland Islands in the South Atlantic</w:t>
      </w:r>
      <w:r w:rsidR="005E78E5">
        <w:rPr>
          <w:rStyle w:val="FootnoteReference"/>
        </w:rPr>
        <w:footnoteReference w:id="8"/>
      </w:r>
      <w:r w:rsidR="006A09DE">
        <w:t>. The colony had previously been a relatively important anchorage in that part of the world and the population of around 2,000 was staunchly and democratically British.</w:t>
      </w:r>
      <w:r w:rsidR="00BA270A">
        <w:t xml:space="preserve"> Issues arose due to the abhorrent state of the Argentine economy under the dictatorial military junta who ruled the islands via the use of state-sponsored terrorism and death squads backed by the United States. To distract the populace from both issues they invaded the Falklands.</w:t>
      </w:r>
    </w:p>
    <w:p w14:paraId="0A76D943" w14:textId="0C799F42" w:rsidR="00BA270A" w:rsidRDefault="00BA270A" w:rsidP="005A402B"/>
    <w:p w14:paraId="3BE9555E" w14:textId="7E1BB002" w:rsidR="004C2847" w:rsidRDefault="00BA270A" w:rsidP="005A402B">
      <w:r>
        <w:t xml:space="preserve">Without much real debate it was decided that Britain would fight for the </w:t>
      </w:r>
      <w:r w:rsidR="00EC0B84">
        <w:t>Islands. In two days, a task force sailed for Argentina. Thatcher was in many ways in her element in this crisis. Her propensity for quick and decisive action served the task force well in this conflict</w:t>
      </w:r>
      <w:r w:rsidR="00CA06CC">
        <w:rPr>
          <w:rStyle w:val="FootnoteReference"/>
        </w:rPr>
        <w:footnoteReference w:id="9"/>
      </w:r>
      <w:r w:rsidR="00EC0B84">
        <w:t>. Early in the war</w:t>
      </w:r>
      <w:r w:rsidR="006B2926">
        <w:t xml:space="preserve"> Thatcher authorised the submarine HMS Conqueror to sink the Argentine flagship ARA General Belgrano</w:t>
      </w:r>
      <w:r w:rsidR="00265449">
        <w:t xml:space="preserve"> that was loaded with Exorcet missiles that were more than capable of sinking British ships that were operating around the islands.</w:t>
      </w:r>
      <w:r w:rsidR="00E444F7">
        <w:t xml:space="preserve"> In what became one of the most controversial acts of the war</w:t>
      </w:r>
      <w:r w:rsidR="00E43B38">
        <w:t xml:space="preserve"> the Belgrano was sunk and in response the Argentines attacked</w:t>
      </w:r>
      <w:r w:rsidR="00BF119C">
        <w:t xml:space="preserve"> and sunk</w:t>
      </w:r>
      <w:r w:rsidR="00E43B38">
        <w:t xml:space="preserve"> the British </w:t>
      </w:r>
      <w:r w:rsidR="00BF119C">
        <w:t>destroyer</w:t>
      </w:r>
      <w:r w:rsidR="00E43B38">
        <w:t xml:space="preserve"> HMS </w:t>
      </w:r>
      <w:r w:rsidR="00BF119C">
        <w:t>Sheffield two days after the Belgrano went down</w:t>
      </w:r>
      <w:r w:rsidR="003F6CF8">
        <w:t>. It is believed that this sinking was carried out in response to the Belgrano’s sinking</w:t>
      </w:r>
      <w:r w:rsidR="005E78E5">
        <w:rPr>
          <w:rStyle w:val="FootnoteReference"/>
        </w:rPr>
        <w:footnoteReference w:id="10"/>
      </w:r>
      <w:r w:rsidR="003F6CF8">
        <w:t>.</w:t>
      </w:r>
    </w:p>
    <w:p w14:paraId="6908E71B" w14:textId="1596E209" w:rsidR="004565BC" w:rsidRDefault="004565BC" w:rsidP="005A402B"/>
    <w:p w14:paraId="586A23F9" w14:textId="1CAE27C3" w:rsidR="004565BC" w:rsidRDefault="004565BC" w:rsidP="005A402B">
      <w:r>
        <w:t>A curious thing that can be noted about the potential causes is that the Thatcher Government had decided to withdraw the Ice Patrol Ship HMS Endurance from the Islands thereby leaving them with no naval protection as well as the decision to cut the number of frigates and destroyers that the Royal Navy possessed and agreed to sell the aircraft carrier HMS Invincible (one of only three that the Royal Navy possessed) too Australia</w:t>
      </w:r>
      <w:r w:rsidR="00FC3199">
        <w:rPr>
          <w:rStyle w:val="FootnoteReference"/>
        </w:rPr>
        <w:footnoteReference w:id="11"/>
      </w:r>
      <w:r>
        <w:t>.</w:t>
      </w:r>
    </w:p>
    <w:p w14:paraId="644ADAC0" w14:textId="26B6F448" w:rsidR="00455AEF" w:rsidRDefault="00455AEF" w:rsidP="005A402B"/>
    <w:p w14:paraId="53C643A6" w14:textId="391CDADC" w:rsidR="00455AEF" w:rsidRDefault="00455AEF" w:rsidP="005A402B">
      <w:r>
        <w:t>Another area in which Thatcher was forced to utilise force was in Northern Ireland. Thatcher’s premiership almost perfectly lined up with the bloodiest and deadliest decade of the Troubles. The civil unrest and terrorised anarchy reached a new level in the 1980’s. In the early 1980’s the Irish Republican Army (IRA) received large amounts of weapons and equipment</w:t>
      </w:r>
      <w:r w:rsidR="001636A0">
        <w:t xml:space="preserve"> as well as money</w:t>
      </w:r>
      <w:r>
        <w:t xml:space="preserve"> from </w:t>
      </w:r>
      <w:r w:rsidR="001636A0">
        <w:t>the Libyan Dictator Muammar Gaddafi as well as from the Irish Diaspora in the United States. This injection of cash and arms led to a surge in IRA attacks and bombings including thirteen hundred in one year alone.</w:t>
      </w:r>
      <w:r w:rsidR="00CF7B79">
        <w:t xml:space="preserve"> This increased violence was also marked by an increase in the organisation of the IRA as well as an increase in the complexity of their operations</w:t>
      </w:r>
      <w:r w:rsidR="00B63D92">
        <w:rPr>
          <w:rStyle w:val="FootnoteReference"/>
        </w:rPr>
        <w:footnoteReference w:id="12"/>
      </w:r>
      <w:r w:rsidR="00CF7B79">
        <w:t>.</w:t>
      </w:r>
    </w:p>
    <w:p w14:paraId="25A252FC" w14:textId="5F56601E" w:rsidR="00CF7B79" w:rsidRDefault="00CF7B79" w:rsidP="005A402B"/>
    <w:p w14:paraId="0FB23F2F" w14:textId="2C3718B5" w:rsidR="00CF7B79" w:rsidRDefault="00CF7B79" w:rsidP="005A402B">
      <w:r>
        <w:t xml:space="preserve">In response to this Thatcher authorised the security services including United Kingdom Special Forces (UKSF) which included the SAS as well as the Royal Ulster Constabulary </w:t>
      </w:r>
      <w:r>
        <w:lastRenderedPageBreak/>
        <w:t>(RUC) to begin hunting down the various nationalist terrorist cells and those who aided and supplied them.</w:t>
      </w:r>
      <w:r w:rsidR="00CA1B62">
        <w:t xml:space="preserve"> The security forces also began carrying out missions of increasing lethality. It is still debated whether the SAS was operating under a “shoot to kill” policy and even if said policy was</w:t>
      </w:r>
      <w:r w:rsidR="000F0D32">
        <w:t xml:space="preserve"> in existence whether it was</w:t>
      </w:r>
      <w:r w:rsidR="00CA1B62">
        <w:t xml:space="preserve"> official or not</w:t>
      </w:r>
      <w:r w:rsidR="003650B2">
        <w:t>.</w:t>
      </w:r>
    </w:p>
    <w:p w14:paraId="43B73C48" w14:textId="67906667" w:rsidR="00170C85" w:rsidRDefault="00170C85" w:rsidP="005A402B"/>
    <w:p w14:paraId="29B56BDD" w14:textId="64F89D7A" w:rsidR="00170C85" w:rsidRDefault="00170C85" w:rsidP="005A402B">
      <w:r>
        <w:t>An example of force being used openly during the Troubles during Thatcher’s premiership was Operation Flavius. The operation occurred on the 6</w:t>
      </w:r>
      <w:r w:rsidRPr="00170C85">
        <w:rPr>
          <w:vertAlign w:val="superscript"/>
        </w:rPr>
        <w:t>th</w:t>
      </w:r>
      <w:r>
        <w:t xml:space="preserve"> March 1988 in Gibraltar and led to the deaths of three members of the Provisional Irish Republican Army (PIRA) at the hands of undercover SAS operators.</w:t>
      </w:r>
      <w:r w:rsidR="00426E36">
        <w:t xml:space="preserve"> This incident kicked of fourteen days of violence as on the 16th March the funeral for the three IRA members was a loyalist gunman attacked the procession with pistols and grenades, killing three mourners. Then on the 19</w:t>
      </w:r>
      <w:r w:rsidR="00426E36" w:rsidRPr="00426E36">
        <w:rPr>
          <w:vertAlign w:val="superscript"/>
        </w:rPr>
        <w:t>th</w:t>
      </w:r>
      <w:r w:rsidR="00426E36">
        <w:t xml:space="preserve"> March at the funeral of one of the mourners two undercover British soldiers from the Det accidentally drove towards the procession where they were attacked and dragged from their car where they were beaten and stripped before being driven to a nearby stretch of waste ground where they were shot</w:t>
      </w:r>
      <w:r w:rsidR="00FC3199">
        <w:rPr>
          <w:rStyle w:val="FootnoteReference"/>
        </w:rPr>
        <w:footnoteReference w:id="13"/>
      </w:r>
      <w:r w:rsidR="00426E36">
        <w:t>. The latter incident was caught on camera by a British Army helicopter</w:t>
      </w:r>
      <w:r w:rsidR="003F2516">
        <w:t xml:space="preserve"> and showed the escalating violence that Thatcher had to deal with in Northern Ireland and that the use of force and extreme violence by security forces was becoming more and more necessary</w:t>
      </w:r>
      <w:r w:rsidR="003650B2">
        <w:t xml:space="preserve"> in response to these threats and the willingness of the IRA to kill effectively anyone who was against them.</w:t>
      </w:r>
    </w:p>
    <w:p w14:paraId="3D84A36B" w14:textId="247E1404" w:rsidR="00D449ED" w:rsidRDefault="00D449ED" w:rsidP="005A402B"/>
    <w:p w14:paraId="13D2B69F" w14:textId="0EE62782" w:rsidR="00D449ED" w:rsidRDefault="00D449ED" w:rsidP="005A402B">
      <w:r>
        <w:t xml:space="preserve">As mentioned earlier she also had to </w:t>
      </w:r>
      <w:r w:rsidR="00216656">
        <w:t>deal</w:t>
      </w:r>
      <w:r>
        <w:t xml:space="preserve"> with the IRA bombing of the 1984 Conservative Party Conference. This personal attack on her life may have had an influence on her decisions about how the IRA should be dealt with. It is highly likely that this incident is what led to the Operation Flavius and the earlier Loughgall Ambush in 1987 where a force of SAS operators ambushed an active IRA cell who were attempting to bomb Loughgall Barracks. During her time in Number 10 the Drumnackilly Ambush occurred when a group of a dozen SAS operators ambushed and killed three IRA members in County Tyrone in August 1988. This increasing use of force was viewed as harsh and brutal by some but was </w:t>
      </w:r>
      <w:r w:rsidR="00216656">
        <w:t>potentially</w:t>
      </w:r>
      <w:r>
        <w:t xml:space="preserve"> necessary as the anarchy that was becoming the norm in Northern Ireland had to be dealt with as well as the fact that these attacks and the responses to them sent the IRA a message that they would never forget. The message as summed up by an SAS trooper who served in Northern Ireland during the 1970’s was a clear and almost mocking reminder that the IRA in the long run were completely out of their league, the phrase “big boy games, bug boy rules” seems to have been an appropriate summary as it </w:t>
      </w:r>
      <w:r w:rsidR="0073777F">
        <w:t xml:space="preserve">showed that if terrorists like the IRA were going to resort to anarchy and terrorism then they would be met with a force that had perfected the art of deploying and utilising the systematic application of ultra-violent methods in response to the IRA’s tactics. This was a highly controversial policy that Thatcher used and from a purely military and psychological warfare point of view the right one as the Troubles were effectively a low intensity war and sadly only violence was going to force the IRA to the table. By maintaining this </w:t>
      </w:r>
      <w:r w:rsidR="001D21D8">
        <w:t>policy,</w:t>
      </w:r>
      <w:r w:rsidR="0073777F">
        <w:t xml:space="preserve"> she was shocking the IRA and instilling fear amongst their ranks as terrorists always assume that state forces have to respond with a limited use of force and were shocked when the SAS and the RUC responded with coordinated ambushes and dismantling operations that shattered whole IRA cells and inflicted a high price in men, weapons and money that the IRA even with foreign support could not afford to pay</w:t>
      </w:r>
      <w:r w:rsidR="009878BF">
        <w:rPr>
          <w:rStyle w:val="FootnoteReference"/>
        </w:rPr>
        <w:footnoteReference w:id="14"/>
      </w:r>
      <w:r w:rsidR="001D21D8">
        <w:t>.</w:t>
      </w:r>
    </w:p>
    <w:p w14:paraId="71DDACE5" w14:textId="603EC826" w:rsidR="001D21D8" w:rsidRDefault="001D21D8" w:rsidP="005A402B"/>
    <w:p w14:paraId="6391367D" w14:textId="7BD66776" w:rsidR="001D21D8" w:rsidRDefault="001D21D8" w:rsidP="005A402B">
      <w:r>
        <w:lastRenderedPageBreak/>
        <w:t xml:space="preserve">Another part of the Troubles that Thatcher supported that was controversial was the use of plain clothed soldiers, agents and RUC members to gather intelligence and in some instances eliminate threats. The deployment of the SAS, MI5 and the Det in this role was a cunning and effective move as it allowed them to move around freely and once the IRA became aware of this they started to become especially paranoid about new recruits and allegedly killed a number of </w:t>
      </w:r>
      <w:r w:rsidR="003A5976">
        <w:t>suspected informers that likely weren’t thereby causing trouble within their own ranks this was also caused by the thorough intelligence gathering and  surveillance capabilities of the units mentioned above and the ease in which they could gather the intelligence necessary to carry out these operations.</w:t>
      </w:r>
    </w:p>
    <w:p w14:paraId="6B4C1ABE" w14:textId="61AAD50C" w:rsidR="00F03483" w:rsidRDefault="00F03483" w:rsidP="005A402B"/>
    <w:p w14:paraId="71BC0818" w14:textId="6B57BC5F" w:rsidR="00F03483" w:rsidRDefault="00F03483" w:rsidP="005A402B">
      <w:r>
        <w:t>Overall, Thatcher’s views and policy towards Defence and national security was, for the most part, a consistent policy of reasonable reaction and controlled escalation. She had no problem authorising military and security operations that required extreme force</w:t>
      </w:r>
      <w:r w:rsidR="00E06C8D">
        <w:t xml:space="preserve"> to root out threats.</w:t>
      </w:r>
      <w:r w:rsidR="004565BC">
        <w:t xml:space="preserve"> She was, however, also capable of correcting an error or responding to a problem that arose due to her defence policies quickly and without hesitation. As shown by her decision to fight for the Falklands and to not give in to international pressure to cede the Islands to Argentina. The best way to describe Thatcher’s defence and national security policies is bold and is perhaps best summed up with the phrase “fighting fire with fire” as she would not hesitate to re</w:t>
      </w:r>
      <w:r w:rsidR="006A5205">
        <w:t>s</w:t>
      </w:r>
      <w:r w:rsidR="004565BC">
        <w:t>p</w:t>
      </w:r>
      <w:r w:rsidR="006A5205">
        <w:t>o</w:t>
      </w:r>
      <w:r w:rsidR="004565BC">
        <w:t xml:space="preserve">nd to a threat </w:t>
      </w:r>
      <w:r w:rsidR="006A5205">
        <w:t>with the same amount of force that those posing the threat were willing to use.</w:t>
      </w:r>
    </w:p>
    <w:p w14:paraId="1FE28532" w14:textId="501C8C3B" w:rsidR="00CA06CC" w:rsidRDefault="00CA06CC" w:rsidP="005A402B"/>
    <w:p w14:paraId="3CD96F69" w14:textId="77777777" w:rsidR="003C0801" w:rsidRDefault="003C0801" w:rsidP="005A402B"/>
    <w:p w14:paraId="4F13779A" w14:textId="77777777" w:rsidR="003C0801" w:rsidRDefault="003C0801" w:rsidP="005A402B"/>
    <w:p w14:paraId="09FF7EE7" w14:textId="77777777" w:rsidR="003C0801" w:rsidRDefault="003C0801" w:rsidP="005A402B"/>
    <w:p w14:paraId="7DC705CA" w14:textId="77777777" w:rsidR="003C0801" w:rsidRDefault="003C0801" w:rsidP="005A402B"/>
    <w:p w14:paraId="5146C7A7" w14:textId="77777777" w:rsidR="003C0801" w:rsidRDefault="003C0801" w:rsidP="005A402B"/>
    <w:p w14:paraId="21BF8A7A" w14:textId="77777777" w:rsidR="003C0801" w:rsidRDefault="003C0801" w:rsidP="005A402B"/>
    <w:p w14:paraId="7197175E" w14:textId="77777777" w:rsidR="003C0801" w:rsidRDefault="003C0801" w:rsidP="005A402B"/>
    <w:p w14:paraId="5BA6947A" w14:textId="77777777" w:rsidR="003C0801" w:rsidRDefault="003C0801" w:rsidP="005A402B"/>
    <w:p w14:paraId="71F81F01" w14:textId="77777777" w:rsidR="003C0801" w:rsidRDefault="003C0801" w:rsidP="005A402B"/>
    <w:p w14:paraId="2AA03B1F" w14:textId="77777777" w:rsidR="003C0801" w:rsidRDefault="003C0801" w:rsidP="005A402B"/>
    <w:p w14:paraId="4FD461F0" w14:textId="77777777" w:rsidR="003C0801" w:rsidRDefault="003C0801" w:rsidP="005A402B"/>
    <w:p w14:paraId="14CDC177" w14:textId="77777777" w:rsidR="003C0801" w:rsidRDefault="003C0801" w:rsidP="005A402B"/>
    <w:p w14:paraId="3BD76723" w14:textId="77777777" w:rsidR="003C0801" w:rsidRDefault="003C0801" w:rsidP="005A402B"/>
    <w:p w14:paraId="7E49FAEA" w14:textId="77777777" w:rsidR="003C0801" w:rsidRDefault="003C0801" w:rsidP="005A402B"/>
    <w:p w14:paraId="6B3C6EFA" w14:textId="77777777" w:rsidR="003C0801" w:rsidRDefault="003C0801" w:rsidP="005A402B"/>
    <w:p w14:paraId="5ADADAC1" w14:textId="77777777" w:rsidR="003C0801" w:rsidRDefault="003C0801" w:rsidP="005A402B"/>
    <w:p w14:paraId="3D4EA733" w14:textId="77777777" w:rsidR="003C0801" w:rsidRDefault="003C0801" w:rsidP="005A402B"/>
    <w:p w14:paraId="471C460A" w14:textId="77777777" w:rsidR="003C0801" w:rsidRDefault="003C0801" w:rsidP="005A402B"/>
    <w:p w14:paraId="7F0D62E5" w14:textId="77777777" w:rsidR="003C0801" w:rsidRDefault="003C0801" w:rsidP="005A402B"/>
    <w:p w14:paraId="3F7F5246" w14:textId="77777777" w:rsidR="003C0801" w:rsidRDefault="003C0801" w:rsidP="005A402B"/>
    <w:p w14:paraId="700BDC1C" w14:textId="77777777" w:rsidR="003C0801" w:rsidRDefault="003C0801" w:rsidP="005A402B"/>
    <w:p w14:paraId="5A0C96DE" w14:textId="77777777" w:rsidR="003C0801" w:rsidRDefault="003C0801" w:rsidP="005A402B"/>
    <w:p w14:paraId="3EE83712" w14:textId="77777777" w:rsidR="003C0801" w:rsidRDefault="003C0801" w:rsidP="005A402B"/>
    <w:p w14:paraId="1AF3575F" w14:textId="77777777" w:rsidR="003C0801" w:rsidRDefault="003C0801" w:rsidP="005A402B"/>
    <w:p w14:paraId="2F943CFE" w14:textId="77777777" w:rsidR="003C0801" w:rsidRDefault="003C0801" w:rsidP="005A402B"/>
    <w:p w14:paraId="1A828DA4" w14:textId="77777777" w:rsidR="003C0801" w:rsidRDefault="003C0801" w:rsidP="005A402B"/>
    <w:p w14:paraId="689D49A6" w14:textId="77777777" w:rsidR="003C0801" w:rsidRDefault="003C0801" w:rsidP="005A402B"/>
    <w:p w14:paraId="4D94DFC8" w14:textId="77777777" w:rsidR="003C0801" w:rsidRDefault="003C0801" w:rsidP="005A402B"/>
    <w:p w14:paraId="0923B205" w14:textId="77777777" w:rsidR="003C0801" w:rsidRDefault="003C0801" w:rsidP="005A402B"/>
    <w:p w14:paraId="41ABECDE" w14:textId="77777777" w:rsidR="003C0801" w:rsidRDefault="003C0801" w:rsidP="005A402B"/>
    <w:p w14:paraId="66CBA537" w14:textId="77777777" w:rsidR="003C0801" w:rsidRDefault="003C0801" w:rsidP="005A402B"/>
    <w:p w14:paraId="3FE09056" w14:textId="77777777" w:rsidR="003C0801" w:rsidRDefault="003C0801" w:rsidP="005A402B"/>
    <w:p w14:paraId="276EEC6C" w14:textId="77777777" w:rsidR="003C0801" w:rsidRDefault="003C0801" w:rsidP="005A402B"/>
    <w:p w14:paraId="30EC4B18" w14:textId="77777777" w:rsidR="003C0801" w:rsidRDefault="003C0801" w:rsidP="005A402B"/>
    <w:p w14:paraId="723C8EB2" w14:textId="6570BC14" w:rsidR="00CA06CC" w:rsidRDefault="00CA06CC" w:rsidP="005A402B">
      <w:r>
        <w:t>Bibliography</w:t>
      </w:r>
    </w:p>
    <w:p w14:paraId="2373EA1E" w14:textId="30E95964" w:rsidR="00CA06CC" w:rsidRDefault="00CA06CC" w:rsidP="005A402B"/>
    <w:p w14:paraId="73FCB6AE" w14:textId="7680C536" w:rsidR="00CA06CC" w:rsidRDefault="00CA06CC" w:rsidP="005A402B">
      <w:r>
        <w:t>Primary</w:t>
      </w:r>
    </w:p>
    <w:p w14:paraId="451AA2D3" w14:textId="76AD35D1" w:rsidR="00CA06CC" w:rsidRDefault="00CA06CC" w:rsidP="005A402B"/>
    <w:p w14:paraId="6DF69706" w14:textId="52BB912D" w:rsidR="009878BF" w:rsidRDefault="009878BF" w:rsidP="005A402B">
      <w:r>
        <w:t>Online</w:t>
      </w:r>
    </w:p>
    <w:p w14:paraId="00BD3EBF" w14:textId="62DA2FB6" w:rsidR="009878BF" w:rsidRDefault="009878BF" w:rsidP="005A402B"/>
    <w:p w14:paraId="67654D1B" w14:textId="65EEF926" w:rsidR="009878BF" w:rsidRDefault="009878BF" w:rsidP="005A402B">
      <w:r w:rsidRPr="009878BF">
        <w:t>https://assets.publishing.service.gov.uk/government/uploads/system/uploads/attachment_data/file/97976/prevent-strategy-review.pdf</w:t>
      </w:r>
    </w:p>
    <w:p w14:paraId="29ACBCF8" w14:textId="1BD91780" w:rsidR="009878BF" w:rsidRDefault="009878BF" w:rsidP="005A402B"/>
    <w:p w14:paraId="7267442B" w14:textId="21D77A7E" w:rsidR="009878BF" w:rsidRDefault="009878BF" w:rsidP="005A402B">
      <w:hyperlink r:id="rId7" w:history="1">
        <w:r w:rsidRPr="00996F27">
          <w:rPr>
            <w:rStyle w:val="Hyperlink"/>
          </w:rPr>
          <w:t>https://assets.publishing.service.gov.uk/government/uploads/system/uploads/attachment_data/file/265689/4178.pdf</w:t>
        </w:r>
      </w:hyperlink>
    </w:p>
    <w:p w14:paraId="39173D5E" w14:textId="6282FF13" w:rsidR="009878BF" w:rsidRDefault="009878BF" w:rsidP="005A402B"/>
    <w:p w14:paraId="56806ACC" w14:textId="7C096149" w:rsidR="009878BF" w:rsidRDefault="009878BF" w:rsidP="005A402B">
      <w:r w:rsidRPr="009878BF">
        <w:t>https://journals.sagepub.com/doi/pdf/10.1177/0022343313491277</w:t>
      </w:r>
    </w:p>
    <w:p w14:paraId="1BD5B4D2" w14:textId="77777777" w:rsidR="009878BF" w:rsidRDefault="009878BF" w:rsidP="005A402B"/>
    <w:p w14:paraId="5F15EC5F" w14:textId="3612FED0" w:rsidR="00CA06CC" w:rsidRDefault="00CA06CC" w:rsidP="005A402B">
      <w:r>
        <w:t>Secondary</w:t>
      </w:r>
    </w:p>
    <w:p w14:paraId="11C63347" w14:textId="7BA9E9BB" w:rsidR="00CA06CC" w:rsidRDefault="00CA06CC" w:rsidP="005A402B"/>
    <w:p w14:paraId="40789AF4" w14:textId="40456BA6" w:rsidR="00CA06CC" w:rsidRDefault="00CA06CC" w:rsidP="005A402B">
      <w:r>
        <w:t>Online</w:t>
      </w:r>
    </w:p>
    <w:p w14:paraId="423FA5BB" w14:textId="75E36853" w:rsidR="00CA06CC" w:rsidRDefault="00CA06CC" w:rsidP="005A402B"/>
    <w:p w14:paraId="30262147" w14:textId="6ACF6FD0" w:rsidR="00AB53F1" w:rsidRDefault="00AB53F1" w:rsidP="005A402B">
      <w:r>
        <w:t>Anon. 2017. “Thatcher, Baroness”, Oxford University Press, AC &amp; Black, Bloomsbury Publishing</w:t>
      </w:r>
      <w:r w:rsidR="00940798">
        <w:t>.</w:t>
      </w:r>
    </w:p>
    <w:p w14:paraId="330168E3" w14:textId="58219CB6" w:rsidR="00940798" w:rsidRDefault="00940798" w:rsidP="005A402B"/>
    <w:p w14:paraId="1C85E090" w14:textId="47B34217" w:rsidR="00940798" w:rsidRDefault="00940798" w:rsidP="005A402B">
      <w:r>
        <w:t>Beckett, C. (2006). “</w:t>
      </w:r>
      <w:r>
        <w:rPr>
          <w:i/>
          <w:iCs/>
        </w:rPr>
        <w:t>The 20 Prime Ministers of the 20</w:t>
      </w:r>
      <w:r w:rsidRPr="00940798">
        <w:rPr>
          <w:i/>
          <w:iCs/>
          <w:vertAlign w:val="superscript"/>
        </w:rPr>
        <w:t>th</w:t>
      </w:r>
      <w:r>
        <w:rPr>
          <w:i/>
          <w:iCs/>
        </w:rPr>
        <w:t xml:space="preserve"> Century”, </w:t>
      </w:r>
      <w:r>
        <w:t>p8, Haus.</w:t>
      </w:r>
    </w:p>
    <w:p w14:paraId="42FB4598" w14:textId="3CA9BEDF" w:rsidR="00FC3199" w:rsidRDefault="00FC3199" w:rsidP="005A402B"/>
    <w:p w14:paraId="570C4501" w14:textId="73760409" w:rsidR="00FC3199" w:rsidRDefault="00FC3199" w:rsidP="005A402B">
      <w:r>
        <w:rPr>
          <w:rFonts w:ascii="Arial" w:hAnsi="Arial" w:cs="Arial"/>
          <w:color w:val="202122"/>
          <w:sz w:val="19"/>
          <w:szCs w:val="19"/>
          <w:shd w:val="clear" w:color="auto" w:fill="EAF3FF"/>
        </w:rPr>
        <w:t>Bloom, Bridget; Newby, Patricia (26 February 1982). "Protest as Australia buys UK carrier".</w:t>
      </w:r>
      <w:r>
        <w:rPr>
          <w:rStyle w:val="apple-converted-space"/>
          <w:rFonts w:ascii="Arial" w:hAnsi="Arial" w:cs="Arial"/>
          <w:color w:val="202122"/>
          <w:sz w:val="19"/>
          <w:szCs w:val="19"/>
          <w:shd w:val="clear" w:color="auto" w:fill="EAF3FF"/>
        </w:rPr>
        <w:t> </w:t>
      </w:r>
      <w:r>
        <w:rPr>
          <w:rFonts w:ascii="Arial" w:hAnsi="Arial" w:cs="Arial"/>
          <w:i/>
          <w:iCs/>
          <w:color w:val="202122"/>
          <w:sz w:val="19"/>
          <w:szCs w:val="19"/>
        </w:rPr>
        <w:t>Financial Times</w:t>
      </w:r>
      <w:r>
        <w:rPr>
          <w:rFonts w:ascii="Arial" w:hAnsi="Arial" w:cs="Arial"/>
          <w:color w:val="202122"/>
          <w:sz w:val="19"/>
          <w:szCs w:val="19"/>
          <w:shd w:val="clear" w:color="auto" w:fill="EAF3FF"/>
        </w:rPr>
        <w:t>. The Financial Times Limited. p. 4.</w:t>
      </w:r>
    </w:p>
    <w:p w14:paraId="56BFD829" w14:textId="18D48EB7" w:rsidR="00940798" w:rsidRDefault="00940798" w:rsidP="005A402B"/>
    <w:p w14:paraId="2D73B296" w14:textId="3CD617FF" w:rsidR="00940798" w:rsidRDefault="00940798" w:rsidP="005A402B">
      <w:r>
        <w:t xml:space="preserve">Campbell, J. (2000) </w:t>
      </w:r>
      <w:r>
        <w:rPr>
          <w:i/>
          <w:iCs/>
        </w:rPr>
        <w:t xml:space="preserve">Margaret Thatcher: The Grocer’s Daughter, pp 38-39, </w:t>
      </w:r>
      <w:r>
        <w:t>Pimlico.</w:t>
      </w:r>
    </w:p>
    <w:p w14:paraId="7C636CAC" w14:textId="0D4CF6ED" w:rsidR="00823EB0" w:rsidRDefault="00823EB0" w:rsidP="005A402B"/>
    <w:p w14:paraId="5CA9A010" w14:textId="726E67F7" w:rsidR="00823EB0" w:rsidRDefault="00823EB0" w:rsidP="005A402B">
      <w:proofErr w:type="spellStart"/>
      <w:r>
        <w:t>Filby</w:t>
      </w:r>
      <w:proofErr w:type="spellEnd"/>
      <w:r>
        <w:t>, E. (31</w:t>
      </w:r>
      <w:r w:rsidRPr="00823EB0">
        <w:rPr>
          <w:vertAlign w:val="superscript"/>
        </w:rPr>
        <w:t>st</w:t>
      </w:r>
      <w:r>
        <w:t xml:space="preserve"> October 2015) </w:t>
      </w:r>
      <w:r w:rsidRPr="00823EB0">
        <w:rPr>
          <w:i/>
          <w:iCs/>
        </w:rPr>
        <w:t>“God and Mrs Thatcher: The Battle for Britain’s Soul”,</w:t>
      </w:r>
      <w:r>
        <w:t xml:space="preserve"> National Review.</w:t>
      </w:r>
    </w:p>
    <w:p w14:paraId="30D27F37" w14:textId="16672A6A" w:rsidR="00AB53F1" w:rsidRDefault="00AB53F1" w:rsidP="005A402B"/>
    <w:p w14:paraId="49C02FB3" w14:textId="77777777" w:rsidR="00AB53F1" w:rsidRPr="00CA06CC" w:rsidRDefault="00091CE4" w:rsidP="00AB53F1">
      <w:pPr>
        <w:rPr>
          <w:i/>
          <w:iCs/>
        </w:rPr>
      </w:pPr>
      <w:hyperlink r:id="rId8" w:anchor="CITEREFFreedman2005b" w:history="1">
        <w:r w:rsidR="00AB53F1" w:rsidRPr="00CA06CC">
          <w:rPr>
            <w:rFonts w:ascii="Arial" w:hAnsi="Arial" w:cs="Arial"/>
            <w:color w:val="0B0080"/>
            <w:sz w:val="19"/>
            <w:szCs w:val="19"/>
            <w:u w:val="single"/>
            <w:shd w:val="clear" w:color="auto" w:fill="EAF3FF"/>
          </w:rPr>
          <w:t>Freedman 2005b</w:t>
        </w:r>
      </w:hyperlink>
      <w:r w:rsidR="00AB53F1" w:rsidRPr="00CA06CC">
        <w:rPr>
          <w:rFonts w:ascii="Arial" w:hAnsi="Arial" w:cs="Arial"/>
          <w:color w:val="202122"/>
          <w:sz w:val="19"/>
          <w:szCs w:val="19"/>
          <w:shd w:val="clear" w:color="auto" w:fill="EAF3FF"/>
        </w:rPr>
        <w:t>, pp. 21–22</w:t>
      </w:r>
      <w:r w:rsidR="00AB53F1">
        <w:rPr>
          <w:rFonts w:ascii="Arial" w:hAnsi="Arial" w:cs="Arial"/>
          <w:color w:val="202122"/>
          <w:sz w:val="19"/>
          <w:szCs w:val="19"/>
          <w:shd w:val="clear" w:color="auto" w:fill="EAF3FF"/>
        </w:rPr>
        <w:t xml:space="preserve">, </w:t>
      </w:r>
      <w:r w:rsidR="00AB53F1">
        <w:rPr>
          <w:rFonts w:ascii="Arial" w:hAnsi="Arial" w:cs="Arial"/>
          <w:i/>
          <w:iCs/>
          <w:color w:val="202122"/>
          <w:sz w:val="19"/>
          <w:szCs w:val="19"/>
          <w:shd w:val="clear" w:color="auto" w:fill="EAF3FF"/>
        </w:rPr>
        <w:t>Official History of the Falklands Campaign</w:t>
      </w:r>
    </w:p>
    <w:p w14:paraId="0ED2D849" w14:textId="77777777" w:rsidR="00AB53F1" w:rsidRDefault="00AB53F1" w:rsidP="005A402B"/>
    <w:p w14:paraId="6DC658AD" w14:textId="699D1A36" w:rsidR="00AB53F1" w:rsidRDefault="00823EB0" w:rsidP="005A402B">
      <w:r>
        <w:t>Moore, C. (19</w:t>
      </w:r>
      <w:r w:rsidRPr="00823EB0">
        <w:rPr>
          <w:vertAlign w:val="superscript"/>
        </w:rPr>
        <w:t>th</w:t>
      </w:r>
      <w:r>
        <w:t xml:space="preserve"> April 2013) </w:t>
      </w:r>
      <w:r>
        <w:rPr>
          <w:i/>
          <w:iCs/>
        </w:rPr>
        <w:t xml:space="preserve">“A side of Margaret Thatcher we’ve never seen”, </w:t>
      </w:r>
      <w:r>
        <w:t>The Telegraph</w:t>
      </w:r>
    </w:p>
    <w:p w14:paraId="749740C7" w14:textId="77777777" w:rsidR="00823EB0" w:rsidRDefault="00823EB0" w:rsidP="005A402B"/>
    <w:p w14:paraId="3F783BC1" w14:textId="77777777" w:rsidR="00AB53F1" w:rsidRPr="00B63D92" w:rsidRDefault="00AB53F1" w:rsidP="00AB53F1">
      <w:pPr>
        <w:rPr>
          <w:rFonts w:ascii="Helvetica" w:hAnsi="Helvetica"/>
          <w:color w:val="000000"/>
          <w:spacing w:val="-5"/>
          <w:sz w:val="21"/>
          <w:szCs w:val="21"/>
        </w:rPr>
      </w:pPr>
      <w:r w:rsidRPr="00B63D92">
        <w:rPr>
          <w:rFonts w:ascii="Helvetica" w:hAnsi="Helvetica"/>
          <w:i/>
          <w:iCs/>
          <w:color w:val="000000"/>
          <w:spacing w:val="-5"/>
          <w:sz w:val="21"/>
          <w:szCs w:val="21"/>
        </w:rPr>
        <w:t>Perspectives on Terrorism</w:t>
      </w:r>
    </w:p>
    <w:p w14:paraId="062B2006" w14:textId="5EE4716D" w:rsidR="00AB53F1" w:rsidRDefault="00AB53F1" w:rsidP="00AB53F1">
      <w:pPr>
        <w:rPr>
          <w:rFonts w:ascii="Helvetica" w:hAnsi="Helvetica"/>
          <w:color w:val="000000"/>
          <w:spacing w:val="-5"/>
          <w:sz w:val="21"/>
          <w:szCs w:val="21"/>
        </w:rPr>
      </w:pPr>
      <w:r w:rsidRPr="00B63D92">
        <w:rPr>
          <w:rFonts w:ascii="Helvetica" w:hAnsi="Helvetica"/>
          <w:color w:val="000000"/>
          <w:spacing w:val="-5"/>
          <w:sz w:val="21"/>
          <w:szCs w:val="21"/>
        </w:rPr>
        <w:t>Vol. 10, No. 1 (February 2016), pp. 83-110 (28 pages</w:t>
      </w:r>
      <w:r>
        <w:rPr>
          <w:rFonts w:ascii="Helvetica" w:hAnsi="Helvetica"/>
          <w:color w:val="000000"/>
          <w:spacing w:val="-5"/>
          <w:sz w:val="21"/>
          <w:szCs w:val="21"/>
        </w:rPr>
        <w:t>)</w:t>
      </w:r>
    </w:p>
    <w:p w14:paraId="7CE04A72" w14:textId="4394EE2D" w:rsidR="005E78E5" w:rsidRDefault="005E78E5" w:rsidP="00AB53F1">
      <w:pPr>
        <w:rPr>
          <w:rFonts w:ascii="Helvetica" w:hAnsi="Helvetica"/>
          <w:color w:val="000000"/>
          <w:spacing w:val="-5"/>
          <w:sz w:val="21"/>
          <w:szCs w:val="21"/>
        </w:rPr>
      </w:pPr>
    </w:p>
    <w:p w14:paraId="43820A71" w14:textId="577A7207" w:rsidR="005E78E5" w:rsidRPr="005E78E5" w:rsidRDefault="005E78E5" w:rsidP="005E78E5">
      <w:pPr>
        <w:pStyle w:val="FootnoteText"/>
      </w:pPr>
      <w:r>
        <w:t xml:space="preserve">Smith, G. (1989) </w:t>
      </w:r>
      <w:r>
        <w:rPr>
          <w:i/>
          <w:iCs/>
        </w:rPr>
        <w:t xml:space="preserve">Battles of the Falklands War, </w:t>
      </w:r>
      <w:r>
        <w:t>Ian Allen.</w:t>
      </w:r>
    </w:p>
    <w:p w14:paraId="7A39CAD5" w14:textId="1627541A" w:rsidR="005E78E5" w:rsidRDefault="005E78E5" w:rsidP="00AB53F1">
      <w:pPr>
        <w:rPr>
          <w:rFonts w:ascii="Helvetica" w:hAnsi="Helvetica"/>
          <w:color w:val="000000"/>
          <w:spacing w:val="-5"/>
          <w:sz w:val="21"/>
          <w:szCs w:val="21"/>
        </w:rPr>
      </w:pPr>
    </w:p>
    <w:p w14:paraId="795978FB" w14:textId="45A5442B" w:rsidR="005E78E5" w:rsidRDefault="00091CE4" w:rsidP="005E78E5">
      <w:pPr>
        <w:rPr>
          <w:rFonts w:ascii="Segoe UI" w:hAnsi="Segoe UI" w:cs="Segoe UI"/>
          <w:color w:val="C8CCD1"/>
          <w:sz w:val="22"/>
          <w:szCs w:val="22"/>
          <w:shd w:val="clear" w:color="auto" w:fill="000000"/>
        </w:rPr>
      </w:pPr>
      <w:hyperlink r:id="rId9" w:history="1">
        <w:r w:rsidR="005E78E5">
          <w:rPr>
            <w:rStyle w:val="Hyperlink"/>
            <w:rFonts w:ascii="Segoe UI" w:hAnsi="Segoe UI" w:cs="Segoe UI"/>
            <w:color w:val="6699FF"/>
            <w:sz w:val="22"/>
            <w:szCs w:val="22"/>
            <w:bdr w:val="none" w:sz="0" w:space="0" w:color="auto" w:frame="1"/>
          </w:rPr>
          <w:t>"12 October 1984: Tory Cabinet in Brighton bomb blast"</w:t>
        </w:r>
      </w:hyperlink>
      <w:r w:rsidR="005E78E5">
        <w:rPr>
          <w:rFonts w:ascii="Segoe UI" w:hAnsi="Segoe UI" w:cs="Segoe UI"/>
          <w:color w:val="C8CCD1"/>
          <w:sz w:val="22"/>
          <w:szCs w:val="22"/>
          <w:shd w:val="clear" w:color="auto" w:fill="000000"/>
        </w:rPr>
        <w:t>.</w:t>
      </w:r>
      <w:r w:rsidR="005E78E5">
        <w:rPr>
          <w:rStyle w:val="apple-converted-space"/>
          <w:rFonts w:ascii="Segoe UI" w:hAnsi="Segoe UI" w:cs="Segoe UI"/>
          <w:color w:val="C8CCD1"/>
          <w:sz w:val="22"/>
          <w:szCs w:val="22"/>
          <w:shd w:val="clear" w:color="auto" w:fill="000000"/>
        </w:rPr>
        <w:t> </w:t>
      </w:r>
      <w:r w:rsidR="005E78E5">
        <w:rPr>
          <w:rFonts w:ascii="Segoe UI" w:hAnsi="Segoe UI" w:cs="Segoe UI"/>
          <w:i/>
          <w:iCs/>
          <w:color w:val="C8CCD1"/>
          <w:sz w:val="22"/>
          <w:szCs w:val="22"/>
          <w:bdr w:val="none" w:sz="0" w:space="0" w:color="auto" w:frame="1"/>
        </w:rPr>
        <w:t>On This Day 1950–2005</w:t>
      </w:r>
      <w:r w:rsidR="005E78E5">
        <w:rPr>
          <w:rFonts w:ascii="Segoe UI" w:hAnsi="Segoe UI" w:cs="Segoe UI"/>
          <w:color w:val="C8CCD1"/>
          <w:sz w:val="22"/>
          <w:szCs w:val="22"/>
          <w:shd w:val="clear" w:color="auto" w:fill="000000"/>
        </w:rPr>
        <w:t>. BBC News</w:t>
      </w:r>
      <w:r w:rsidR="005E78E5">
        <w:rPr>
          <w:rStyle w:val="reference-accessdate"/>
          <w:rFonts w:ascii="Segoe UI" w:hAnsi="Segoe UI" w:cs="Segoe UI"/>
          <w:color w:val="C8CCD1"/>
          <w:sz w:val="22"/>
          <w:szCs w:val="22"/>
          <w:bdr w:val="none" w:sz="0" w:space="0" w:color="auto" w:frame="1"/>
        </w:rPr>
        <w:t>. Retrieved</w:t>
      </w:r>
      <w:r w:rsidR="005E78E5">
        <w:rPr>
          <w:rStyle w:val="apple-converted-space"/>
          <w:rFonts w:ascii="Segoe UI" w:hAnsi="Segoe UI" w:cs="Segoe UI"/>
          <w:color w:val="C8CCD1"/>
          <w:sz w:val="22"/>
          <w:szCs w:val="22"/>
          <w:bdr w:val="none" w:sz="0" w:space="0" w:color="auto" w:frame="1"/>
        </w:rPr>
        <w:t> </w:t>
      </w:r>
      <w:r w:rsidR="005E78E5">
        <w:rPr>
          <w:rStyle w:val="nowrap"/>
          <w:rFonts w:ascii="inherit" w:hAnsi="inherit" w:cs="Segoe UI"/>
          <w:color w:val="C8CCD1"/>
          <w:sz w:val="22"/>
          <w:szCs w:val="22"/>
          <w:bdr w:val="none" w:sz="0" w:space="0" w:color="auto" w:frame="1"/>
        </w:rPr>
        <w:t>29 October</w:t>
      </w:r>
      <w:r w:rsidR="005E78E5">
        <w:rPr>
          <w:rStyle w:val="apple-converted-space"/>
          <w:rFonts w:ascii="Segoe UI" w:hAnsi="Segoe UI" w:cs="Segoe UI"/>
          <w:color w:val="C8CCD1"/>
          <w:sz w:val="22"/>
          <w:szCs w:val="22"/>
          <w:bdr w:val="none" w:sz="0" w:space="0" w:color="auto" w:frame="1"/>
        </w:rPr>
        <w:t> </w:t>
      </w:r>
      <w:r w:rsidR="005E78E5">
        <w:rPr>
          <w:rStyle w:val="reference-accessdate"/>
          <w:rFonts w:ascii="Segoe UI" w:hAnsi="Segoe UI" w:cs="Segoe UI"/>
          <w:color w:val="C8CCD1"/>
          <w:sz w:val="22"/>
          <w:szCs w:val="22"/>
          <w:bdr w:val="none" w:sz="0" w:space="0" w:color="auto" w:frame="1"/>
        </w:rPr>
        <w:t>2008</w:t>
      </w:r>
      <w:r w:rsidR="005E78E5">
        <w:rPr>
          <w:rFonts w:ascii="Segoe UI" w:hAnsi="Segoe UI" w:cs="Segoe UI"/>
          <w:color w:val="C8CCD1"/>
          <w:sz w:val="22"/>
          <w:szCs w:val="22"/>
          <w:shd w:val="clear" w:color="auto" w:fill="000000"/>
        </w:rPr>
        <w:t>.</w:t>
      </w:r>
    </w:p>
    <w:p w14:paraId="7034F3EB" w14:textId="3A7E7775" w:rsidR="009878BF" w:rsidRDefault="009878BF" w:rsidP="005E78E5">
      <w:pPr>
        <w:rPr>
          <w:rFonts w:ascii="Segoe UI" w:hAnsi="Segoe UI" w:cs="Segoe UI"/>
          <w:color w:val="C8CCD1"/>
          <w:sz w:val="22"/>
          <w:szCs w:val="22"/>
          <w:shd w:val="clear" w:color="auto" w:fill="000000"/>
        </w:rPr>
      </w:pPr>
    </w:p>
    <w:p w14:paraId="20B98B5D" w14:textId="34B6DDA8" w:rsidR="009878BF" w:rsidRDefault="009878BF" w:rsidP="005E78E5">
      <w:r w:rsidRPr="009878BF">
        <w:t>https://trac.syr.edu/tracreports/terrorism/169/include/terrorism.whitepaper.pdf</w:t>
      </w:r>
    </w:p>
    <w:p w14:paraId="7DD233B2" w14:textId="77777777" w:rsidR="005E78E5" w:rsidRDefault="005E78E5" w:rsidP="00AB53F1">
      <w:pPr>
        <w:rPr>
          <w:rFonts w:ascii="Helvetica" w:hAnsi="Helvetica"/>
          <w:color w:val="000000"/>
          <w:spacing w:val="-5"/>
          <w:sz w:val="21"/>
          <w:szCs w:val="21"/>
        </w:rPr>
      </w:pPr>
    </w:p>
    <w:p w14:paraId="6025E079" w14:textId="28215CC6" w:rsidR="00AB53F1" w:rsidRDefault="00AB53F1" w:rsidP="00AB53F1">
      <w:pPr>
        <w:rPr>
          <w:rFonts w:ascii="Helvetica" w:hAnsi="Helvetica"/>
          <w:color w:val="000000"/>
          <w:spacing w:val="-5"/>
          <w:sz w:val="21"/>
          <w:szCs w:val="21"/>
        </w:rPr>
      </w:pPr>
    </w:p>
    <w:p w14:paraId="22F0D11A" w14:textId="77777777" w:rsidR="00AB53F1" w:rsidRDefault="00AB53F1" w:rsidP="00AB53F1"/>
    <w:p w14:paraId="27A4998F" w14:textId="77777777" w:rsidR="00CA06CC" w:rsidRPr="005A402B" w:rsidRDefault="00CA06CC" w:rsidP="005A402B"/>
    <w:sectPr w:rsidR="00CA06CC" w:rsidRPr="005A402B" w:rsidSect="00A461BD">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AEED3F" w14:textId="77777777" w:rsidR="00091CE4" w:rsidRDefault="00091CE4" w:rsidP="00CA06CC">
      <w:r>
        <w:separator/>
      </w:r>
    </w:p>
  </w:endnote>
  <w:endnote w:type="continuationSeparator" w:id="0">
    <w:p w14:paraId="03F67A9C" w14:textId="77777777" w:rsidR="00091CE4" w:rsidRDefault="00091CE4" w:rsidP="00CA06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3BEA76" w14:textId="77777777" w:rsidR="00091CE4" w:rsidRDefault="00091CE4" w:rsidP="00CA06CC">
      <w:r>
        <w:separator/>
      </w:r>
    </w:p>
  </w:footnote>
  <w:footnote w:type="continuationSeparator" w:id="0">
    <w:p w14:paraId="2C5FC272" w14:textId="77777777" w:rsidR="00091CE4" w:rsidRDefault="00091CE4" w:rsidP="00CA06CC">
      <w:r>
        <w:continuationSeparator/>
      </w:r>
    </w:p>
  </w:footnote>
  <w:footnote w:id="1">
    <w:p w14:paraId="056AF885" w14:textId="07240B28" w:rsidR="00AB53F1" w:rsidRDefault="00AB53F1">
      <w:pPr>
        <w:pStyle w:val="FootnoteText"/>
      </w:pPr>
      <w:r>
        <w:rPr>
          <w:rStyle w:val="FootnoteReference"/>
        </w:rPr>
        <w:footnoteRef/>
      </w:r>
      <w:r>
        <w:t xml:space="preserve"> Anon. 2017. “Thatcher, Baroness”, Oxford University Press, AC &amp; Black, Bloomsbury Publishing</w:t>
      </w:r>
    </w:p>
  </w:footnote>
  <w:footnote w:id="2">
    <w:p w14:paraId="128F7939" w14:textId="08728165" w:rsidR="00AB53F1" w:rsidRPr="00940798" w:rsidRDefault="00AB53F1">
      <w:pPr>
        <w:pStyle w:val="FootnoteText"/>
      </w:pPr>
      <w:r>
        <w:rPr>
          <w:rStyle w:val="FootnoteReference"/>
        </w:rPr>
        <w:footnoteRef/>
      </w:r>
      <w:r>
        <w:t xml:space="preserve"> Cam</w:t>
      </w:r>
      <w:r w:rsidR="00940798">
        <w:t>p</w:t>
      </w:r>
      <w:r>
        <w:t>bell, J.</w:t>
      </w:r>
      <w:r w:rsidR="00940798">
        <w:t xml:space="preserve"> (2000) </w:t>
      </w:r>
      <w:r w:rsidR="00940798">
        <w:rPr>
          <w:i/>
          <w:iCs/>
        </w:rPr>
        <w:t xml:space="preserve">Margaret Thatcher: The Grocer’s Daughter, pp 38-39, </w:t>
      </w:r>
      <w:r w:rsidR="00940798">
        <w:t>Pimlico.</w:t>
      </w:r>
    </w:p>
  </w:footnote>
  <w:footnote w:id="3">
    <w:p w14:paraId="7F8FE975" w14:textId="13179012" w:rsidR="00940798" w:rsidRPr="00940798" w:rsidRDefault="00940798">
      <w:pPr>
        <w:pStyle w:val="FootnoteText"/>
      </w:pPr>
      <w:r>
        <w:rPr>
          <w:rStyle w:val="FootnoteReference"/>
        </w:rPr>
        <w:footnoteRef/>
      </w:r>
      <w:r>
        <w:t xml:space="preserve"> Beckett, C. (2006). “</w:t>
      </w:r>
      <w:r>
        <w:rPr>
          <w:i/>
          <w:iCs/>
        </w:rPr>
        <w:t>The 20 Prime Ministers of the 20</w:t>
      </w:r>
      <w:r w:rsidRPr="00940798">
        <w:rPr>
          <w:i/>
          <w:iCs/>
          <w:vertAlign w:val="superscript"/>
        </w:rPr>
        <w:t>th</w:t>
      </w:r>
      <w:r>
        <w:rPr>
          <w:i/>
          <w:iCs/>
        </w:rPr>
        <w:t xml:space="preserve"> Century”, </w:t>
      </w:r>
      <w:r>
        <w:t>p8, Haus.</w:t>
      </w:r>
    </w:p>
  </w:footnote>
  <w:footnote w:id="4">
    <w:p w14:paraId="164357B1" w14:textId="7633145B" w:rsidR="00823EB0" w:rsidRPr="00823EB0" w:rsidRDefault="00823EB0">
      <w:pPr>
        <w:pStyle w:val="FootnoteText"/>
        <w:rPr>
          <w:i/>
          <w:iCs/>
        </w:rPr>
      </w:pPr>
      <w:r>
        <w:rPr>
          <w:rStyle w:val="FootnoteReference"/>
        </w:rPr>
        <w:footnoteRef/>
      </w:r>
      <w:r>
        <w:t xml:space="preserve"> </w:t>
      </w:r>
      <w:proofErr w:type="spellStart"/>
      <w:r>
        <w:t>Filby</w:t>
      </w:r>
      <w:proofErr w:type="spellEnd"/>
      <w:r>
        <w:t>, E. (31</w:t>
      </w:r>
      <w:r w:rsidRPr="00823EB0">
        <w:rPr>
          <w:vertAlign w:val="superscript"/>
        </w:rPr>
        <w:t>st</w:t>
      </w:r>
      <w:r>
        <w:t xml:space="preserve"> October 2015) </w:t>
      </w:r>
      <w:r w:rsidRPr="00823EB0">
        <w:rPr>
          <w:i/>
          <w:iCs/>
        </w:rPr>
        <w:t>“God and Mrs Thatcher: The Battle for Britain’s Soul”,</w:t>
      </w:r>
      <w:r>
        <w:t xml:space="preserve"> National Review.</w:t>
      </w:r>
    </w:p>
  </w:footnote>
  <w:footnote w:id="5">
    <w:p w14:paraId="1C3CDBF0" w14:textId="7CC3F92A" w:rsidR="00823EB0" w:rsidRPr="00823EB0" w:rsidRDefault="00823EB0">
      <w:pPr>
        <w:pStyle w:val="FootnoteText"/>
      </w:pPr>
      <w:r>
        <w:rPr>
          <w:rStyle w:val="FootnoteReference"/>
        </w:rPr>
        <w:footnoteRef/>
      </w:r>
      <w:r>
        <w:t xml:space="preserve"> Moore, C. (19</w:t>
      </w:r>
      <w:r w:rsidRPr="00823EB0">
        <w:rPr>
          <w:vertAlign w:val="superscript"/>
        </w:rPr>
        <w:t>th</w:t>
      </w:r>
      <w:r>
        <w:t xml:space="preserve"> April 2013) </w:t>
      </w:r>
      <w:r>
        <w:rPr>
          <w:i/>
          <w:iCs/>
        </w:rPr>
        <w:t xml:space="preserve">“A side of Margaret Thatcher we’ve never seen”, </w:t>
      </w:r>
      <w:r>
        <w:t>The Telegraph.</w:t>
      </w:r>
    </w:p>
  </w:footnote>
  <w:footnote w:id="6">
    <w:p w14:paraId="4FCA2D74" w14:textId="77777777" w:rsidR="00CA5CCC" w:rsidRPr="00CA5CCC" w:rsidRDefault="00CA5CCC" w:rsidP="00CA5CCC">
      <w:r>
        <w:rPr>
          <w:rStyle w:val="FootnoteReference"/>
        </w:rPr>
        <w:footnoteRef/>
      </w:r>
      <w:r>
        <w:t xml:space="preserve"> </w:t>
      </w:r>
      <w:hyperlink r:id="rId1" w:history="1">
        <w:r w:rsidRPr="00CA5CCC">
          <w:rPr>
            <w:rFonts w:ascii="Segoe UI" w:hAnsi="Segoe UI" w:cs="Segoe UI"/>
            <w:color w:val="6699FF"/>
            <w:sz w:val="22"/>
            <w:szCs w:val="22"/>
            <w:u w:val="single"/>
            <w:bdr w:val="none" w:sz="0" w:space="0" w:color="auto" w:frame="1"/>
          </w:rPr>
          <w:t>"12 October 1984: Tory Cabinet in Brighton bomb blast"</w:t>
        </w:r>
      </w:hyperlink>
      <w:r w:rsidRPr="00CA5CCC">
        <w:rPr>
          <w:rFonts w:ascii="Segoe UI" w:hAnsi="Segoe UI" w:cs="Segoe UI"/>
          <w:color w:val="C8CCD1"/>
          <w:sz w:val="22"/>
          <w:szCs w:val="22"/>
          <w:shd w:val="clear" w:color="auto" w:fill="000000"/>
        </w:rPr>
        <w:t>. </w:t>
      </w:r>
      <w:r w:rsidRPr="00CA5CCC">
        <w:rPr>
          <w:rFonts w:ascii="Segoe UI" w:hAnsi="Segoe UI" w:cs="Segoe UI"/>
          <w:i/>
          <w:iCs/>
          <w:color w:val="C8CCD1"/>
          <w:sz w:val="22"/>
          <w:szCs w:val="22"/>
          <w:bdr w:val="none" w:sz="0" w:space="0" w:color="auto" w:frame="1"/>
        </w:rPr>
        <w:t>On This Day 1950–2005</w:t>
      </w:r>
      <w:r w:rsidRPr="00CA5CCC">
        <w:rPr>
          <w:rFonts w:ascii="Segoe UI" w:hAnsi="Segoe UI" w:cs="Segoe UI"/>
          <w:color w:val="C8CCD1"/>
          <w:sz w:val="22"/>
          <w:szCs w:val="22"/>
          <w:shd w:val="clear" w:color="auto" w:fill="000000"/>
        </w:rPr>
        <w:t>. BBC News</w:t>
      </w:r>
      <w:r w:rsidRPr="00CA5CCC">
        <w:rPr>
          <w:rFonts w:ascii="Segoe UI" w:hAnsi="Segoe UI" w:cs="Segoe UI"/>
          <w:color w:val="C8CCD1"/>
          <w:sz w:val="22"/>
          <w:szCs w:val="22"/>
          <w:bdr w:val="none" w:sz="0" w:space="0" w:color="auto" w:frame="1"/>
        </w:rPr>
        <w:t>. Retrieved </w:t>
      </w:r>
      <w:r w:rsidRPr="00CA5CCC">
        <w:rPr>
          <w:rFonts w:ascii="inherit" w:hAnsi="inherit" w:cs="Segoe UI"/>
          <w:color w:val="C8CCD1"/>
          <w:sz w:val="22"/>
          <w:szCs w:val="22"/>
          <w:bdr w:val="none" w:sz="0" w:space="0" w:color="auto" w:frame="1"/>
        </w:rPr>
        <w:t>29 October</w:t>
      </w:r>
      <w:r w:rsidRPr="00CA5CCC">
        <w:rPr>
          <w:rFonts w:ascii="Segoe UI" w:hAnsi="Segoe UI" w:cs="Segoe UI"/>
          <w:color w:val="C8CCD1"/>
          <w:sz w:val="22"/>
          <w:szCs w:val="22"/>
          <w:bdr w:val="none" w:sz="0" w:space="0" w:color="auto" w:frame="1"/>
        </w:rPr>
        <w:t> 2008</w:t>
      </w:r>
      <w:r w:rsidRPr="00CA5CCC">
        <w:rPr>
          <w:rFonts w:ascii="Segoe UI" w:hAnsi="Segoe UI" w:cs="Segoe UI"/>
          <w:color w:val="C8CCD1"/>
          <w:sz w:val="22"/>
          <w:szCs w:val="22"/>
          <w:shd w:val="clear" w:color="auto" w:fill="000000"/>
        </w:rPr>
        <w:t>.</w:t>
      </w:r>
    </w:p>
    <w:p w14:paraId="7220E7A9" w14:textId="1A3E949C" w:rsidR="00CA5CCC" w:rsidRDefault="00CA5CCC">
      <w:pPr>
        <w:pStyle w:val="FootnoteText"/>
      </w:pPr>
    </w:p>
  </w:footnote>
  <w:footnote w:id="7">
    <w:p w14:paraId="0AB809DA" w14:textId="4A8F4DEC" w:rsidR="009878BF" w:rsidRDefault="009878BF">
      <w:pPr>
        <w:pStyle w:val="FootnoteText"/>
      </w:pPr>
      <w:r>
        <w:rPr>
          <w:rStyle w:val="FootnoteReference"/>
        </w:rPr>
        <w:footnoteRef/>
      </w:r>
      <w:r>
        <w:t xml:space="preserve"> </w:t>
      </w:r>
      <w:r w:rsidRPr="009878BF">
        <w:t>https://assets.publishing.service.gov.uk/government/uploads/system/uploads/attachment_data/file/97976/prevent-strategy-review.pdf</w:t>
      </w:r>
    </w:p>
  </w:footnote>
  <w:footnote w:id="8">
    <w:p w14:paraId="63A85CBF" w14:textId="5585FE99" w:rsidR="005E78E5" w:rsidRPr="005E78E5" w:rsidRDefault="005E78E5">
      <w:pPr>
        <w:pStyle w:val="FootnoteText"/>
      </w:pPr>
      <w:r>
        <w:rPr>
          <w:rStyle w:val="FootnoteReference"/>
        </w:rPr>
        <w:footnoteRef/>
      </w:r>
      <w:r>
        <w:t xml:space="preserve"> Smith, G. (1989) </w:t>
      </w:r>
      <w:r>
        <w:rPr>
          <w:i/>
          <w:iCs/>
        </w:rPr>
        <w:t xml:space="preserve">Battles of the Falklands War, </w:t>
      </w:r>
      <w:r>
        <w:t>Ian Allen.</w:t>
      </w:r>
    </w:p>
  </w:footnote>
  <w:footnote w:id="9">
    <w:p w14:paraId="56C7ECB6" w14:textId="75C5D813" w:rsidR="00CA06CC" w:rsidRPr="00CA06CC" w:rsidRDefault="00CA06CC" w:rsidP="00CA06CC">
      <w:pPr>
        <w:rPr>
          <w:i/>
          <w:iCs/>
        </w:rPr>
      </w:pPr>
      <w:r>
        <w:rPr>
          <w:rStyle w:val="FootnoteReference"/>
        </w:rPr>
        <w:footnoteRef/>
      </w:r>
      <w:r>
        <w:t xml:space="preserve"> </w:t>
      </w:r>
      <w:r w:rsidRPr="00CA06CC">
        <w:rPr>
          <w:rFonts w:ascii="Arial" w:hAnsi="Arial" w:cs="Arial"/>
          <w:color w:val="202122"/>
          <w:sz w:val="19"/>
          <w:szCs w:val="19"/>
          <w:shd w:val="clear" w:color="auto" w:fill="EAF3FF"/>
        </w:rPr>
        <w:t> </w:t>
      </w:r>
      <w:hyperlink r:id="rId2" w:anchor="CITEREFFreedman2005b" w:history="1">
        <w:r w:rsidRPr="00CA06CC">
          <w:rPr>
            <w:rFonts w:ascii="Arial" w:hAnsi="Arial" w:cs="Arial"/>
            <w:color w:val="0B0080"/>
            <w:sz w:val="19"/>
            <w:szCs w:val="19"/>
            <w:u w:val="single"/>
            <w:shd w:val="clear" w:color="auto" w:fill="EAF3FF"/>
          </w:rPr>
          <w:t>Freedman 2005b</w:t>
        </w:r>
      </w:hyperlink>
      <w:r w:rsidRPr="00CA06CC">
        <w:rPr>
          <w:rFonts w:ascii="Arial" w:hAnsi="Arial" w:cs="Arial"/>
          <w:color w:val="202122"/>
          <w:sz w:val="19"/>
          <w:szCs w:val="19"/>
          <w:shd w:val="clear" w:color="auto" w:fill="EAF3FF"/>
        </w:rPr>
        <w:t>, pp. 21–22</w:t>
      </w:r>
      <w:r>
        <w:rPr>
          <w:rFonts w:ascii="Arial" w:hAnsi="Arial" w:cs="Arial"/>
          <w:color w:val="202122"/>
          <w:sz w:val="19"/>
          <w:szCs w:val="19"/>
          <w:shd w:val="clear" w:color="auto" w:fill="EAF3FF"/>
        </w:rPr>
        <w:t xml:space="preserve">, </w:t>
      </w:r>
      <w:r>
        <w:rPr>
          <w:rFonts w:ascii="Arial" w:hAnsi="Arial" w:cs="Arial"/>
          <w:i/>
          <w:iCs/>
          <w:color w:val="202122"/>
          <w:sz w:val="19"/>
          <w:szCs w:val="19"/>
          <w:shd w:val="clear" w:color="auto" w:fill="EAF3FF"/>
        </w:rPr>
        <w:t>Official History of the Falklands Campaign</w:t>
      </w:r>
    </w:p>
    <w:p w14:paraId="75E8BEA6" w14:textId="4ED0EC37" w:rsidR="00CA06CC" w:rsidRPr="00CA06CC" w:rsidRDefault="00CA06CC" w:rsidP="00CA06CC"/>
    <w:p w14:paraId="1FED5CA1" w14:textId="7CE6E9F3" w:rsidR="00CA06CC" w:rsidRDefault="00CA06CC">
      <w:pPr>
        <w:pStyle w:val="FootnoteText"/>
      </w:pPr>
    </w:p>
  </w:footnote>
  <w:footnote w:id="10">
    <w:p w14:paraId="073C336B" w14:textId="4ADF3F9B" w:rsidR="005E78E5" w:rsidRPr="004A097E" w:rsidRDefault="005E78E5">
      <w:pPr>
        <w:pStyle w:val="FootnoteText"/>
      </w:pPr>
      <w:r>
        <w:rPr>
          <w:rStyle w:val="FootnoteReference"/>
        </w:rPr>
        <w:footnoteRef/>
      </w:r>
      <w:r>
        <w:t xml:space="preserve"> Evans, Michael (15</w:t>
      </w:r>
      <w:r w:rsidRPr="005E78E5">
        <w:rPr>
          <w:vertAlign w:val="superscript"/>
        </w:rPr>
        <w:t>th</w:t>
      </w:r>
      <w:r>
        <w:t xml:space="preserve"> June 2007). </w:t>
      </w:r>
      <w:r>
        <w:rPr>
          <w:i/>
          <w:iCs/>
        </w:rPr>
        <w:t>The Falklands: 25 Years since the Iron Lady won her war</w:t>
      </w:r>
      <w:r w:rsidR="004A097E">
        <w:rPr>
          <w:i/>
          <w:iCs/>
        </w:rPr>
        <w:t xml:space="preserve">”, </w:t>
      </w:r>
      <w:r w:rsidR="004A097E">
        <w:t>The Times.</w:t>
      </w:r>
    </w:p>
  </w:footnote>
  <w:footnote w:id="11">
    <w:p w14:paraId="00687D37" w14:textId="77777777" w:rsidR="00FC3199" w:rsidRDefault="00FC3199" w:rsidP="00FC3199">
      <w:r>
        <w:rPr>
          <w:rStyle w:val="FootnoteReference"/>
        </w:rPr>
        <w:footnoteRef/>
      </w:r>
      <w:r>
        <w:t xml:space="preserve"> </w:t>
      </w:r>
      <w:r>
        <w:rPr>
          <w:rFonts w:ascii="Arial" w:hAnsi="Arial" w:cs="Arial"/>
          <w:color w:val="202122"/>
          <w:sz w:val="19"/>
          <w:szCs w:val="19"/>
          <w:shd w:val="clear" w:color="auto" w:fill="EAF3FF"/>
        </w:rPr>
        <w:t>Bloom, Bridget; Newby, Patricia (26 February 1982). "Protest as Australia buys UK carrier".</w:t>
      </w:r>
      <w:r>
        <w:rPr>
          <w:rStyle w:val="apple-converted-space"/>
          <w:rFonts w:ascii="Arial" w:hAnsi="Arial" w:cs="Arial"/>
          <w:color w:val="202122"/>
          <w:sz w:val="19"/>
          <w:szCs w:val="19"/>
          <w:shd w:val="clear" w:color="auto" w:fill="EAF3FF"/>
        </w:rPr>
        <w:t> </w:t>
      </w:r>
      <w:r>
        <w:rPr>
          <w:rFonts w:ascii="Arial" w:hAnsi="Arial" w:cs="Arial"/>
          <w:i/>
          <w:iCs/>
          <w:color w:val="202122"/>
          <w:sz w:val="19"/>
          <w:szCs w:val="19"/>
        </w:rPr>
        <w:t>Financial Times</w:t>
      </w:r>
      <w:r>
        <w:rPr>
          <w:rFonts w:ascii="Arial" w:hAnsi="Arial" w:cs="Arial"/>
          <w:color w:val="202122"/>
          <w:sz w:val="19"/>
          <w:szCs w:val="19"/>
          <w:shd w:val="clear" w:color="auto" w:fill="EAF3FF"/>
        </w:rPr>
        <w:t>. The Financial Times Limited. p. 4.</w:t>
      </w:r>
    </w:p>
    <w:p w14:paraId="603828EC" w14:textId="4398604D" w:rsidR="00FC3199" w:rsidRDefault="00FC3199">
      <w:pPr>
        <w:pStyle w:val="FootnoteText"/>
      </w:pPr>
    </w:p>
  </w:footnote>
  <w:footnote w:id="12">
    <w:p w14:paraId="6CB6B5EE" w14:textId="77777777" w:rsidR="00B63D92" w:rsidRPr="00B63D92" w:rsidRDefault="00B63D92" w:rsidP="00B63D92">
      <w:pPr>
        <w:rPr>
          <w:rFonts w:ascii="Helvetica" w:hAnsi="Helvetica"/>
          <w:color w:val="000000"/>
          <w:spacing w:val="-5"/>
          <w:sz w:val="21"/>
          <w:szCs w:val="21"/>
        </w:rPr>
      </w:pPr>
      <w:r>
        <w:rPr>
          <w:rStyle w:val="FootnoteReference"/>
        </w:rPr>
        <w:footnoteRef/>
      </w:r>
      <w:r>
        <w:t xml:space="preserve"> </w:t>
      </w:r>
      <w:r w:rsidRPr="00B63D92">
        <w:rPr>
          <w:rFonts w:ascii="Helvetica" w:hAnsi="Helvetica"/>
          <w:i/>
          <w:iCs/>
          <w:color w:val="000000"/>
          <w:spacing w:val="-5"/>
          <w:sz w:val="21"/>
          <w:szCs w:val="21"/>
        </w:rPr>
        <w:t>Perspectives on Terrorism</w:t>
      </w:r>
    </w:p>
    <w:p w14:paraId="386E5017" w14:textId="77777777" w:rsidR="00B63D92" w:rsidRPr="00B63D92" w:rsidRDefault="00B63D92" w:rsidP="00B63D92">
      <w:pPr>
        <w:rPr>
          <w:rFonts w:ascii="Helvetica" w:hAnsi="Helvetica"/>
          <w:color w:val="000000"/>
          <w:spacing w:val="-5"/>
          <w:sz w:val="21"/>
          <w:szCs w:val="21"/>
        </w:rPr>
      </w:pPr>
      <w:r w:rsidRPr="00B63D92">
        <w:rPr>
          <w:rFonts w:ascii="Helvetica" w:hAnsi="Helvetica"/>
          <w:color w:val="000000"/>
          <w:spacing w:val="-5"/>
          <w:sz w:val="21"/>
          <w:szCs w:val="21"/>
        </w:rPr>
        <w:t>Vol. 10, No. 1 (February 2016), pp. 83-110 (28 pages)</w:t>
      </w:r>
    </w:p>
    <w:p w14:paraId="2305094F" w14:textId="7B035A18" w:rsidR="00B63D92" w:rsidRDefault="00B63D92">
      <w:pPr>
        <w:pStyle w:val="FootnoteText"/>
      </w:pPr>
    </w:p>
  </w:footnote>
  <w:footnote w:id="13">
    <w:p w14:paraId="30BE4B28" w14:textId="3C8A3208" w:rsidR="00FC3199" w:rsidRPr="00FC3199" w:rsidRDefault="00FC3199">
      <w:pPr>
        <w:pStyle w:val="FootnoteText"/>
      </w:pPr>
      <w:r>
        <w:rPr>
          <w:rStyle w:val="FootnoteReference"/>
        </w:rPr>
        <w:footnoteRef/>
      </w:r>
      <w:r>
        <w:t xml:space="preserve"> Coogan, Tim Pat (2002): </w:t>
      </w:r>
      <w:r>
        <w:rPr>
          <w:i/>
          <w:iCs/>
        </w:rPr>
        <w:t xml:space="preserve">The Troubles: Ireland’s Ordeal and the Search for Peace, </w:t>
      </w:r>
      <w:r>
        <w:t xml:space="preserve">Palgrave </w:t>
      </w:r>
      <w:proofErr w:type="spellStart"/>
      <w:r>
        <w:t>MacMillian</w:t>
      </w:r>
      <w:proofErr w:type="spellEnd"/>
      <w:r>
        <w:t>.</w:t>
      </w:r>
    </w:p>
  </w:footnote>
  <w:footnote w:id="14">
    <w:p w14:paraId="2E864E9D" w14:textId="591CEC62" w:rsidR="009878BF" w:rsidRDefault="009878BF">
      <w:pPr>
        <w:pStyle w:val="FootnoteText"/>
      </w:pPr>
      <w:r>
        <w:rPr>
          <w:rStyle w:val="FootnoteReference"/>
        </w:rPr>
        <w:footnoteRef/>
      </w:r>
      <w:r>
        <w:t xml:space="preserve"> </w:t>
      </w:r>
      <w:r w:rsidRPr="009878BF">
        <w:t>https://trac.syr.edu/tracreports/terrorism/169/include/terrorism.whitepaper.pdf</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02B"/>
    <w:rsid w:val="00091CE4"/>
    <w:rsid w:val="000F0D32"/>
    <w:rsid w:val="001636A0"/>
    <w:rsid w:val="00170C85"/>
    <w:rsid w:val="001A5E27"/>
    <w:rsid w:val="001A7D18"/>
    <w:rsid w:val="001D21D8"/>
    <w:rsid w:val="001D3D0A"/>
    <w:rsid w:val="001D4C3A"/>
    <w:rsid w:val="002004DC"/>
    <w:rsid w:val="00216656"/>
    <w:rsid w:val="00265449"/>
    <w:rsid w:val="00282C2F"/>
    <w:rsid w:val="002E12BC"/>
    <w:rsid w:val="003650B2"/>
    <w:rsid w:val="003A5976"/>
    <w:rsid w:val="003C0801"/>
    <w:rsid w:val="003F2516"/>
    <w:rsid w:val="003F6CF8"/>
    <w:rsid w:val="00426E36"/>
    <w:rsid w:val="00455AEF"/>
    <w:rsid w:val="004565BC"/>
    <w:rsid w:val="004A097E"/>
    <w:rsid w:val="004C2847"/>
    <w:rsid w:val="00546F8E"/>
    <w:rsid w:val="005A402B"/>
    <w:rsid w:val="005E78E5"/>
    <w:rsid w:val="006273E2"/>
    <w:rsid w:val="006358D5"/>
    <w:rsid w:val="006A09DE"/>
    <w:rsid w:val="006A5205"/>
    <w:rsid w:val="006A6326"/>
    <w:rsid w:val="006B2926"/>
    <w:rsid w:val="0073777F"/>
    <w:rsid w:val="007531E4"/>
    <w:rsid w:val="00762F6C"/>
    <w:rsid w:val="00775F47"/>
    <w:rsid w:val="00823EB0"/>
    <w:rsid w:val="008401EC"/>
    <w:rsid w:val="00913F05"/>
    <w:rsid w:val="00940798"/>
    <w:rsid w:val="00953350"/>
    <w:rsid w:val="009878BF"/>
    <w:rsid w:val="009A501D"/>
    <w:rsid w:val="00A461BD"/>
    <w:rsid w:val="00AB53F1"/>
    <w:rsid w:val="00AF1BA1"/>
    <w:rsid w:val="00B63D92"/>
    <w:rsid w:val="00BA270A"/>
    <w:rsid w:val="00BB535F"/>
    <w:rsid w:val="00BF119C"/>
    <w:rsid w:val="00C11B1A"/>
    <w:rsid w:val="00C13E9D"/>
    <w:rsid w:val="00C32783"/>
    <w:rsid w:val="00CA06CC"/>
    <w:rsid w:val="00CA1B62"/>
    <w:rsid w:val="00CA5CCC"/>
    <w:rsid w:val="00CB709E"/>
    <w:rsid w:val="00CC4722"/>
    <w:rsid w:val="00CF7B79"/>
    <w:rsid w:val="00D14A75"/>
    <w:rsid w:val="00D449ED"/>
    <w:rsid w:val="00E06C8D"/>
    <w:rsid w:val="00E43B38"/>
    <w:rsid w:val="00E444F7"/>
    <w:rsid w:val="00E82F07"/>
    <w:rsid w:val="00EC0B84"/>
    <w:rsid w:val="00F03483"/>
    <w:rsid w:val="00FA3A16"/>
    <w:rsid w:val="00FC3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0A0302"/>
  <w14:defaultImageDpi w14:val="32767"/>
  <w15:chartTrackingRefBased/>
  <w15:docId w15:val="{E8110CB2-E366-6342-8FF3-95A218375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FC319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CA06CC"/>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rsid w:val="00CA06CC"/>
    <w:rPr>
      <w:sz w:val="20"/>
      <w:szCs w:val="20"/>
    </w:rPr>
  </w:style>
  <w:style w:type="character" w:styleId="FootnoteReference">
    <w:name w:val="footnote reference"/>
    <w:basedOn w:val="DefaultParagraphFont"/>
    <w:uiPriority w:val="99"/>
    <w:semiHidden/>
    <w:unhideWhenUsed/>
    <w:rsid w:val="00CA06CC"/>
    <w:rPr>
      <w:vertAlign w:val="superscript"/>
    </w:rPr>
  </w:style>
  <w:style w:type="character" w:customStyle="1" w:styleId="apple-converted-space">
    <w:name w:val="apple-converted-space"/>
    <w:basedOn w:val="DefaultParagraphFont"/>
    <w:rsid w:val="00CA06CC"/>
  </w:style>
  <w:style w:type="character" w:customStyle="1" w:styleId="reference-text">
    <w:name w:val="reference-text"/>
    <w:basedOn w:val="DefaultParagraphFont"/>
    <w:rsid w:val="00CA06CC"/>
  </w:style>
  <w:style w:type="character" w:styleId="Hyperlink">
    <w:name w:val="Hyperlink"/>
    <w:basedOn w:val="DefaultParagraphFont"/>
    <w:uiPriority w:val="99"/>
    <w:unhideWhenUsed/>
    <w:rsid w:val="00CA06CC"/>
    <w:rPr>
      <w:color w:val="0000FF"/>
      <w:u w:val="single"/>
    </w:rPr>
  </w:style>
  <w:style w:type="character" w:styleId="HTMLCite">
    <w:name w:val="HTML Cite"/>
    <w:basedOn w:val="DefaultParagraphFont"/>
    <w:uiPriority w:val="99"/>
    <w:semiHidden/>
    <w:unhideWhenUsed/>
    <w:rsid w:val="00B63D92"/>
    <w:rPr>
      <w:i/>
      <w:iCs/>
    </w:rPr>
  </w:style>
  <w:style w:type="character" w:customStyle="1" w:styleId="reference-accessdate">
    <w:name w:val="reference-accessdate"/>
    <w:basedOn w:val="DefaultParagraphFont"/>
    <w:rsid w:val="00CA5CCC"/>
  </w:style>
  <w:style w:type="character" w:customStyle="1" w:styleId="nowrap">
    <w:name w:val="nowrap"/>
    <w:basedOn w:val="DefaultParagraphFont"/>
    <w:rsid w:val="00CA5CCC"/>
  </w:style>
  <w:style w:type="character" w:styleId="UnresolvedMention">
    <w:name w:val="Unresolved Mention"/>
    <w:basedOn w:val="DefaultParagraphFont"/>
    <w:uiPriority w:val="99"/>
    <w:rsid w:val="009878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995216">
      <w:bodyDiv w:val="1"/>
      <w:marLeft w:val="0"/>
      <w:marRight w:val="0"/>
      <w:marTop w:val="0"/>
      <w:marBottom w:val="0"/>
      <w:divBdr>
        <w:top w:val="none" w:sz="0" w:space="0" w:color="auto"/>
        <w:left w:val="none" w:sz="0" w:space="0" w:color="auto"/>
        <w:bottom w:val="none" w:sz="0" w:space="0" w:color="auto"/>
        <w:right w:val="none" w:sz="0" w:space="0" w:color="auto"/>
      </w:divBdr>
      <w:divsChild>
        <w:div w:id="1283540356">
          <w:marLeft w:val="0"/>
          <w:marRight w:val="0"/>
          <w:marTop w:val="0"/>
          <w:marBottom w:val="0"/>
          <w:divBdr>
            <w:top w:val="none" w:sz="0" w:space="0" w:color="auto"/>
            <w:left w:val="none" w:sz="0" w:space="0" w:color="auto"/>
            <w:bottom w:val="none" w:sz="0" w:space="0" w:color="auto"/>
            <w:right w:val="none" w:sz="0" w:space="0" w:color="auto"/>
          </w:divBdr>
        </w:div>
        <w:div w:id="397364566">
          <w:marLeft w:val="0"/>
          <w:marRight w:val="0"/>
          <w:marTop w:val="0"/>
          <w:marBottom w:val="0"/>
          <w:divBdr>
            <w:top w:val="none" w:sz="0" w:space="0" w:color="auto"/>
            <w:left w:val="none" w:sz="0" w:space="0" w:color="auto"/>
            <w:bottom w:val="none" w:sz="0" w:space="0" w:color="auto"/>
            <w:right w:val="none" w:sz="0" w:space="0" w:color="auto"/>
          </w:divBdr>
          <w:divsChild>
            <w:div w:id="1928421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09864">
      <w:bodyDiv w:val="1"/>
      <w:marLeft w:val="0"/>
      <w:marRight w:val="0"/>
      <w:marTop w:val="0"/>
      <w:marBottom w:val="0"/>
      <w:divBdr>
        <w:top w:val="none" w:sz="0" w:space="0" w:color="auto"/>
        <w:left w:val="none" w:sz="0" w:space="0" w:color="auto"/>
        <w:bottom w:val="none" w:sz="0" w:space="0" w:color="auto"/>
        <w:right w:val="none" w:sz="0" w:space="0" w:color="auto"/>
      </w:divBdr>
    </w:div>
    <w:div w:id="145248620">
      <w:bodyDiv w:val="1"/>
      <w:marLeft w:val="0"/>
      <w:marRight w:val="0"/>
      <w:marTop w:val="0"/>
      <w:marBottom w:val="0"/>
      <w:divBdr>
        <w:top w:val="none" w:sz="0" w:space="0" w:color="auto"/>
        <w:left w:val="none" w:sz="0" w:space="0" w:color="auto"/>
        <w:bottom w:val="none" w:sz="0" w:space="0" w:color="auto"/>
        <w:right w:val="none" w:sz="0" w:space="0" w:color="auto"/>
      </w:divBdr>
    </w:div>
    <w:div w:id="159781996">
      <w:bodyDiv w:val="1"/>
      <w:marLeft w:val="0"/>
      <w:marRight w:val="0"/>
      <w:marTop w:val="0"/>
      <w:marBottom w:val="0"/>
      <w:divBdr>
        <w:top w:val="none" w:sz="0" w:space="0" w:color="auto"/>
        <w:left w:val="none" w:sz="0" w:space="0" w:color="auto"/>
        <w:bottom w:val="none" w:sz="0" w:space="0" w:color="auto"/>
        <w:right w:val="none" w:sz="0" w:space="0" w:color="auto"/>
      </w:divBdr>
    </w:div>
    <w:div w:id="206722745">
      <w:bodyDiv w:val="1"/>
      <w:marLeft w:val="0"/>
      <w:marRight w:val="0"/>
      <w:marTop w:val="0"/>
      <w:marBottom w:val="0"/>
      <w:divBdr>
        <w:top w:val="none" w:sz="0" w:space="0" w:color="auto"/>
        <w:left w:val="none" w:sz="0" w:space="0" w:color="auto"/>
        <w:bottom w:val="none" w:sz="0" w:space="0" w:color="auto"/>
        <w:right w:val="none" w:sz="0" w:space="0" w:color="auto"/>
      </w:divBdr>
    </w:div>
    <w:div w:id="760108487">
      <w:bodyDiv w:val="1"/>
      <w:marLeft w:val="0"/>
      <w:marRight w:val="0"/>
      <w:marTop w:val="0"/>
      <w:marBottom w:val="0"/>
      <w:divBdr>
        <w:top w:val="none" w:sz="0" w:space="0" w:color="auto"/>
        <w:left w:val="none" w:sz="0" w:space="0" w:color="auto"/>
        <w:bottom w:val="none" w:sz="0" w:space="0" w:color="auto"/>
        <w:right w:val="none" w:sz="0" w:space="0" w:color="auto"/>
      </w:divBdr>
    </w:div>
    <w:div w:id="1124618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Falklands_War" TargetMode="Externa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265689/4178.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news.bbc.co.uk/onthisday/hi/dates/stories/october/12/newsid_2531000/2531583.stm"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en.wikipedia.org/wiki/Falklands_War" TargetMode="External"/><Relationship Id="rId1" Type="http://schemas.openxmlformats.org/officeDocument/2006/relationships/hyperlink" Target="http://news.bbc.co.uk/onthisday/hi/dates/stories/october/12/newsid_2531000/2531583.s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094455-FD81-A34B-AFD9-2F9D34DEF7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366</TotalTime>
  <Pages>7</Pages>
  <Words>2446</Words>
  <Characters>13946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Steed</dc:creator>
  <cp:keywords/>
  <dc:description/>
  <cp:lastModifiedBy>Sam Steed</cp:lastModifiedBy>
  <cp:revision>23</cp:revision>
  <dcterms:created xsi:type="dcterms:W3CDTF">2020-12-07T20:00:00Z</dcterms:created>
  <dcterms:modified xsi:type="dcterms:W3CDTF">2020-12-19T12:23:00Z</dcterms:modified>
</cp:coreProperties>
</file>