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46390F1C">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F8296C5" w:rsidR="005E6C44" w:rsidRPr="00A42F82" w:rsidRDefault="28E236F0" w:rsidP="00A91894">
            <w:pPr>
              <w:rPr>
                <w:rFonts w:ascii="Arial" w:hAnsi="Arial" w:cs="Arial"/>
                <w:sz w:val="22"/>
                <w:szCs w:val="22"/>
              </w:rPr>
            </w:pPr>
            <w:proofErr w:type="spellStart"/>
            <w:r w:rsidRPr="46390F1C">
              <w:rPr>
                <w:rFonts w:ascii="Arial" w:hAnsi="Arial" w:cs="Arial"/>
                <w:sz w:val="22"/>
                <w:szCs w:val="22"/>
              </w:rPr>
              <w:t>Kruti</w:t>
            </w:r>
            <w:proofErr w:type="spellEnd"/>
            <w:r w:rsidRPr="46390F1C">
              <w:rPr>
                <w:rFonts w:ascii="Arial" w:hAnsi="Arial" w:cs="Arial"/>
                <w:sz w:val="22"/>
                <w:szCs w:val="22"/>
              </w:rPr>
              <w:t xml:space="preserve"> </w:t>
            </w:r>
            <w:proofErr w:type="spellStart"/>
            <w:r w:rsidRPr="46390F1C">
              <w:rPr>
                <w:rFonts w:ascii="Arial" w:hAnsi="Arial" w:cs="Arial"/>
                <w:sz w:val="22"/>
                <w:szCs w:val="22"/>
              </w:rPr>
              <w:t>Dilipbhai</w:t>
            </w:r>
            <w:proofErr w:type="spellEnd"/>
            <w:r w:rsidRPr="46390F1C">
              <w:rPr>
                <w:rFonts w:ascii="Arial" w:hAnsi="Arial" w:cs="Arial"/>
                <w:sz w:val="22"/>
                <w:szCs w:val="22"/>
              </w:rPr>
              <w:t xml:space="preserve"> </w:t>
            </w:r>
            <w:proofErr w:type="spellStart"/>
            <w:r w:rsidRPr="46390F1C">
              <w:rPr>
                <w:rFonts w:ascii="Arial" w:hAnsi="Arial" w:cs="Arial"/>
                <w:sz w:val="22"/>
                <w:szCs w:val="22"/>
              </w:rPr>
              <w:t>Borad</w:t>
            </w:r>
            <w:proofErr w:type="spellEnd"/>
          </w:p>
        </w:tc>
      </w:tr>
      <w:tr w:rsidR="005E6C44" w:rsidRPr="00A42F82" w14:paraId="58EB8D36" w14:textId="49C838B6" w:rsidTr="46390F1C">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46390F1C">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C280D57" w:rsidR="005E6C44" w:rsidRPr="00A42F82" w:rsidRDefault="6B26578A" w:rsidP="00A91894">
                <w:pPr>
                  <w:jc w:val="center"/>
                  <w:rPr>
                    <w:rFonts w:ascii="Arial" w:hAnsi="Arial" w:cs="Arial"/>
                    <w:sz w:val="22"/>
                    <w:szCs w:val="22"/>
                  </w:rPr>
                </w:pPr>
                <w:r w:rsidRPr="46390F1C">
                  <w:rPr>
                    <w:rFonts w:ascii="MS Gothic" w:eastAsia="MS Gothic" w:hAnsi="MS Gothic" w:cs="MS Gothic"/>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46390F1C">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6247C51" w:rsidR="005E6C44" w:rsidRPr="00A42F82" w:rsidRDefault="07C62BAC" w:rsidP="00A91894">
            <w:pPr>
              <w:rPr>
                <w:rFonts w:ascii="Arial" w:hAnsi="Arial" w:cs="Arial"/>
                <w:sz w:val="22"/>
                <w:szCs w:val="22"/>
              </w:rPr>
            </w:pPr>
            <w:r w:rsidRPr="46390F1C">
              <w:rPr>
                <w:rFonts w:ascii="Arial" w:hAnsi="Arial" w:cs="Arial"/>
                <w:sz w:val="22"/>
                <w:szCs w:val="22"/>
              </w:rPr>
              <w:t>Institute of Inner City Learning</w:t>
            </w:r>
          </w:p>
        </w:tc>
      </w:tr>
      <w:tr w:rsidR="005E6C44" w:rsidRPr="00A42F82" w14:paraId="37E7F8A3" w14:textId="77777777" w:rsidTr="46390F1C">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847E886" w14:textId="39F9AA08" w:rsidR="0978AE01" w:rsidRDefault="0978AE01" w:rsidP="46390F1C">
            <w:pPr>
              <w:rPr>
                <w:rFonts w:ascii="Arial" w:hAnsi="Arial" w:cs="Arial"/>
                <w:sz w:val="22"/>
                <w:szCs w:val="22"/>
              </w:rPr>
            </w:pPr>
            <w:r w:rsidRPr="46390F1C">
              <w:rPr>
                <w:rFonts w:ascii="Arial" w:hAnsi="Arial" w:cs="Arial"/>
                <w:sz w:val="22"/>
                <w:szCs w:val="22"/>
              </w:rPr>
              <w:t>London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46390F1C">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264087AC" w14:textId="3DA7856A" w:rsidR="005E6C44" w:rsidRPr="00A42F82" w:rsidRDefault="7F403BB1" w:rsidP="46390F1C">
            <w:pPr>
              <w:rPr>
                <w:rFonts w:ascii="Arial" w:hAnsi="Arial" w:cs="Arial"/>
                <w:sz w:val="22"/>
                <w:szCs w:val="22"/>
              </w:rPr>
            </w:pPr>
            <w:hyperlink r:id="rId13">
              <w:r w:rsidRPr="46390F1C">
                <w:rPr>
                  <w:rStyle w:val="Hyperlink"/>
                  <w:rFonts w:ascii="Arial" w:hAnsi="Arial" w:cs="Arial"/>
                  <w:sz w:val="22"/>
                  <w:szCs w:val="22"/>
                </w:rPr>
                <w:t>2406341@student.uwtsd.ac.uk</w:t>
              </w:r>
            </w:hyperlink>
          </w:p>
          <w:p w14:paraId="6D16D89E" w14:textId="71C05AF3" w:rsidR="005E6C44" w:rsidRPr="00A42F82" w:rsidRDefault="005E6C44" w:rsidP="00A91894">
            <w:pPr>
              <w:rPr>
                <w:rFonts w:ascii="Arial" w:hAnsi="Arial" w:cs="Arial"/>
                <w:sz w:val="22"/>
                <w:szCs w:val="22"/>
              </w:rPr>
            </w:pPr>
          </w:p>
        </w:tc>
      </w:tr>
      <w:tr w:rsidR="005E6C44" w:rsidRPr="00A42F82" w14:paraId="4AEAF2F1" w14:textId="77777777" w:rsidTr="46390F1C">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9209A7D" w:rsidR="005E6C44" w:rsidRPr="00A42F82" w:rsidRDefault="30C70EC9" w:rsidP="00A91894">
            <w:pPr>
              <w:rPr>
                <w:rFonts w:ascii="Arial" w:hAnsi="Arial" w:cs="Arial"/>
                <w:sz w:val="22"/>
                <w:szCs w:val="22"/>
              </w:rPr>
            </w:pPr>
            <w:r w:rsidRPr="46390F1C">
              <w:rPr>
                <w:rFonts w:ascii="Arial" w:hAnsi="Arial" w:cs="Arial"/>
                <w:sz w:val="22"/>
                <w:szCs w:val="22"/>
              </w:rPr>
              <w:t>07741083632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46390F1C">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46390F1C">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E099F35" w:rsidR="005E6C44" w:rsidRPr="00A42F82" w:rsidRDefault="7CC1523F" w:rsidP="00A91894">
            <w:pPr>
              <w:rPr>
                <w:rFonts w:ascii="Arial" w:hAnsi="Arial" w:cs="Arial"/>
                <w:sz w:val="22"/>
                <w:szCs w:val="22"/>
              </w:rPr>
            </w:pPr>
            <w:r w:rsidRPr="46390F1C">
              <w:rPr>
                <w:rFonts w:ascii="Arial" w:hAnsi="Arial" w:cs="Arial"/>
                <w:sz w:val="22"/>
                <w:szCs w:val="22"/>
              </w:rPr>
              <w:t>2406341</w:t>
            </w:r>
          </w:p>
        </w:tc>
      </w:tr>
      <w:tr w:rsidR="005E6C44" w:rsidRPr="00A42F82" w14:paraId="4EAC5A4D" w14:textId="77777777" w:rsidTr="46390F1C">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1C3AD46" w:rsidR="005E6C44" w:rsidRPr="00A42F82" w:rsidRDefault="552B094B" w:rsidP="00A91894">
            <w:pPr>
              <w:rPr>
                <w:rFonts w:ascii="Arial" w:hAnsi="Arial" w:cs="Arial"/>
                <w:sz w:val="22"/>
                <w:szCs w:val="22"/>
              </w:rPr>
            </w:pPr>
            <w:r w:rsidRPr="46390F1C">
              <w:rPr>
                <w:rFonts w:ascii="Arial" w:hAnsi="Arial" w:cs="Arial"/>
                <w:sz w:val="22"/>
                <w:szCs w:val="22"/>
              </w:rPr>
              <w:t>MSc Public Health and social care in practice</w:t>
            </w:r>
          </w:p>
        </w:tc>
      </w:tr>
      <w:tr w:rsidR="005E6C44" w:rsidRPr="00A42F82" w14:paraId="49F32132" w14:textId="77777777" w:rsidTr="46390F1C">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F910617" w:rsidR="005E6C44" w:rsidRPr="00A42F82" w:rsidRDefault="1AF0541E" w:rsidP="00A91894">
            <w:pPr>
              <w:rPr>
                <w:rFonts w:ascii="Arial" w:hAnsi="Arial" w:cs="Arial"/>
                <w:sz w:val="22"/>
                <w:szCs w:val="22"/>
              </w:rPr>
            </w:pPr>
            <w:r w:rsidRPr="46390F1C">
              <w:rPr>
                <w:rFonts w:ascii="Arial" w:hAnsi="Arial" w:cs="Arial"/>
                <w:sz w:val="22"/>
                <w:szCs w:val="22"/>
              </w:rPr>
              <w:t>Diola Bijlh</w:t>
            </w:r>
            <w:r w:rsidR="43F8006A" w:rsidRPr="46390F1C">
              <w:rPr>
                <w:rFonts w:ascii="Arial" w:hAnsi="Arial" w:cs="Arial"/>
                <w:sz w:val="22"/>
                <w:szCs w:val="22"/>
              </w:rPr>
              <w:t>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46390F1C">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865D0A5" w:rsidR="005E6C44" w:rsidRPr="00A42F82" w:rsidRDefault="65C6BF1F" w:rsidP="46390F1C">
                <w:pPr>
                  <w:autoSpaceDE w:val="0"/>
                  <w:autoSpaceDN w:val="0"/>
                  <w:adjustRightInd w:val="0"/>
                  <w:jc w:val="center"/>
                  <w:rPr>
                    <w:rFonts w:ascii="Arial" w:hAnsi="Arial" w:cs="Arial"/>
                    <w:b/>
                    <w:bCs/>
                    <w:sz w:val="22"/>
                    <w:szCs w:val="22"/>
                  </w:rPr>
                </w:pPr>
                <w:r w:rsidRPr="46390F1C">
                  <w:rPr>
                    <w:rFonts w:ascii="MS Gothic" w:eastAsia="MS Gothic" w:hAnsi="MS Gothic" w:cs="MS Gothic"/>
                    <w:sz w:val="22"/>
                    <w:szCs w:val="22"/>
                  </w:rPr>
                  <w:t>☒</w:t>
                </w:r>
              </w:p>
            </w:tc>
          </w:sdtContent>
        </w:sdt>
      </w:tr>
      <w:tr w:rsidR="005E6C44" w:rsidRPr="00A42F82" w14:paraId="6BE31CDC" w14:textId="77777777" w:rsidTr="46390F1C">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46390F1C">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46390F1C">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46390F1C">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46390F1C">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46390F1C">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75E9874" w:rsidR="005E6C44" w:rsidRPr="00A42F82" w:rsidRDefault="7921F963"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tc>
          </w:sdtContent>
        </w:sdt>
      </w:tr>
      <w:tr w:rsidR="005E6C44" w:rsidRPr="00A42F82" w14:paraId="3A9D97A8" w14:textId="77777777" w:rsidTr="46390F1C">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1243576" w:rsidR="005E6C44" w:rsidRPr="00A42F82" w:rsidRDefault="15542F06" w:rsidP="46390F1C">
                <w:pPr>
                  <w:autoSpaceDE w:val="0"/>
                  <w:autoSpaceDN w:val="0"/>
                  <w:adjustRightInd w:val="0"/>
                  <w:jc w:val="center"/>
                  <w:rPr>
                    <w:rFonts w:ascii="Arial" w:hAnsi="Arial" w:cs="Arial"/>
                    <w:i/>
                    <w:iCs/>
                    <w:sz w:val="22"/>
                    <w:szCs w:val="22"/>
                  </w:rPr>
                </w:pPr>
                <w:r w:rsidRPr="46390F1C">
                  <w:rPr>
                    <w:rFonts w:ascii="MS Gothic" w:eastAsia="MS Gothic" w:hAnsi="MS Gothic" w:cs="MS Gothic"/>
                    <w:sz w:val="22"/>
                    <w:szCs w:val="22"/>
                  </w:rPr>
                  <w:t>☒</w:t>
                </w:r>
              </w:p>
            </w:sdtContent>
          </w:sdt>
        </w:tc>
      </w:tr>
      <w:tr w:rsidR="005E6C44" w:rsidRPr="00A42F82" w14:paraId="38A85C17" w14:textId="77777777" w:rsidTr="46390F1C">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46390F1C">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16BB72F" w:rsidR="00835382" w:rsidRPr="00A42F82" w:rsidRDefault="5F4C242E" w:rsidP="46390F1C">
            <w:pPr>
              <w:autoSpaceDE w:val="0"/>
              <w:autoSpaceDN w:val="0"/>
              <w:adjustRightInd w:val="0"/>
              <w:rPr>
                <w:rFonts w:ascii="Arial" w:hAnsi="Arial" w:cs="Arial"/>
                <w:sz w:val="22"/>
                <w:szCs w:val="22"/>
              </w:rPr>
            </w:pPr>
            <w:r w:rsidRPr="46390F1C">
              <w:rPr>
                <w:rFonts w:ascii="Arial" w:hAnsi="Arial" w:cs="Arial"/>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46390F1C">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46390F1C">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46390F1C">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E7EE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46390F1C">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E7EE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46390F1C">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46390F1C">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46390F1C">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E7EE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46390F1C">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E7EE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46390F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D97F4FD" w14:textId="782B14E6" w:rsidR="004C3D85" w:rsidRPr="00A42F82" w:rsidRDefault="1CEC2ED4" w:rsidP="46390F1C">
            <w:pPr>
              <w:spacing w:line="360" w:lineRule="auto"/>
              <w:jc w:val="both"/>
              <w:rPr>
                <w:rFonts w:ascii="Arial" w:eastAsia="Arial" w:hAnsi="Arial" w:cs="Arial"/>
                <w:sz w:val="22"/>
                <w:szCs w:val="22"/>
              </w:rPr>
            </w:pPr>
            <w:r w:rsidRPr="46390F1C">
              <w:rPr>
                <w:rFonts w:ascii="Arial" w:eastAsia="Arial" w:hAnsi="Arial" w:cs="Arial"/>
                <w:color w:val="000000" w:themeColor="text1"/>
                <w:lang w:val="en-US"/>
              </w:rPr>
              <w:t>“Evaluating the impact of BCG (Bacillus Calmette Guerin) vaccination campaign on Tuberculosis (TB) in High-Risk Districts of Delhi’s (India) populations’’</w:t>
            </w:r>
          </w:p>
          <w:p w14:paraId="44A8F7CA" w14:textId="7718E6C3" w:rsidR="004C3D85" w:rsidRPr="00A42F82" w:rsidRDefault="004C3D85" w:rsidP="00A91894">
            <w:pPr>
              <w:rPr>
                <w:rFonts w:ascii="Arial" w:hAnsi="Arial" w:cs="Arial"/>
                <w:sz w:val="22"/>
                <w:szCs w:val="22"/>
              </w:rPr>
            </w:pPr>
          </w:p>
        </w:tc>
      </w:tr>
      <w:tr w:rsidR="004C3D85" w:rsidRPr="00A42F82" w14:paraId="52752113" w14:textId="77777777" w:rsidTr="46390F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B4D83AB" w:rsidR="004C3D85" w:rsidRPr="00A42F82" w:rsidRDefault="1508949A" w:rsidP="46390F1C">
            <w:pPr>
              <w:rPr>
                <w:rFonts w:ascii="Arial" w:eastAsia="Arial" w:hAnsi="Arial" w:cs="Arial"/>
                <w:sz w:val="22"/>
                <w:szCs w:val="22"/>
              </w:rPr>
            </w:pPr>
            <w:r w:rsidRPr="46390F1C">
              <w:rPr>
                <w:rFonts w:ascii="Arial" w:eastAsia="Arial" w:hAnsi="Arial" w:cs="Arial"/>
                <w:color w:val="000000" w:themeColor="text1"/>
                <w:sz w:val="22"/>
                <w:szCs w:val="22"/>
              </w:rPr>
              <w:t>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73913E1" w14:textId="47FD82E6" w:rsidR="004C3D85" w:rsidRPr="00A42F82" w:rsidRDefault="004C3D85" w:rsidP="46390F1C">
            <w:pPr>
              <w:rPr>
                <w:rFonts w:ascii="Arial" w:eastAsia="Arial" w:hAnsi="Arial" w:cs="Arial"/>
                <w:color w:val="000000" w:themeColor="text1"/>
                <w:sz w:val="22"/>
                <w:szCs w:val="22"/>
              </w:rPr>
            </w:pPr>
          </w:p>
          <w:p w14:paraId="091B06D3" w14:textId="5CDFEA79" w:rsidR="004C3D85" w:rsidRPr="00A42F82" w:rsidRDefault="71355EBC" w:rsidP="46390F1C">
            <w:pPr>
              <w:rPr>
                <w:rFonts w:ascii="Arial" w:eastAsia="Arial" w:hAnsi="Arial" w:cs="Arial"/>
                <w:sz w:val="22"/>
                <w:szCs w:val="22"/>
              </w:rPr>
            </w:pPr>
            <w:r w:rsidRPr="46390F1C">
              <w:rPr>
                <w:rFonts w:ascii="Arial" w:eastAsia="Arial" w:hAnsi="Arial" w:cs="Arial"/>
                <w:color w:val="000000" w:themeColor="text1"/>
                <w:sz w:val="22"/>
                <w:szCs w:val="22"/>
              </w:rPr>
              <w:t>2 February 2026</w:t>
            </w:r>
          </w:p>
          <w:p w14:paraId="6D32D729" w14:textId="5CA2AC28" w:rsidR="004C3D85" w:rsidRPr="00A42F82" w:rsidRDefault="004C3D85" w:rsidP="00A91894">
            <w:pPr>
              <w:rPr>
                <w:rFonts w:ascii="Arial" w:hAnsi="Arial" w:cs="Arial"/>
                <w:sz w:val="22"/>
                <w:szCs w:val="22"/>
              </w:rPr>
            </w:pPr>
          </w:p>
        </w:tc>
      </w:tr>
      <w:tr w:rsidR="00F96C3F" w:rsidRPr="00A42F82" w14:paraId="158575DD" w14:textId="77777777" w:rsidTr="46390F1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30"/>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30"/>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30"/>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30"/>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30"/>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30"/>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46390F1C">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1CA4F2A2" w:rsidP="00A91894">
            <w:pPr>
              <w:autoSpaceDE w:val="0"/>
              <w:autoSpaceDN w:val="0"/>
              <w:adjustRightInd w:val="0"/>
              <w:rPr>
                <w:rFonts w:ascii="Arial" w:hAnsi="Arial" w:cs="Arial"/>
                <w:b/>
                <w:bCs/>
                <w:sz w:val="22"/>
                <w:szCs w:val="22"/>
              </w:rPr>
            </w:pPr>
            <w:r w:rsidRPr="46390F1C">
              <w:rPr>
                <w:rFonts w:ascii="Arial" w:hAnsi="Arial" w:cs="Arial"/>
                <w:b/>
                <w:bCs/>
                <w:sz w:val="22"/>
                <w:szCs w:val="22"/>
              </w:rPr>
              <w:t>Purpose of Research Activity</w:t>
            </w:r>
          </w:p>
          <w:p w14:paraId="115B9ADE" w14:textId="17930EDE" w:rsidR="00F96C3F" w:rsidRPr="00A42F82" w:rsidRDefault="09D33BD5"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Although India has made considerable strides in TB control through mass BCG vaccination, a high incidence of TB persists in several districts of Delhi. This paradox suggests that current campaigns may not be fully effective or are failing to reach the most vulnerable populations (Singh et al, 2025). High-risk urban districts like Northeast Delhi, Shahdara, and Central Delhi, where slums and migrant populations dominate, show consistently high TB prevalence despite ongoing immunisation efforts (Panda, 2023; Clark et al., 2024).</w:t>
            </w:r>
          </w:p>
          <w:p w14:paraId="6F3D7DA5" w14:textId="1BB2409A" w:rsidR="00F96C3F" w:rsidRPr="00A42F82" w:rsidRDefault="09D33BD5"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There is a clear lack of district-level, localised research that evaluates the outcomes of BCG vaccination efforts in these areas (Sinha et al., 2022). Understanding why the campaigns are underperforming, whether due to healthcare infrastructure gaps, low community awareness, or systemic inequities, is crucial. Moreover, logistical challenges and vaccine hesitancy in migrant and underprivileged populations remain underexplored in public health planning (Clark, 2023).</w:t>
            </w:r>
          </w:p>
          <w:p w14:paraId="4E42F46B" w14:textId="16F96C5C" w:rsidR="00F96C3F" w:rsidRPr="00A42F82" w:rsidRDefault="00F96C3F" w:rsidP="46390F1C">
            <w:pPr>
              <w:spacing w:line="360" w:lineRule="auto"/>
              <w:jc w:val="both"/>
              <w:rPr>
                <w:rFonts w:ascii="Arial" w:eastAsia="Arial" w:hAnsi="Arial" w:cs="Arial"/>
                <w:color w:val="000000" w:themeColor="text1"/>
              </w:rPr>
            </w:pPr>
          </w:p>
          <w:p w14:paraId="1504B555" w14:textId="4C31AFB0" w:rsidR="00F96C3F" w:rsidRPr="00A42F82" w:rsidRDefault="1AFE0512" w:rsidP="46390F1C">
            <w:pPr>
              <w:spacing w:line="360" w:lineRule="auto"/>
              <w:jc w:val="both"/>
            </w:pPr>
            <w:r w:rsidRPr="46390F1C">
              <w:rPr>
                <w:rFonts w:ascii="Arial" w:eastAsia="Arial" w:hAnsi="Arial" w:cs="Arial"/>
                <w:color w:val="000000" w:themeColor="text1"/>
              </w:rPr>
              <w:t>This research is both timely and necessary to identify areas for improvement. It will provide evidence-based recommendations to policymakers and public health authorities. It also supports India’s National Strategic 5-year Plan to End TB by 2025, which advocates for granular, district-level interventions (Behera et al., 2020). The originality of this study lies in its focused evaluation of BCG campaign impact in high-risk urban settings, an area often overlooked in broader national statistics (</w:t>
            </w:r>
            <w:proofErr w:type="spellStart"/>
            <w:r w:rsidRPr="46390F1C">
              <w:rPr>
                <w:rFonts w:ascii="Arial" w:eastAsia="Arial" w:hAnsi="Arial" w:cs="Arial"/>
                <w:color w:val="000000" w:themeColor="text1"/>
              </w:rPr>
              <w:t>Atmakuri</w:t>
            </w:r>
            <w:proofErr w:type="spellEnd"/>
            <w:r w:rsidRPr="46390F1C">
              <w:rPr>
                <w:rFonts w:ascii="Arial" w:eastAsia="Arial" w:hAnsi="Arial" w:cs="Arial"/>
                <w:color w:val="000000" w:themeColor="text1"/>
              </w:rPr>
              <w:t xml:space="preserve"> et al, 2018). By addressing these research gaps, the study has the potential to significantly improve vaccination strategies and TB prevention outcomes in India’s urban poor communities. </w:t>
            </w:r>
            <w:r w:rsidRPr="46390F1C">
              <w:rPr>
                <w:rFonts w:ascii="Arial" w:eastAsia="Arial" w:hAnsi="Arial" w:cs="Arial"/>
              </w:rPr>
              <w:t xml:space="preserve"> </w:t>
            </w:r>
          </w:p>
          <w:p w14:paraId="39FAA3A4" w14:textId="40CDFCD9" w:rsidR="00F96C3F" w:rsidRPr="00A42F82" w:rsidRDefault="00F96C3F" w:rsidP="46390F1C">
            <w:pPr>
              <w:spacing w:line="360" w:lineRule="auto"/>
              <w:jc w:val="both"/>
              <w:rPr>
                <w:rFonts w:ascii="Arial" w:eastAsia="Arial" w:hAnsi="Arial" w:cs="Arial"/>
                <w:color w:val="000000" w:themeColor="text1"/>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46390F1C">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E4D5D7" w:rsidR="00F96C3F" w:rsidRPr="00A42F82" w:rsidRDefault="38CA780D" w:rsidP="46390F1C">
            <w:pPr>
              <w:rPr>
                <w:rFonts w:ascii="Arial" w:eastAsia="Arial" w:hAnsi="Arial" w:cs="Arial"/>
              </w:rPr>
            </w:pPr>
            <w:r w:rsidRPr="46390F1C">
              <w:rPr>
                <w:rFonts w:ascii="Arial" w:eastAsia="Arial" w:hAnsi="Arial" w:cs="Arial"/>
                <w:color w:val="000000" w:themeColor="text1"/>
                <w:sz w:val="19"/>
                <w:szCs w:val="19"/>
              </w:rPr>
              <w:t>What is the impact of BCG vaccination campaigns in high-risk districts of Delhi (India) and their populations?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46390F1C">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9B86C04" w14:textId="4888E708" w:rsidR="00F96C3F" w:rsidRPr="00A42F82" w:rsidRDefault="38445FCF" w:rsidP="46390F1C">
            <w:pPr>
              <w:spacing w:line="360" w:lineRule="auto"/>
              <w:jc w:val="both"/>
              <w:rPr>
                <w:rFonts w:ascii="Arial" w:eastAsia="Arial" w:hAnsi="Arial" w:cs="Arial"/>
              </w:rPr>
            </w:pPr>
            <w:r w:rsidRPr="46390F1C">
              <w:rPr>
                <w:rFonts w:ascii="Arial" w:eastAsia="Arial" w:hAnsi="Arial" w:cs="Arial"/>
                <w:color w:val="000000" w:themeColor="text1"/>
              </w:rPr>
              <w:t>To evaluate the impact of the BCG vaccination campaigns in controlling tuberculosis among high-risk populations in Delhi and to identify the best strategies.</w:t>
            </w:r>
          </w:p>
          <w:p w14:paraId="11C896B4" w14:textId="5FC17E5E" w:rsidR="00F96C3F" w:rsidRPr="00A42F82" w:rsidRDefault="00F96C3F" w:rsidP="46390F1C">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46390F1C">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AAEF40C" w14:textId="3FC62772" w:rsidR="00F96C3F" w:rsidRPr="00A42F82" w:rsidRDefault="00F96C3F" w:rsidP="46390F1C">
            <w:pPr>
              <w:rPr>
                <w:rFonts w:ascii="Arial" w:eastAsia="Arial" w:hAnsi="Arial" w:cs="Arial"/>
                <w:color w:val="000000" w:themeColor="text1"/>
              </w:rPr>
            </w:pPr>
          </w:p>
          <w:p w14:paraId="068AF508" w14:textId="724FF47D" w:rsidR="00F96C3F" w:rsidRPr="00A42F82" w:rsidRDefault="30FD9CC9" w:rsidP="46390F1C">
            <w:pPr>
              <w:pStyle w:val="ListParagraph"/>
              <w:numPr>
                <w:ilvl w:val="0"/>
                <w:numId w:val="4"/>
              </w:numPr>
              <w:tabs>
                <w:tab w:val="num" w:pos="720"/>
              </w:tabs>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To analyse trends in tuberculosis incidence and morbidity in connection with BCG campaign implementation in high-risk districts of Delhi.</w:t>
            </w:r>
          </w:p>
          <w:p w14:paraId="5800E552" w14:textId="2B18D468" w:rsidR="00F96C3F" w:rsidRPr="00A42F82" w:rsidRDefault="30FD9CC9" w:rsidP="46390F1C">
            <w:pPr>
              <w:pStyle w:val="ListParagraph"/>
              <w:numPr>
                <w:ilvl w:val="0"/>
                <w:numId w:val="4"/>
              </w:numPr>
              <w:tabs>
                <w:tab w:val="num" w:pos="720"/>
              </w:tabs>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To assess the coverage and outreach of BCG vaccination campaigns among high-risk demographic groups in Delhi.</w:t>
            </w:r>
          </w:p>
          <w:p w14:paraId="72272B05" w14:textId="6AB8C53A" w:rsidR="00F96C3F" w:rsidRPr="00A42F82" w:rsidRDefault="30FD9CC9" w:rsidP="46390F1C">
            <w:pPr>
              <w:pStyle w:val="ListParagraph"/>
              <w:numPr>
                <w:ilvl w:val="0"/>
                <w:numId w:val="4"/>
              </w:numPr>
              <w:tabs>
                <w:tab w:val="num" w:pos="720"/>
              </w:tabs>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To identify key barriers to effective BCG vaccination programme implementation in these districts.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46390F1C">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46390F1C">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7F3741E" w14:textId="4742B96E" w:rsidR="00F96C3F" w:rsidRPr="00A42F82" w:rsidRDefault="20DDBDBB" w:rsidP="46390F1C">
            <w:pPr>
              <w:pStyle w:val="Heading1"/>
              <w:rPr>
                <w:color w:val="000000" w:themeColor="text1"/>
              </w:rPr>
            </w:pPr>
            <w:r w:rsidRPr="46390F1C">
              <w:rPr>
                <w:color w:val="000000" w:themeColor="text1"/>
              </w:rPr>
              <w:t>Research Methodology</w:t>
            </w:r>
          </w:p>
          <w:p w14:paraId="1056C5C0" w14:textId="6198DA43" w:rsidR="00F96C3F" w:rsidRPr="00A42F82" w:rsidRDefault="20DDBDBB" w:rsidP="46390F1C">
            <w:pPr>
              <w:pStyle w:val="Heading1"/>
              <w:jc w:val="left"/>
              <w:rPr>
                <w:color w:val="000000" w:themeColor="text1"/>
              </w:rPr>
            </w:pPr>
            <w:r w:rsidRPr="46390F1C">
              <w:rPr>
                <w:color w:val="000000" w:themeColor="text1"/>
              </w:rPr>
              <w:t>Research Design</w:t>
            </w:r>
          </w:p>
          <w:p w14:paraId="0CC7719F" w14:textId="0DF46C7F"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This study adopts a systematic research design to evaluate the impact of BCG vaccination campaigns on tuberculosis (TB) control in high-risk districts of Delhi. A systematic review will be used to synthesise data from published and grey literature (</w:t>
            </w:r>
            <w:proofErr w:type="spellStart"/>
            <w:r w:rsidRPr="46390F1C">
              <w:rPr>
                <w:rFonts w:ascii="Arial" w:eastAsia="Arial" w:hAnsi="Arial" w:cs="Arial"/>
                <w:color w:val="000000" w:themeColor="text1"/>
              </w:rPr>
              <w:t>MacLure</w:t>
            </w:r>
            <w:proofErr w:type="spellEnd"/>
            <w:r w:rsidRPr="46390F1C">
              <w:rPr>
                <w:rFonts w:ascii="Arial" w:eastAsia="Arial" w:hAnsi="Arial" w:cs="Arial"/>
                <w:color w:val="000000" w:themeColor="text1"/>
              </w:rPr>
              <w:t xml:space="preserve"> et al, 2016). This design ensures a transparent, replicable, and evidence-based analysis of BCG campaign effectiveness in reducing TB incidence in vulnerable urban populations.</w:t>
            </w:r>
          </w:p>
          <w:p w14:paraId="1653D1F8" w14:textId="3F9D7882"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 xml:space="preserve">The methodology will follow PRISMA (Preferred Reporting Items for Systematic Reviews and Meta-Analyses) guidelines to enhance rigour and minimise bias (Hutton et al, 2017). Quantitative data on TB incidence, BCG coverage rates, and implementation outcomes will be extracted and analysed thematically and statistically. Qualitative findings, including insights into barriers to vaccine access and campaign outreach, will also be coded and synthesised. This strategy ensures that both the measurable health outcomes and the contextual factors affecting implementation are captured. </w:t>
            </w:r>
          </w:p>
          <w:p w14:paraId="416AD311" w14:textId="7CBDCBAA" w:rsidR="00F96C3F" w:rsidRPr="00A42F82" w:rsidRDefault="20DDBDBB" w:rsidP="46390F1C">
            <w:pPr>
              <w:pStyle w:val="Heading1"/>
              <w:jc w:val="left"/>
              <w:rPr>
                <w:color w:val="000000" w:themeColor="text1"/>
              </w:rPr>
            </w:pPr>
            <w:r w:rsidRPr="46390F1C">
              <w:rPr>
                <w:color w:val="000000" w:themeColor="text1"/>
              </w:rPr>
              <w:t xml:space="preserve">Search Strategy </w:t>
            </w:r>
          </w:p>
          <w:p w14:paraId="42E682C4" w14:textId="18337022"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To ensure a comprehensive and systematic review of relevant literature, a structured search strategy will be employed. Databases such as PubMed, MEDLINE, ScienceDirect, and Google Scholar will be utilised to retrieve peer-reviewed publications and grey literature. In addition, official reports and datasets from the National TB Elimination Programme (NTEP) will be included to incorporate the most current government data relevant to tuberculosis (TB) and BCG vaccination campaigns in Delhi.</w:t>
            </w:r>
          </w:p>
          <w:p w14:paraId="62E9D286" w14:textId="711A541F"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Key search terms will be used to build search queries tailored to each database. Key search phrases will include: “BCG vaccine” AND “Tuberculosis” AND “Delhi”, “BCG vaccination” AND “urban slums” AND “India”, “TB incidence” AND “BCG campaign” AND “high-risk districts”, “BCG coverage” OR “immunisation rates” AND “migrant populations”, and “Vaccination barriers” AND “TB control” AND “India”. Boolean operators such as AND, OR, and NOT will be used to refine and expand the search scope, depending on database functionality.</w:t>
            </w:r>
          </w:p>
          <w:p w14:paraId="71AD8074" w14:textId="01B70DD7" w:rsidR="00F96C3F" w:rsidRPr="00A42F82" w:rsidRDefault="20DDBDBB" w:rsidP="46390F1C">
            <w:pPr>
              <w:pStyle w:val="Heading1"/>
              <w:jc w:val="left"/>
              <w:rPr>
                <w:color w:val="000000" w:themeColor="text1"/>
              </w:rPr>
            </w:pPr>
            <w:r w:rsidRPr="46390F1C">
              <w:rPr>
                <w:color w:val="000000" w:themeColor="text1"/>
              </w:rPr>
              <w:t xml:space="preserve">Quality Assessment Tool </w:t>
            </w:r>
          </w:p>
          <w:p w14:paraId="33B3B237" w14:textId="1779C52A"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To ensure the reliability and validity of findings included in this systematic review, a structured quality assessment tool will be employed. The Joanna Briggs Institute (JBI) Critical Appraisal Checklists and the CASP (Critical Appraisal Skills Programme) tools will serve as the primary frameworks, as they are widely recognised for assessing the methodological rigour of both quantitative and qualitative studies (Hilton, 2024). These tools allow for systematic evaluation of study design, sampling strategies, data collection methods, and the appropriateness of statistical or thematic analysis (Haile, 2022).</w:t>
            </w:r>
          </w:p>
          <w:p w14:paraId="5A61E962" w14:textId="3BD1830D"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Each selected study will be assessed against specific criteria such as clarity of objectives, adequacy of sample size, reliability of outcome measures, transparency of methodology, and control for potential confounding factors (Hilton, 2024). For qualitative studies, additional emphasis will be placed on credibility, transferability, and the robustness of thematic analysis (Lan et al, 2023). Studies will then be categorised as high, moderate, or low quality based on their scores (Haile, 2022). This assessment ensures that only robust and credible evidence informs the review’s conclusions. Low-quality studies will not be automatically excluded but will be critically appraised to highlight their limitations in interpretation (Lan et al, 2022). By adopting this transparent and systematic approach, the study minimises bias and strengthens the trustworthiness of the final analysis (Haile, 2022).</w:t>
            </w:r>
          </w:p>
          <w:p w14:paraId="45CD1DDC" w14:textId="51F5C8B3" w:rsidR="00F96C3F" w:rsidRPr="00A42F82" w:rsidRDefault="20DDBDBB" w:rsidP="46390F1C">
            <w:pPr>
              <w:pStyle w:val="Heading1"/>
              <w:jc w:val="left"/>
              <w:rPr>
                <w:color w:val="000000" w:themeColor="text1"/>
              </w:rPr>
            </w:pPr>
            <w:r w:rsidRPr="46390F1C">
              <w:rPr>
                <w:color w:val="000000" w:themeColor="text1"/>
              </w:rPr>
              <w:t xml:space="preserve">Inclusion Criteria </w:t>
            </w:r>
          </w:p>
          <w:p w14:paraId="4E29C272" w14:textId="6F1E4CA7"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 xml:space="preserve">For this study, articles will be selected based on clearly defined inclusion criteria to ensure the relevance and quality of data. </w:t>
            </w:r>
          </w:p>
          <w:p w14:paraId="7C6F3908" w14:textId="3E96177F"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Papers published between 2015 – 2025.</w:t>
            </w:r>
          </w:p>
          <w:p w14:paraId="1EF3DAB2" w14:textId="52324BB1"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Papers published in the English language only.</w:t>
            </w:r>
          </w:p>
          <w:p w14:paraId="70B2B492" w14:textId="1418801D" w:rsidR="00F96C3F" w:rsidRPr="00A42F82" w:rsidRDefault="20DDBDBB" w:rsidP="46390F1C">
            <w:pPr>
              <w:pStyle w:val="ListParagraph"/>
              <w:numPr>
                <w:ilvl w:val="0"/>
                <w:numId w:val="2"/>
              </w:numPr>
              <w:spacing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 xml:space="preserve">Only studies published in English between 2015 and 2025, covering the last ten years, will be considered to ensure contemporary relevance. </w:t>
            </w:r>
          </w:p>
          <w:p w14:paraId="76AE0BF9" w14:textId="48F58FEC" w:rsidR="00F96C3F" w:rsidRPr="00A42F82" w:rsidRDefault="20DDBDBB" w:rsidP="46390F1C">
            <w:pPr>
              <w:pStyle w:val="ListParagraph"/>
              <w:numPr>
                <w:ilvl w:val="0"/>
                <w:numId w:val="2"/>
              </w:numPr>
              <w:spacing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 xml:space="preserve">The review will include peer-reviewed journal articles, government health reports, and NGO evaluations that provide empirical evidence. </w:t>
            </w:r>
          </w:p>
          <w:p w14:paraId="412AC992" w14:textId="2BB997BA" w:rsidR="00F96C3F" w:rsidRPr="00A42F82" w:rsidRDefault="20DDBDBB" w:rsidP="46390F1C">
            <w:pPr>
              <w:pStyle w:val="ListParagraph"/>
              <w:numPr>
                <w:ilvl w:val="0"/>
                <w:numId w:val="2"/>
              </w:numPr>
              <w:spacing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 xml:space="preserve">Focus will be placed on studies related to BCG vaccination and tuberculosis incidence in urban India, with a particular emphasis on Delhi and its high-risk districts. </w:t>
            </w:r>
          </w:p>
          <w:p w14:paraId="0247F41B" w14:textId="6BEBD3A5" w:rsidR="00F96C3F" w:rsidRPr="00A42F82" w:rsidRDefault="20DDBDBB" w:rsidP="46390F1C">
            <w:pPr>
              <w:pStyle w:val="ListParagraph"/>
              <w:numPr>
                <w:ilvl w:val="0"/>
                <w:numId w:val="2"/>
              </w:numPr>
              <w:spacing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 xml:space="preserve">Both quantitative and qualitative studies will be eligible, allowing for a comprehensive understanding of statistical trends as well as social and behavioural insights. </w:t>
            </w:r>
          </w:p>
          <w:p w14:paraId="5809B192" w14:textId="13674BD3" w:rsidR="00F96C3F" w:rsidRPr="00A42F82" w:rsidRDefault="20DDBDBB" w:rsidP="46390F1C">
            <w:pPr>
              <w:pStyle w:val="ListParagraph"/>
              <w:numPr>
                <w:ilvl w:val="0"/>
                <w:numId w:val="2"/>
              </w:numPr>
              <w:spacing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Additionally, articles must explicitly address at least one of the following: campaign effectiveness, vaccination coverage, or barriers to healthcare access, especially among vulnerable populations like urban slum dwellers and migrants.</w:t>
            </w:r>
          </w:p>
          <w:p w14:paraId="0B30BFD0" w14:textId="07542C34" w:rsidR="00F96C3F" w:rsidRPr="00A42F82" w:rsidRDefault="20DDBDBB" w:rsidP="46390F1C">
            <w:pPr>
              <w:pStyle w:val="Heading1"/>
              <w:jc w:val="left"/>
              <w:rPr>
                <w:color w:val="000000" w:themeColor="text1"/>
              </w:rPr>
            </w:pPr>
            <w:r w:rsidRPr="46390F1C">
              <w:rPr>
                <w:color w:val="000000" w:themeColor="text1"/>
              </w:rPr>
              <w:t xml:space="preserve">Exclusion Criteria </w:t>
            </w:r>
          </w:p>
          <w:p w14:paraId="27343B86" w14:textId="2BB55F58"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 xml:space="preserve">Studies that do not meet the above standards will be excluded from this review. </w:t>
            </w:r>
          </w:p>
          <w:p w14:paraId="0A520F9B" w14:textId="77030596"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Papers published before 2015.</w:t>
            </w:r>
          </w:p>
          <w:p w14:paraId="0D531924" w14:textId="73F93731"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Papers published in a non-English language.</w:t>
            </w:r>
          </w:p>
          <w:p w14:paraId="43A16D4A" w14:textId="63CFA185"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This includes any research not directly related to BCG vaccination or tuberculosis, as well as those that do not focus on India’s urban or high-risk populations.</w:t>
            </w:r>
          </w:p>
          <w:p w14:paraId="46E86612" w14:textId="528731FD"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 xml:space="preserve"> Any publications outside the 2015–2025 window will be excluded to maintain a focus on the most recent and applicable data. </w:t>
            </w:r>
          </w:p>
          <w:p w14:paraId="7418D0CB" w14:textId="2D2009CE"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 xml:space="preserve">Editorials, opinion pieces, letters to editors, and articles without empirical data will not be considered, as they lack the methodological robustness required for systematic analysis. </w:t>
            </w:r>
          </w:p>
          <w:p w14:paraId="21647067" w14:textId="24FFB29C" w:rsidR="00F96C3F" w:rsidRPr="00A42F82" w:rsidRDefault="20DDBDBB" w:rsidP="46390F1C">
            <w:pPr>
              <w:pStyle w:val="ListParagraph"/>
              <w:numPr>
                <w:ilvl w:val="0"/>
                <w:numId w:val="3"/>
              </w:numPr>
              <w:spacing w:after="160" w:line="360" w:lineRule="auto"/>
              <w:jc w:val="both"/>
              <w:rPr>
                <w:rFonts w:ascii="Arial" w:eastAsia="Arial" w:hAnsi="Arial" w:cs="Arial"/>
                <w:color w:val="000000" w:themeColor="text1"/>
                <w:sz w:val="20"/>
                <w:szCs w:val="20"/>
              </w:rPr>
            </w:pPr>
            <w:r w:rsidRPr="46390F1C">
              <w:rPr>
                <w:rFonts w:ascii="Arial" w:eastAsia="Arial" w:hAnsi="Arial" w:cs="Arial"/>
                <w:color w:val="000000" w:themeColor="text1"/>
                <w:sz w:val="20"/>
                <w:szCs w:val="20"/>
              </w:rPr>
              <w:t>Any study that lacks clear objectives, does not present sufficient methodological detail, or fails to demonstrate relevance to district-level TB control efforts in Delhi will be omitted from the final analysis.</w:t>
            </w:r>
          </w:p>
          <w:p w14:paraId="76E9319C" w14:textId="173125AC" w:rsidR="00F96C3F" w:rsidRPr="00A42F82" w:rsidRDefault="20DDBDBB" w:rsidP="46390F1C">
            <w:pPr>
              <w:pStyle w:val="Heading1"/>
              <w:jc w:val="left"/>
              <w:rPr>
                <w:color w:val="000000" w:themeColor="text1"/>
              </w:rPr>
            </w:pPr>
            <w:r w:rsidRPr="46390F1C">
              <w:rPr>
                <w:color w:val="000000" w:themeColor="text1"/>
              </w:rPr>
              <w:t xml:space="preserve">Data Collection Process </w:t>
            </w:r>
          </w:p>
          <w:p w14:paraId="0023BBDA" w14:textId="2612350E"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Data for this study will be systematically collected from multiple sources to ensure comprehensive coverage of the subject matter. The process will begin with the identification and selection of relevant peer-reviewed literature, official government reports, and non-governmental organisation (NGO) publications addressing tuberculosis (TB) and BCG vaccination campaigns in Delhi (</w:t>
            </w:r>
            <w:proofErr w:type="spellStart"/>
            <w:r w:rsidRPr="46390F1C">
              <w:rPr>
                <w:rFonts w:ascii="Arial" w:eastAsia="Arial" w:hAnsi="Arial" w:cs="Arial"/>
                <w:color w:val="000000" w:themeColor="text1"/>
              </w:rPr>
              <w:t>Tikito</w:t>
            </w:r>
            <w:proofErr w:type="spellEnd"/>
            <w:r w:rsidRPr="46390F1C">
              <w:rPr>
                <w:rFonts w:ascii="Arial" w:eastAsia="Arial" w:hAnsi="Arial" w:cs="Arial"/>
                <w:color w:val="000000" w:themeColor="text1"/>
              </w:rPr>
              <w:t xml:space="preserve"> and </w:t>
            </w:r>
            <w:proofErr w:type="spellStart"/>
            <w:r w:rsidRPr="46390F1C">
              <w:rPr>
                <w:rFonts w:ascii="Arial" w:eastAsia="Arial" w:hAnsi="Arial" w:cs="Arial"/>
                <w:color w:val="000000" w:themeColor="text1"/>
              </w:rPr>
              <w:t>Souissi</w:t>
            </w:r>
            <w:proofErr w:type="spellEnd"/>
            <w:r w:rsidRPr="46390F1C">
              <w:rPr>
                <w:rFonts w:ascii="Arial" w:eastAsia="Arial" w:hAnsi="Arial" w:cs="Arial"/>
                <w:color w:val="000000" w:themeColor="text1"/>
              </w:rPr>
              <w:t>, 2020). The primary emphasis will be placed on extracting district-specific information related to TB incidence, vaccination outreach, and campaign performance in high-risk areas, such as Northeast Delhi, Shahdara, and Central Delhi. Grey literature, including health department records and unpublished reports, will also be incorporated to supplement peer-reviewed evidence.</w:t>
            </w:r>
          </w:p>
          <w:p w14:paraId="0BA78089" w14:textId="458BC5E0"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Once relevant sources are identified, data extraction will be guided by a structured template designed to capture essential variables such as TB incidence trends, vaccination coverage percentages, implementation strategies, and socio-demographic contexts of affected populations. Information will be systematically logged, cross-verified, and categorised into quantitative and qualitative datasets (</w:t>
            </w:r>
            <w:proofErr w:type="spellStart"/>
            <w:r w:rsidRPr="46390F1C">
              <w:rPr>
                <w:rFonts w:ascii="Arial" w:eastAsia="Arial" w:hAnsi="Arial" w:cs="Arial"/>
                <w:color w:val="000000" w:themeColor="text1"/>
              </w:rPr>
              <w:t>Tikito</w:t>
            </w:r>
            <w:proofErr w:type="spellEnd"/>
            <w:r w:rsidRPr="46390F1C">
              <w:rPr>
                <w:rFonts w:ascii="Arial" w:eastAsia="Arial" w:hAnsi="Arial" w:cs="Arial"/>
                <w:color w:val="000000" w:themeColor="text1"/>
              </w:rPr>
              <w:t xml:space="preserve"> and </w:t>
            </w:r>
            <w:proofErr w:type="spellStart"/>
            <w:r w:rsidRPr="46390F1C">
              <w:rPr>
                <w:rFonts w:ascii="Arial" w:eastAsia="Arial" w:hAnsi="Arial" w:cs="Arial"/>
                <w:color w:val="000000" w:themeColor="text1"/>
              </w:rPr>
              <w:t>Souissi</w:t>
            </w:r>
            <w:proofErr w:type="spellEnd"/>
            <w:r w:rsidRPr="46390F1C">
              <w:rPr>
                <w:rFonts w:ascii="Arial" w:eastAsia="Arial" w:hAnsi="Arial" w:cs="Arial"/>
                <w:color w:val="000000" w:themeColor="text1"/>
              </w:rPr>
              <w:t>, 2020). Quantitative data will include measurable outcomes, while qualitative findings will capture narratives on barriers, perceptions, and local experiences related to vaccine campaigns (</w:t>
            </w:r>
            <w:proofErr w:type="spellStart"/>
            <w:r w:rsidRPr="46390F1C">
              <w:rPr>
                <w:rFonts w:ascii="Arial" w:eastAsia="Arial" w:hAnsi="Arial" w:cs="Arial"/>
                <w:color w:val="000000" w:themeColor="text1"/>
              </w:rPr>
              <w:t>Tikito</w:t>
            </w:r>
            <w:proofErr w:type="spellEnd"/>
            <w:r w:rsidRPr="46390F1C">
              <w:rPr>
                <w:rFonts w:ascii="Arial" w:eastAsia="Arial" w:hAnsi="Arial" w:cs="Arial"/>
                <w:color w:val="000000" w:themeColor="text1"/>
              </w:rPr>
              <w:t xml:space="preserve"> and </w:t>
            </w:r>
            <w:proofErr w:type="spellStart"/>
            <w:r w:rsidRPr="46390F1C">
              <w:rPr>
                <w:rFonts w:ascii="Arial" w:eastAsia="Arial" w:hAnsi="Arial" w:cs="Arial"/>
                <w:color w:val="000000" w:themeColor="text1"/>
              </w:rPr>
              <w:t>Souissi</w:t>
            </w:r>
            <w:proofErr w:type="spellEnd"/>
            <w:r w:rsidRPr="46390F1C">
              <w:rPr>
                <w:rFonts w:ascii="Arial" w:eastAsia="Arial" w:hAnsi="Arial" w:cs="Arial"/>
                <w:color w:val="000000" w:themeColor="text1"/>
              </w:rPr>
              <w:t>, 2020). This dual approach will ensure a balanced understanding of both statistical impacts and contextual realities of BCG campaign implementation in high-risk districts.</w:t>
            </w:r>
          </w:p>
          <w:p w14:paraId="26E38A53" w14:textId="06FC5F80" w:rsidR="00F96C3F" w:rsidRPr="00A42F82" w:rsidRDefault="20DDBDBB" w:rsidP="46390F1C">
            <w:pPr>
              <w:pStyle w:val="Heading1"/>
              <w:jc w:val="left"/>
              <w:rPr>
                <w:color w:val="000000" w:themeColor="text1"/>
              </w:rPr>
            </w:pPr>
            <w:r w:rsidRPr="46390F1C">
              <w:rPr>
                <w:color w:val="000000" w:themeColor="text1"/>
              </w:rPr>
              <w:t>Data Extraction Process</w:t>
            </w:r>
          </w:p>
          <w:p w14:paraId="6E59ACEB" w14:textId="2BA92A60"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The data extraction process will follow a structured and systematic approach to ensure consistency and accuracy across all selected studies (</w:t>
            </w:r>
            <w:proofErr w:type="spellStart"/>
            <w:r w:rsidRPr="46390F1C">
              <w:rPr>
                <w:rFonts w:ascii="Arial" w:eastAsia="Arial" w:hAnsi="Arial" w:cs="Arial"/>
                <w:color w:val="000000" w:themeColor="text1"/>
              </w:rPr>
              <w:t>Schoot</w:t>
            </w:r>
            <w:proofErr w:type="spellEnd"/>
            <w:r w:rsidRPr="46390F1C">
              <w:rPr>
                <w:rFonts w:ascii="Arial" w:eastAsia="Arial" w:hAnsi="Arial" w:cs="Arial"/>
                <w:color w:val="000000" w:themeColor="text1"/>
              </w:rPr>
              <w:t xml:space="preserve"> et al, 2021). After applying the inclusion and exclusion criteria, approximately 10 to 12 articles will be chosen for in-depth review, representing both quantitative and qualitative research relevant to BCG vaccination campaigns and tuberculosis in Delhi’s high-risk districts. A standardised data extraction form will be used to capture key information such as study characteristics (author, year, location, design), population details (sample size, demographics), intervention components (vaccination strategy, coverage, outreach methods), and outcomes (TB incidence, morbidity, and barriers to implementation). For qualitative studies, thematic insights regarding community perceptions, healthcare access, and campaign challenges will also be documented (Schwendimann et al, 2016). To enhance accuracy, the researcher will cross-check the data at multiple stages, resolving discrepancies through re-examination of the sources (</w:t>
            </w:r>
            <w:proofErr w:type="spellStart"/>
            <w:r w:rsidRPr="46390F1C">
              <w:rPr>
                <w:rFonts w:ascii="Arial" w:eastAsia="Arial" w:hAnsi="Arial" w:cs="Arial"/>
                <w:color w:val="000000" w:themeColor="text1"/>
              </w:rPr>
              <w:t>Schoot</w:t>
            </w:r>
            <w:proofErr w:type="spellEnd"/>
            <w:r w:rsidRPr="46390F1C">
              <w:rPr>
                <w:rFonts w:ascii="Arial" w:eastAsia="Arial" w:hAnsi="Arial" w:cs="Arial"/>
                <w:color w:val="000000" w:themeColor="text1"/>
              </w:rPr>
              <w:t xml:space="preserve"> et al, 2021). This process ensures that both numerical evidence and contextual insights are systematically synthesised, providing a robust foundation for evaluating the impact of BCG vaccination campaigns.</w:t>
            </w:r>
          </w:p>
          <w:p w14:paraId="24168448" w14:textId="5939D580" w:rsidR="00F96C3F" w:rsidRPr="00A42F82" w:rsidRDefault="20DDBDBB" w:rsidP="46390F1C">
            <w:pPr>
              <w:pStyle w:val="Heading1"/>
              <w:jc w:val="left"/>
              <w:rPr>
                <w:color w:val="000000" w:themeColor="text1"/>
              </w:rPr>
            </w:pPr>
            <w:r w:rsidRPr="46390F1C">
              <w:rPr>
                <w:color w:val="000000" w:themeColor="text1"/>
              </w:rPr>
              <w:t xml:space="preserve">Ethical Consideration </w:t>
            </w:r>
          </w:p>
          <w:p w14:paraId="0AEF3454" w14:textId="6324B412"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 xml:space="preserve">This study will rely exclusively on secondary data drawn from published literature, official datasets, and organisational reports, which minimises direct ethical risks. However, adherence to ethical standards remains crucial (Taljaard et al, 2017). Only credible, properly cited sources will be used, ensuring intellectual honesty and avoidance of plagiarism (Fleming and </w:t>
            </w:r>
            <w:proofErr w:type="spellStart"/>
            <w:r w:rsidRPr="46390F1C">
              <w:rPr>
                <w:rFonts w:ascii="Arial" w:eastAsia="Arial" w:hAnsi="Arial" w:cs="Arial"/>
                <w:color w:val="000000" w:themeColor="text1"/>
              </w:rPr>
              <w:t>Zegwaard</w:t>
            </w:r>
            <w:proofErr w:type="spellEnd"/>
            <w:r w:rsidRPr="46390F1C">
              <w:rPr>
                <w:rFonts w:ascii="Arial" w:eastAsia="Arial" w:hAnsi="Arial" w:cs="Arial"/>
                <w:color w:val="000000" w:themeColor="text1"/>
              </w:rPr>
              <w:t xml:space="preserve">, 2018). All data will be analysed and reported with integrity, without manipulation to support preconceived outcomes (Taljaard et al, 2017). Since the research does not involve direct human participation, informed consent and privacy protection are not applicable; however, studies included in the review will be screened to ensure they were conducted ethically and in compliance with relevant guidelines (Taljaard et al, 2017). Care will also be taken to present findings objectively, particularly when discussing marginalised or vulnerable populations, to avoid reinforcing stereotypes or stigma associated with TB (Fleming and </w:t>
            </w:r>
            <w:proofErr w:type="spellStart"/>
            <w:r w:rsidRPr="46390F1C">
              <w:rPr>
                <w:rFonts w:ascii="Arial" w:eastAsia="Arial" w:hAnsi="Arial" w:cs="Arial"/>
                <w:color w:val="000000" w:themeColor="text1"/>
              </w:rPr>
              <w:t>Zegwaard</w:t>
            </w:r>
            <w:proofErr w:type="spellEnd"/>
            <w:r w:rsidRPr="46390F1C">
              <w:rPr>
                <w:rFonts w:ascii="Arial" w:eastAsia="Arial" w:hAnsi="Arial" w:cs="Arial"/>
                <w:color w:val="000000" w:themeColor="text1"/>
              </w:rPr>
              <w:t>, 2018). The research will uphold principles of beneficence by aiming to contribute evidence that can strengthen public health interventions and support equitable healthcare delivery in high-risk urban communities.</w:t>
            </w:r>
          </w:p>
          <w:p w14:paraId="29D0E99F" w14:textId="128ECC9F" w:rsidR="00F96C3F" w:rsidRPr="00A42F82" w:rsidRDefault="20DDBDBB" w:rsidP="46390F1C">
            <w:pPr>
              <w:pStyle w:val="Heading1"/>
              <w:jc w:val="left"/>
              <w:rPr>
                <w:color w:val="000000" w:themeColor="text1"/>
              </w:rPr>
            </w:pPr>
            <w:r w:rsidRPr="46390F1C">
              <w:rPr>
                <w:color w:val="000000" w:themeColor="text1"/>
              </w:rPr>
              <w:t xml:space="preserve">Data Analysis </w:t>
            </w:r>
          </w:p>
          <w:p w14:paraId="72090FCE" w14:textId="1B1A5492"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Thematic analysis will be employed to systematically identify, organise, and interpret patterns within qualitative data collected from the selected studies (Ahn and Kang, 2018). This method is particularly suitable for the current research as it allows for a deeper exploration of contextual issues influencing BCG vaccination campaigns in Delhi’s high-risk districts. The process will begin with familiarisation, where the researcher will carefully review the qualitative data, including findings on community perceptions, vaccine hesitancy, logistical challenges, and socio-economic barriers (</w:t>
            </w:r>
            <w:proofErr w:type="spellStart"/>
            <w:r w:rsidRPr="46390F1C">
              <w:rPr>
                <w:rFonts w:ascii="Arial" w:eastAsia="Arial" w:hAnsi="Arial" w:cs="Arial"/>
                <w:color w:val="000000" w:themeColor="text1"/>
              </w:rPr>
              <w:t>Belotto</w:t>
            </w:r>
            <w:proofErr w:type="spellEnd"/>
            <w:r w:rsidRPr="46390F1C">
              <w:rPr>
                <w:rFonts w:ascii="Arial" w:eastAsia="Arial" w:hAnsi="Arial" w:cs="Arial"/>
                <w:color w:val="000000" w:themeColor="text1"/>
              </w:rPr>
              <w:t>, 2018). Following this, initial codes will be generated to capture significant features of the data, such as “limited healthcare access,” “migrant mobility,” or “stigma associated with TB.” These codes will then be collated into potential themes that reflect recurring issues across multiple studies (</w:t>
            </w:r>
            <w:proofErr w:type="spellStart"/>
            <w:r w:rsidRPr="46390F1C">
              <w:rPr>
                <w:rFonts w:ascii="Arial" w:eastAsia="Arial" w:hAnsi="Arial" w:cs="Arial"/>
                <w:color w:val="000000" w:themeColor="text1"/>
              </w:rPr>
              <w:t>Mikalef</w:t>
            </w:r>
            <w:proofErr w:type="spellEnd"/>
            <w:r w:rsidRPr="46390F1C">
              <w:rPr>
                <w:rFonts w:ascii="Arial" w:eastAsia="Arial" w:hAnsi="Arial" w:cs="Arial"/>
                <w:color w:val="000000" w:themeColor="text1"/>
              </w:rPr>
              <w:t xml:space="preserve"> et al, 2018).</w:t>
            </w:r>
          </w:p>
          <w:p w14:paraId="6D55F798" w14:textId="7E0979C6" w:rsidR="00F96C3F" w:rsidRPr="00A42F82" w:rsidRDefault="20DDBDBB" w:rsidP="46390F1C">
            <w:pPr>
              <w:spacing w:line="360" w:lineRule="auto"/>
              <w:jc w:val="both"/>
              <w:rPr>
                <w:rFonts w:ascii="Arial" w:eastAsia="Arial" w:hAnsi="Arial" w:cs="Arial"/>
                <w:color w:val="000000" w:themeColor="text1"/>
              </w:rPr>
            </w:pPr>
            <w:r w:rsidRPr="46390F1C">
              <w:rPr>
                <w:rFonts w:ascii="Arial" w:eastAsia="Arial" w:hAnsi="Arial" w:cs="Arial"/>
                <w:color w:val="000000" w:themeColor="text1"/>
              </w:rPr>
              <w:t>In the next stage, themes will be refined, reviewed, and clearly defined to ensure they accurately represent the underlying data (Ahn and Kang, 2018). For instance, broad themes such as healthcare delivery barriers, social determinants of vaccine access, and community-level perceptions of vaccination may emerge. Each theme will be analysed for its impact on BCG campaign effectiveness and its contribution to TB persistence in high-risk populations. By synthesising these themes, the analysis will provide nuanced insights into why BCG campaigns succeed or fall short in specific contexts (Ahn and Kang, 2018). Importantly, thematic analysis not only highlights the barriers but also identifies enabling factors such as trust-building strategies, effective communication, or community outreach models that improve coverage (</w:t>
            </w:r>
            <w:proofErr w:type="spellStart"/>
            <w:r w:rsidRPr="46390F1C">
              <w:rPr>
                <w:rFonts w:ascii="Arial" w:eastAsia="Arial" w:hAnsi="Arial" w:cs="Arial"/>
                <w:color w:val="000000" w:themeColor="text1"/>
              </w:rPr>
              <w:t>Mikalef</w:t>
            </w:r>
            <w:proofErr w:type="spellEnd"/>
            <w:r w:rsidRPr="46390F1C">
              <w:rPr>
                <w:rFonts w:ascii="Arial" w:eastAsia="Arial" w:hAnsi="Arial" w:cs="Arial"/>
                <w:color w:val="000000" w:themeColor="text1"/>
              </w:rPr>
              <w:t xml:space="preserve"> et al, 2018). This interpretive approach ensures that the review captures both the challenges and opportunities in strengthening TB prevention through vaccination campaigns, offering a well-rounded understanding of implementation in vulnerable urban settings (Ahn and Kang, 2018).</w:t>
            </w:r>
          </w:p>
          <w:p w14:paraId="0687532F" w14:textId="31CC7CDE" w:rsidR="00F96C3F" w:rsidRPr="00A42F82" w:rsidRDefault="00F96C3F" w:rsidP="46390F1C">
            <w:pPr>
              <w:rPr>
                <w:rFonts w:ascii="Arial" w:eastAsia="Arial" w:hAnsi="Arial" w:cs="Arial"/>
                <w:color w:val="000000" w:themeColor="text1"/>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46390F1C">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46390F1C">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46390F1C">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46390F1C">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E7EE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46390F1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46390F1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3E21C69" w:rsidR="00D107AC" w:rsidRPr="00A42F82" w:rsidRDefault="336E2CF2"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22C5B379" w14:textId="77777777" w:rsidTr="46390F1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6CDCFDB" w:rsidR="00D107AC" w:rsidRPr="00A42F82" w:rsidRDefault="73A87E09"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1B7FDA9F" w14:textId="77777777" w:rsidTr="46390F1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B2DAFB2" w:rsidR="00D107AC" w:rsidRPr="00A42F82" w:rsidRDefault="509D452C"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069311FE" w14:textId="77777777" w:rsidTr="46390F1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436F797" w:rsidR="00D107AC" w:rsidRPr="00A42F82" w:rsidRDefault="2943EC79"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20DCF812" w14:textId="77777777" w:rsidTr="46390F1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71B3F05" w:rsidR="00D107AC" w:rsidRPr="00A42F82" w:rsidRDefault="720CB552"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1481C578" w14:textId="77777777" w:rsidTr="46390F1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7F55D6A" w:rsidR="00D107AC" w:rsidRPr="00A42F82" w:rsidRDefault="727D3FFA"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11978267" w14:textId="77777777" w:rsidTr="46390F1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874FB67" w:rsidR="00D107AC" w:rsidRPr="00A42F82" w:rsidRDefault="1118CADF"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75FA926E" w14:textId="77777777" w:rsidTr="46390F1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46390F1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46390F1C">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46390F1C">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01F97D1" w:rsidR="00C11423" w:rsidRPr="00A42F82" w:rsidRDefault="2580B6FE"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C11423" w:rsidRPr="00A42F82" w14:paraId="642E2FA5" w14:textId="77777777" w:rsidTr="46390F1C">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ABA5E56" w:rsidR="00C11423" w:rsidRPr="00A42F82" w:rsidRDefault="62347ACB"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1D1FC51D" w14:textId="77777777" w:rsidTr="46390F1C">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C424553" w:rsidR="00770C66" w:rsidRPr="00A42F82" w:rsidRDefault="24A872A8"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79FC01A2" w14:textId="77777777" w:rsidTr="46390F1C">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DA20397" w:rsidR="00770C66" w:rsidRPr="00A42F82" w:rsidRDefault="00A63E8C"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D107AC" w:rsidRPr="00A42F82" w14:paraId="2EF526F3" w14:textId="77777777" w:rsidTr="46390F1C">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2464A00" w:rsidR="00D107AC" w:rsidRPr="00A42F82" w:rsidRDefault="6109FBBB"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5B2CF3DD" w14:textId="77777777" w:rsidTr="46390F1C">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A4EDA31" w:rsidR="00770C66" w:rsidRPr="00A42F82" w:rsidRDefault="5998803C"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5BB8C103" w14:textId="77777777" w:rsidTr="46390F1C">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7BBE809" w:rsidR="00770C66" w:rsidRPr="00A42F82" w:rsidRDefault="77A3D115"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4407BE1E" w14:textId="77777777" w:rsidTr="46390F1C">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BF3E9C7" w:rsidR="00770C66" w:rsidRPr="00A42F82" w:rsidRDefault="53991C32"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19DC6A9A" w14:textId="77777777" w:rsidTr="46390F1C">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0B81ACE" w:rsidR="00770C66" w:rsidRPr="00A42F82" w:rsidRDefault="1E4B5E44"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221E6723" w14:textId="77777777" w:rsidTr="46390F1C">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08C2FFD" w:rsidR="00770C66" w:rsidRPr="00A42F82" w:rsidRDefault="59304361"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17B7D25A" w14:textId="77777777" w:rsidTr="46390F1C">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FFC0C79" w:rsidR="00770C66" w:rsidRPr="00A42F82" w:rsidRDefault="711D0EF0"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21F793EB" w14:textId="77777777" w:rsidTr="46390F1C">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EE8D1E9" w:rsidR="00770C66" w:rsidRPr="00A42F82" w:rsidRDefault="616013F1"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117D199E" w14:textId="77777777" w:rsidTr="46390F1C">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7AB61C1" w:rsidR="00770C66" w:rsidRPr="00A42F82" w:rsidRDefault="07DC70E0"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606E695C" w14:textId="77777777" w:rsidTr="46390F1C">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FA778A4" w:rsidR="00770C66" w:rsidRPr="00A42F82" w:rsidRDefault="541B9542"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47DEF5B4" w14:textId="77777777" w:rsidTr="46390F1C">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682EF9A" w:rsidR="00770C66" w:rsidRPr="00A42F82" w:rsidRDefault="39D2D61A"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20843E46" w14:textId="77777777" w:rsidTr="46390F1C">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DEA79B1" w:rsidR="00770C66" w:rsidRPr="00A42F82" w:rsidRDefault="39D2D61A"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645E7FFB" w14:textId="77777777" w:rsidTr="46390F1C">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45AD797" w:rsidR="00770C66" w:rsidRPr="00A42F82" w:rsidRDefault="4F92C343"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770C66" w:rsidRPr="00A42F82" w14:paraId="6C992DAB" w14:textId="77777777" w:rsidTr="46390F1C">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46390F1C">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46390F1C">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E7EE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46390F1C">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1AE0E47" w:rsidR="008C1A38" w:rsidRPr="00A42F82" w:rsidRDefault="009E7EE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4082F972" w:rsidRPr="46390F1C">
                  <w:rPr>
                    <w:rFonts w:ascii="MS Gothic" w:eastAsia="MS Gothic" w:hAnsi="MS Gothic" w:cs="MS Gothic"/>
                    <w:b w:val="0"/>
                    <w:bCs w:val="0"/>
                  </w:rPr>
                  <w:t>☒</w:t>
                </w:r>
              </w:sdtContent>
            </w:sdt>
          </w:p>
        </w:tc>
      </w:tr>
      <w:tr w:rsidR="00D51EF7" w:rsidRPr="00A42F82" w14:paraId="2708A7B6" w14:textId="77777777" w:rsidTr="46390F1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46390F1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64B8431" w:rsidR="00003E64" w:rsidRPr="00A42F82" w:rsidRDefault="64B42C74" w:rsidP="00A91894">
            <w:pPr>
              <w:rPr>
                <w:rFonts w:ascii="Arial" w:hAnsi="Arial" w:cs="Arial"/>
                <w:sz w:val="22"/>
                <w:szCs w:val="22"/>
              </w:rPr>
            </w:pPr>
            <w:r w:rsidRPr="46390F1C">
              <w:rPr>
                <w:rFonts w:ascii="Arial" w:hAnsi="Arial" w:cs="Arial"/>
                <w:sz w:val="22"/>
                <w:szCs w:val="22"/>
              </w:rPr>
              <w:t>N/A</w:t>
            </w:r>
          </w:p>
          <w:p w14:paraId="0C6ACE48" w14:textId="55AD5697" w:rsidR="46390F1C" w:rsidRDefault="46390F1C" w:rsidP="46390F1C">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46390F1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46390F1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5EE41D6" w:rsidR="00003E64" w:rsidRPr="00A42F82" w:rsidRDefault="1F70DCAC" w:rsidP="00A91894">
            <w:pPr>
              <w:rPr>
                <w:rFonts w:ascii="Arial" w:hAnsi="Arial" w:cs="Arial"/>
                <w:sz w:val="22"/>
                <w:szCs w:val="22"/>
              </w:rPr>
            </w:pPr>
            <w:r w:rsidRPr="46390F1C">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46390F1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46390F1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55F1566" w:rsidR="00003E64" w:rsidRPr="00A42F82" w:rsidRDefault="1A61EA57" w:rsidP="00A91894">
            <w:pPr>
              <w:rPr>
                <w:rFonts w:ascii="Arial" w:hAnsi="Arial" w:cs="Arial"/>
                <w:sz w:val="22"/>
                <w:szCs w:val="22"/>
              </w:rPr>
            </w:pPr>
            <w:r w:rsidRPr="46390F1C">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ADFB505" w:rsidR="00003E64" w:rsidRPr="00A42F82" w:rsidRDefault="1689E518" w:rsidP="00A91894">
            <w:pPr>
              <w:rPr>
                <w:rFonts w:ascii="Arial" w:hAnsi="Arial" w:cs="Arial"/>
                <w:sz w:val="22"/>
                <w:szCs w:val="22"/>
              </w:rPr>
            </w:pPr>
            <w:r w:rsidRPr="46390F1C">
              <w:rPr>
                <w:rFonts w:ascii="Arial" w:hAnsi="Arial" w:cs="Arial"/>
                <w:sz w:val="22"/>
                <w:szCs w:val="22"/>
              </w:rPr>
              <w:t>A regular contact with supervisor,</w:t>
            </w:r>
          </w:p>
          <w:p w14:paraId="2A339B84" w14:textId="45AA99C1" w:rsidR="1689E518" w:rsidRDefault="1689E518" w:rsidP="46390F1C">
            <w:pPr>
              <w:rPr>
                <w:rFonts w:ascii="Arial" w:hAnsi="Arial" w:cs="Arial"/>
                <w:sz w:val="22"/>
                <w:szCs w:val="22"/>
              </w:rPr>
            </w:pPr>
            <w:r w:rsidRPr="46390F1C">
              <w:rPr>
                <w:rFonts w:ascii="Arial" w:hAnsi="Arial" w:cs="Arial"/>
                <w:sz w:val="22"/>
                <w:szCs w:val="22"/>
              </w:rPr>
              <w:t>Time management,</w:t>
            </w:r>
          </w:p>
          <w:p w14:paraId="7BFBABD2" w14:textId="4BF06209" w:rsidR="1689E518" w:rsidRDefault="1689E518" w:rsidP="46390F1C">
            <w:pPr>
              <w:rPr>
                <w:rFonts w:ascii="Arial" w:hAnsi="Arial" w:cs="Arial"/>
                <w:sz w:val="22"/>
                <w:szCs w:val="22"/>
              </w:rPr>
            </w:pPr>
            <w:r w:rsidRPr="46390F1C">
              <w:rPr>
                <w:rFonts w:ascii="Arial" w:hAnsi="Arial" w:cs="Arial"/>
                <w:sz w:val="22"/>
                <w:szCs w:val="22"/>
              </w:rPr>
              <w:t>Look for academic support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46390F1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46390F1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58CE710" w:rsidR="0094056C" w:rsidRPr="00A42F82" w:rsidRDefault="2E2449C3" w:rsidP="00A91894">
            <w:pPr>
              <w:rPr>
                <w:rFonts w:ascii="Arial" w:hAnsi="Arial" w:cs="Arial"/>
                <w:sz w:val="22"/>
                <w:szCs w:val="22"/>
              </w:rPr>
            </w:pPr>
            <w:r w:rsidRPr="46390F1C">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F2570B2"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46390F1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46390F1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2B8E51" w14:textId="684BE489" w:rsidR="465643EF" w:rsidRDefault="465643EF" w:rsidP="46390F1C">
            <w:pPr>
              <w:rPr>
                <w:rFonts w:ascii="Arial" w:hAnsi="Arial" w:cs="Arial"/>
                <w:sz w:val="22"/>
                <w:szCs w:val="22"/>
              </w:rPr>
            </w:pPr>
            <w:r w:rsidRPr="46390F1C">
              <w:rPr>
                <w:rFonts w:ascii="Arial" w:hAnsi="Arial" w:cs="Arial"/>
                <w:sz w:val="22"/>
                <w:szCs w:val="22"/>
              </w:rPr>
              <w:t>Risk to the environment</w:t>
            </w:r>
            <w:r w:rsidR="68F2A949" w:rsidRPr="46390F1C">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0BAB4C6F" w14:textId="11784725" w:rsidR="27A0BB73" w:rsidRDefault="27A0BB73" w:rsidP="46390F1C">
            <w:pPr>
              <w:rPr>
                <w:rFonts w:ascii="Arial" w:hAnsi="Arial" w:cs="Arial"/>
                <w:sz w:val="22"/>
                <w:szCs w:val="22"/>
              </w:rPr>
            </w:pPr>
            <w:r w:rsidRPr="46390F1C">
              <w:rPr>
                <w:rFonts w:ascii="Arial" w:hAnsi="Arial" w:cs="Arial"/>
                <w:sz w:val="22"/>
                <w:szCs w:val="22"/>
              </w:rPr>
              <w:t>Overuse</w:t>
            </w:r>
            <w:r w:rsidR="2DAEEDCE" w:rsidRPr="46390F1C">
              <w:rPr>
                <w:rFonts w:ascii="Arial" w:hAnsi="Arial" w:cs="Arial"/>
                <w:sz w:val="22"/>
                <w:szCs w:val="22"/>
              </w:rPr>
              <w:t xml:space="preserve"> of resources (</w:t>
            </w:r>
            <w:r w:rsidR="67594CA3" w:rsidRPr="46390F1C">
              <w:rPr>
                <w:rFonts w:ascii="Arial" w:hAnsi="Arial" w:cs="Arial"/>
                <w:sz w:val="22"/>
                <w:szCs w:val="22"/>
              </w:rPr>
              <w:t>electricity,</w:t>
            </w:r>
            <w:r w:rsidR="2DAEEDCE" w:rsidRPr="46390F1C">
              <w:rPr>
                <w:rFonts w:ascii="Arial" w:hAnsi="Arial" w:cs="Arial"/>
                <w:sz w:val="22"/>
                <w:szCs w:val="22"/>
              </w:rPr>
              <w:t xml:space="preserve"> paper, electronics...)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465643EF" w:rsidP="00A91894">
            <w:pPr>
              <w:autoSpaceDE w:val="0"/>
              <w:autoSpaceDN w:val="0"/>
              <w:adjustRightInd w:val="0"/>
              <w:rPr>
                <w:rFonts w:ascii="Arial" w:hAnsi="Arial" w:cs="Arial"/>
                <w:i/>
                <w:sz w:val="18"/>
                <w:szCs w:val="18"/>
              </w:rPr>
            </w:pPr>
            <w:r w:rsidRPr="46390F1C">
              <w:rPr>
                <w:rFonts w:ascii="Arial" w:hAnsi="Arial" w:cs="Arial"/>
                <w:i/>
                <w:iCs/>
                <w:sz w:val="18"/>
                <w:szCs w:val="18"/>
              </w:rPr>
              <w:t>How you will mitigate the r</w:t>
            </w:r>
            <w:r w:rsidR="68F2A949" w:rsidRPr="46390F1C">
              <w:rPr>
                <w:rFonts w:ascii="Arial" w:hAnsi="Arial" w:cs="Arial"/>
                <w:i/>
                <w:iCs/>
                <w:sz w:val="18"/>
                <w:szCs w:val="18"/>
              </w:rPr>
              <w:t xml:space="preserve">isk to </w:t>
            </w:r>
            <w:r w:rsidRPr="46390F1C">
              <w:rPr>
                <w:rFonts w:ascii="Arial" w:hAnsi="Arial" w:cs="Arial"/>
                <w:i/>
                <w:iCs/>
                <w:sz w:val="18"/>
                <w:szCs w:val="18"/>
              </w:rPr>
              <w:t>environment</w:t>
            </w:r>
            <w:r w:rsidR="68F2A949" w:rsidRPr="46390F1C">
              <w:rPr>
                <w:rFonts w:ascii="Arial" w:hAnsi="Arial" w:cs="Arial"/>
                <w:i/>
                <w:iCs/>
                <w:sz w:val="18"/>
                <w:szCs w:val="18"/>
              </w:rPr>
              <w:t>:</w:t>
            </w:r>
          </w:p>
          <w:p w14:paraId="4D1FED92" w14:textId="0D0D74A9" w:rsidR="46390F1C" w:rsidRDefault="46390F1C" w:rsidP="46390F1C">
            <w:pPr>
              <w:rPr>
                <w:rFonts w:ascii="Arial" w:hAnsi="Arial" w:cs="Arial"/>
                <w:i/>
                <w:iCs/>
                <w:sz w:val="18"/>
                <w:szCs w:val="18"/>
              </w:rPr>
            </w:pPr>
          </w:p>
          <w:p w14:paraId="6B1C8D3D" w14:textId="2EE77ACD" w:rsidR="00003E64" w:rsidRPr="00A42F82" w:rsidRDefault="5610121C" w:rsidP="00A91894">
            <w:pPr>
              <w:rPr>
                <w:rFonts w:ascii="Arial" w:hAnsi="Arial" w:cs="Arial"/>
                <w:sz w:val="22"/>
                <w:szCs w:val="22"/>
              </w:rPr>
            </w:pPr>
            <w:r w:rsidRPr="46390F1C">
              <w:rPr>
                <w:rFonts w:ascii="Arial" w:hAnsi="Arial" w:cs="Arial"/>
                <w:sz w:val="22"/>
                <w:szCs w:val="22"/>
              </w:rPr>
              <w:t xml:space="preserve">Save </w:t>
            </w:r>
            <w:r w:rsidR="6D94C875" w:rsidRPr="46390F1C">
              <w:rPr>
                <w:rFonts w:ascii="Arial" w:hAnsi="Arial" w:cs="Arial"/>
                <w:sz w:val="22"/>
                <w:szCs w:val="22"/>
              </w:rPr>
              <w:t>electricity, adequate</w:t>
            </w:r>
            <w:r w:rsidRPr="46390F1C">
              <w:rPr>
                <w:rFonts w:ascii="Arial" w:hAnsi="Arial" w:cs="Arial"/>
                <w:sz w:val="22"/>
                <w:szCs w:val="22"/>
              </w:rPr>
              <w:t xml:space="preserve"> use of </w:t>
            </w:r>
            <w:r w:rsidR="3ED97740" w:rsidRPr="46390F1C">
              <w:rPr>
                <w:rFonts w:ascii="Arial" w:hAnsi="Arial" w:cs="Arial"/>
                <w:sz w:val="22"/>
                <w:szCs w:val="22"/>
              </w:rPr>
              <w:t>resources, use</w:t>
            </w:r>
            <w:r w:rsidRPr="46390F1C">
              <w:rPr>
                <w:rFonts w:ascii="Arial" w:hAnsi="Arial" w:cs="Arial"/>
                <w:sz w:val="22"/>
                <w:szCs w:val="22"/>
              </w:rPr>
              <w:t xml:space="preserve"> </w:t>
            </w:r>
            <w:r w:rsidR="373CB30E" w:rsidRPr="46390F1C">
              <w:rPr>
                <w:rFonts w:ascii="Arial" w:hAnsi="Arial" w:cs="Arial"/>
                <w:sz w:val="22"/>
                <w:szCs w:val="22"/>
              </w:rPr>
              <w:t>of digital documentation to save printings</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46390F1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46390F1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46390F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E7EE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E7EE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D019D83" w:rsidR="006930C2" w:rsidRPr="00A42F82" w:rsidRDefault="009E7EE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2AA3009E" w:rsidRPr="46390F1C">
                  <w:rPr>
                    <w:rFonts w:ascii="MS Gothic" w:eastAsia="MS Gothic" w:hAnsi="MS Gothic" w:cs="MS Gothic"/>
                    <w:sz w:val="22"/>
                    <w:szCs w:val="22"/>
                  </w:rPr>
                  <w:t>☒</w:t>
                </w:r>
              </w:sdtContent>
            </w:sdt>
          </w:p>
        </w:tc>
      </w:tr>
      <w:tr w:rsidR="0094056C" w:rsidRPr="00A42F82" w14:paraId="0DB9CC66" w14:textId="77777777" w:rsidTr="46390F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46390F1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46390F1C">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072B4E6" w:rsidR="006930C2" w:rsidRPr="00A42F82" w:rsidRDefault="710E8CA6" w:rsidP="00A91894">
            <w:pPr>
              <w:rPr>
                <w:rFonts w:ascii="Arial" w:hAnsi="Arial" w:cs="Arial"/>
                <w:sz w:val="22"/>
                <w:szCs w:val="22"/>
              </w:rPr>
            </w:pPr>
            <w:r w:rsidRPr="46390F1C">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46390F1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46390F1C">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FDC7594" w:rsidR="006930C2" w:rsidRPr="00A42F82" w:rsidRDefault="6137908B" w:rsidP="00A91894">
            <w:pPr>
              <w:rPr>
                <w:rFonts w:ascii="Arial" w:hAnsi="Arial" w:cs="Arial"/>
                <w:sz w:val="22"/>
                <w:szCs w:val="22"/>
              </w:rPr>
            </w:pPr>
            <w:r w:rsidRPr="46390F1C">
              <w:rPr>
                <w:rFonts w:ascii="Arial" w:hAnsi="Arial" w:cs="Arial"/>
                <w:sz w:val="22"/>
                <w:szCs w:val="22"/>
              </w:rPr>
              <w:t>N/</w:t>
            </w:r>
            <w:r w:rsidR="25469008" w:rsidRPr="46390F1C">
              <w:rPr>
                <w:rFonts w:ascii="Arial" w:hAnsi="Arial" w:cs="Arial"/>
                <w:sz w:val="22"/>
                <w:szCs w:val="22"/>
              </w:rPr>
              <w:t>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46390F1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46390F1C">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0349D05" w:rsidR="006930C2" w:rsidRPr="00A42F82" w:rsidRDefault="39D0E7FE" w:rsidP="00A91894">
            <w:pPr>
              <w:rPr>
                <w:rFonts w:ascii="Arial" w:hAnsi="Arial" w:cs="Arial"/>
                <w:sz w:val="22"/>
                <w:szCs w:val="22"/>
              </w:rPr>
            </w:pPr>
            <w:r w:rsidRPr="46390F1C">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46390F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46390F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D2CB43" w14:textId="5707E185" w:rsidR="006930C2" w:rsidRPr="00A42F82" w:rsidRDefault="6E2E06D9" w:rsidP="46390F1C">
            <w:pPr>
              <w:pBdr>
                <w:top w:val="nil"/>
                <w:left w:val="nil"/>
                <w:bottom w:val="nil"/>
                <w:right w:val="nil"/>
                <w:between w:val="nil"/>
              </w:pBdr>
              <w:autoSpaceDE w:val="0"/>
              <w:autoSpaceDN w:val="0"/>
              <w:adjustRightInd w:val="0"/>
              <w:jc w:val="center"/>
              <w:rPr>
                <w:lang w:val="en-US"/>
              </w:rPr>
            </w:pPr>
            <w:r w:rsidRPr="46390F1C">
              <w:rPr>
                <w:lang w:val="en-US"/>
              </w:rPr>
              <w:t xml:space="preserve"> </w:t>
            </w:r>
          </w:p>
          <w:p w14:paraId="75EB677D" w14:textId="01A2D6F0" w:rsidR="006930C2" w:rsidRPr="00A42F82" w:rsidRDefault="006930C2" w:rsidP="46390F1C">
            <w:pPr>
              <w:pBdr>
                <w:top w:val="nil"/>
                <w:left w:val="nil"/>
                <w:bottom w:val="nil"/>
                <w:right w:val="nil"/>
                <w:between w:val="nil"/>
              </w:pBdr>
              <w:autoSpaceDE w:val="0"/>
              <w:autoSpaceDN w:val="0"/>
              <w:adjustRightInd w:val="0"/>
              <w:jc w:val="center"/>
              <w:rPr>
                <w:rFonts w:ascii="Quattrocento Sans" w:eastAsia="Quattrocento Sans" w:hAnsi="Quattrocento Sans" w:cs="Quattrocento Sans"/>
                <w:color w:val="000000" w:themeColor="text1"/>
                <w:sz w:val="22"/>
                <w:szCs w:val="22"/>
              </w:rPr>
            </w:pPr>
          </w:p>
          <w:p w14:paraId="7B8EABA4" w14:textId="61DE1F88" w:rsidR="006930C2" w:rsidRPr="00A42F82" w:rsidRDefault="006930C2" w:rsidP="46390F1C">
            <w:pPr>
              <w:pBdr>
                <w:top w:val="nil"/>
                <w:left w:val="nil"/>
                <w:bottom w:val="nil"/>
                <w:right w:val="nil"/>
                <w:between w:val="nil"/>
              </w:pBdr>
              <w:autoSpaceDE w:val="0"/>
              <w:autoSpaceDN w:val="0"/>
              <w:adjustRightInd w:val="0"/>
              <w:jc w:val="center"/>
              <w:rPr>
                <w:rFonts w:ascii="Quattrocento Sans" w:eastAsia="Quattrocento Sans" w:hAnsi="Quattrocento Sans" w:cs="Quattrocento Sans"/>
                <w:color w:val="000000" w:themeColor="text1"/>
                <w:sz w:val="22"/>
                <w:szCs w:val="22"/>
              </w:rPr>
            </w:pPr>
          </w:p>
          <w:p w14:paraId="4450C0C5" w14:textId="09675222" w:rsidR="006930C2" w:rsidRPr="00A42F82" w:rsidRDefault="006930C2" w:rsidP="46390F1C">
            <w:pPr>
              <w:pBdr>
                <w:top w:val="nil"/>
                <w:left w:val="nil"/>
                <w:bottom w:val="nil"/>
                <w:right w:val="nil"/>
                <w:between w:val="nil"/>
              </w:pBdr>
              <w:autoSpaceDE w:val="0"/>
              <w:autoSpaceDN w:val="0"/>
              <w:adjustRightInd w:val="0"/>
              <w:jc w:val="center"/>
              <w:rPr>
                <w:rFonts w:ascii="Quattrocento Sans" w:eastAsia="Quattrocento Sans" w:hAnsi="Quattrocento Sans" w:cs="Quattrocento Sans"/>
                <w:color w:val="000000" w:themeColor="text1"/>
                <w:sz w:val="22"/>
                <w:szCs w:val="22"/>
              </w:rPr>
            </w:pPr>
          </w:p>
          <w:p w14:paraId="19E66F1F" w14:textId="7C7CC29F" w:rsidR="006930C2" w:rsidRPr="00A42F82" w:rsidRDefault="7AD2B0ED" w:rsidP="46390F1C">
            <w:pPr>
              <w:pStyle w:val="NormalWeb"/>
              <w:autoSpaceDE w:val="0"/>
              <w:autoSpaceDN w:val="0"/>
              <w:adjustRightInd w:val="0"/>
              <w:jc w:val="center"/>
              <w:rPr>
                <w:rFonts w:ascii="Quattrocento Sans" w:eastAsia="Quattrocento Sans" w:hAnsi="Quattrocento Sans" w:cs="Quattrocento Sans"/>
                <w:sz w:val="22"/>
                <w:szCs w:val="22"/>
              </w:rPr>
            </w:pPr>
            <w:r w:rsidRPr="46390F1C">
              <w:rPr>
                <w:rFonts w:ascii="Segoe UI Symbol" w:eastAsia="Segoe UI Symbol" w:hAnsi="Segoe UI Symbol" w:cs="Segoe UI Symbol"/>
                <w:color w:val="000000" w:themeColor="text1"/>
                <w:sz w:val="22"/>
                <w:szCs w:val="22"/>
                <w:highlight w:val="black"/>
                <w:lang w:val="en-US"/>
              </w:rPr>
              <w:t>☐</w:t>
            </w:r>
          </w:p>
          <w:p w14:paraId="4E46094F" w14:textId="3868C95B" w:rsidR="006930C2" w:rsidRPr="00A42F82" w:rsidRDefault="006930C2" w:rsidP="46390F1C">
            <w:pPr>
              <w:pBdr>
                <w:top w:val="nil"/>
                <w:left w:val="nil"/>
                <w:bottom w:val="nil"/>
                <w:right w:val="nil"/>
                <w:between w:val="nil"/>
              </w:pBdr>
              <w:autoSpaceDE w:val="0"/>
              <w:autoSpaceDN w:val="0"/>
              <w:adjustRightInd w:val="0"/>
              <w:jc w:val="center"/>
              <w:rPr>
                <w:rFonts w:ascii="Quattrocento Sans" w:eastAsia="Quattrocento Sans" w:hAnsi="Quattrocento Sans" w:cs="Quattrocento Sans"/>
                <w:color w:val="000000" w:themeColor="text1"/>
                <w:sz w:val="22"/>
                <w:szCs w:val="22"/>
              </w:rPr>
            </w:pPr>
          </w:p>
          <w:p w14:paraId="5A8ED1BA" w14:textId="60F9E485" w:rsidR="006930C2" w:rsidRPr="00A42F82" w:rsidRDefault="006930C2" w:rsidP="46390F1C">
            <w:pPr>
              <w:pBdr>
                <w:top w:val="nil"/>
                <w:left w:val="nil"/>
                <w:bottom w:val="nil"/>
                <w:right w:val="nil"/>
                <w:between w:val="nil"/>
              </w:pBdr>
              <w:autoSpaceDE w:val="0"/>
              <w:autoSpaceDN w:val="0"/>
              <w:adjustRightInd w:val="0"/>
              <w:jc w:val="center"/>
              <w:rPr>
                <w:rFonts w:ascii="Quattrocento Sans" w:eastAsia="Quattrocento Sans" w:hAnsi="Quattrocento Sans" w:cs="Quattrocento Sans"/>
                <w:color w:val="000000" w:themeColor="text1"/>
                <w:sz w:val="22"/>
                <w:szCs w:val="22"/>
              </w:rPr>
            </w:pPr>
          </w:p>
          <w:p w14:paraId="43668EE2" w14:textId="44482415" w:rsidR="006930C2" w:rsidRPr="00A42F82" w:rsidRDefault="006930C2" w:rsidP="46390F1C">
            <w:pPr>
              <w:pStyle w:val="NormalWeb"/>
              <w:autoSpaceDE w:val="0"/>
              <w:autoSpaceDN w:val="0"/>
              <w:adjustRightInd w:val="0"/>
              <w:jc w:val="center"/>
              <w:rPr>
                <w:rFonts w:ascii="Segoe UI Symbol" w:eastAsia="MS Gothic" w:hAnsi="Segoe UI Symbol" w:cs="Segoe UI Symbol"/>
                <w:sz w:val="22"/>
                <w:szCs w:val="22"/>
                <w:lang w:val="en-US"/>
              </w:rPr>
            </w:pPr>
          </w:p>
        </w:tc>
      </w:tr>
      <w:tr w:rsidR="006930C2" w:rsidRPr="00A42F82" w14:paraId="3ECD14DF" w14:textId="77777777" w:rsidTr="46390F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46390F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46390F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46390F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7F21BC" w14:textId="4D0A42EB" w:rsidR="006930C2" w:rsidRPr="00A42F82" w:rsidRDefault="006930C2" w:rsidP="46390F1C">
            <w:pPr>
              <w:autoSpaceDE w:val="0"/>
              <w:autoSpaceDN w:val="0"/>
              <w:adjustRightInd w:val="0"/>
              <w:spacing w:beforeAutospacing="1" w:afterAutospacing="1"/>
              <w:jc w:val="center"/>
              <w:rPr>
                <w:lang w:val="en-US"/>
              </w:rPr>
            </w:pPr>
          </w:p>
          <w:p w14:paraId="0E7ABFCE" w14:textId="7CA87EFE" w:rsidR="006930C2" w:rsidRPr="00A42F82" w:rsidRDefault="3D59A861" w:rsidP="46390F1C">
            <w:pPr>
              <w:autoSpaceDE w:val="0"/>
              <w:autoSpaceDN w:val="0"/>
              <w:adjustRightInd w:val="0"/>
              <w:spacing w:beforeAutospacing="1" w:afterAutospacing="1"/>
              <w:jc w:val="center"/>
              <w:rPr>
                <w:lang w:val="en-US"/>
              </w:rPr>
            </w:pPr>
            <w:r w:rsidRPr="46390F1C">
              <w:rPr>
                <w:lang w:val="en-US"/>
              </w:rPr>
              <w:t xml:space="preserve"> </w:t>
            </w:r>
            <w:r w:rsidR="7ECF767F" w:rsidRPr="46390F1C">
              <w:rPr>
                <w:rFonts w:ascii="Segoe UI Symbol" w:eastAsia="Segoe UI Symbol" w:hAnsi="Segoe UI Symbol" w:cs="Segoe UI Symbol"/>
                <w:color w:val="000000" w:themeColor="text1"/>
                <w:sz w:val="22"/>
                <w:szCs w:val="22"/>
                <w:highlight w:val="black"/>
                <w:lang w:val="en-US"/>
              </w:rPr>
              <w:t>☐</w:t>
            </w:r>
          </w:p>
          <w:p w14:paraId="681CE3BB" w14:textId="565A9FE7" w:rsidR="006930C2" w:rsidRPr="00A42F82" w:rsidRDefault="006930C2" w:rsidP="46390F1C">
            <w:pPr>
              <w:pBdr>
                <w:top w:val="nil"/>
                <w:left w:val="nil"/>
                <w:bottom w:val="nil"/>
                <w:right w:val="nil"/>
                <w:between w:val="nil"/>
              </w:pBdr>
              <w:autoSpaceDE w:val="0"/>
              <w:autoSpaceDN w:val="0"/>
              <w:adjustRightInd w:val="0"/>
              <w:jc w:val="center"/>
              <w:rPr>
                <w:lang w:val="en-US"/>
              </w:rPr>
            </w:pPr>
          </w:p>
        </w:tc>
      </w:tr>
      <w:tr w:rsidR="006930C2" w:rsidRPr="00A42F82" w14:paraId="4DD80E5A" w14:textId="77777777" w:rsidTr="46390F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46390F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46390F1C">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46390F1C">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BA080EA" w:rsidR="004D0161" w:rsidRPr="00A42F82" w:rsidRDefault="2346BE8F"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2964593D" w14:textId="77777777" w:rsidTr="46390F1C">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2D8C155" w:rsidR="004D0161" w:rsidRPr="00A42F82" w:rsidRDefault="5FCD68A3"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46390F1C">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3F061B5" w:rsidR="004D0161" w:rsidRPr="00A42F82" w:rsidRDefault="1575526B"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672ED9EF" w14:textId="77777777" w:rsidTr="46390F1C">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0C2DE3A" w:rsidR="004D0161" w:rsidRPr="00A42F82" w:rsidRDefault="3BDFD341"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46390F1C">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55B26A0" w:rsidR="004D0161" w:rsidRPr="00A42F82" w:rsidRDefault="48562F4C"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46390F1C">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52C28AE" w:rsidR="004D0161" w:rsidRPr="00A42F82" w:rsidRDefault="3EE82A17"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46390F1C">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46390F1C">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46390F1C">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C9230E5" w:rsidR="004D0161" w:rsidRPr="00A42F82" w:rsidRDefault="7D744C0B" w:rsidP="00A91894">
            <w:pPr>
              <w:rPr>
                <w:rFonts w:ascii="Arial" w:hAnsi="Arial" w:cs="Arial"/>
                <w:sz w:val="22"/>
                <w:szCs w:val="22"/>
              </w:rPr>
            </w:pPr>
            <w:r w:rsidRPr="46390F1C">
              <w:rPr>
                <w:rFonts w:ascii="Arial" w:hAnsi="Arial" w:cs="Arial"/>
                <w:sz w:val="22"/>
                <w:szCs w:val="22"/>
              </w:rPr>
              <w:t xml:space="preserve">The data collected will be password protected and encrypted </w:t>
            </w:r>
            <w:r w:rsidR="60DBDBD0" w:rsidRPr="46390F1C">
              <w:rPr>
                <w:rFonts w:ascii="Arial" w:hAnsi="Arial" w:cs="Arial"/>
                <w:sz w:val="22"/>
                <w:szCs w:val="22"/>
              </w:rPr>
              <w:t>and stored in the university cloud.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46390F1C">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46390F1C">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46390F1C">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CEDB783" w:rsidR="004D0161" w:rsidRPr="00A42F82" w:rsidRDefault="250DEE3A"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0A7CF20" w:rsidR="004D0161" w:rsidRPr="00A42F82" w:rsidRDefault="250DEE3A"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7B69D445" w14:textId="77777777" w:rsidTr="46390F1C">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D851503" w:rsidR="004D0161" w:rsidRPr="00A42F82" w:rsidRDefault="477DBF8F"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6EDBB55B" w14:textId="77777777" w:rsidTr="46390F1C">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C230269" w:rsidR="004D0161" w:rsidRPr="00A42F82" w:rsidRDefault="622AA8D2"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2CE29B54" w14:textId="77777777" w:rsidTr="46390F1C">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44B3732" w:rsidR="004D0161" w:rsidRPr="00A42F82" w:rsidRDefault="622AA8D2"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00416CA8" w14:textId="77777777" w:rsidTr="46390F1C">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EE12A44" w:rsidR="004D0161" w:rsidRPr="00A42F82" w:rsidRDefault="458CCEA1"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11323FBA" w14:textId="77777777" w:rsidTr="46390F1C">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DE789A" w:rsidR="004D0161" w:rsidRPr="00A42F82" w:rsidRDefault="569E7950"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077A2293" w14:textId="77777777" w:rsidTr="46390F1C">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47F99A7F" w:rsidR="004D0161" w:rsidRPr="00A42F82" w:rsidRDefault="1A072C8C"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46390F1C">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A91B525" w:rsidR="004D0161" w:rsidRPr="00A42F82" w:rsidRDefault="22371BA4" w:rsidP="00A91894">
                <w:pPr>
                  <w:autoSpaceDE w:val="0"/>
                  <w:autoSpaceDN w:val="0"/>
                  <w:adjustRightInd w:val="0"/>
                  <w:jc w:val="center"/>
                  <w:rPr>
                    <w:rFonts w:ascii="Arial" w:hAnsi="Arial" w:cs="Arial"/>
                    <w:sz w:val="22"/>
                    <w:szCs w:val="22"/>
                  </w:rPr>
                </w:pPr>
                <w:r w:rsidRPr="46390F1C">
                  <w:rPr>
                    <w:rFonts w:ascii="MS Gothic" w:eastAsia="MS Gothic" w:hAnsi="MS Gothic" w:cs="MS Gothic"/>
                    <w:sz w:val="22"/>
                    <w:szCs w:val="22"/>
                  </w:rPr>
                  <w:t>☒</w:t>
                </w:r>
              </w:p>
            </w:sdtContent>
          </w:sdt>
        </w:tc>
      </w:tr>
      <w:tr w:rsidR="004D0161" w:rsidRPr="00A42F82" w14:paraId="0CE98A9D" w14:textId="77777777" w:rsidTr="46390F1C">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46390F1C">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ABEFD71" w:rsidR="004D0161" w:rsidRPr="00A42F82" w:rsidRDefault="4FBCE821" w:rsidP="00A91894">
            <w:pPr>
              <w:autoSpaceDE w:val="0"/>
              <w:autoSpaceDN w:val="0"/>
              <w:adjustRightInd w:val="0"/>
              <w:rPr>
                <w:rFonts w:ascii="Arial" w:hAnsi="Arial" w:cs="Arial"/>
                <w:sz w:val="22"/>
                <w:szCs w:val="22"/>
              </w:rPr>
            </w:pPr>
            <w:r w:rsidRPr="46390F1C">
              <w:rPr>
                <w:rFonts w:ascii="Arial" w:hAnsi="Arial" w:cs="Arial"/>
                <w:sz w:val="22"/>
                <w:szCs w:val="22"/>
              </w:rPr>
              <w:t>Will use Excel literature matrix to manage the research activities.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46390F1C">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46390F1C">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063D62C" w:rsidR="004D0161" w:rsidRPr="00A42F82" w:rsidRDefault="58D890E8" w:rsidP="00A91894">
            <w:pPr>
              <w:autoSpaceDE w:val="0"/>
              <w:autoSpaceDN w:val="0"/>
              <w:adjustRightInd w:val="0"/>
              <w:rPr>
                <w:rFonts w:ascii="Arial" w:hAnsi="Arial" w:cs="Arial"/>
                <w:sz w:val="22"/>
                <w:szCs w:val="22"/>
              </w:rPr>
            </w:pPr>
            <w:r w:rsidRPr="46390F1C">
              <w:rPr>
                <w:rFonts w:ascii="Arial" w:hAnsi="Arial" w:cs="Arial"/>
                <w:sz w:val="22"/>
                <w:szCs w:val="22"/>
              </w:rPr>
              <w:t>The students researcher and the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46390F1C">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46390F1C">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8EC7509" w:rsidR="004D0161" w:rsidRPr="00A42F82" w:rsidRDefault="2DD89568" w:rsidP="00A91894">
            <w:pPr>
              <w:autoSpaceDE w:val="0"/>
              <w:autoSpaceDN w:val="0"/>
              <w:adjustRightInd w:val="0"/>
              <w:rPr>
                <w:rFonts w:ascii="Arial" w:hAnsi="Arial" w:cs="Arial"/>
                <w:sz w:val="22"/>
                <w:szCs w:val="22"/>
              </w:rPr>
            </w:pPr>
            <w:r w:rsidRPr="46390F1C">
              <w:rPr>
                <w:rFonts w:ascii="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46390F1C">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46390F1C">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7A796B4" w:rsidR="004D0161" w:rsidRPr="00A42F82" w:rsidRDefault="4DDB59D6" w:rsidP="46390F1C">
            <w:pPr>
              <w:autoSpaceDE w:val="0"/>
              <w:autoSpaceDN w:val="0"/>
              <w:adjustRightInd w:val="0"/>
              <w:rPr>
                <w:rFonts w:ascii="Arial" w:eastAsia="Arial" w:hAnsi="Arial" w:cs="Arial"/>
                <w:sz w:val="22"/>
                <w:szCs w:val="22"/>
              </w:rPr>
            </w:pPr>
            <w:r w:rsidRPr="46390F1C">
              <w:rPr>
                <w:rFonts w:ascii="Arial" w:eastAsia="Arial" w:hAnsi="Arial" w:cs="Arial"/>
                <w:color w:val="000000" w:themeColor="text1"/>
                <w:sz w:val="22"/>
                <w:szCs w:val="22"/>
              </w:rPr>
              <w:t>The files will be password-protected, encrypted and stored in the university OneDrive (cloud services), and data will be discarded after the end of the research (May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46390F1C">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46390F1C">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B494CB5"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46390F1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7016D7" w:rsidR="00240C32" w:rsidRPr="00A42F82" w:rsidRDefault="009E7EE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2D3E3E7D" w:rsidRPr="46390F1C">
                  <w:rPr>
                    <w:rFonts w:ascii="MS Gothic" w:eastAsia="MS Gothic" w:hAnsi="MS Gothic" w:cs="MS Gothic"/>
                  </w:rPr>
                  <w:t>☒</w:t>
                </w:r>
              </w:sdtContent>
            </w:sdt>
          </w:p>
        </w:tc>
      </w:tr>
      <w:tr w:rsidR="00240C32" w:rsidRPr="00A42F82" w14:paraId="4A7B4A39" w14:textId="77777777" w:rsidTr="46390F1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A09B95D" w:rsidR="00240C32" w:rsidRPr="00A42F82" w:rsidRDefault="009E7EE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57ECDB73" w:rsidRPr="46390F1C">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46390F1C">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46390F1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93A80A" w:rsidR="004D0161" w:rsidRPr="00A42F82" w:rsidRDefault="14C85442" w:rsidP="46390F1C">
            <w:pPr>
              <w:spacing w:before="100" w:beforeAutospacing="1" w:after="100" w:afterAutospacing="1"/>
              <w:rPr>
                <w:rFonts w:ascii="Arial" w:hAnsi="Arial" w:cs="Arial"/>
                <w:sz w:val="22"/>
                <w:szCs w:val="22"/>
              </w:rPr>
            </w:pPr>
            <w:proofErr w:type="spellStart"/>
            <w:r w:rsidRPr="46390F1C">
              <w:rPr>
                <w:rFonts w:ascii="Arial" w:hAnsi="Arial" w:cs="Arial"/>
                <w:sz w:val="22"/>
                <w:szCs w:val="22"/>
              </w:rPr>
              <w:t>Kruti</w:t>
            </w:r>
            <w:proofErr w:type="spellEnd"/>
            <w:r w:rsidRPr="46390F1C">
              <w:rPr>
                <w:rFonts w:ascii="Arial" w:hAnsi="Arial" w:cs="Arial"/>
                <w:sz w:val="22"/>
                <w:szCs w:val="22"/>
              </w:rPr>
              <w:t xml:space="preserve"> </w:t>
            </w:r>
            <w:proofErr w:type="spellStart"/>
            <w:r w:rsidRPr="46390F1C">
              <w:rPr>
                <w:rFonts w:ascii="Arial" w:hAnsi="Arial" w:cs="Arial"/>
                <w:sz w:val="22"/>
                <w:szCs w:val="22"/>
              </w:rPr>
              <w:t>Dilipbhai</w:t>
            </w:r>
            <w:proofErr w:type="spellEnd"/>
            <w:r w:rsidRPr="46390F1C">
              <w:rPr>
                <w:rFonts w:ascii="Arial" w:hAnsi="Arial" w:cs="Arial"/>
                <w:sz w:val="22"/>
                <w:szCs w:val="22"/>
              </w:rPr>
              <w:t xml:space="preserve"> </w:t>
            </w:r>
            <w:proofErr w:type="spellStart"/>
            <w:r w:rsidRPr="46390F1C">
              <w:rPr>
                <w:rFonts w:ascii="Arial" w:hAnsi="Arial" w:cs="Arial"/>
                <w:sz w:val="22"/>
                <w:szCs w:val="22"/>
              </w:rPr>
              <w:t>Borad</w:t>
            </w:r>
            <w:proofErr w:type="spellEnd"/>
          </w:p>
        </w:tc>
        <w:tc>
          <w:tcPr>
            <w:tcW w:w="2139" w:type="dxa"/>
            <w:vAlign w:val="center"/>
          </w:tcPr>
          <w:p w14:paraId="42829944" w14:textId="47DA1536" w:rsidR="004D0161" w:rsidRPr="00A42F82" w:rsidRDefault="51D673F3" w:rsidP="46390F1C">
            <w:pPr>
              <w:spacing w:before="100" w:beforeAutospacing="1" w:after="100" w:afterAutospacing="1"/>
              <w:rPr>
                <w:rFonts w:ascii="Arial" w:hAnsi="Arial" w:cs="Arial"/>
                <w:b/>
                <w:bCs/>
                <w:sz w:val="22"/>
                <w:szCs w:val="22"/>
              </w:rPr>
            </w:pPr>
            <w:r w:rsidRPr="46390F1C">
              <w:rPr>
                <w:rFonts w:ascii="Arial" w:hAnsi="Arial" w:cs="Arial"/>
                <w:b/>
                <w:bCs/>
                <w:sz w:val="22"/>
                <w:szCs w:val="22"/>
              </w:rPr>
              <w:t>Date:</w:t>
            </w:r>
            <w:r w:rsidR="1F444D21" w:rsidRPr="46390F1C">
              <w:rPr>
                <w:rFonts w:ascii="Arial" w:hAnsi="Arial" w:cs="Arial"/>
                <w:b/>
                <w:bCs/>
                <w:sz w:val="22"/>
                <w:szCs w:val="22"/>
              </w:rPr>
              <w:t>22/08/2025</w:t>
            </w:r>
          </w:p>
          <w:p w14:paraId="6C1C1BE5" w14:textId="1FAEC9F9" w:rsidR="004D0161" w:rsidRPr="00A42F82" w:rsidRDefault="004D0161" w:rsidP="46390F1C">
            <w:pPr>
              <w:spacing w:before="100" w:beforeAutospacing="1" w:after="100" w:afterAutospacing="1"/>
              <w:rPr>
                <w:rFonts w:ascii="Arial" w:hAnsi="Arial" w:cs="Arial"/>
                <w:b/>
                <w:bCs/>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46390F1C">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59928118" w14:textId="10080C45" w:rsidR="00AA7E42" w:rsidRPr="00A42F82" w:rsidRDefault="00AA7E42" w:rsidP="46390F1C">
            <w:pPr>
              <w:pStyle w:val="ListParagraph"/>
              <w:ind w:left="0"/>
              <w:rPr>
                <w:rFonts w:ascii="Arial" w:hAnsi="Arial" w:cs="Arial"/>
              </w:rPr>
            </w:pPr>
          </w:p>
          <w:p w14:paraId="2001AF23" w14:textId="75004D76" w:rsidR="00AA7E42" w:rsidRPr="00671223" w:rsidRDefault="00671223" w:rsidP="00A91894">
            <w:pPr>
              <w:pStyle w:val="ListParagraph"/>
              <w:ind w:left="0"/>
              <w:rPr>
                <w:rFonts w:ascii="Baguet Script" w:hAnsi="Baguet Script" w:cs="Arial"/>
              </w:rPr>
            </w:pPr>
            <w:r w:rsidRPr="00671223">
              <w:rPr>
                <w:rFonts w:ascii="Arial" w:eastAsia="Times New Roman" w:hAnsi="Arial" w:cs="Arial"/>
              </w:rPr>
              <w:t>Diola Bijlhout</w:t>
            </w:r>
          </w:p>
        </w:tc>
        <w:tc>
          <w:tcPr>
            <w:tcW w:w="1014" w:type="pct"/>
            <w:vMerge w:val="restart"/>
          </w:tcPr>
          <w:p w14:paraId="7BA89991" w14:textId="316B5C59" w:rsidR="00AA7E42" w:rsidRPr="00A42F82" w:rsidRDefault="00AA7E42" w:rsidP="00A91894">
            <w:pPr>
              <w:pStyle w:val="ListParagraph"/>
              <w:ind w:left="0"/>
              <w:rPr>
                <w:rFonts w:ascii="Arial" w:hAnsi="Arial" w:cs="Arial"/>
              </w:rPr>
            </w:pPr>
            <w:r w:rsidRPr="00A42F82">
              <w:rPr>
                <w:rFonts w:ascii="Arial" w:hAnsi="Arial" w:cs="Arial"/>
                <w:b/>
                <w:bCs/>
              </w:rPr>
              <w:t>Date:</w:t>
            </w:r>
            <w:r w:rsidR="00671223">
              <w:rPr>
                <w:rFonts w:ascii="Arial" w:hAnsi="Arial" w:cs="Arial"/>
                <w:b/>
                <w:bCs/>
              </w:rPr>
              <w:t xml:space="preserve"> 24/08/2025</w:t>
            </w:r>
          </w:p>
        </w:tc>
      </w:tr>
      <w:tr w:rsidR="00AA7E42" w:rsidRPr="00A42F82" w14:paraId="3D4592A7" w14:textId="77777777" w:rsidTr="46390F1C">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0410D41F" w14:textId="77777777" w:rsidR="00E83CFA" w:rsidRDefault="00E83CFA" w:rsidP="00A91894">
            <w:pPr>
              <w:pStyle w:val="ListParagraph"/>
              <w:ind w:left="0"/>
              <w:rPr>
                <w:rFonts w:ascii="Baguet Script" w:hAnsi="Baguet Script" w:cs="Arial"/>
              </w:rPr>
            </w:pPr>
          </w:p>
          <w:p w14:paraId="20916ADA" w14:textId="3904B141" w:rsidR="00AA7E42" w:rsidRPr="00E83CFA" w:rsidRDefault="00671223" w:rsidP="00A91894">
            <w:pPr>
              <w:pStyle w:val="ListParagraph"/>
              <w:ind w:left="0"/>
              <w:rPr>
                <w:rFonts w:ascii="Arial" w:hAnsi="Arial" w:cs="Arial"/>
                <w:i/>
                <w:iCs/>
              </w:rPr>
            </w:pPr>
            <w:r w:rsidRPr="00E83CFA">
              <w:rPr>
                <w:rFonts w:ascii="Baguet Script" w:hAnsi="Baguet Script" w:cs="Arial"/>
                <w:i/>
                <w:iCs/>
              </w:rPr>
              <w:t>Bijlhout</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46390F1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EACB521" w:rsidR="00CC2661" w:rsidRPr="00A42F82" w:rsidRDefault="7F3ADEE8" w:rsidP="00A91894">
                <w:pPr>
                  <w:jc w:val="center"/>
                  <w:rPr>
                    <w:rFonts w:ascii="Arial" w:eastAsia="MS Gothic" w:hAnsi="Arial" w:cs="Arial"/>
                    <w:sz w:val="22"/>
                    <w:szCs w:val="22"/>
                  </w:rPr>
                </w:pPr>
                <w:r w:rsidRPr="46390F1C">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46390F1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9BF8581" w:rsidR="00CC2661" w:rsidRPr="00A42F82" w:rsidRDefault="6C4063CE" w:rsidP="00A91894">
                <w:pPr>
                  <w:jc w:val="center"/>
                  <w:rPr>
                    <w:rFonts w:ascii="Arial" w:eastAsia="MS Gothic" w:hAnsi="Arial" w:cs="Arial"/>
                    <w:sz w:val="22"/>
                    <w:szCs w:val="22"/>
                  </w:rPr>
                </w:pPr>
                <w:r w:rsidRPr="46390F1C">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46390F1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46390F1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46390F1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46390F1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1951B36" w:rsidR="00743859" w:rsidRPr="00A42F82" w:rsidRDefault="3E27B06B" w:rsidP="00A91894">
                <w:pPr>
                  <w:jc w:val="center"/>
                  <w:rPr>
                    <w:rFonts w:ascii="Arial" w:hAnsi="Arial" w:cs="Arial"/>
                    <w:sz w:val="22"/>
                    <w:szCs w:val="22"/>
                  </w:rPr>
                </w:pPr>
                <w:r w:rsidRPr="46390F1C">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46390F1C">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03F9D" w14:textId="77777777" w:rsidR="00473AFB" w:rsidRDefault="00473AFB" w:rsidP="00390251">
      <w:r>
        <w:separator/>
      </w:r>
    </w:p>
    <w:p w14:paraId="4C855E66" w14:textId="77777777" w:rsidR="00473AFB" w:rsidRDefault="00473AFB"/>
  </w:endnote>
  <w:endnote w:type="continuationSeparator" w:id="0">
    <w:p w14:paraId="4F11A50B" w14:textId="77777777" w:rsidR="00473AFB" w:rsidRDefault="00473AFB" w:rsidP="00390251">
      <w:r>
        <w:continuationSeparator/>
      </w:r>
    </w:p>
    <w:p w14:paraId="72F576C0" w14:textId="77777777" w:rsidR="00473AFB" w:rsidRDefault="00473A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Quattrocento Sans">
    <w:panose1 w:val="020B0502050000020003"/>
    <w:charset w:val="00"/>
    <w:family w:val="swiss"/>
    <w:pitch w:val="variable"/>
    <w:sig w:usb0="800000BF" w:usb1="4000005B" w:usb2="00000000" w:usb3="00000000" w:csb0="00000001" w:csb1="00000000"/>
  </w:font>
  <w:font w:name="Baguet Script">
    <w:panose1 w:val="000005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0485A" w14:textId="77777777" w:rsidR="00473AFB" w:rsidRDefault="00473AFB" w:rsidP="00390251">
      <w:r>
        <w:separator/>
      </w:r>
    </w:p>
    <w:p w14:paraId="3B34A293" w14:textId="77777777" w:rsidR="00473AFB" w:rsidRDefault="00473AFB"/>
  </w:footnote>
  <w:footnote w:type="continuationSeparator" w:id="0">
    <w:p w14:paraId="5AFB00D9" w14:textId="77777777" w:rsidR="00473AFB" w:rsidRDefault="00473AFB" w:rsidP="00390251">
      <w:r>
        <w:continuationSeparator/>
      </w:r>
    </w:p>
    <w:p w14:paraId="6A5C6DF4" w14:textId="77777777" w:rsidR="00473AFB" w:rsidRDefault="00473A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Bh9yVdZKKlEe4d" int2:id="myvKHuI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17CD"/>
    <w:multiLevelType w:val="hybridMultilevel"/>
    <w:tmpl w:val="E9562B5E"/>
    <w:lvl w:ilvl="0" w:tplc="FCF4C1FE">
      <w:start w:val="1"/>
      <w:numFmt w:val="bullet"/>
      <w:lvlText w:val=""/>
      <w:lvlJc w:val="left"/>
      <w:pPr>
        <w:ind w:left="720" w:hanging="360"/>
      </w:pPr>
      <w:rPr>
        <w:rFonts w:ascii="Symbol" w:hAnsi="Symbol" w:hint="default"/>
      </w:rPr>
    </w:lvl>
    <w:lvl w:ilvl="1" w:tplc="B074EE5C">
      <w:start w:val="1"/>
      <w:numFmt w:val="bullet"/>
      <w:lvlText w:val="o"/>
      <w:lvlJc w:val="left"/>
      <w:pPr>
        <w:ind w:left="1440" w:hanging="360"/>
      </w:pPr>
      <w:rPr>
        <w:rFonts w:ascii="Courier New" w:hAnsi="Courier New" w:hint="default"/>
      </w:rPr>
    </w:lvl>
    <w:lvl w:ilvl="2" w:tplc="CD6C4034">
      <w:start w:val="1"/>
      <w:numFmt w:val="bullet"/>
      <w:lvlText w:val=""/>
      <w:lvlJc w:val="left"/>
      <w:pPr>
        <w:ind w:left="2160" w:hanging="360"/>
      </w:pPr>
      <w:rPr>
        <w:rFonts w:ascii="Wingdings" w:hAnsi="Wingdings" w:hint="default"/>
      </w:rPr>
    </w:lvl>
    <w:lvl w:ilvl="3" w:tplc="6672A476">
      <w:start w:val="1"/>
      <w:numFmt w:val="bullet"/>
      <w:lvlText w:val=""/>
      <w:lvlJc w:val="left"/>
      <w:pPr>
        <w:ind w:left="2880" w:hanging="360"/>
      </w:pPr>
      <w:rPr>
        <w:rFonts w:ascii="Symbol" w:hAnsi="Symbol" w:hint="default"/>
      </w:rPr>
    </w:lvl>
    <w:lvl w:ilvl="4" w:tplc="BC800692">
      <w:start w:val="1"/>
      <w:numFmt w:val="bullet"/>
      <w:lvlText w:val="o"/>
      <w:lvlJc w:val="left"/>
      <w:pPr>
        <w:ind w:left="3600" w:hanging="360"/>
      </w:pPr>
      <w:rPr>
        <w:rFonts w:ascii="Courier New" w:hAnsi="Courier New" w:hint="default"/>
      </w:rPr>
    </w:lvl>
    <w:lvl w:ilvl="5" w:tplc="5C30F944">
      <w:start w:val="1"/>
      <w:numFmt w:val="bullet"/>
      <w:lvlText w:val=""/>
      <w:lvlJc w:val="left"/>
      <w:pPr>
        <w:ind w:left="4320" w:hanging="360"/>
      </w:pPr>
      <w:rPr>
        <w:rFonts w:ascii="Wingdings" w:hAnsi="Wingdings" w:hint="default"/>
      </w:rPr>
    </w:lvl>
    <w:lvl w:ilvl="6" w:tplc="71A063AA">
      <w:start w:val="1"/>
      <w:numFmt w:val="bullet"/>
      <w:lvlText w:val=""/>
      <w:lvlJc w:val="left"/>
      <w:pPr>
        <w:ind w:left="5040" w:hanging="360"/>
      </w:pPr>
      <w:rPr>
        <w:rFonts w:ascii="Symbol" w:hAnsi="Symbol" w:hint="default"/>
      </w:rPr>
    </w:lvl>
    <w:lvl w:ilvl="7" w:tplc="D3D411AE">
      <w:start w:val="1"/>
      <w:numFmt w:val="bullet"/>
      <w:lvlText w:val="o"/>
      <w:lvlJc w:val="left"/>
      <w:pPr>
        <w:ind w:left="5760" w:hanging="360"/>
      </w:pPr>
      <w:rPr>
        <w:rFonts w:ascii="Courier New" w:hAnsi="Courier New" w:hint="default"/>
      </w:rPr>
    </w:lvl>
    <w:lvl w:ilvl="8" w:tplc="A81CAC12">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A380D7"/>
    <w:multiLevelType w:val="multilevel"/>
    <w:tmpl w:val="9B709A52"/>
    <w:lvl w:ilvl="0">
      <w:start w:val="1"/>
      <w:numFmt w:val="decimal"/>
      <w:lvlText w:val="%1."/>
      <w:lvlJc w:val="left"/>
      <w:pPr>
        <w:ind w:left="502"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62B6157"/>
    <w:multiLevelType w:val="hybridMultilevel"/>
    <w:tmpl w:val="A656B12E"/>
    <w:lvl w:ilvl="0" w:tplc="BC0E0B44">
      <w:start w:val="1"/>
      <w:numFmt w:val="bullet"/>
      <w:lvlText w:val=""/>
      <w:lvlJc w:val="left"/>
      <w:pPr>
        <w:ind w:left="720" w:hanging="360"/>
      </w:pPr>
      <w:rPr>
        <w:rFonts w:ascii="Symbol" w:hAnsi="Symbol" w:hint="default"/>
      </w:rPr>
    </w:lvl>
    <w:lvl w:ilvl="1" w:tplc="AD76F746">
      <w:start w:val="1"/>
      <w:numFmt w:val="bullet"/>
      <w:lvlText w:val="o"/>
      <w:lvlJc w:val="left"/>
      <w:pPr>
        <w:ind w:left="1440" w:hanging="360"/>
      </w:pPr>
      <w:rPr>
        <w:rFonts w:ascii="Courier New" w:hAnsi="Courier New" w:hint="default"/>
      </w:rPr>
    </w:lvl>
    <w:lvl w:ilvl="2" w:tplc="E130964C">
      <w:start w:val="1"/>
      <w:numFmt w:val="bullet"/>
      <w:lvlText w:val=""/>
      <w:lvlJc w:val="left"/>
      <w:pPr>
        <w:ind w:left="2160" w:hanging="360"/>
      </w:pPr>
      <w:rPr>
        <w:rFonts w:ascii="Wingdings" w:hAnsi="Wingdings" w:hint="default"/>
      </w:rPr>
    </w:lvl>
    <w:lvl w:ilvl="3" w:tplc="6BDAFA06">
      <w:start w:val="1"/>
      <w:numFmt w:val="bullet"/>
      <w:lvlText w:val=""/>
      <w:lvlJc w:val="left"/>
      <w:pPr>
        <w:ind w:left="2880" w:hanging="360"/>
      </w:pPr>
      <w:rPr>
        <w:rFonts w:ascii="Symbol" w:hAnsi="Symbol" w:hint="default"/>
      </w:rPr>
    </w:lvl>
    <w:lvl w:ilvl="4" w:tplc="42424B42">
      <w:start w:val="1"/>
      <w:numFmt w:val="bullet"/>
      <w:lvlText w:val="o"/>
      <w:lvlJc w:val="left"/>
      <w:pPr>
        <w:ind w:left="3600" w:hanging="360"/>
      </w:pPr>
      <w:rPr>
        <w:rFonts w:ascii="Courier New" w:hAnsi="Courier New" w:hint="default"/>
      </w:rPr>
    </w:lvl>
    <w:lvl w:ilvl="5" w:tplc="B128C8B4">
      <w:start w:val="1"/>
      <w:numFmt w:val="bullet"/>
      <w:lvlText w:val=""/>
      <w:lvlJc w:val="left"/>
      <w:pPr>
        <w:ind w:left="4320" w:hanging="360"/>
      </w:pPr>
      <w:rPr>
        <w:rFonts w:ascii="Wingdings" w:hAnsi="Wingdings" w:hint="default"/>
      </w:rPr>
    </w:lvl>
    <w:lvl w:ilvl="6" w:tplc="5F1C32D2">
      <w:start w:val="1"/>
      <w:numFmt w:val="bullet"/>
      <w:lvlText w:val=""/>
      <w:lvlJc w:val="left"/>
      <w:pPr>
        <w:ind w:left="5040" w:hanging="360"/>
      </w:pPr>
      <w:rPr>
        <w:rFonts w:ascii="Symbol" w:hAnsi="Symbol" w:hint="default"/>
      </w:rPr>
    </w:lvl>
    <w:lvl w:ilvl="7" w:tplc="17BABF24">
      <w:start w:val="1"/>
      <w:numFmt w:val="bullet"/>
      <w:lvlText w:val="o"/>
      <w:lvlJc w:val="left"/>
      <w:pPr>
        <w:ind w:left="5760" w:hanging="360"/>
      </w:pPr>
      <w:rPr>
        <w:rFonts w:ascii="Courier New" w:hAnsi="Courier New" w:hint="default"/>
      </w:rPr>
    </w:lvl>
    <w:lvl w:ilvl="8" w:tplc="641AA32E">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AFA123"/>
    <w:multiLevelType w:val="hybridMultilevel"/>
    <w:tmpl w:val="0C4632E2"/>
    <w:lvl w:ilvl="0" w:tplc="5E2E684C">
      <w:start w:val="1"/>
      <w:numFmt w:val="bullet"/>
      <w:lvlText w:val=""/>
      <w:lvlJc w:val="left"/>
      <w:pPr>
        <w:ind w:left="720" w:hanging="360"/>
      </w:pPr>
      <w:rPr>
        <w:rFonts w:ascii="Symbol" w:hAnsi="Symbol" w:hint="default"/>
      </w:rPr>
    </w:lvl>
    <w:lvl w:ilvl="1" w:tplc="8FCCFFEC">
      <w:start w:val="1"/>
      <w:numFmt w:val="bullet"/>
      <w:lvlText w:val="o"/>
      <w:lvlJc w:val="left"/>
      <w:pPr>
        <w:ind w:left="1440" w:hanging="360"/>
      </w:pPr>
      <w:rPr>
        <w:rFonts w:ascii="Courier New" w:hAnsi="Courier New" w:hint="default"/>
      </w:rPr>
    </w:lvl>
    <w:lvl w:ilvl="2" w:tplc="AD6A436E">
      <w:start w:val="1"/>
      <w:numFmt w:val="bullet"/>
      <w:lvlText w:val=""/>
      <w:lvlJc w:val="left"/>
      <w:pPr>
        <w:ind w:left="2160" w:hanging="360"/>
      </w:pPr>
      <w:rPr>
        <w:rFonts w:ascii="Wingdings" w:hAnsi="Wingdings" w:hint="default"/>
      </w:rPr>
    </w:lvl>
    <w:lvl w:ilvl="3" w:tplc="2EAE1F5A">
      <w:start w:val="1"/>
      <w:numFmt w:val="bullet"/>
      <w:lvlText w:val=""/>
      <w:lvlJc w:val="left"/>
      <w:pPr>
        <w:ind w:left="2880" w:hanging="360"/>
      </w:pPr>
      <w:rPr>
        <w:rFonts w:ascii="Symbol" w:hAnsi="Symbol" w:hint="default"/>
      </w:rPr>
    </w:lvl>
    <w:lvl w:ilvl="4" w:tplc="36FA782A">
      <w:start w:val="1"/>
      <w:numFmt w:val="bullet"/>
      <w:lvlText w:val="o"/>
      <w:lvlJc w:val="left"/>
      <w:pPr>
        <w:ind w:left="3600" w:hanging="360"/>
      </w:pPr>
      <w:rPr>
        <w:rFonts w:ascii="Courier New" w:hAnsi="Courier New" w:hint="default"/>
      </w:rPr>
    </w:lvl>
    <w:lvl w:ilvl="5" w:tplc="65643CB2">
      <w:start w:val="1"/>
      <w:numFmt w:val="bullet"/>
      <w:lvlText w:val=""/>
      <w:lvlJc w:val="left"/>
      <w:pPr>
        <w:ind w:left="4320" w:hanging="360"/>
      </w:pPr>
      <w:rPr>
        <w:rFonts w:ascii="Wingdings" w:hAnsi="Wingdings" w:hint="default"/>
      </w:rPr>
    </w:lvl>
    <w:lvl w:ilvl="6" w:tplc="C91A70EE">
      <w:start w:val="1"/>
      <w:numFmt w:val="bullet"/>
      <w:lvlText w:val=""/>
      <w:lvlJc w:val="left"/>
      <w:pPr>
        <w:ind w:left="5040" w:hanging="360"/>
      </w:pPr>
      <w:rPr>
        <w:rFonts w:ascii="Symbol" w:hAnsi="Symbol" w:hint="default"/>
      </w:rPr>
    </w:lvl>
    <w:lvl w:ilvl="7" w:tplc="F8127522">
      <w:start w:val="1"/>
      <w:numFmt w:val="bullet"/>
      <w:lvlText w:val="o"/>
      <w:lvlJc w:val="left"/>
      <w:pPr>
        <w:ind w:left="5760" w:hanging="360"/>
      </w:pPr>
      <w:rPr>
        <w:rFonts w:ascii="Courier New" w:hAnsi="Courier New" w:hint="default"/>
      </w:rPr>
    </w:lvl>
    <w:lvl w:ilvl="8" w:tplc="14E8638E">
      <w:start w:val="1"/>
      <w:numFmt w:val="bullet"/>
      <w:lvlText w:val=""/>
      <w:lvlJc w:val="left"/>
      <w:pPr>
        <w:ind w:left="6480" w:hanging="360"/>
      </w:pPr>
      <w:rPr>
        <w:rFonts w:ascii="Wingdings" w:hAnsi="Wingdings" w:hint="default"/>
      </w:rPr>
    </w:lvl>
  </w:abstractNum>
  <w:num w:numId="1" w16cid:durableId="1050501016">
    <w:abstractNumId w:val="18"/>
  </w:num>
  <w:num w:numId="2" w16cid:durableId="1084760422">
    <w:abstractNumId w:val="0"/>
  </w:num>
  <w:num w:numId="3" w16cid:durableId="1428573618">
    <w:abstractNumId w:val="29"/>
  </w:num>
  <w:num w:numId="4" w16cid:durableId="1853647133">
    <w:abstractNumId w:val="16"/>
  </w:num>
  <w:num w:numId="5" w16cid:durableId="850493201">
    <w:abstractNumId w:val="11"/>
  </w:num>
  <w:num w:numId="6" w16cid:durableId="1418014885">
    <w:abstractNumId w:val="22"/>
  </w:num>
  <w:num w:numId="7" w16cid:durableId="1351489909">
    <w:abstractNumId w:val="3"/>
  </w:num>
  <w:num w:numId="8" w16cid:durableId="996802858">
    <w:abstractNumId w:val="27"/>
  </w:num>
  <w:num w:numId="9"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4"/>
  </w:num>
  <w:num w:numId="13" w16cid:durableId="465201546">
    <w:abstractNumId w:val="8"/>
  </w:num>
  <w:num w:numId="14" w16cid:durableId="801313199">
    <w:abstractNumId w:val="9"/>
  </w:num>
  <w:num w:numId="15" w16cid:durableId="1932622472">
    <w:abstractNumId w:val="25"/>
  </w:num>
  <w:num w:numId="16" w16cid:durableId="803698313">
    <w:abstractNumId w:val="23"/>
  </w:num>
  <w:num w:numId="17" w16cid:durableId="1870216879">
    <w:abstractNumId w:val="24"/>
  </w:num>
  <w:num w:numId="18" w16cid:durableId="100340676">
    <w:abstractNumId w:val="1"/>
  </w:num>
  <w:num w:numId="19" w16cid:durableId="1557625305">
    <w:abstractNumId w:val="6"/>
  </w:num>
  <w:num w:numId="20" w16cid:durableId="1281380168">
    <w:abstractNumId w:val="7"/>
  </w:num>
  <w:num w:numId="21" w16cid:durableId="1244143853">
    <w:abstractNumId w:val="12"/>
  </w:num>
  <w:num w:numId="22" w16cid:durableId="131824218">
    <w:abstractNumId w:val="14"/>
  </w:num>
  <w:num w:numId="23" w16cid:durableId="395248324">
    <w:abstractNumId w:val="26"/>
  </w:num>
  <w:num w:numId="24" w16cid:durableId="267927197">
    <w:abstractNumId w:val="5"/>
  </w:num>
  <w:num w:numId="25" w16cid:durableId="48654765">
    <w:abstractNumId w:val="15"/>
  </w:num>
  <w:num w:numId="26" w16cid:durableId="1337196786">
    <w:abstractNumId w:val="21"/>
  </w:num>
  <w:num w:numId="27" w16cid:durableId="1755130753">
    <w:abstractNumId w:val="2"/>
  </w:num>
  <w:num w:numId="28" w16cid:durableId="726926220">
    <w:abstractNumId w:val="10"/>
  </w:num>
  <w:num w:numId="29" w16cid:durableId="2083483834">
    <w:abstractNumId w:val="13"/>
  </w:num>
  <w:num w:numId="30" w16cid:durableId="2097245557">
    <w:abstractNumId w:val="28"/>
  </w:num>
  <w:num w:numId="31" w16cid:durableId="4751492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E9C"/>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29C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3AFB"/>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223"/>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7EED"/>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3E8C"/>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3CFA"/>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3AD8443"/>
    <w:rsid w:val="0641805B"/>
    <w:rsid w:val="06592418"/>
    <w:rsid w:val="068A5E8B"/>
    <w:rsid w:val="06EF358E"/>
    <w:rsid w:val="07C62BAC"/>
    <w:rsid w:val="07DC70E0"/>
    <w:rsid w:val="0978AE01"/>
    <w:rsid w:val="09D33BD5"/>
    <w:rsid w:val="106CEF1A"/>
    <w:rsid w:val="1118CADF"/>
    <w:rsid w:val="13267701"/>
    <w:rsid w:val="1351681E"/>
    <w:rsid w:val="14614B87"/>
    <w:rsid w:val="14C85442"/>
    <w:rsid w:val="1508949A"/>
    <w:rsid w:val="15191B05"/>
    <w:rsid w:val="15542F06"/>
    <w:rsid w:val="1575526B"/>
    <w:rsid w:val="1689E518"/>
    <w:rsid w:val="18F0202D"/>
    <w:rsid w:val="192A3BD9"/>
    <w:rsid w:val="19CAE486"/>
    <w:rsid w:val="1A072C8C"/>
    <w:rsid w:val="1A0FF517"/>
    <w:rsid w:val="1A61EA57"/>
    <w:rsid w:val="1AF0541E"/>
    <w:rsid w:val="1AFE0512"/>
    <w:rsid w:val="1CA4F2A2"/>
    <w:rsid w:val="1CEC2ED4"/>
    <w:rsid w:val="1E4B5E44"/>
    <w:rsid w:val="1F444D21"/>
    <w:rsid w:val="1F70DCAC"/>
    <w:rsid w:val="1F71931D"/>
    <w:rsid w:val="1FD9D719"/>
    <w:rsid w:val="20DDBDBB"/>
    <w:rsid w:val="21F99AB6"/>
    <w:rsid w:val="22371BA4"/>
    <w:rsid w:val="2346BE8F"/>
    <w:rsid w:val="23BE369F"/>
    <w:rsid w:val="23D5CE04"/>
    <w:rsid w:val="24A872A8"/>
    <w:rsid w:val="250DEE3A"/>
    <w:rsid w:val="25469008"/>
    <w:rsid w:val="2580B6FE"/>
    <w:rsid w:val="26C6B5CD"/>
    <w:rsid w:val="27A0BB73"/>
    <w:rsid w:val="28E236F0"/>
    <w:rsid w:val="28EA7A24"/>
    <w:rsid w:val="2943EC79"/>
    <w:rsid w:val="2A246961"/>
    <w:rsid w:val="2AA3009E"/>
    <w:rsid w:val="2B498FDB"/>
    <w:rsid w:val="2D3E3E7D"/>
    <w:rsid w:val="2DAEEDCE"/>
    <w:rsid w:val="2DD89568"/>
    <w:rsid w:val="2E2449C3"/>
    <w:rsid w:val="2FA148CD"/>
    <w:rsid w:val="30C70EC9"/>
    <w:rsid w:val="30E48E01"/>
    <w:rsid w:val="30FD9CC9"/>
    <w:rsid w:val="331FC477"/>
    <w:rsid w:val="33200DDE"/>
    <w:rsid w:val="336E2CF2"/>
    <w:rsid w:val="347C9F8F"/>
    <w:rsid w:val="34D1D1DB"/>
    <w:rsid w:val="373CB30E"/>
    <w:rsid w:val="38445FCF"/>
    <w:rsid w:val="38CA780D"/>
    <w:rsid w:val="39D0E7FE"/>
    <w:rsid w:val="39D2D61A"/>
    <w:rsid w:val="3A8E8CB8"/>
    <w:rsid w:val="3B960A6F"/>
    <w:rsid w:val="3BDFD341"/>
    <w:rsid w:val="3D59A861"/>
    <w:rsid w:val="3DA24AB4"/>
    <w:rsid w:val="3E27B06B"/>
    <w:rsid w:val="3ED97740"/>
    <w:rsid w:val="3EE63D56"/>
    <w:rsid w:val="3EE82A17"/>
    <w:rsid w:val="3F736AE6"/>
    <w:rsid w:val="4048B7C2"/>
    <w:rsid w:val="407F0F21"/>
    <w:rsid w:val="4082F972"/>
    <w:rsid w:val="431FB8A6"/>
    <w:rsid w:val="43F8006A"/>
    <w:rsid w:val="448C4EB2"/>
    <w:rsid w:val="458CCEA1"/>
    <w:rsid w:val="46390F1C"/>
    <w:rsid w:val="465643EF"/>
    <w:rsid w:val="4679C735"/>
    <w:rsid w:val="477DBF8F"/>
    <w:rsid w:val="48562F4C"/>
    <w:rsid w:val="486C567D"/>
    <w:rsid w:val="49871939"/>
    <w:rsid w:val="4A03FCF3"/>
    <w:rsid w:val="4AD74839"/>
    <w:rsid w:val="4B0BE913"/>
    <w:rsid w:val="4CEAD12F"/>
    <w:rsid w:val="4DDB59D6"/>
    <w:rsid w:val="4E04E6AE"/>
    <w:rsid w:val="4EAA0C16"/>
    <w:rsid w:val="4F92C343"/>
    <w:rsid w:val="4FBCE821"/>
    <w:rsid w:val="509D452C"/>
    <w:rsid w:val="51D673F3"/>
    <w:rsid w:val="53991C32"/>
    <w:rsid w:val="541B9542"/>
    <w:rsid w:val="552B094B"/>
    <w:rsid w:val="5610121C"/>
    <w:rsid w:val="569E7950"/>
    <w:rsid w:val="56DB1C80"/>
    <w:rsid w:val="57ECDB73"/>
    <w:rsid w:val="58D890E8"/>
    <w:rsid w:val="59304361"/>
    <w:rsid w:val="5998803C"/>
    <w:rsid w:val="5C256286"/>
    <w:rsid w:val="5CED0434"/>
    <w:rsid w:val="5DD91B7E"/>
    <w:rsid w:val="5E5A06C8"/>
    <w:rsid w:val="5F11A3AD"/>
    <w:rsid w:val="5F4C242E"/>
    <w:rsid w:val="5FCD68A3"/>
    <w:rsid w:val="60AFD419"/>
    <w:rsid w:val="60DBDBD0"/>
    <w:rsid w:val="6109FBBB"/>
    <w:rsid w:val="6137908B"/>
    <w:rsid w:val="616013F1"/>
    <w:rsid w:val="622AA8D2"/>
    <w:rsid w:val="62347ACB"/>
    <w:rsid w:val="62F92ED2"/>
    <w:rsid w:val="64B42C74"/>
    <w:rsid w:val="65C6BF1F"/>
    <w:rsid w:val="67594CA3"/>
    <w:rsid w:val="67B8CFB5"/>
    <w:rsid w:val="68A82BF8"/>
    <w:rsid w:val="68D7DC41"/>
    <w:rsid w:val="68F2A949"/>
    <w:rsid w:val="6A844092"/>
    <w:rsid w:val="6AC07234"/>
    <w:rsid w:val="6B26578A"/>
    <w:rsid w:val="6C4063CE"/>
    <w:rsid w:val="6D25E87A"/>
    <w:rsid w:val="6D46BC07"/>
    <w:rsid w:val="6D94C875"/>
    <w:rsid w:val="6E090F24"/>
    <w:rsid w:val="6E2E06D9"/>
    <w:rsid w:val="6E3190F7"/>
    <w:rsid w:val="710E8CA6"/>
    <w:rsid w:val="711D0EF0"/>
    <w:rsid w:val="71355EBC"/>
    <w:rsid w:val="720CB552"/>
    <w:rsid w:val="727D3FFA"/>
    <w:rsid w:val="73A87E09"/>
    <w:rsid w:val="73FE63A9"/>
    <w:rsid w:val="77A3D115"/>
    <w:rsid w:val="7826A80C"/>
    <w:rsid w:val="78A03F1E"/>
    <w:rsid w:val="7921F963"/>
    <w:rsid w:val="7969A6D2"/>
    <w:rsid w:val="7AD2B0ED"/>
    <w:rsid w:val="7CC1523F"/>
    <w:rsid w:val="7D744C0B"/>
    <w:rsid w:val="7ECF767F"/>
    <w:rsid w:val="7F3ADEE8"/>
    <w:rsid w:val="7F403B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2406341@student.uwtsd.ac.uk" TargetMode="External" /><Relationship Id="rId18" Type="http://schemas.openxmlformats.org/officeDocument/2006/relationships/hyperlink" Target="https://mytsd.uwtsd.ac.uk"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www.uwtsd.ac.uk/research/research-ethics/" TargetMode="External" /><Relationship Id="rId2" Type="http://schemas.openxmlformats.org/officeDocument/2006/relationships/customXml" Target="../customXml/item2.xml" /><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24" Type="http://schemas.microsoft.com/office/2020/10/relationships/intelligence" Target="intelligence2.xml" /><Relationship Id="rId5" Type="http://schemas.openxmlformats.org/officeDocument/2006/relationships/numbering" Target="numbering.xml" /><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mailto:pgresearch@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file:///C:/Users/c.lohmann-hancock/AppData/Local/Microsoft/Windows/INetCache/REICoP-17-20-v3-Final.pdf"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5868</Words>
  <Characters>33449</Characters>
  <Application>Microsoft Office Word</Application>
  <DocSecurity>0</DocSecurity>
  <Lines>278</Lines>
  <Paragraphs>78</Paragraphs>
  <ScaleCrop>false</ScaleCrop>
  <Company>UoW Trinity Saint David</Company>
  <LinksUpToDate>false</LinksUpToDate>
  <CharactersWithSpaces>39239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Kruti Dilipbhai Borad (2406341)</cp:lastModifiedBy>
  <cp:revision>2</cp:revision>
  <cp:lastPrinted>2016-10-24T12:21:00Z</cp:lastPrinted>
  <dcterms:created xsi:type="dcterms:W3CDTF">2025-08-26T18:16:00Z</dcterms:created>
  <dcterms:modified xsi:type="dcterms:W3CDTF">2025-08-26T18:16:00Z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