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7FD42" w14:textId="77777777" w:rsidR="00A246CF" w:rsidRDefault="00A246CF" w:rsidP="00A246CF">
      <w:pPr>
        <w:rPr>
          <w:b/>
          <w:bCs/>
        </w:rPr>
      </w:pPr>
    </w:p>
    <w:tbl>
      <w:tblPr>
        <w:tblW w:w="0" w:type="auto"/>
        <w:tblCellMar>
          <w:top w:w="15" w:type="dxa"/>
          <w:left w:w="15" w:type="dxa"/>
          <w:bottom w:w="15" w:type="dxa"/>
          <w:right w:w="15" w:type="dxa"/>
        </w:tblCellMar>
        <w:tblLook w:val="04A0" w:firstRow="1" w:lastRow="0" w:firstColumn="1" w:lastColumn="0" w:noHBand="0" w:noVBand="1"/>
      </w:tblPr>
      <w:tblGrid>
        <w:gridCol w:w="4420"/>
      </w:tblGrid>
      <w:tr w:rsidR="00A246CF" w:rsidRPr="0017544B" w14:paraId="3C5BE7D3" w14:textId="77777777" w:rsidTr="00BC0E75">
        <w:tc>
          <w:tcPr>
            <w:tcW w:w="0" w:type="auto"/>
            <w:tcBorders>
              <w:top w:val="single" w:sz="4" w:space="0" w:color="000000"/>
              <w:left w:val="single" w:sz="4" w:space="0" w:color="000000"/>
              <w:bottom w:val="single" w:sz="4" w:space="0" w:color="000000"/>
              <w:right w:val="single" w:sz="4" w:space="0" w:color="000000"/>
            </w:tcBorders>
            <w:shd w:val="clear" w:color="auto" w:fill="C0C0C0"/>
            <w:tcMar>
              <w:top w:w="0" w:type="dxa"/>
              <w:left w:w="115" w:type="dxa"/>
              <w:bottom w:w="0" w:type="dxa"/>
              <w:right w:w="115" w:type="dxa"/>
            </w:tcMar>
            <w:hideMark/>
          </w:tcPr>
          <w:p w14:paraId="0E7BBF05" w14:textId="77777777" w:rsidR="00A246CF" w:rsidRPr="0017544B" w:rsidRDefault="00A246CF" w:rsidP="00BC0E75">
            <w:pPr>
              <w:rPr>
                <w:b/>
                <w:bCs/>
              </w:rPr>
            </w:pPr>
            <w:r w:rsidRPr="0017544B">
              <w:rPr>
                <w:b/>
                <w:bCs/>
              </w:rPr>
              <w:t>LEVEL 5 ASSESSMENT SPECIFICATION </w:t>
            </w:r>
          </w:p>
        </w:tc>
      </w:tr>
    </w:tbl>
    <w:p w14:paraId="2CD96EA8" w14:textId="77777777" w:rsidR="00A246CF" w:rsidRPr="0017544B" w:rsidRDefault="00A246CF" w:rsidP="00A246CF">
      <w:pPr>
        <w:rPr>
          <w:b/>
          <w:bCs/>
        </w:rPr>
      </w:pPr>
    </w:p>
    <w:tbl>
      <w:tblPr>
        <w:tblW w:w="0" w:type="auto"/>
        <w:tblCellMar>
          <w:top w:w="15" w:type="dxa"/>
          <w:left w:w="15" w:type="dxa"/>
          <w:bottom w:w="15" w:type="dxa"/>
          <w:right w:w="15" w:type="dxa"/>
        </w:tblCellMar>
        <w:tblLook w:val="04A0" w:firstRow="1" w:lastRow="0" w:firstColumn="1" w:lastColumn="0" w:noHBand="0" w:noVBand="1"/>
      </w:tblPr>
      <w:tblGrid>
        <w:gridCol w:w="1764"/>
        <w:gridCol w:w="1934"/>
        <w:gridCol w:w="3631"/>
        <w:gridCol w:w="1687"/>
      </w:tblGrid>
      <w:tr w:rsidR="00A246CF" w:rsidRPr="0017544B" w14:paraId="48D96995"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76F72D" w14:textId="77777777" w:rsidR="00A246CF" w:rsidRPr="0017544B" w:rsidRDefault="00A246CF" w:rsidP="00BC0E75">
            <w:pPr>
              <w:rPr>
                <w:b/>
                <w:bCs/>
              </w:rPr>
            </w:pPr>
            <w:r w:rsidRPr="0017544B">
              <w:rPr>
                <w:b/>
                <w:bCs/>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55283" w14:textId="77777777" w:rsidR="00A246CF" w:rsidRPr="0017544B" w:rsidRDefault="00A246CF" w:rsidP="00BC0E75">
            <w:pPr>
              <w:rPr>
                <w:b/>
                <w:bCs/>
              </w:rPr>
            </w:pPr>
            <w:r w:rsidRPr="0017544B">
              <w:rPr>
                <w:b/>
                <w:bCs/>
              </w:rPr>
              <w:t>Dylan Lewis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06B4B46" w14:textId="77777777" w:rsidR="00A246CF" w:rsidRPr="0017544B" w:rsidRDefault="00A246CF" w:rsidP="00BC0E75">
            <w:pPr>
              <w:rPr>
                <w:b/>
                <w:bCs/>
              </w:rPr>
            </w:pPr>
            <w:r w:rsidRPr="0017544B">
              <w:rPr>
                <w:b/>
                <w:bCs/>
              </w:rPr>
              <w:t>Student ID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3394A0" w14:textId="77777777" w:rsidR="00A246CF" w:rsidRPr="0017544B" w:rsidRDefault="00A246CF" w:rsidP="00BC0E75">
            <w:pPr>
              <w:rPr>
                <w:b/>
                <w:bCs/>
              </w:rPr>
            </w:pPr>
            <w:r w:rsidRPr="0017544B">
              <w:rPr>
                <w:b/>
                <w:bCs/>
              </w:rPr>
              <w:t>2245967</w:t>
            </w:r>
          </w:p>
        </w:tc>
      </w:tr>
      <w:tr w:rsidR="00A246CF" w:rsidRPr="0017544B" w14:paraId="1C353DEA"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46074" w14:textId="77777777" w:rsidR="00A246CF" w:rsidRPr="0017544B" w:rsidRDefault="00A246CF" w:rsidP="00BC0E75">
            <w:pPr>
              <w:rPr>
                <w:b/>
                <w:bCs/>
              </w:rPr>
            </w:pPr>
            <w:r w:rsidRPr="0017544B">
              <w:rPr>
                <w:b/>
                <w:bCs/>
              </w:rPr>
              <w:t>Programme: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E52E7D" w14:textId="77777777" w:rsidR="00A246CF" w:rsidRPr="0017544B" w:rsidRDefault="00A246CF" w:rsidP="00BC0E75">
            <w:pPr>
              <w:rPr>
                <w:b/>
                <w:bCs/>
              </w:rPr>
            </w:pPr>
            <w:r w:rsidRPr="0017544B">
              <w:rPr>
                <w:b/>
                <w:bCs/>
              </w:rPr>
              <w:t>BSc Professional Policing Practice</w:t>
            </w:r>
          </w:p>
        </w:tc>
      </w:tr>
      <w:tr w:rsidR="00A246CF" w:rsidRPr="0017544B" w14:paraId="40B1EFC2"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94FEF1" w14:textId="77777777" w:rsidR="00A246CF" w:rsidRPr="0017544B" w:rsidRDefault="00A246CF" w:rsidP="00BC0E75">
            <w:pPr>
              <w:rPr>
                <w:b/>
                <w:bCs/>
              </w:rPr>
            </w:pPr>
            <w:r w:rsidRPr="0017544B">
              <w:rPr>
                <w:b/>
                <w:bCs/>
              </w:rPr>
              <w:t>Module: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054197" w14:textId="77777777" w:rsidR="00A246CF" w:rsidRPr="0017544B" w:rsidRDefault="00A246CF" w:rsidP="00BC0E75">
            <w:pPr>
              <w:rPr>
                <w:b/>
                <w:bCs/>
              </w:rPr>
            </w:pPr>
            <w:r w:rsidRPr="0017544B">
              <w:rPr>
                <w:b/>
                <w:bCs/>
              </w:rPr>
              <w:t>Operational Police Practice 2</w:t>
            </w:r>
          </w:p>
        </w:tc>
      </w:tr>
      <w:tr w:rsidR="00A246CF" w:rsidRPr="0017544B" w14:paraId="1BB54FAA"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47BE45" w14:textId="77777777" w:rsidR="00A246CF" w:rsidRPr="0017544B" w:rsidRDefault="00A246CF" w:rsidP="00BC0E75">
            <w:pPr>
              <w:rPr>
                <w:b/>
                <w:bCs/>
              </w:rPr>
            </w:pPr>
            <w:r w:rsidRPr="0017544B">
              <w:rPr>
                <w:b/>
                <w:bCs/>
              </w:rPr>
              <w:t>Module code: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B19E9" w14:textId="77777777" w:rsidR="00A246CF" w:rsidRPr="0017544B" w:rsidRDefault="00A246CF" w:rsidP="00BC0E75">
            <w:pPr>
              <w:rPr>
                <w:b/>
                <w:bCs/>
              </w:rPr>
            </w:pPr>
            <w:r w:rsidRPr="0017544B">
              <w:rPr>
                <w:b/>
                <w:bCs/>
              </w:rPr>
              <w:t>BMPP5002D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DFDC601" w14:textId="77777777" w:rsidR="00A246CF" w:rsidRPr="0017544B" w:rsidRDefault="00A246CF" w:rsidP="00BC0E75">
            <w:pPr>
              <w:rPr>
                <w:b/>
                <w:bCs/>
              </w:rPr>
            </w:pPr>
            <w:r w:rsidRPr="0017544B">
              <w:rPr>
                <w:b/>
                <w:bCs/>
              </w:rPr>
              <w:t>Contribution to Overall Module Assessment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A1DD58" w14:textId="77777777" w:rsidR="00A246CF" w:rsidRPr="0017544B" w:rsidRDefault="00A246CF" w:rsidP="00BC0E75">
            <w:pPr>
              <w:rPr>
                <w:b/>
                <w:bCs/>
              </w:rPr>
            </w:pPr>
            <w:r w:rsidRPr="0017544B">
              <w:rPr>
                <w:b/>
                <w:bCs/>
              </w:rPr>
              <w:t>50%</w:t>
            </w:r>
          </w:p>
        </w:tc>
      </w:tr>
      <w:tr w:rsidR="00A246CF" w:rsidRPr="0017544B" w14:paraId="23F4A8A6"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BDE64E" w14:textId="77777777" w:rsidR="00A246CF" w:rsidRPr="0017544B" w:rsidRDefault="00A246CF" w:rsidP="00BC0E75">
            <w:pPr>
              <w:rPr>
                <w:b/>
                <w:bCs/>
              </w:rPr>
            </w:pPr>
            <w:r w:rsidRPr="0017544B">
              <w:rPr>
                <w:b/>
                <w:bCs/>
              </w:rPr>
              <w:t>Tutor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3904FF" w14:textId="77777777" w:rsidR="00A246CF" w:rsidRPr="0017544B" w:rsidRDefault="00A246CF" w:rsidP="00BC0E75">
            <w:pPr>
              <w:rPr>
                <w:b/>
                <w:bCs/>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3816920" w14:textId="77777777" w:rsidR="00A246CF" w:rsidRPr="0017544B" w:rsidRDefault="00A246CF" w:rsidP="00BC0E75">
            <w:pPr>
              <w:rPr>
                <w:b/>
                <w:bCs/>
              </w:rPr>
            </w:pPr>
            <w:r w:rsidRPr="0017544B">
              <w:rPr>
                <w:b/>
                <w:bCs/>
              </w:rPr>
              <w:t>Internal Verifier: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ADD32" w14:textId="77777777" w:rsidR="00A246CF" w:rsidRPr="0017544B" w:rsidRDefault="00A246CF" w:rsidP="00BC0E75">
            <w:pPr>
              <w:rPr>
                <w:b/>
                <w:bCs/>
              </w:rPr>
            </w:pPr>
          </w:p>
        </w:tc>
      </w:tr>
      <w:tr w:rsidR="00A246CF" w:rsidRPr="0017544B" w14:paraId="43C4D147"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6A7D7" w14:textId="77777777" w:rsidR="00A246CF" w:rsidRPr="0017544B" w:rsidRDefault="00A246CF" w:rsidP="00BC0E75">
            <w:pPr>
              <w:rPr>
                <w:b/>
                <w:bCs/>
              </w:rPr>
            </w:pPr>
            <w:r w:rsidRPr="0017544B">
              <w:rPr>
                <w:b/>
                <w:bCs/>
              </w:rPr>
              <w:t>Assignment Title: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91E482" w14:textId="77777777" w:rsidR="00A246CF" w:rsidRPr="0017544B" w:rsidRDefault="00A246CF" w:rsidP="00BC0E75">
            <w:pPr>
              <w:rPr>
                <w:b/>
                <w:bCs/>
              </w:rPr>
            </w:pPr>
            <w:r w:rsidRPr="0017544B">
              <w:rPr>
                <w:b/>
                <w:bCs/>
              </w:rPr>
              <w:t>Assignment 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81D61" w14:textId="77777777" w:rsidR="00A246CF" w:rsidRPr="0017544B" w:rsidRDefault="00A246CF" w:rsidP="00BC0E75">
            <w:pPr>
              <w:rPr>
                <w:b/>
                <w:bCs/>
              </w:rPr>
            </w:pPr>
            <w:r w:rsidRPr="0017544B">
              <w:rPr>
                <w:b/>
                <w:bCs/>
              </w:rPr>
              <w:t>Word count (or equivalent):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8BD706" w14:textId="77777777" w:rsidR="00A246CF" w:rsidRPr="0017544B" w:rsidRDefault="00A246CF" w:rsidP="00BC0E75">
            <w:pPr>
              <w:rPr>
                <w:b/>
                <w:bCs/>
              </w:rPr>
            </w:pPr>
            <w:r w:rsidRPr="0017544B">
              <w:rPr>
                <w:b/>
                <w:bCs/>
              </w:rPr>
              <w:t>4000 Words</w:t>
            </w:r>
          </w:p>
        </w:tc>
      </w:tr>
      <w:tr w:rsidR="00A246CF" w:rsidRPr="0017544B" w14:paraId="7830D4AF"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9D714C" w14:textId="77777777" w:rsidR="00A246CF" w:rsidRPr="0017544B" w:rsidRDefault="00A246CF" w:rsidP="00BC0E75">
            <w:pPr>
              <w:rPr>
                <w:b/>
                <w:bCs/>
              </w:rPr>
            </w:pPr>
            <w:r w:rsidRPr="0017544B">
              <w:rPr>
                <w:b/>
                <w:bCs/>
              </w:rPr>
              <w:t>Submission deadline: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106F03" w14:textId="77777777" w:rsidR="00A246CF" w:rsidRPr="0017544B" w:rsidRDefault="00A246CF" w:rsidP="00BC0E75">
            <w:pPr>
              <w:rPr>
                <w:b/>
                <w:bCs/>
              </w:rPr>
            </w:pPr>
            <w:r w:rsidRPr="0017544B">
              <w:rPr>
                <w:b/>
                <w:bCs/>
              </w:rPr>
              <w:t>29</w:t>
            </w:r>
            <w:r w:rsidRPr="0017544B">
              <w:rPr>
                <w:b/>
                <w:bCs/>
                <w:vertAlign w:val="superscript"/>
              </w:rPr>
              <w:t>th</w:t>
            </w:r>
            <w:r w:rsidRPr="0017544B">
              <w:rPr>
                <w:b/>
                <w:bCs/>
              </w:rPr>
              <w:t xml:space="preserve"> July 2024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FB06B" w14:textId="77777777" w:rsidR="00A246CF" w:rsidRPr="0017544B" w:rsidRDefault="00A246CF" w:rsidP="00BC0E75">
            <w:pPr>
              <w:rPr>
                <w:b/>
                <w:bCs/>
              </w:rPr>
            </w:pPr>
            <w:r w:rsidRPr="0017544B">
              <w:rPr>
                <w:b/>
                <w:bCs/>
              </w:rPr>
              <w:t>Return date of provisional marks &amp; written feedback: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9FA2AF" w14:textId="77777777" w:rsidR="00A246CF" w:rsidRPr="0017544B" w:rsidRDefault="00A246CF" w:rsidP="00BC0E75">
            <w:pPr>
              <w:rPr>
                <w:b/>
                <w:bCs/>
              </w:rPr>
            </w:pPr>
            <w:r w:rsidRPr="0017544B">
              <w:rPr>
                <w:b/>
                <w:bCs/>
              </w:rPr>
              <w:t>19</w:t>
            </w:r>
            <w:r w:rsidRPr="0017544B">
              <w:rPr>
                <w:b/>
                <w:bCs/>
                <w:vertAlign w:val="superscript"/>
              </w:rPr>
              <w:t>th</w:t>
            </w:r>
            <w:r w:rsidRPr="0017544B">
              <w:rPr>
                <w:b/>
                <w:bCs/>
              </w:rPr>
              <w:t xml:space="preserve"> August 2024</w:t>
            </w:r>
          </w:p>
        </w:tc>
      </w:tr>
      <w:tr w:rsidR="00A246CF" w:rsidRPr="0017544B" w14:paraId="0EB19C8D" w14:textId="77777777" w:rsidTr="00BC0E7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5C37DC" w14:textId="77777777" w:rsidR="00A246CF" w:rsidRPr="0017544B" w:rsidRDefault="00A246CF" w:rsidP="00BC0E75">
            <w:pPr>
              <w:rPr>
                <w:b/>
                <w:bCs/>
              </w:rPr>
            </w:pPr>
            <w:r w:rsidRPr="0017544B">
              <w:rPr>
                <w:b/>
                <w:bCs/>
              </w:rPr>
              <w:t>Submission method:</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D7B72E" w14:textId="77777777" w:rsidR="00A246CF" w:rsidRPr="0017544B" w:rsidRDefault="00A246CF" w:rsidP="00BC0E75">
            <w:pPr>
              <w:rPr>
                <w:b/>
                <w:bCs/>
              </w:rPr>
            </w:pPr>
            <w:r w:rsidRPr="0017544B">
              <w:rPr>
                <w:b/>
                <w:bCs/>
              </w:rPr>
              <w:t>All written assessments, where practical and possible, must be submitted via Turnitin unless otherwise instructed by the lecturer. </w:t>
            </w:r>
          </w:p>
          <w:p w14:paraId="4E9B4BC2" w14:textId="77777777" w:rsidR="00A246CF" w:rsidRPr="0017544B" w:rsidRDefault="00A246CF" w:rsidP="00BC0E75">
            <w:pPr>
              <w:rPr>
                <w:b/>
                <w:bCs/>
              </w:rPr>
            </w:pPr>
          </w:p>
          <w:p w14:paraId="36B62878" w14:textId="77777777" w:rsidR="00A246CF" w:rsidRPr="0017544B" w:rsidRDefault="00A246CF" w:rsidP="00BC0E75">
            <w:pPr>
              <w:rPr>
                <w:b/>
                <w:bCs/>
              </w:rPr>
            </w:pPr>
            <w:r w:rsidRPr="0017544B">
              <w:rPr>
                <w:b/>
                <w:bCs/>
              </w:rPr>
              <w:t>You should submit this assignment in a Word document. DO NOT put this assessment specification into Turnitin or it will match many similarities with other students’ submissions.</w:t>
            </w:r>
          </w:p>
          <w:p w14:paraId="053B5904" w14:textId="77777777" w:rsidR="00A246CF" w:rsidRPr="0017544B" w:rsidRDefault="00A246CF" w:rsidP="00BC0E75">
            <w:pPr>
              <w:rPr>
                <w:b/>
                <w:bCs/>
              </w:rPr>
            </w:pPr>
            <w:r w:rsidRPr="0017544B">
              <w:rPr>
                <w:b/>
                <w:bCs/>
              </w:rPr>
              <w:t>Late submission of the assessment will result in a late penalty mark.  Penalties for late submission:</w:t>
            </w:r>
          </w:p>
          <w:p w14:paraId="50D2A4A0" w14:textId="77777777" w:rsidR="00A246CF" w:rsidRPr="0017544B" w:rsidRDefault="00A246CF" w:rsidP="00BC0E75">
            <w:pPr>
              <w:numPr>
                <w:ilvl w:val="0"/>
                <w:numId w:val="1"/>
              </w:numPr>
              <w:rPr>
                <w:b/>
                <w:bCs/>
              </w:rPr>
            </w:pPr>
            <w:r w:rsidRPr="0017544B">
              <w:rPr>
                <w:b/>
                <w:bCs/>
              </w:rPr>
              <w:t>up to one week late, maximum mark of 40%.  </w:t>
            </w:r>
          </w:p>
          <w:p w14:paraId="3C02747A" w14:textId="77777777" w:rsidR="00A246CF" w:rsidRPr="0017544B" w:rsidRDefault="00A246CF" w:rsidP="00BC0E75">
            <w:pPr>
              <w:numPr>
                <w:ilvl w:val="0"/>
                <w:numId w:val="1"/>
              </w:numPr>
              <w:rPr>
                <w:b/>
                <w:bCs/>
              </w:rPr>
            </w:pPr>
            <w:r w:rsidRPr="0017544B">
              <w:rPr>
                <w:b/>
                <w:bCs/>
              </w:rPr>
              <w:t>over one week late, mark of 0%.  </w:t>
            </w:r>
          </w:p>
          <w:p w14:paraId="453B4ACE" w14:textId="77777777" w:rsidR="00A246CF" w:rsidRPr="0017544B" w:rsidRDefault="00A246CF" w:rsidP="00BC0E75">
            <w:pPr>
              <w:rPr>
                <w:b/>
                <w:bCs/>
              </w:rPr>
            </w:pPr>
            <w:r w:rsidRPr="0017544B">
              <w:rPr>
                <w:b/>
                <w:bCs/>
              </w:rPr>
              <w:t>Only the Extenuating Circumstances Panel may approve a change to submission dates.</w:t>
            </w:r>
          </w:p>
        </w:tc>
      </w:tr>
    </w:tbl>
    <w:p w14:paraId="4ECF8D49" w14:textId="77777777" w:rsidR="00A246CF" w:rsidRDefault="00A246CF" w:rsidP="00A246CF">
      <w:pPr>
        <w:rPr>
          <w:b/>
          <w:bCs/>
        </w:rPr>
      </w:pPr>
    </w:p>
    <w:p w14:paraId="0B6C0EFA" w14:textId="77777777" w:rsidR="00A246CF" w:rsidRDefault="00A246CF" w:rsidP="00A246CF">
      <w:pPr>
        <w:rPr>
          <w:b/>
          <w:bCs/>
        </w:rPr>
      </w:pPr>
    </w:p>
    <w:p w14:paraId="4B873E0C" w14:textId="77777777" w:rsidR="00A246CF" w:rsidRDefault="00A246CF" w:rsidP="00A246CF">
      <w:pPr>
        <w:rPr>
          <w:b/>
          <w:bCs/>
        </w:rPr>
      </w:pPr>
    </w:p>
    <w:p w14:paraId="1E64392A" w14:textId="77777777" w:rsidR="00A246CF" w:rsidRDefault="00A246CF" w:rsidP="00A246CF">
      <w:pPr>
        <w:rPr>
          <w:b/>
          <w:bCs/>
        </w:rPr>
      </w:pPr>
    </w:p>
    <w:p w14:paraId="05F1BBD4" w14:textId="77777777" w:rsidR="00A246CF" w:rsidRPr="005803FB" w:rsidRDefault="00A246CF" w:rsidP="00A246CF">
      <w:r w:rsidRPr="005803FB">
        <w:rPr>
          <w:b/>
          <w:bCs/>
        </w:rPr>
        <w:lastRenderedPageBreak/>
        <w:t>Essay one – Maintaining Professional Standards</w:t>
      </w:r>
    </w:p>
    <w:p w14:paraId="25BF7701" w14:textId="77777777" w:rsidR="00A246CF" w:rsidRPr="005803FB" w:rsidRDefault="00A246CF" w:rsidP="00A246CF">
      <w:r w:rsidRPr="005803FB">
        <w:t>Critically examine policing policies and procedures (e.g. PACE, Code of Ethics, NDM, use of BWV) aimed at reducing misconduct and malpractice by police officers. How might these increase public confidence in police?</w:t>
      </w:r>
    </w:p>
    <w:p w14:paraId="3D4523AD" w14:textId="77777777" w:rsidR="00A246CF" w:rsidRPr="005803FB" w:rsidRDefault="00A246CF" w:rsidP="00A246CF">
      <w:r w:rsidRPr="005803FB">
        <w:t>Support your answer with relevant evidence drawn from academic sources.</w:t>
      </w:r>
    </w:p>
    <w:p w14:paraId="2076742C" w14:textId="77777777" w:rsidR="00A246CF" w:rsidRPr="005803FB" w:rsidRDefault="00A246CF" w:rsidP="00A246CF">
      <w:r w:rsidRPr="005803FB">
        <w:t>NB – to </w:t>
      </w:r>
      <w:r w:rsidRPr="005803FB">
        <w:rPr>
          <w:i/>
          <w:iCs/>
        </w:rPr>
        <w:t>critically examine</w:t>
      </w:r>
      <w:r w:rsidRPr="005803FB">
        <w:t> is to give a balanced answer that points out weaknesses as well as favourable aspects of the topic in question.</w:t>
      </w:r>
    </w:p>
    <w:p w14:paraId="7B538B08" w14:textId="77777777" w:rsidR="00A246CF" w:rsidRPr="005803FB" w:rsidRDefault="00A246CF" w:rsidP="00A246CF">
      <w:r w:rsidRPr="005803FB">
        <w:t>Public confidence in the police is paramount to a successful force. Within literature, confidence has many definitions. For example, according to Albrecht (2019), trust in public service organisations signifies that people believe they are operating efficiently and in line with expectations. According to Cao (2015), confidence is a broad endorsement of the police as an institution and serves as a store of goodwill, which is typically directed towards the organisation rather than specific employees. Goodwill is a finite amount of positivity that can be lost over time if expectations are not fulfilled. Also, it is important to note that public confidence in the police can differ based on an individual’s experiences, for instance, a victim’s perception of the police, may differ from that of an individual who has had no personal experience with the police. This essay will make use of Albrecht’s definition of public confidence, to determine how effective procedures used by police forces are in increasing public confidence</w:t>
      </w:r>
      <w:r>
        <w:t xml:space="preserve">, by assessing both strengths and weaknesses of both. </w:t>
      </w:r>
    </w:p>
    <w:p w14:paraId="4F09A3F2" w14:textId="77777777" w:rsidR="00A246CF" w:rsidRPr="005803FB" w:rsidRDefault="00A246CF" w:rsidP="00A246CF">
      <w:r w:rsidRPr="005803FB">
        <w:t>Police misconduct remains a prevalent issue facing police forces across the UK. Misconduct, although there are numerous definitions, is widely defined in policing  as the breaking of the lawful structures put in place by police forces nationwide (Porter, L., 2021). Therefore, various policies and procedures such as the Police and Criminal Evidence Act (PACE), the Code of Ethics, the National Decision Model (NDM), and the use of Body-Worn Video (BWV). These methods and procedures have been developed to deter officer misconduct with the intention of positively effecting public perception of police forces. (Myhill, A. and Bradford, B., 2012).</w:t>
      </w:r>
      <w:r>
        <w:t xml:space="preserve"> </w:t>
      </w:r>
    </w:p>
    <w:p w14:paraId="3FE36670" w14:textId="77777777" w:rsidR="00A246CF" w:rsidRDefault="00A246CF" w:rsidP="00A246CF">
      <w:r w:rsidRPr="005803FB">
        <w:t xml:space="preserve">A fundamental framework used by police forces nationwide is known as The Police and Criminal Evidence Act (PACE). Introduced in 1984, PACE was a landmark in standardising police powers and ensuring accountability. The primary aim of PACE is to balance the powers of the police with the rights of individuals, thus, preventing abuse of authority. One of the significant strengths of PACE is its contribution to transparency and accountability. By providing clear guidelines, PACE helps reduce arbitrary or discriminatory practices (Crawford, 2019). </w:t>
      </w:r>
    </w:p>
    <w:p w14:paraId="11DDA344" w14:textId="77777777" w:rsidR="00A246CF" w:rsidRDefault="00A246CF" w:rsidP="00A246CF">
      <w:r w:rsidRPr="005803FB">
        <w:t xml:space="preserve">However, critics argue that PACE has limitations. For instance, there is evidence suggesting that stop and search powers are still disproportionately used against </w:t>
      </w:r>
      <w:r w:rsidRPr="005803FB">
        <w:lastRenderedPageBreak/>
        <w:t>minority communities (Bowling &amp; Phillips, 2007). This indicates a gap between policy and practice, where racial biases continue to influence police behaviour despite legislative safeguards.</w:t>
      </w:r>
    </w:p>
    <w:p w14:paraId="7ECD339A" w14:textId="77777777" w:rsidR="00A246CF" w:rsidRPr="005803FB" w:rsidRDefault="00A246CF" w:rsidP="00A246CF">
      <w:r w:rsidRPr="005803FB">
        <w:t>Although this may have the potential to diminish public confidence, overall, PACE remains a fundamental framework in policing, and is widely used correctly in accordance with legislation. Due to its strict guidelines regarding the powers police officers hold, including stop search and power of entry, to uphold public safety, communities may feel safer because of the police’s intrusive methods, thus, increasing public confidence.</w:t>
      </w:r>
    </w:p>
    <w:p w14:paraId="21419B3A" w14:textId="77777777" w:rsidR="00A246CF" w:rsidRDefault="00A246CF" w:rsidP="00A246CF">
      <w:r w:rsidRPr="005803FB">
        <w:t>Another procedure used by police forces is the Code of Ethics. The College of Policing introduced the Code of Ethics in 2014, setting out the standards of professional behaviour expected from police officers in England and Wales</w:t>
      </w:r>
      <w:r>
        <w:t xml:space="preserve">. </w:t>
      </w:r>
      <w:r w:rsidRPr="005803FB">
        <w:t>The Code of Ethics serves as a moral compass for officers, promoting a culture of ethical policing</w:t>
      </w:r>
      <w:r>
        <w:t>, as it</w:t>
      </w:r>
      <w:r w:rsidRPr="005803FB">
        <w:t xml:space="preserve"> </w:t>
      </w:r>
      <w:r>
        <w:t>highlights</w:t>
      </w:r>
      <w:r w:rsidRPr="005803FB">
        <w:t xml:space="preserve"> the importance of accountability and professional standards, potentially deterring misconduct by emphasi</w:t>
      </w:r>
      <w:r>
        <w:t>s</w:t>
      </w:r>
      <w:r w:rsidRPr="005803FB">
        <w:t xml:space="preserve">ing the consequences of unethical behaviour (Miller, Blackler, &amp; Alexandra, 2016). Moreover, it helps build public trust by demonstrating the police force's commitment to ethical conduct. This helps increase public confidence as it requires officers to adhere to a set of ethical standards and principles, demonstrating their commitment to upholding accountability in their interactions with the community. </w:t>
      </w:r>
    </w:p>
    <w:p w14:paraId="6CECB258" w14:textId="77777777" w:rsidR="00A246CF" w:rsidRPr="005803FB" w:rsidRDefault="00A246CF" w:rsidP="00A246CF">
      <w:r w:rsidRPr="005803FB">
        <w:t>In conclusion, while the Code of Ethics serves as a valuable tool in promoting ethical conduct and professionalism within law enforcement agencies, its impact on increasing public confidence cannot be guaranteed. The effectiveness of the code depends on transparency, along with a commitment from officers to uphold its principles. When implemented effectively, the Code of Ethics can contribute to building trust between the police and the community, but its success in doing so ultimately falls upon how well it is integrated into police practices and culture.</w:t>
      </w:r>
    </w:p>
    <w:p w14:paraId="4F82D59A" w14:textId="77777777" w:rsidR="00A246CF" w:rsidRPr="005803FB" w:rsidRDefault="00A246CF" w:rsidP="00A246CF">
      <w:r w:rsidRPr="005803FB">
        <w:t xml:space="preserve">Moreover, a further process utilised by the police is the National Decision Model (NDM). The NDM is a framework designed to guide police officers in making decisions. It involves a cyclical process of gathering information, assessing risks, considering powers and policies, identifying options, and acting (College of Policing, 2013). This model aims to support transparent and accountable decision-making. The NDM's structured approach helps in ensuring that decisions are well-considered and justifiable, reducing the likelihood of rash or biased actions (Stanko, 2018). It promotes a reflective practice where officers continuously evaluate the impact of their decisions, enhancing accountability and professional development. However, the effectiveness of the NDM can be compromised by practical constraints such as time pressure and insufficient information during critical incidents (Smith &amp; Flanagan, 2000). Furthermore, the model relies heavily on the individual officer's judgment and training, which can vary widely and affect the consistency of its application. Overall, it seems that the NDM </w:t>
      </w:r>
      <w:r w:rsidRPr="005803FB">
        <w:lastRenderedPageBreak/>
        <w:t>promotes increased public confidence, as it holds officers accountable, which, according to Albrecht (2019), is a fundamental aspect of the definition of confidence.</w:t>
      </w:r>
    </w:p>
    <w:p w14:paraId="694943B1" w14:textId="77777777" w:rsidR="00A246CF" w:rsidRPr="005803FB" w:rsidRDefault="00A246CF" w:rsidP="00A246CF">
      <w:r w:rsidRPr="005803FB">
        <w:t>Also, the use of Body Worn Video (BWV) by police officers has been widely adopted as a tool to enhance transparency and accountability. These devices record interactions between police and the public, providing an objective account of events (Ariel</w:t>
      </w:r>
      <w:r>
        <w:t xml:space="preserve"> et al,</w:t>
      </w:r>
      <w:r w:rsidRPr="005803FB">
        <w:t xml:space="preserve"> 2015). BWV has been shown to reduce incidents of use of force and complaints against police officers, likely due to the awareness that actions are being recorded (Ariel et al, 2016). This transparency can deter misconduct and provide clear evidence in cases of disputed events, thus supporting fair investigations. However, the effectiveness of BWV is not without limitations. There are concerns about privacy, both for the public and the officers, as well as the potential for selective recording or manipulation of footage (Cubitt et al. 2016). Additionally, technical issues such as malfunctions or failures to activate the cameras can undermine the reliability of BWV as a tool for accountability. Overall, despite the possibility of malpractice when operating BWV, the usefulness of such technologies in providing justice seem to outweigh these negative possibilities.</w:t>
      </w:r>
    </w:p>
    <w:p w14:paraId="3AB6D9D5" w14:textId="77777777" w:rsidR="00A246CF" w:rsidRPr="005803FB" w:rsidRDefault="00A246CF" w:rsidP="00A246CF">
      <w:r w:rsidRPr="005803FB">
        <w:t>While policies and procedures like PACE, the Code of Ethics, NDM, and BWV have notable strengths in reducing police misconduct and malpractice, they are not without their weaknesses. Effective implementation, continuous monitoring, and addressing practical constraints are crucial for these measures to achieve their intended outcomes. By enhancing transparency and accountability, these frameworks can play a significant role in building public confidence in the police, provided they are applied consistently and fairly.</w:t>
      </w:r>
    </w:p>
    <w:p w14:paraId="13CF95E0" w14:textId="77777777" w:rsidR="00A246CF" w:rsidRPr="005803FB" w:rsidRDefault="00A246CF" w:rsidP="00A246CF">
      <w:r w:rsidRPr="005803FB">
        <w:t> </w:t>
      </w:r>
    </w:p>
    <w:p w14:paraId="1DB56F85" w14:textId="77777777" w:rsidR="00A246CF" w:rsidRDefault="00A246CF" w:rsidP="00A246CF">
      <w:pPr>
        <w:rPr>
          <w:b/>
          <w:bCs/>
        </w:rPr>
      </w:pPr>
    </w:p>
    <w:p w14:paraId="5483FD2F" w14:textId="77777777" w:rsidR="00A246CF" w:rsidRDefault="00A246CF" w:rsidP="00A246CF">
      <w:pPr>
        <w:rPr>
          <w:b/>
          <w:bCs/>
        </w:rPr>
      </w:pPr>
    </w:p>
    <w:p w14:paraId="6694D2EE" w14:textId="77777777" w:rsidR="00A246CF" w:rsidRPr="00233E85" w:rsidRDefault="00A246CF" w:rsidP="00A246CF">
      <w:pPr>
        <w:rPr>
          <w:rFonts w:ascii="Arial" w:hAnsi="Arial" w:cs="Arial"/>
          <w:i/>
          <w:iCs/>
        </w:rPr>
      </w:pPr>
      <w:r w:rsidRPr="00233E85">
        <w:rPr>
          <w:rFonts w:ascii="Arial" w:hAnsi="Arial" w:cs="Arial"/>
          <w:i/>
          <w:iCs/>
        </w:rPr>
        <w:t>Word count - 1093</w:t>
      </w:r>
    </w:p>
    <w:p w14:paraId="766CF303" w14:textId="77777777" w:rsidR="00A246CF" w:rsidRDefault="00A246CF" w:rsidP="00A246CF">
      <w:pPr>
        <w:rPr>
          <w:b/>
          <w:bCs/>
        </w:rPr>
      </w:pPr>
    </w:p>
    <w:p w14:paraId="4CB3B246" w14:textId="77777777" w:rsidR="00A246CF" w:rsidRDefault="00A246CF" w:rsidP="00A246CF">
      <w:pPr>
        <w:rPr>
          <w:b/>
          <w:bCs/>
        </w:rPr>
      </w:pPr>
    </w:p>
    <w:p w14:paraId="24CB0EC2" w14:textId="77777777" w:rsidR="00A246CF" w:rsidRDefault="00A246CF" w:rsidP="00A246CF">
      <w:pPr>
        <w:rPr>
          <w:b/>
          <w:bCs/>
        </w:rPr>
      </w:pPr>
    </w:p>
    <w:p w14:paraId="1D01EE76" w14:textId="77777777" w:rsidR="00A246CF" w:rsidRDefault="00A246CF" w:rsidP="00A246CF">
      <w:pPr>
        <w:rPr>
          <w:b/>
          <w:bCs/>
        </w:rPr>
      </w:pPr>
    </w:p>
    <w:p w14:paraId="6E25F15E" w14:textId="77777777" w:rsidR="00A246CF" w:rsidRDefault="00A246CF" w:rsidP="00A246CF">
      <w:pPr>
        <w:rPr>
          <w:b/>
          <w:bCs/>
        </w:rPr>
      </w:pPr>
    </w:p>
    <w:p w14:paraId="40A98E72" w14:textId="77777777" w:rsidR="00A246CF" w:rsidRDefault="00A246CF" w:rsidP="00A246CF">
      <w:pPr>
        <w:rPr>
          <w:b/>
          <w:bCs/>
        </w:rPr>
      </w:pPr>
    </w:p>
    <w:p w14:paraId="43CA8973" w14:textId="77777777" w:rsidR="00A246CF" w:rsidRDefault="00A246CF" w:rsidP="00A246CF">
      <w:pPr>
        <w:rPr>
          <w:b/>
          <w:bCs/>
        </w:rPr>
      </w:pPr>
    </w:p>
    <w:p w14:paraId="4C07D90B" w14:textId="77777777" w:rsidR="00A246CF" w:rsidRDefault="00A246CF" w:rsidP="00A246CF">
      <w:pPr>
        <w:rPr>
          <w:b/>
          <w:bCs/>
        </w:rPr>
      </w:pPr>
    </w:p>
    <w:p w14:paraId="641E53C9" w14:textId="77777777" w:rsidR="00A246CF" w:rsidRPr="005803FB" w:rsidRDefault="00A246CF" w:rsidP="00A246CF">
      <w:r w:rsidRPr="005803FB">
        <w:rPr>
          <w:b/>
          <w:bCs/>
        </w:rPr>
        <w:lastRenderedPageBreak/>
        <w:t>References</w:t>
      </w:r>
    </w:p>
    <w:p w14:paraId="7A812939" w14:textId="77777777" w:rsidR="00A246CF" w:rsidRPr="005803FB" w:rsidRDefault="00A246CF" w:rsidP="00A246CF">
      <w:r w:rsidRPr="005803FB">
        <w:t>Ariel, B., Farrar, W. A., &amp; Sutherland, A. (2015). The Effect of Police Body-Worn Cameras on Use of Force and Citizens’ Complaints Against the Police: A Randomized Controlled Trial. Journal of Quantitative Criminology, 31(3), 509-535.</w:t>
      </w:r>
    </w:p>
    <w:p w14:paraId="48175C6E" w14:textId="77777777" w:rsidR="00A246CF" w:rsidRPr="005803FB" w:rsidRDefault="00A246CF" w:rsidP="00A246CF">
      <w:r w:rsidRPr="005803FB">
        <w:t>Ariel, B., Sutherland, A., Henstock, D., Young, J., &amp; Drover, P. (2016). Wearing Body Cameras Increases Assaults Against Officers and Does Not Reduce Police Use of Force: A Global Multi-Site Experiment. European Journal of Criminology, 13(6), 744-755.</w:t>
      </w:r>
    </w:p>
    <w:p w14:paraId="4341B104" w14:textId="77777777" w:rsidR="00A246CF" w:rsidRPr="005803FB" w:rsidRDefault="00A246CF" w:rsidP="00A246CF">
      <w:r w:rsidRPr="005803FB">
        <w:t>Bowling, B., &amp; Phillips, C. (2007). Disproportionate and Discriminatory: Reviewing the Evidence on Police Stop and Search. Modern Law Review, 70(6), 936-961.</w:t>
      </w:r>
    </w:p>
    <w:p w14:paraId="4A30C41D" w14:textId="77777777" w:rsidR="00A246CF" w:rsidRPr="005803FB" w:rsidRDefault="00A246CF" w:rsidP="00A246CF">
      <w:r w:rsidRPr="005803FB">
        <w:t>College of Policing. (2013). National Decision Model. Retrieved from </w:t>
      </w:r>
      <w:hyperlink r:id="rId8" w:tgtFrame="_blank" w:history="1">
        <w:r w:rsidRPr="005803FB">
          <w:rPr>
            <w:rStyle w:val="Hyperlink"/>
          </w:rPr>
          <w:t>https://www.college.police.uk/What-we-do/Development/decision-model</w:t>
        </w:r>
      </w:hyperlink>
    </w:p>
    <w:p w14:paraId="4BE06852" w14:textId="77777777" w:rsidR="00A246CF" w:rsidRPr="005803FB" w:rsidRDefault="00A246CF" w:rsidP="00A246CF">
      <w:r w:rsidRPr="005803FB">
        <w:t>College of Policing. (2014). Code of Ethics. Retrieved from </w:t>
      </w:r>
      <w:hyperlink r:id="rId9" w:tgtFrame="_blank" w:history="1">
        <w:r w:rsidRPr="005803FB">
          <w:rPr>
            <w:rStyle w:val="Hyperlink"/>
          </w:rPr>
          <w:t>https://www.college.police.uk/What-we-do/Ethics/Code-of-Ethics</w:t>
        </w:r>
      </w:hyperlink>
    </w:p>
    <w:p w14:paraId="7B0EFF2E" w14:textId="77777777" w:rsidR="00A246CF" w:rsidRPr="005803FB" w:rsidRDefault="00A246CF" w:rsidP="00A246CF">
      <w:r w:rsidRPr="005803FB">
        <w:t>Crawford, A. (2019). Criminal Justice in Transition: The Northern Ireland Context. Routledge.</w:t>
      </w:r>
    </w:p>
    <w:p w14:paraId="09608F69" w14:textId="77777777" w:rsidR="00A246CF" w:rsidRPr="005803FB" w:rsidRDefault="00A246CF" w:rsidP="00A246CF">
      <w:r w:rsidRPr="005803FB">
        <w:t xml:space="preserve">Cubitt, T. I. C., </w:t>
      </w:r>
      <w:proofErr w:type="spellStart"/>
      <w:r w:rsidRPr="005803FB">
        <w:t>Lesic</w:t>
      </w:r>
      <w:proofErr w:type="spellEnd"/>
      <w:r w:rsidRPr="005803FB">
        <w:t>, R., Myers, G. L., &amp; Corry, R. (2016). Body-Worn Video: A Systematic Review of Literature. Australian &amp; New Zealand Journal of Criminology, 50(3), 379-396.</w:t>
      </w:r>
    </w:p>
    <w:p w14:paraId="586A60D2" w14:textId="77777777" w:rsidR="00A246CF" w:rsidRPr="005803FB" w:rsidRDefault="00A246CF" w:rsidP="00A246CF">
      <w:r w:rsidRPr="005803FB">
        <w:t>Home Office (2013). </w:t>
      </w:r>
      <w:r w:rsidRPr="005803FB">
        <w:rPr>
          <w:i/>
          <w:iCs/>
        </w:rPr>
        <w:t>Police and Criminal Evidence Act 1984 (PACE) Codes of Practice</w:t>
      </w:r>
      <w:r w:rsidRPr="005803FB">
        <w:t>. [online] </w:t>
      </w:r>
      <w:hyperlink r:id="rId10" w:tgtFrame="_blank" w:history="1">
        <w:r w:rsidRPr="005803FB">
          <w:rPr>
            <w:rStyle w:val="Hyperlink"/>
          </w:rPr>
          <w:t>GOV.UK</w:t>
        </w:r>
      </w:hyperlink>
      <w:r w:rsidRPr="005803FB">
        <w:t>. Available at: </w:t>
      </w:r>
      <w:hyperlink r:id="rId11" w:tgtFrame="_blank" w:history="1">
        <w:r w:rsidRPr="005803FB">
          <w:rPr>
            <w:rStyle w:val="Hyperlink"/>
          </w:rPr>
          <w:t>https://www.gov.uk/guidance/police-and-criminal-evidence-act-1984-pace-codes-of-practice</w:t>
        </w:r>
      </w:hyperlink>
      <w:r w:rsidRPr="005803FB">
        <w:t> [Accessed 13 May 2024].</w:t>
      </w:r>
    </w:p>
    <w:p w14:paraId="0411428B" w14:textId="77777777" w:rsidR="00A246CF" w:rsidRPr="005803FB" w:rsidRDefault="00A246CF" w:rsidP="00A246CF">
      <w:r w:rsidRPr="005803FB">
        <w:t>Hough, M., Jackson, J., Bradford, B., Myhill, A., &amp; Quinton, P. (2010). Procedural Justice, Trust, and Institutional Legitimacy. Policing: A Journal of Policy and Practice, 4(3), 203-210.</w:t>
      </w:r>
    </w:p>
    <w:p w14:paraId="25327157" w14:textId="77777777" w:rsidR="00A246CF" w:rsidRPr="005803FB" w:rsidRDefault="00A246CF" w:rsidP="00A246CF">
      <w:r w:rsidRPr="005803FB">
        <w:t>Miller, S., Blackler, J., &amp; Alexandra, A. (2016). Police Ethics. The Oxford Handbook of Police and Policing, 1-20.</w:t>
      </w:r>
    </w:p>
    <w:p w14:paraId="1B32DBD7" w14:textId="77777777" w:rsidR="00A246CF" w:rsidRPr="005803FB" w:rsidRDefault="00A246CF" w:rsidP="00A246CF">
      <w:r w:rsidRPr="005803FB">
        <w:t>Myhill, A. and Bradford, B., 2012. Can police enhance public confidence by improving quality of service? Results from two surveys in England and Wales. </w:t>
      </w:r>
      <w:r w:rsidRPr="005803FB">
        <w:rPr>
          <w:i/>
          <w:iCs/>
        </w:rPr>
        <w:t>Policing and society</w:t>
      </w:r>
      <w:r w:rsidRPr="005803FB">
        <w:t>, </w:t>
      </w:r>
      <w:r w:rsidRPr="005803FB">
        <w:rPr>
          <w:i/>
          <w:iCs/>
        </w:rPr>
        <w:t>22</w:t>
      </w:r>
      <w:r w:rsidRPr="005803FB">
        <w:t>(4), pp.397-425.</w:t>
      </w:r>
    </w:p>
    <w:p w14:paraId="09289AA7" w14:textId="77777777" w:rsidR="00A246CF" w:rsidRPr="005803FB" w:rsidRDefault="00A246CF" w:rsidP="00A246CF">
      <w:r w:rsidRPr="005803FB">
        <w:t>Porter, L., 2021. Police misconduct. </w:t>
      </w:r>
      <w:r w:rsidRPr="005803FB">
        <w:rPr>
          <w:i/>
          <w:iCs/>
        </w:rPr>
        <w:t>Critical Issues in Policing: Contemporary Readings</w:t>
      </w:r>
      <w:r w:rsidRPr="005803FB">
        <w:t>, pp.261-278.</w:t>
      </w:r>
    </w:p>
    <w:p w14:paraId="75C1C072" w14:textId="77777777" w:rsidR="00A246CF" w:rsidRPr="005803FB" w:rsidRDefault="00A246CF" w:rsidP="00A246CF">
      <w:r w:rsidRPr="005803FB">
        <w:t>Smith, R., &amp; Flanagan, C. (2000). The Effective Detective: Identifying the Skills of an Effective SIO. Policing and Reducing Crime Unit: Paper 122, Home Office. </w:t>
      </w:r>
    </w:p>
    <w:p w14:paraId="2500D611" w14:textId="77777777" w:rsidR="00A246CF" w:rsidRPr="005803FB" w:rsidRDefault="00A246CF" w:rsidP="00A246CF">
      <w:r w:rsidRPr="005803FB">
        <w:lastRenderedPageBreak/>
        <w:t>Snyman, R., 2010. The meaning of professionalism in policing: a qualitative case study. </w:t>
      </w:r>
      <w:r w:rsidRPr="005803FB">
        <w:rPr>
          <w:i/>
          <w:iCs/>
        </w:rPr>
        <w:t xml:space="preserve">Acta </w:t>
      </w:r>
      <w:proofErr w:type="spellStart"/>
      <w:r w:rsidRPr="005803FB">
        <w:rPr>
          <w:i/>
          <w:iCs/>
        </w:rPr>
        <w:t>Criminologica</w:t>
      </w:r>
      <w:proofErr w:type="spellEnd"/>
      <w:r w:rsidRPr="005803FB">
        <w:rPr>
          <w:i/>
          <w:iCs/>
        </w:rPr>
        <w:t>: African Journal of Criminology &amp; Victimology</w:t>
      </w:r>
      <w:r w:rsidRPr="005803FB">
        <w:t>, </w:t>
      </w:r>
      <w:r w:rsidRPr="005803FB">
        <w:rPr>
          <w:i/>
          <w:iCs/>
        </w:rPr>
        <w:t>23</w:t>
      </w:r>
      <w:r w:rsidRPr="005803FB">
        <w:t>(3), pp.16-39.</w:t>
      </w:r>
    </w:p>
    <w:p w14:paraId="2C211F5F" w14:textId="77777777" w:rsidR="00A246CF" w:rsidRPr="005803FB" w:rsidRDefault="00A246CF" w:rsidP="00A246CF">
      <w:r w:rsidRPr="005803FB">
        <w:t>Stanko, E. (2018). Review of the National Decision Model. London: College of Policing.</w:t>
      </w:r>
    </w:p>
    <w:p w14:paraId="0DBD4726" w14:textId="77777777" w:rsidR="00A246CF" w:rsidRDefault="00A246CF" w:rsidP="00A246CF">
      <w:r w:rsidRPr="005803FB">
        <w:t> </w:t>
      </w:r>
    </w:p>
    <w:p w14:paraId="315F22CB" w14:textId="77777777" w:rsidR="00A246CF" w:rsidRDefault="00A246CF" w:rsidP="00A246CF">
      <w:pPr>
        <w:rPr>
          <w:b/>
          <w:bCs/>
        </w:rPr>
      </w:pPr>
    </w:p>
    <w:p w14:paraId="29C6A31C" w14:textId="77777777" w:rsidR="00A246CF" w:rsidRDefault="00A246CF" w:rsidP="00A246CF">
      <w:pPr>
        <w:rPr>
          <w:b/>
          <w:bCs/>
        </w:rPr>
      </w:pPr>
    </w:p>
    <w:p w14:paraId="446C2916" w14:textId="77777777" w:rsidR="00A246CF" w:rsidRDefault="00A246CF" w:rsidP="00A246CF">
      <w:pPr>
        <w:rPr>
          <w:b/>
          <w:bCs/>
        </w:rPr>
      </w:pPr>
    </w:p>
    <w:p w14:paraId="04710883" w14:textId="77777777" w:rsidR="00A246CF" w:rsidRDefault="00A246CF" w:rsidP="00A246CF">
      <w:pPr>
        <w:rPr>
          <w:b/>
          <w:bCs/>
        </w:rPr>
      </w:pPr>
    </w:p>
    <w:p w14:paraId="7F60430E" w14:textId="77777777" w:rsidR="00A246CF" w:rsidRDefault="00A246CF" w:rsidP="00A246CF">
      <w:pPr>
        <w:rPr>
          <w:b/>
          <w:bCs/>
        </w:rPr>
      </w:pPr>
    </w:p>
    <w:p w14:paraId="2AF97C81" w14:textId="77777777" w:rsidR="00A246CF" w:rsidRDefault="00A246CF" w:rsidP="00A246CF">
      <w:pPr>
        <w:rPr>
          <w:b/>
          <w:bCs/>
        </w:rPr>
      </w:pPr>
    </w:p>
    <w:p w14:paraId="402A23A0" w14:textId="77777777" w:rsidR="00A246CF" w:rsidRDefault="00A246CF" w:rsidP="00A246CF">
      <w:pPr>
        <w:rPr>
          <w:b/>
          <w:bCs/>
        </w:rPr>
      </w:pPr>
    </w:p>
    <w:p w14:paraId="2BA584E5" w14:textId="77777777" w:rsidR="00A246CF" w:rsidRDefault="00A246CF" w:rsidP="00A246CF">
      <w:pPr>
        <w:rPr>
          <w:b/>
          <w:bCs/>
        </w:rPr>
      </w:pPr>
    </w:p>
    <w:p w14:paraId="07E821E2" w14:textId="77777777" w:rsidR="00A246CF" w:rsidRDefault="00A246CF" w:rsidP="00A246CF">
      <w:pPr>
        <w:rPr>
          <w:b/>
          <w:bCs/>
        </w:rPr>
      </w:pPr>
    </w:p>
    <w:p w14:paraId="6F6882A9" w14:textId="77777777" w:rsidR="00A246CF" w:rsidRDefault="00A246CF" w:rsidP="00A246CF">
      <w:pPr>
        <w:rPr>
          <w:b/>
          <w:bCs/>
        </w:rPr>
      </w:pPr>
    </w:p>
    <w:p w14:paraId="17698A01" w14:textId="77777777" w:rsidR="00A246CF" w:rsidRDefault="00A246CF" w:rsidP="00A246CF">
      <w:pPr>
        <w:rPr>
          <w:b/>
          <w:bCs/>
        </w:rPr>
      </w:pPr>
    </w:p>
    <w:p w14:paraId="46DFFE89" w14:textId="77777777" w:rsidR="00A246CF" w:rsidRDefault="00A246CF" w:rsidP="00A246CF">
      <w:pPr>
        <w:rPr>
          <w:b/>
          <w:bCs/>
        </w:rPr>
      </w:pPr>
    </w:p>
    <w:p w14:paraId="1A34B420" w14:textId="77777777" w:rsidR="00A246CF" w:rsidRDefault="00A246CF" w:rsidP="00A246CF">
      <w:pPr>
        <w:rPr>
          <w:b/>
          <w:bCs/>
        </w:rPr>
      </w:pPr>
    </w:p>
    <w:p w14:paraId="72EEE7BE" w14:textId="77777777" w:rsidR="00A246CF" w:rsidRDefault="00A246CF" w:rsidP="00A246CF">
      <w:pPr>
        <w:rPr>
          <w:b/>
          <w:bCs/>
        </w:rPr>
      </w:pPr>
    </w:p>
    <w:p w14:paraId="523D6619" w14:textId="77777777" w:rsidR="00A246CF" w:rsidRDefault="00A246CF" w:rsidP="00A246CF">
      <w:pPr>
        <w:rPr>
          <w:b/>
          <w:bCs/>
        </w:rPr>
      </w:pPr>
    </w:p>
    <w:p w14:paraId="1882B383" w14:textId="77777777" w:rsidR="00A246CF" w:rsidRDefault="00A246CF" w:rsidP="00A246CF">
      <w:pPr>
        <w:rPr>
          <w:b/>
          <w:bCs/>
        </w:rPr>
      </w:pPr>
    </w:p>
    <w:p w14:paraId="692D67AD" w14:textId="77777777" w:rsidR="00A246CF" w:rsidRDefault="00A246CF" w:rsidP="00A246CF">
      <w:pPr>
        <w:rPr>
          <w:b/>
          <w:bCs/>
        </w:rPr>
      </w:pPr>
    </w:p>
    <w:p w14:paraId="0DEF55CE" w14:textId="77777777" w:rsidR="00A246CF" w:rsidRDefault="00A246CF" w:rsidP="00A246CF">
      <w:pPr>
        <w:rPr>
          <w:b/>
          <w:bCs/>
        </w:rPr>
      </w:pPr>
    </w:p>
    <w:p w14:paraId="31BB8047" w14:textId="77777777" w:rsidR="00A246CF" w:rsidRDefault="00A246CF" w:rsidP="00A246CF">
      <w:pPr>
        <w:rPr>
          <w:b/>
          <w:bCs/>
        </w:rPr>
      </w:pPr>
    </w:p>
    <w:p w14:paraId="0134DF5D" w14:textId="77777777" w:rsidR="00A246CF" w:rsidRDefault="00A246CF" w:rsidP="00A246CF">
      <w:pPr>
        <w:rPr>
          <w:b/>
          <w:bCs/>
        </w:rPr>
      </w:pPr>
    </w:p>
    <w:p w14:paraId="6469B5C5" w14:textId="77777777" w:rsidR="00A246CF" w:rsidRDefault="00A246CF" w:rsidP="00A246CF">
      <w:pPr>
        <w:rPr>
          <w:b/>
          <w:bCs/>
        </w:rPr>
      </w:pPr>
    </w:p>
    <w:p w14:paraId="466F2F3E" w14:textId="77777777" w:rsidR="00A246CF" w:rsidRDefault="00A246CF" w:rsidP="00A246CF">
      <w:pPr>
        <w:rPr>
          <w:b/>
          <w:bCs/>
        </w:rPr>
      </w:pPr>
    </w:p>
    <w:p w14:paraId="32743950" w14:textId="77777777" w:rsidR="00A246CF" w:rsidRDefault="00A246CF" w:rsidP="00A246CF">
      <w:pPr>
        <w:rPr>
          <w:b/>
          <w:bCs/>
        </w:rPr>
      </w:pPr>
    </w:p>
    <w:p w14:paraId="2FC77919" w14:textId="77777777" w:rsidR="00A246CF" w:rsidRDefault="00A246CF" w:rsidP="00A246CF">
      <w:pPr>
        <w:rPr>
          <w:b/>
          <w:bCs/>
        </w:rPr>
      </w:pPr>
    </w:p>
    <w:p w14:paraId="127D6F0E" w14:textId="77777777" w:rsidR="00A246CF" w:rsidRDefault="00A246CF" w:rsidP="00A246CF">
      <w:pPr>
        <w:rPr>
          <w:b/>
          <w:bCs/>
        </w:rPr>
      </w:pPr>
    </w:p>
    <w:p w14:paraId="711A1DB0" w14:textId="77777777" w:rsidR="00A246CF" w:rsidRPr="000821B7" w:rsidRDefault="00A246CF" w:rsidP="00A246CF">
      <w:pPr>
        <w:rPr>
          <w:b/>
          <w:bCs/>
        </w:rPr>
      </w:pPr>
      <w:r>
        <w:rPr>
          <w:b/>
          <w:bCs/>
        </w:rPr>
        <w:t>E</w:t>
      </w:r>
      <w:r w:rsidRPr="005803FB">
        <w:rPr>
          <w:b/>
          <w:bCs/>
        </w:rPr>
        <w:t>ssay two – Public Protection</w:t>
      </w:r>
    </w:p>
    <w:p w14:paraId="11F1CC38" w14:textId="77777777" w:rsidR="00A246CF" w:rsidRPr="005803FB" w:rsidRDefault="00A246CF" w:rsidP="00A246CF">
      <w:r w:rsidRPr="005803FB">
        <w:t>What characteristics (socio-economic, psychological etc.) can make a person vulnerable to exploitation to criminal gangs?</w:t>
      </w:r>
    </w:p>
    <w:p w14:paraId="04344DC0" w14:textId="77777777" w:rsidR="00A246CF" w:rsidRPr="005803FB" w:rsidRDefault="00A246CF" w:rsidP="00A246CF">
      <w:r w:rsidRPr="005803FB">
        <w:t>Your answer must be based on academic research.</w:t>
      </w:r>
    </w:p>
    <w:p w14:paraId="65976436" w14:textId="77777777" w:rsidR="00A246CF" w:rsidRPr="005803FB" w:rsidRDefault="00A246CF" w:rsidP="00A246CF">
      <w:r w:rsidRPr="005803FB">
        <w:rPr>
          <w:b/>
          <w:bCs/>
        </w:rPr>
        <w:t>Word limit: </w:t>
      </w:r>
      <w:r w:rsidRPr="005803FB">
        <w:t>1000 words.</w:t>
      </w:r>
    </w:p>
    <w:p w14:paraId="7BEC64EC" w14:textId="77777777" w:rsidR="00A246CF" w:rsidRDefault="00A246CF" w:rsidP="00A246CF">
      <w:r w:rsidRPr="005803FB">
        <w:t xml:space="preserve">The exploitation of individuals by criminal gangs is a complex phenomenon influenced by various socio-economic and psychological factors. </w:t>
      </w:r>
      <w:r>
        <w:t xml:space="preserve">Within literature, a criminal gang is generally described as a group of individuals, who often share similar beliefs and views, regularly engage in criminal activity </w:t>
      </w:r>
      <w:r w:rsidRPr="00503A6D">
        <w:t>(Curry and Decker, 2010)</w:t>
      </w:r>
      <w:r>
        <w:t xml:space="preserve">. </w:t>
      </w:r>
      <w:r w:rsidRPr="005803FB">
        <w:t xml:space="preserve">Understanding these factors is </w:t>
      </w:r>
      <w:r>
        <w:t>key</w:t>
      </w:r>
      <w:r w:rsidRPr="005803FB">
        <w:t xml:space="preserve"> for developing effective intervention and prevention strategies. This essay explores the characteristics that make individuals vulnerable to exploitation by criminal gangs, </w:t>
      </w:r>
      <w:r>
        <w:t xml:space="preserve">such as financial exploitation, </w:t>
      </w:r>
      <w:r w:rsidRPr="00C44361">
        <w:t>drawing</w:t>
      </w:r>
      <w:r w:rsidRPr="005803FB">
        <w:t xml:space="preserve"> on academic research to highlight key socio-economic and psychological determinants.</w:t>
      </w:r>
    </w:p>
    <w:p w14:paraId="36E8B4DC" w14:textId="77777777" w:rsidR="00A246CF" w:rsidRDefault="00A246CF" w:rsidP="00A246CF">
      <w:r w:rsidRPr="005803FB">
        <w:t xml:space="preserve">To begin, one of the most significant socio-economic factors that contribute to vulnerability is poverty. Economic hardship can lead individuals, particularly youths, to seek financial stability through illegitimate means (Decker &amp; </w:t>
      </w:r>
      <w:proofErr w:type="spellStart"/>
      <w:r w:rsidRPr="005803FB">
        <w:t>Pyrooz</w:t>
      </w:r>
      <w:proofErr w:type="spellEnd"/>
      <w:r w:rsidRPr="005803FB">
        <w:t>, 2010). The term "poverty" describes the situation or state in which individuals or groups do not have the means of subsistenc</w:t>
      </w:r>
      <w:r>
        <w:t xml:space="preserve">e </w:t>
      </w:r>
      <w:r w:rsidRPr="00195298">
        <w:t>(Britannica, 2018)</w:t>
      </w:r>
      <w:r>
        <w:t>.</w:t>
      </w:r>
    </w:p>
    <w:p w14:paraId="186F30F8" w14:textId="77777777" w:rsidR="00A246CF" w:rsidRPr="005803FB" w:rsidRDefault="00A246CF" w:rsidP="00A246CF">
      <w:r w:rsidRPr="00B41FDC">
        <w:t>It is widely agreed that geographic and environmental factors have the potential to contribute to vulnerability. For example, urban environments with high crime rates and limited recreational activities can increase the likelihood of gang involvement. Rural areas are not immune, as isolation and lack of access to services can also drive individuals towards gangs (Weerman et. al, 2009).</w:t>
      </w:r>
    </w:p>
    <w:p w14:paraId="7CB653C9" w14:textId="77777777" w:rsidR="00A246CF" w:rsidRDefault="00A246CF" w:rsidP="00A246CF">
      <w:r w:rsidRPr="005803FB">
        <w:t>Gangs often provide an alternative economic structure in impoverished communities, offering both financial rewards and a sense of belonging (Hagedorn, 2008).</w:t>
      </w:r>
      <w:r>
        <w:t xml:space="preserve"> Therefore, it could be suggested that this may appear more appealing towards younger, financially vulnerable people as it opens a wider economical structure and bonds with other members of these gangs, due to the financial magnet.</w:t>
      </w:r>
    </w:p>
    <w:p w14:paraId="79B940F9" w14:textId="77777777" w:rsidR="00A246CF" w:rsidRPr="005803FB" w:rsidRDefault="00A246CF" w:rsidP="00A246CF">
      <w:r w:rsidRPr="005803FB">
        <w:t xml:space="preserve">Furthermore, limited access to education and employment opportunities </w:t>
      </w:r>
      <w:r>
        <w:t xml:space="preserve">has the </w:t>
      </w:r>
      <w:r w:rsidRPr="0021027E">
        <w:t>potential to make a person more vulnerable to criminal gangs. For example, research suggests that school dropout rates and unemployment are significantly higher in areas with prevalent gang activity, which</w:t>
      </w:r>
      <w:r w:rsidRPr="005803FB">
        <w:t xml:space="preserve"> further identifies the socio-economic characteristic in early gang activity</w:t>
      </w:r>
      <w:r>
        <w:t xml:space="preserve"> </w:t>
      </w:r>
      <w:r w:rsidRPr="0021027E">
        <w:t>(Esbensen &amp; Carson, 2012</w:t>
      </w:r>
      <w:r>
        <w:t>). From this, it can be recognised that i</w:t>
      </w:r>
      <w:r w:rsidRPr="005803FB">
        <w:t>ndividuals with lower educational attainment are more likely to be recruited by gangs, as their options for legitimate employment are restricted (Thornberry et al., 2003).</w:t>
      </w:r>
    </w:p>
    <w:p w14:paraId="52FE9381" w14:textId="77777777" w:rsidR="00A246CF" w:rsidRPr="005803FB" w:rsidRDefault="00A246CF" w:rsidP="00A246CF">
      <w:r w:rsidRPr="005803FB">
        <w:lastRenderedPageBreak/>
        <w:t>Moreover, communities characterised by social disorganisation, marked by weak social institutions and lack of social cohesion, are fertile grounds for gang recruitment. High levels of residential mobility, family disruption, and lack of social control create environments where gangs can thrive (Sampson &amp; Groves,1989). The breakdown of traditional community structures leaves individuals, especially youth, vulnerable to the influence of gangs (Klein &amp; Maxson, 2006).</w:t>
      </w:r>
      <w:r>
        <w:t xml:space="preserve"> </w:t>
      </w:r>
    </w:p>
    <w:p w14:paraId="0B6DB03B" w14:textId="77777777" w:rsidR="00A246CF" w:rsidRDefault="00A246CF" w:rsidP="00A246CF">
      <w:r>
        <w:t>P</w:t>
      </w:r>
      <w:r w:rsidRPr="005803FB">
        <w:t>sychological factors also play a significant role in making individuals susceptible to gang exploitation. An example of this is adolescents struggling with identity and self-esteem issues</w:t>
      </w:r>
      <w:r>
        <w:t>, thus,</w:t>
      </w:r>
      <w:r w:rsidRPr="005803FB">
        <w:t xml:space="preserve"> may find gangs appealing as they offer a sense of identity, belonging, and respect that these individuals might lack in other areas of their lives (Wood &amp; Alleyne, 2010). Gangs often exploit these needs by providing a surrogate family and a sense of purpose</w:t>
      </w:r>
      <w:r>
        <w:t xml:space="preserve">. </w:t>
      </w:r>
    </w:p>
    <w:p w14:paraId="0A0E7E49" w14:textId="77777777" w:rsidR="00A246CF" w:rsidRPr="005803FB" w:rsidRDefault="00A246CF" w:rsidP="00A246CF">
      <w:r>
        <w:t>Similarly, f</w:t>
      </w:r>
      <w:r w:rsidRPr="001A3C64">
        <w:t>amily dynamics play a crucial role in shaping vulnerability. Dysfunctional family environments, characterised by neglect, abuse, or lack of supervision, can push individuals towards gangs (Thornberry et. al, 2003). There may be numerous reasons for this, including the lack of parental supervision and support. Children from broken homes frequently do</w:t>
      </w:r>
      <w:r>
        <w:t xml:space="preserve"> </w:t>
      </w:r>
      <w:r w:rsidRPr="001A3C64">
        <w:t>n</w:t>
      </w:r>
      <w:r>
        <w:t>o</w:t>
      </w:r>
      <w:r w:rsidRPr="001A3C64">
        <w:t xml:space="preserve">t have enough parental </w:t>
      </w:r>
      <w:r>
        <w:t>guidance , therefore can be led astray, making them</w:t>
      </w:r>
      <w:r w:rsidRPr="001A3C64">
        <w:t xml:space="preserve"> more vulnerable to harmful influences and more likely to be recruited by gangs. Research has indicated that a strong predictor of young people joining gangs is inadequate parental supervision (Walker-Barnes &amp; Mason, 2001). Conversely, strong family bonds and effective parental supervision can serve as protective factors (Lahey et. al, 1999)</w:t>
      </w:r>
      <w:r>
        <w:t>.</w:t>
      </w:r>
    </w:p>
    <w:p w14:paraId="690F687F" w14:textId="77777777" w:rsidR="00A246CF" w:rsidRPr="005803FB" w:rsidRDefault="00A246CF" w:rsidP="00A246CF">
      <w:r w:rsidRPr="005803FB">
        <w:t>Individuals with histories of trauma and abuse are also at heightened risk of vulnerability or susception to gang exploitation. Exposure to violence, neglect, or domestic abuse can lead to psychological conditions such as PTSD, which can impair judg</w:t>
      </w:r>
      <w:r>
        <w:t>e</w:t>
      </w:r>
      <w:r w:rsidRPr="005803FB">
        <w:t>ment and increase susceptibility to gang recruitment (Vigil, 2003). Gangs exploit these vulnerabilities by offering protection and a sense of security that these individuals might not find elsewhere (</w:t>
      </w:r>
      <w:proofErr w:type="spellStart"/>
      <w:r w:rsidRPr="005803FB">
        <w:t>Pyrooz</w:t>
      </w:r>
      <w:proofErr w:type="spellEnd"/>
      <w:r w:rsidRPr="005803FB">
        <w:t xml:space="preserve"> &amp; Sweeten, 2015).</w:t>
      </w:r>
    </w:p>
    <w:p w14:paraId="0F28AFE6" w14:textId="77777777" w:rsidR="00A246CF" w:rsidRPr="005803FB" w:rsidRDefault="00A246CF" w:rsidP="00A246CF">
      <w:pPr>
        <w:spacing w:before="240"/>
      </w:pPr>
      <w:r w:rsidRPr="005803FB">
        <w:t xml:space="preserve">On the other hand, the role of peer influence and social-media networks cannot be overstated. Adolescents are particularly susceptible to peer pressure and may join gangs due to the influence of friends or relatives already involved in gang activities (Warr, 2002). </w:t>
      </w:r>
      <w:r>
        <w:t xml:space="preserve">For example, </w:t>
      </w:r>
      <w:r w:rsidRPr="005803FB">
        <w:t xml:space="preserve">Albert Bandura's </w:t>
      </w:r>
      <w:r>
        <w:t>S</w:t>
      </w:r>
      <w:r w:rsidRPr="005803FB">
        <w:t xml:space="preserve">ocial </w:t>
      </w:r>
      <w:r>
        <w:t>L</w:t>
      </w:r>
      <w:r w:rsidRPr="005803FB">
        <w:t xml:space="preserve">earning </w:t>
      </w:r>
      <w:r>
        <w:t>T</w:t>
      </w:r>
      <w:r w:rsidRPr="005803FB">
        <w:t>heory places a strong emphasis on the value of seeing, modelling, and copying other people's behaviours, attitudes, and emotional responses. It is this social learning theory that suggests that behaviours, including criminal ones, are learned through interactions with other individuals (Akers, 2009). Th</w:t>
      </w:r>
      <w:r>
        <w:t>erefore</w:t>
      </w:r>
      <w:r w:rsidRPr="005803FB">
        <w:t>, individuals embedded in social networks where gang activity is normalised are more likely to become involved themselves</w:t>
      </w:r>
      <w:r>
        <w:t xml:space="preserve"> (</w:t>
      </w:r>
      <w:r w:rsidRPr="00615D8E">
        <w:t>Oatley</w:t>
      </w:r>
      <w:r>
        <w:t xml:space="preserve"> </w:t>
      </w:r>
      <w:r w:rsidRPr="00615D8E">
        <w:t>and Crick</w:t>
      </w:r>
      <w:r>
        <w:t xml:space="preserve">, </w:t>
      </w:r>
      <w:r w:rsidRPr="00615D8E">
        <w:t>2015</w:t>
      </w:r>
      <w:r>
        <w:t>).</w:t>
      </w:r>
    </w:p>
    <w:p w14:paraId="26F0C347" w14:textId="77777777" w:rsidR="00A246CF" w:rsidRPr="005803FB" w:rsidRDefault="00A246CF" w:rsidP="00A246CF">
      <w:r>
        <w:lastRenderedPageBreak/>
        <w:t>It is also important to note that m</w:t>
      </w:r>
      <w:r w:rsidRPr="005803FB">
        <w:t>arginalisation and social exclusion are powerful drivers of gang involvement, integrating both socio-economic and psychological dimensions.</w:t>
      </w:r>
      <w:r>
        <w:t xml:space="preserve"> Marginalisation is the separation or isolation of individuals or collectives based on defining factors such as race, or ethnicity</w:t>
      </w:r>
      <w:r w:rsidRPr="005803FB">
        <w:t xml:space="preserve"> </w:t>
      </w:r>
      <w:r>
        <w:t>(</w:t>
      </w:r>
      <w:r w:rsidRPr="00D8075A">
        <w:t>Mukherji, 2018</w:t>
      </w:r>
      <w:r>
        <w:t xml:space="preserve">). </w:t>
      </w:r>
      <w:r w:rsidRPr="005803FB">
        <w:t xml:space="preserve">Marginalised individuals often experience a sense of alienation from mainstream society, making them more susceptible to the allure of gang life (Hallsworth &amp; Young, 2008). Gangs exploit this by providing a sense of community and belonging that these individuals </w:t>
      </w:r>
      <w:r>
        <w:t>may</w:t>
      </w:r>
      <w:r w:rsidRPr="005803FB">
        <w:t xml:space="preserve"> not find in broader society.</w:t>
      </w:r>
    </w:p>
    <w:p w14:paraId="7D804186" w14:textId="77777777" w:rsidR="00A246CF" w:rsidRPr="005803FB" w:rsidRDefault="00A246CF" w:rsidP="00A246CF">
      <w:r w:rsidRPr="001D060A">
        <w:t>Community-based programs that strengthen social institutions and enhance community cohesion can mitigate the impact of social disorganisation. Initiatives that promote community engagement and provide positive role models are crucial (Howell, 2010). Also, programs aimed at increasing educational attainment and employment opportunities can reduce the economic incentives for gang involvement. Vocational training and mentorship programs are</w:t>
      </w:r>
      <w:r w:rsidRPr="003F232A">
        <w:t xml:space="preserve"> effective in providing alternative pathways for at-risk youth (Mihalic</w:t>
      </w:r>
      <w:r>
        <w:t xml:space="preserve"> et al</w:t>
      </w:r>
      <w:r w:rsidRPr="003F232A">
        <w:t>, 2001).</w:t>
      </w:r>
    </w:p>
    <w:p w14:paraId="3C5E9D81" w14:textId="77777777" w:rsidR="00A246CF" w:rsidRDefault="00A246CF" w:rsidP="00A246CF">
      <w:r>
        <w:t xml:space="preserve"> Furthermore, p</w:t>
      </w:r>
      <w:r w:rsidRPr="005803FB">
        <w:t xml:space="preserve">sychological support services, including counselling and trauma-informed care, are essential for addressing the mental health needs of vulnerable individuals. These services can help individuals cope with past traumas and build resilience against the allure of gangs (Decker, Melde, &amp; </w:t>
      </w:r>
      <w:proofErr w:type="spellStart"/>
      <w:r w:rsidRPr="005803FB">
        <w:t>Pyrooz</w:t>
      </w:r>
      <w:proofErr w:type="spellEnd"/>
      <w:r w:rsidRPr="005803FB">
        <w:t>, 2013)</w:t>
      </w:r>
      <w:r>
        <w:t xml:space="preserve">. </w:t>
      </w:r>
      <w:r w:rsidRPr="005803FB">
        <w:t> </w:t>
      </w:r>
    </w:p>
    <w:p w14:paraId="14CD2007" w14:textId="77777777" w:rsidR="00A246CF" w:rsidRDefault="00A246CF" w:rsidP="00A246CF">
      <w:r>
        <w:t>In conclusion,</w:t>
      </w:r>
      <w:r w:rsidRPr="005803FB">
        <w:t xml:space="preserve"> </w:t>
      </w:r>
      <w:r>
        <w:t>v</w:t>
      </w:r>
      <w:r w:rsidRPr="005803FB">
        <w:t>ulnerability to exploitation by criminal gangs is shaped by a complex interplay of socio-economic and psychological factors. Poverty, lack of education and employment opportunities, social disorganization, identity and self-esteem issues, trauma, and peer influence all contribute to this vulnerability. Effective intervention requires comprehensive strategies that address both the socio-economic and psychological needs of at-risk individuals. By understanding and addressing these factors, it is possible to reduce the exploitation of vulnerable individuals by criminal gangs.</w:t>
      </w:r>
      <w:r>
        <w:t xml:space="preserve"> </w:t>
      </w:r>
    </w:p>
    <w:p w14:paraId="1C526EEF" w14:textId="77777777" w:rsidR="00A246CF" w:rsidRDefault="00A246CF" w:rsidP="00A246CF"/>
    <w:p w14:paraId="217677C1" w14:textId="77777777" w:rsidR="00A246CF" w:rsidRDefault="00A246CF" w:rsidP="00A246CF"/>
    <w:p w14:paraId="58DCF20A" w14:textId="77777777" w:rsidR="00A246CF" w:rsidRDefault="00A246CF" w:rsidP="00A246CF"/>
    <w:p w14:paraId="2F3E5C0D" w14:textId="77777777" w:rsidR="00A246CF" w:rsidRDefault="00A246CF" w:rsidP="00A246CF"/>
    <w:p w14:paraId="065E2037" w14:textId="77777777" w:rsidR="00A246CF" w:rsidRDefault="00A246CF" w:rsidP="00A246CF">
      <w:r>
        <w:t>Word Count: 1,045</w:t>
      </w:r>
    </w:p>
    <w:p w14:paraId="64068803" w14:textId="77777777" w:rsidR="00A246CF" w:rsidRDefault="00A246CF" w:rsidP="00A246CF"/>
    <w:p w14:paraId="699CD778" w14:textId="77777777" w:rsidR="00A246CF" w:rsidRDefault="00A246CF" w:rsidP="00A246CF"/>
    <w:p w14:paraId="41030484" w14:textId="77777777" w:rsidR="00A246CF" w:rsidRDefault="00A246CF" w:rsidP="00A246CF"/>
    <w:p w14:paraId="2BD10157" w14:textId="77777777" w:rsidR="00A246CF" w:rsidRDefault="00A246CF" w:rsidP="00A246CF">
      <w:pPr>
        <w:rPr>
          <w:b/>
          <w:bCs/>
        </w:rPr>
      </w:pPr>
      <w:r w:rsidRPr="005803FB">
        <w:rPr>
          <w:b/>
          <w:bCs/>
        </w:rPr>
        <w:lastRenderedPageBreak/>
        <w:t>References</w:t>
      </w:r>
    </w:p>
    <w:p w14:paraId="0C2D21BA" w14:textId="77777777" w:rsidR="00A246CF" w:rsidRPr="001D060A" w:rsidRDefault="00A246CF" w:rsidP="00A246CF">
      <w:pPr>
        <w:rPr>
          <w:b/>
          <w:bCs/>
        </w:rPr>
      </w:pPr>
      <w:r w:rsidRPr="005803FB">
        <w:t>Akers, R. L. (2009). Social Learning and Social Structure: A General Theory of Crime and Deviance. Transaction Publishers.</w:t>
      </w:r>
    </w:p>
    <w:p w14:paraId="3A739C1C" w14:textId="77777777" w:rsidR="00A246CF" w:rsidRDefault="00A246CF" w:rsidP="00A246CF">
      <w:r w:rsidRPr="00195298">
        <w:t xml:space="preserve">Britannica (2018). Poverty | Definition, Causes, Types, &amp; Facts. In: </w:t>
      </w:r>
      <w:proofErr w:type="spellStart"/>
      <w:r w:rsidRPr="00195298">
        <w:rPr>
          <w:i/>
          <w:iCs/>
        </w:rPr>
        <w:t>Encyclopædia</w:t>
      </w:r>
      <w:proofErr w:type="spellEnd"/>
      <w:r w:rsidRPr="00195298">
        <w:rPr>
          <w:i/>
          <w:iCs/>
        </w:rPr>
        <w:t xml:space="preserve"> Britannica</w:t>
      </w:r>
      <w:r w:rsidRPr="00195298">
        <w:t xml:space="preserve">. [online] Available at: </w:t>
      </w:r>
      <w:hyperlink r:id="rId12" w:history="1">
        <w:r w:rsidRPr="00195298">
          <w:rPr>
            <w:rStyle w:val="Hyperlink"/>
          </w:rPr>
          <w:t>https://www.britannica.com/topic/poverty</w:t>
        </w:r>
      </w:hyperlink>
      <w:r w:rsidRPr="00195298">
        <w:t>.</w:t>
      </w:r>
    </w:p>
    <w:p w14:paraId="0038B937" w14:textId="77777777" w:rsidR="00A246CF" w:rsidRDefault="00A246CF" w:rsidP="00A246CF">
      <w:r w:rsidRPr="00503A6D">
        <w:t xml:space="preserve">Curry, G.D. and Decker, S.H. (2010). Gang | crime. In: </w:t>
      </w:r>
      <w:proofErr w:type="spellStart"/>
      <w:r w:rsidRPr="00503A6D">
        <w:rPr>
          <w:i/>
          <w:iCs/>
        </w:rPr>
        <w:t>Encyclopædia</w:t>
      </w:r>
      <w:proofErr w:type="spellEnd"/>
      <w:r w:rsidRPr="00503A6D">
        <w:rPr>
          <w:i/>
          <w:iCs/>
        </w:rPr>
        <w:t xml:space="preserve"> Britannica</w:t>
      </w:r>
      <w:r w:rsidRPr="00503A6D">
        <w:t xml:space="preserve">. [online] Available at: </w:t>
      </w:r>
      <w:hyperlink r:id="rId13" w:history="1">
        <w:r w:rsidRPr="00503A6D">
          <w:rPr>
            <w:rStyle w:val="Hyperlink"/>
          </w:rPr>
          <w:t>https://www.britannica.com/topic/gang-crime</w:t>
        </w:r>
      </w:hyperlink>
      <w:r w:rsidRPr="00503A6D">
        <w:t>.</w:t>
      </w:r>
    </w:p>
    <w:p w14:paraId="1B261AB2" w14:textId="77777777" w:rsidR="00A246CF" w:rsidRPr="005803FB" w:rsidRDefault="00A246CF" w:rsidP="00A246CF">
      <w:r w:rsidRPr="005803FB">
        <w:t xml:space="preserve">Decker, S. H., &amp; </w:t>
      </w:r>
      <w:proofErr w:type="spellStart"/>
      <w:r w:rsidRPr="005803FB">
        <w:t>Pyrooz</w:t>
      </w:r>
      <w:proofErr w:type="spellEnd"/>
      <w:r w:rsidRPr="005803FB">
        <w:t>, D. C. (2010). Gangs: Continuity and Change. Oxford University Press.</w:t>
      </w:r>
    </w:p>
    <w:p w14:paraId="1FDADC7C" w14:textId="77777777" w:rsidR="00A246CF" w:rsidRPr="005803FB" w:rsidRDefault="00A246CF" w:rsidP="00A246CF">
      <w:r w:rsidRPr="005803FB">
        <w:t xml:space="preserve">Decker, S. H., Melde, C., &amp; </w:t>
      </w:r>
      <w:proofErr w:type="spellStart"/>
      <w:r w:rsidRPr="005803FB">
        <w:t>Pyrooz</w:t>
      </w:r>
      <w:proofErr w:type="spellEnd"/>
      <w:r w:rsidRPr="005803FB">
        <w:t>, D. C. (2013). Confronting Gangs: Crime and Community. Oxford University Press.</w:t>
      </w:r>
    </w:p>
    <w:p w14:paraId="2A493D4A" w14:textId="77777777" w:rsidR="00A246CF" w:rsidRPr="005803FB" w:rsidRDefault="00A246CF" w:rsidP="00A246CF">
      <w:r w:rsidRPr="005803FB">
        <w:t>Esbensen, F.-A., &amp; Carson, D. C. (2012). Who are the gangsters? An examination of the age, race/ethnicity, sex, and immigrant status of self-reported gang members in a seven-city study of American youth. Journal of Contemporary Criminal Justice, 28(4), 465-481.</w:t>
      </w:r>
    </w:p>
    <w:p w14:paraId="56C11B38" w14:textId="77777777" w:rsidR="00A246CF" w:rsidRPr="005803FB" w:rsidRDefault="00A246CF" w:rsidP="00A246CF">
      <w:r w:rsidRPr="005803FB">
        <w:t xml:space="preserve">Hagedorn, J. M. (2008). A World of Gangs: Armed Young Men and </w:t>
      </w:r>
      <w:proofErr w:type="spellStart"/>
      <w:r w:rsidRPr="005803FB">
        <w:t>Gangsta</w:t>
      </w:r>
      <w:proofErr w:type="spellEnd"/>
      <w:r w:rsidRPr="005803FB">
        <w:t xml:space="preserve"> Culture. University of Minnesota Press.</w:t>
      </w:r>
    </w:p>
    <w:p w14:paraId="493E1D4B" w14:textId="77777777" w:rsidR="00A246CF" w:rsidRPr="005803FB" w:rsidRDefault="00A246CF" w:rsidP="00A246CF">
      <w:r w:rsidRPr="005803FB">
        <w:t>Hallsworth, S., &amp; Young, T. (2008). Gang talk and gang talkers: A critique. Crime, Media, Culture, 4(2), 175-195.</w:t>
      </w:r>
    </w:p>
    <w:p w14:paraId="6EF699F0" w14:textId="77777777" w:rsidR="00A246CF" w:rsidRPr="005803FB" w:rsidRDefault="00A246CF" w:rsidP="00A246CF">
      <w:r w:rsidRPr="005803FB">
        <w:t>Howell, J. C. (2010). Gang Prevention: An Overview of Research and Programs. Office of Juvenile Justice and Delinquency Prevention.</w:t>
      </w:r>
    </w:p>
    <w:p w14:paraId="057C8846" w14:textId="77777777" w:rsidR="00A246CF" w:rsidRPr="005803FB" w:rsidRDefault="00A246CF" w:rsidP="00A246CF">
      <w:r w:rsidRPr="005803FB">
        <w:t>Klein, M. W., &amp; Maxson, C. L. (2006). Street Gang Patterns and Policies. Oxford University Press.</w:t>
      </w:r>
    </w:p>
    <w:p w14:paraId="1584911E" w14:textId="77777777" w:rsidR="00A246CF" w:rsidRPr="005803FB" w:rsidRDefault="00A246CF" w:rsidP="00A246CF">
      <w:r w:rsidRPr="005803FB">
        <w:t xml:space="preserve">Lahey, B. B., Gordon, R. A., Loeber, R., </w:t>
      </w:r>
      <w:proofErr w:type="spellStart"/>
      <w:r w:rsidRPr="005803FB">
        <w:t>Stouthamer</w:t>
      </w:r>
      <w:proofErr w:type="spellEnd"/>
      <w:r w:rsidRPr="005803FB">
        <w:t>-Loeber, M., &amp; Farrington, D. P. (1999). Boys who join gangs: A prospective study of predictors of first gang entry. Journal of Abnormal Child Psychology, 27(4), 261-276.</w:t>
      </w:r>
    </w:p>
    <w:p w14:paraId="19BFDB68" w14:textId="77777777" w:rsidR="00A246CF" w:rsidRPr="005803FB" w:rsidRDefault="00A246CF" w:rsidP="00A246CF">
      <w:r w:rsidRPr="005803FB">
        <w:t>Mihalic, S. F., Irwin, K., Elliott, D. S., Fagan, A., &amp; Hansen, D. (2001). Blueprints for Violence Prevention. OJJDP Juvenile Justice Bulletin.</w:t>
      </w:r>
    </w:p>
    <w:p w14:paraId="7050DE66" w14:textId="77777777" w:rsidR="00A246CF" w:rsidRPr="00503A6D" w:rsidRDefault="00A246CF" w:rsidP="00A246CF">
      <w:r w:rsidRPr="00D8075A">
        <w:t>Mukherji, P.N., 2018. Marginality, marginalisation and the idea of justice. </w:t>
      </w:r>
      <w:r w:rsidRPr="00D8075A">
        <w:rPr>
          <w:i/>
          <w:iCs/>
        </w:rPr>
        <w:t>Marginalities in India: Themes and perspectives</w:t>
      </w:r>
      <w:r w:rsidRPr="00D8075A">
        <w:t>, pp.13-23.</w:t>
      </w:r>
    </w:p>
    <w:p w14:paraId="6970E30B" w14:textId="77777777" w:rsidR="00A246CF" w:rsidRPr="00195298" w:rsidRDefault="00A246CF" w:rsidP="00A246CF">
      <w:r w:rsidRPr="00A13011">
        <w:t>Oatley, G. and Crick, T., 2015. Measuring UK crime gangs: a social network problem. </w:t>
      </w:r>
      <w:r w:rsidRPr="00A13011">
        <w:rPr>
          <w:i/>
          <w:iCs/>
        </w:rPr>
        <w:t>Social Network Analysis and Mining</w:t>
      </w:r>
      <w:r w:rsidRPr="00A13011">
        <w:t>, </w:t>
      </w:r>
      <w:r w:rsidRPr="00A13011">
        <w:rPr>
          <w:i/>
          <w:iCs/>
        </w:rPr>
        <w:t>5</w:t>
      </w:r>
      <w:r w:rsidRPr="00A13011">
        <w:t>(1), p.33.</w:t>
      </w:r>
    </w:p>
    <w:p w14:paraId="2AC2FDBB" w14:textId="77777777" w:rsidR="00A246CF" w:rsidRPr="005803FB" w:rsidRDefault="00A246CF" w:rsidP="00A246CF">
      <w:proofErr w:type="spellStart"/>
      <w:r w:rsidRPr="005803FB">
        <w:t>Pyrooz</w:t>
      </w:r>
      <w:proofErr w:type="spellEnd"/>
      <w:r w:rsidRPr="005803FB">
        <w:t>, D. C., &amp; Sweeten, G. (2015). Gang membership between ages 5 and 17 years in the United States. Journal of Adolescent Health, 56(4), 414-419.</w:t>
      </w:r>
    </w:p>
    <w:p w14:paraId="158CB585" w14:textId="77777777" w:rsidR="00A246CF" w:rsidRPr="005803FB" w:rsidRDefault="00A246CF" w:rsidP="00A246CF">
      <w:r w:rsidRPr="005803FB">
        <w:lastRenderedPageBreak/>
        <w:t>Sampson, R. J., &amp; Groves, W. B. (1989). Community structure and crime: Testing social-disorganization theory. American Journal of Sociology, 94(4), 774-802.</w:t>
      </w:r>
    </w:p>
    <w:p w14:paraId="521C66D6" w14:textId="77777777" w:rsidR="00A246CF" w:rsidRDefault="00A246CF" w:rsidP="00A246CF">
      <w:r w:rsidRPr="005803FB">
        <w:t>Thornberry, T. P., Krohn, M. D., Lizotte, A. J., Smith, C. A., &amp; Tobin, K. (2003). Gangs and Delinquency in Developmental Perspective. Cambridge University Press.</w:t>
      </w:r>
    </w:p>
    <w:p w14:paraId="26A21070" w14:textId="77777777" w:rsidR="00A246CF" w:rsidRDefault="00A246CF" w:rsidP="00A246CF">
      <w:r w:rsidRPr="005803FB">
        <w:t>Vigil, J. D. (2003). Urban Violence and Street Gangs. Annual Review of Anthropology.</w:t>
      </w:r>
    </w:p>
    <w:p w14:paraId="325D535C" w14:textId="77777777" w:rsidR="00A246CF" w:rsidRDefault="00A246CF" w:rsidP="00A246CF">
      <w:r w:rsidRPr="005803FB">
        <w:t> </w:t>
      </w:r>
      <w:r w:rsidRPr="00FF6559">
        <w:t xml:space="preserve">Walker-Barnes, C.J. and Mason, C.A., 2001. Delinquency and substance use among gang-involved youth: The moderating role of parenting practices. </w:t>
      </w:r>
      <w:r w:rsidRPr="00FF6559">
        <w:rPr>
          <w:i/>
          <w:iCs/>
        </w:rPr>
        <w:t>The American Journal of Orthopsychiatry</w:t>
      </w:r>
      <w:r w:rsidRPr="00FF6559">
        <w:t>, 71(3), pp.356-364.</w:t>
      </w:r>
    </w:p>
    <w:p w14:paraId="4153AC84" w14:textId="77777777" w:rsidR="00A246CF" w:rsidRDefault="00A246CF" w:rsidP="00A246CF">
      <w:r w:rsidRPr="005803FB">
        <w:t>Warr, M. (2002). Companions in Crime: The Social Aspects of Criminal Conduct. Cambridge University Press</w:t>
      </w:r>
    </w:p>
    <w:p w14:paraId="420E115B" w14:textId="77777777" w:rsidR="00A246CF" w:rsidRDefault="00A246CF" w:rsidP="00A246CF">
      <w:r w:rsidRPr="005803FB">
        <w:t xml:space="preserve">Weerman, F. M., Maxson, C. L., Esbensen, F.-A., Aldridge, J., &amp; Medina, J. (2009). </w:t>
      </w:r>
      <w:proofErr w:type="spellStart"/>
      <w:r w:rsidRPr="005803FB">
        <w:t>Eurogang</w:t>
      </w:r>
      <w:proofErr w:type="spellEnd"/>
      <w:r w:rsidRPr="005803FB">
        <w:t xml:space="preserve"> program manual: Background, development, and use of the </w:t>
      </w:r>
      <w:proofErr w:type="spellStart"/>
      <w:r w:rsidRPr="005803FB">
        <w:t>Eurogang</w:t>
      </w:r>
      <w:proofErr w:type="spellEnd"/>
      <w:r w:rsidRPr="005803FB">
        <w:t xml:space="preserve"> instruments in multi-site, multi-method comparative research. University of Missouri-St. Louis.</w:t>
      </w:r>
    </w:p>
    <w:p w14:paraId="30BC9BE3" w14:textId="77777777" w:rsidR="00A246CF" w:rsidRDefault="00A246CF" w:rsidP="00A246CF">
      <w:r w:rsidRPr="005803FB">
        <w:t xml:space="preserve">Wood, J., &amp; Alleyne, E. (2010). Street gang theory and research: Where are we now and where do we go from here? Aggression and Violent </w:t>
      </w:r>
      <w:proofErr w:type="spellStart"/>
      <w:r w:rsidRPr="005803FB">
        <w:t>Behavior</w:t>
      </w:r>
      <w:proofErr w:type="spellEnd"/>
      <w:r w:rsidRPr="005803FB">
        <w:t>, 15(2), 100-111.</w:t>
      </w:r>
    </w:p>
    <w:p w14:paraId="4EB52669" w14:textId="77777777" w:rsidR="00A246CF" w:rsidRPr="005803FB" w:rsidRDefault="00A246CF" w:rsidP="00A246CF"/>
    <w:p w14:paraId="168F66E9" w14:textId="77777777" w:rsidR="00A246CF" w:rsidRPr="005803FB" w:rsidRDefault="00A246CF" w:rsidP="00A246CF">
      <w:r w:rsidRPr="005803FB">
        <w:t> </w:t>
      </w:r>
    </w:p>
    <w:p w14:paraId="166BA72E" w14:textId="77777777" w:rsidR="00A246CF" w:rsidRPr="005803FB" w:rsidRDefault="00A246CF" w:rsidP="00A246CF">
      <w:r w:rsidRPr="005803FB">
        <w:t> </w:t>
      </w:r>
    </w:p>
    <w:p w14:paraId="3AF93B78" w14:textId="77777777" w:rsidR="00A246CF" w:rsidRDefault="00A246CF" w:rsidP="00A246CF">
      <w:pPr>
        <w:rPr>
          <w:b/>
          <w:bCs/>
        </w:rPr>
      </w:pPr>
    </w:p>
    <w:p w14:paraId="066B476F" w14:textId="77777777" w:rsidR="00A246CF" w:rsidRDefault="00A246CF" w:rsidP="00A246CF">
      <w:pPr>
        <w:rPr>
          <w:b/>
          <w:bCs/>
        </w:rPr>
      </w:pPr>
    </w:p>
    <w:p w14:paraId="5CA022D2" w14:textId="77777777" w:rsidR="00A246CF" w:rsidRDefault="00A246CF" w:rsidP="00A246CF">
      <w:pPr>
        <w:rPr>
          <w:b/>
          <w:bCs/>
        </w:rPr>
      </w:pPr>
    </w:p>
    <w:p w14:paraId="0664C6A8" w14:textId="77777777" w:rsidR="00A246CF" w:rsidRDefault="00A246CF" w:rsidP="00A246CF">
      <w:pPr>
        <w:rPr>
          <w:b/>
          <w:bCs/>
        </w:rPr>
      </w:pPr>
    </w:p>
    <w:p w14:paraId="6325D1E0" w14:textId="77777777" w:rsidR="00A246CF" w:rsidRDefault="00A246CF" w:rsidP="00A246CF">
      <w:pPr>
        <w:rPr>
          <w:b/>
          <w:bCs/>
        </w:rPr>
      </w:pPr>
    </w:p>
    <w:p w14:paraId="3CF17D14" w14:textId="77777777" w:rsidR="00A246CF" w:rsidRDefault="00A246CF" w:rsidP="00A246CF">
      <w:pPr>
        <w:rPr>
          <w:b/>
          <w:bCs/>
        </w:rPr>
      </w:pPr>
    </w:p>
    <w:p w14:paraId="17584807" w14:textId="77777777" w:rsidR="00A246CF" w:rsidRDefault="00A246CF" w:rsidP="00A246CF">
      <w:pPr>
        <w:rPr>
          <w:b/>
          <w:bCs/>
        </w:rPr>
      </w:pPr>
    </w:p>
    <w:p w14:paraId="30CFED44" w14:textId="77777777" w:rsidR="00A246CF" w:rsidRDefault="00A246CF" w:rsidP="00A246CF">
      <w:pPr>
        <w:rPr>
          <w:b/>
          <w:bCs/>
        </w:rPr>
      </w:pPr>
    </w:p>
    <w:p w14:paraId="33CE1070" w14:textId="77777777" w:rsidR="00A246CF" w:rsidRDefault="00A246CF" w:rsidP="00A246CF">
      <w:pPr>
        <w:rPr>
          <w:b/>
          <w:bCs/>
        </w:rPr>
      </w:pPr>
    </w:p>
    <w:p w14:paraId="03595E26" w14:textId="77777777" w:rsidR="00A246CF" w:rsidRDefault="00A246CF" w:rsidP="00A246CF">
      <w:pPr>
        <w:rPr>
          <w:b/>
          <w:bCs/>
        </w:rPr>
      </w:pPr>
    </w:p>
    <w:p w14:paraId="167D99E5" w14:textId="77777777" w:rsidR="00A246CF" w:rsidRDefault="00A246CF" w:rsidP="00A246CF">
      <w:pPr>
        <w:rPr>
          <w:b/>
          <w:bCs/>
        </w:rPr>
      </w:pPr>
    </w:p>
    <w:p w14:paraId="6B85A19B" w14:textId="77777777" w:rsidR="00A246CF" w:rsidRDefault="00A246CF" w:rsidP="00A246CF">
      <w:pPr>
        <w:rPr>
          <w:b/>
          <w:bCs/>
        </w:rPr>
      </w:pPr>
    </w:p>
    <w:p w14:paraId="0095B917" w14:textId="77777777" w:rsidR="00A246CF" w:rsidRPr="00A9206E" w:rsidRDefault="00A246CF" w:rsidP="00A246CF">
      <w:r w:rsidRPr="00A9206E">
        <w:rPr>
          <w:b/>
          <w:bCs/>
        </w:rPr>
        <w:lastRenderedPageBreak/>
        <w:t>Essay three – Vulnerability &amp; Risk</w:t>
      </w:r>
    </w:p>
    <w:p w14:paraId="0AEA4B8D" w14:textId="77777777" w:rsidR="00A246CF" w:rsidRDefault="00A246CF" w:rsidP="00A246CF">
      <w:r w:rsidRPr="00A9206E">
        <w:t>Is early intervention an effective means of preventing young people from offending? What increases or detracts from its effectiveness?</w:t>
      </w:r>
    </w:p>
    <w:p w14:paraId="5961096F" w14:textId="77777777" w:rsidR="00A246CF" w:rsidRPr="00A9206E" w:rsidRDefault="00A246CF" w:rsidP="00A246CF">
      <w:r w:rsidRPr="00A9206E">
        <w:t>Your answer must be based on academic research.</w:t>
      </w:r>
    </w:p>
    <w:p w14:paraId="7AB3C8EA" w14:textId="77777777" w:rsidR="00A246CF" w:rsidRDefault="00A246CF" w:rsidP="00A246CF">
      <w:r w:rsidRPr="00A9206E">
        <w:rPr>
          <w:b/>
          <w:bCs/>
        </w:rPr>
        <w:t>Word limit: </w:t>
      </w:r>
      <w:r w:rsidRPr="00A9206E">
        <w:t>1000 words. </w:t>
      </w:r>
    </w:p>
    <w:p w14:paraId="5E2FBC95" w14:textId="77777777" w:rsidR="00A246CF" w:rsidRPr="00A9206E" w:rsidRDefault="00A246CF" w:rsidP="00A246CF">
      <w:r w:rsidRPr="00A9206E">
        <w:t xml:space="preserve">The issue of youth offending remains a significant challenge in modern </w:t>
      </w:r>
      <w:r>
        <w:t>society</w:t>
      </w:r>
      <w:r w:rsidRPr="00A9206E">
        <w:t xml:space="preserve">. Early intervention, which entails identifying and addressing risk factors in a child’s life before they manifest into criminal behaviour, is often proposed as a solution. </w:t>
      </w:r>
      <w:r>
        <w:t>Often,</w:t>
      </w:r>
      <w:r w:rsidRPr="00F91E76">
        <w:t xml:space="preserve"> techniques and programs</w:t>
      </w:r>
      <w:r>
        <w:t xml:space="preserve"> are</w:t>
      </w:r>
      <w:r w:rsidRPr="00F91E76">
        <w:t xml:space="preserve"> put into place</w:t>
      </w:r>
      <w:r>
        <w:t xml:space="preserve"> to </w:t>
      </w:r>
      <w:r w:rsidRPr="00F91E76">
        <w:t xml:space="preserve">address risk factors and promote protective </w:t>
      </w:r>
      <w:r>
        <w:t>strategies</w:t>
      </w:r>
      <w:r w:rsidRPr="00F91E76">
        <w:t xml:space="preserve"> prior to the emergence of delinquent behaviours. These interventions can be in the form of therapeutic services, educational efforts, family assistance, or community-based projects. By addressing the underlying causes of criminal behaviour at an early age, the intention is to stop it before it starts</w:t>
      </w:r>
      <w:r>
        <w:t xml:space="preserve"> (Farrington, D.P. and Welsh B.C.,2007.) </w:t>
      </w:r>
      <w:r w:rsidRPr="00A9206E">
        <w:t>This essay debates the effectiveness of early intervention in preventing youth offending, focusing on methods utili</w:t>
      </w:r>
      <w:r>
        <w:t>s</w:t>
      </w:r>
      <w:r w:rsidRPr="00A9206E">
        <w:t>ed by South Wales Police</w:t>
      </w:r>
      <w:r>
        <w:t>, as well as in wider society.</w:t>
      </w:r>
      <w:r w:rsidRPr="00A9206E">
        <w:t xml:space="preserve"> By analysing various factors that influence the success or failure of early intervention programs, this essay aims to provide a comprehensive view of their potential benefits and limitations. </w:t>
      </w:r>
    </w:p>
    <w:p w14:paraId="68627878" w14:textId="77777777" w:rsidR="00A246CF" w:rsidRDefault="00A246CF" w:rsidP="00A246CF">
      <w:r w:rsidRPr="00A9206E">
        <w:t xml:space="preserve">Early intervention programs are grounded in the theory that addressing risk factors in a child’s environment can reduce the likelihood of future offending (Farrington, 2003). </w:t>
      </w:r>
      <w:r>
        <w:t xml:space="preserve"> One of these risk factors is poor parental supervision in an individual’s childhood. </w:t>
      </w:r>
      <w:r w:rsidRPr="00A9206E">
        <w:t>For example, a study by Farrington and Welsh (2007) found that early intervention programs focusing on improving parenting skills and providing educational support significantly reduced delinquency rates. Such programs help in creating a stable and supportive environment for children, which is crucial for their development and for preventing engagement in criminal activities. </w:t>
      </w:r>
      <w:r>
        <w:t xml:space="preserve">Specifically, a study conducted by the UK Government looking into the effectiveness of different early intervention strategies found that there are numerous programmes aimed at providing support to parents and families, which can aid in averting adolescent delinquency. Namely, Behavioural Parent Training (BPT) was found to be effective. BPT requires parents and carers to remain consistent in reinforcing positive, helpful behaviours, and punishing ‘hostile or uncooperative behaviour.’ It was also found that this strategy is more effective when implemented with older children, aged 10 and older </w:t>
      </w:r>
      <w:r w:rsidRPr="00EC2876">
        <w:t>(Ross et al., 2010)</w:t>
      </w:r>
      <w:r>
        <w:t>.</w:t>
      </w:r>
    </w:p>
    <w:p w14:paraId="24B4735B" w14:textId="77777777" w:rsidR="00A246CF" w:rsidRDefault="00A246CF" w:rsidP="00A246CF">
      <w:r>
        <w:t xml:space="preserve">Another strategy of early intervention to deter young people from offending is through school based prevention. Primarily, this focuses on retaining the pupils within a school environment, reminding them how significant their academic progress is. Research conducted by Gottfredson and fellow academics, found that student who were “weakly attached” to their school, had little to no academic aspirations, thus, more likely to </w:t>
      </w:r>
      <w:r>
        <w:lastRenderedPageBreak/>
        <w:t xml:space="preserve">engage with criminal activity (Gottfredson et al,1986). Specifically, within her research, Gottfredson found that altering the disciplinary and management structure within schools was somewhat effective in reducing juvenile criminality. For example, from a study conducted in South Carolina, Gottfredson found that there was an 8 percent decrease in delinquent behaviour when both parents and teachers were trained to discipline and teach young people effectively. Specifically, Gottfredson found that using a positive action through holistic education (PATHE) was one of the most effective practices, thus leading to the 8 percent decrease (Gottfredson et al,1986). </w:t>
      </w:r>
    </w:p>
    <w:p w14:paraId="39BA22C8" w14:textId="77777777" w:rsidR="00A246CF" w:rsidRPr="00A9206E" w:rsidRDefault="00A246CF" w:rsidP="00A246CF">
      <w:r>
        <w:t xml:space="preserve">As research suggests that early intervention plans aid in </w:t>
      </w:r>
      <w:r w:rsidRPr="00B10C8A">
        <w:t>lower</w:t>
      </w:r>
      <w:r>
        <w:t>ing</w:t>
      </w:r>
      <w:r w:rsidRPr="00B10C8A">
        <w:t xml:space="preserve"> the rate of juvenile crime. </w:t>
      </w:r>
      <w:r w:rsidRPr="00A9206E">
        <w:t xml:space="preserve">For instance, the “Youth Offending Teams” (YOTs) in South Wales work closely with various agencies, including social services, education, and health services, to provide a </w:t>
      </w:r>
      <w:r>
        <w:t xml:space="preserve">tailored </w:t>
      </w:r>
      <w:r w:rsidRPr="00A9206E">
        <w:t>approach to intervention (South Wales Police, 2021).</w:t>
      </w:r>
      <w:r>
        <w:t xml:space="preserve"> </w:t>
      </w:r>
      <w:r w:rsidRPr="00B10C8A">
        <w:t xml:space="preserve">A comprehensive strategy that considers </w:t>
      </w:r>
      <w:r>
        <w:t xml:space="preserve">the </w:t>
      </w:r>
      <w:r w:rsidRPr="00B10C8A">
        <w:t>variables influencing criminal behaviour is essential for success. Through specialised programs that cater to the unique needs of at-risk young</w:t>
      </w:r>
      <w:r>
        <w:t xml:space="preserve"> people</w:t>
      </w:r>
      <w:r w:rsidRPr="00B10C8A">
        <w:t xml:space="preserve">, </w:t>
      </w:r>
      <w:r>
        <w:t>Youth Offending Teams (</w:t>
      </w:r>
      <w:r w:rsidRPr="00B10C8A">
        <w:t>YOTs</w:t>
      </w:r>
      <w:r>
        <w:t>)</w:t>
      </w:r>
      <w:r w:rsidRPr="00B10C8A">
        <w:t xml:space="preserve"> in South Wales have demonstrated success in lowering reoffending rates (South Wales Police, 2021). Youths have been redirected towards more positive routes</w:t>
      </w:r>
      <w:r>
        <w:t xml:space="preserve"> primarily due</w:t>
      </w:r>
      <w:r w:rsidRPr="00B10C8A">
        <w:t xml:space="preserve"> to programs like mentoring, family therapy, and educational support (Olds et al., 1998).</w:t>
      </w:r>
    </w:p>
    <w:p w14:paraId="34D51964" w14:textId="77777777" w:rsidR="00A246CF" w:rsidRPr="00A9206E" w:rsidRDefault="00A246CF" w:rsidP="00A246CF">
      <w:r w:rsidRPr="00A9206E">
        <w:t xml:space="preserve">However, the effectiveness of early intervention is not without its limitations. One significant challenge is the accurate identification of at-risk individuals. Predictive models used to identify potential offenders can sometimes be flawed, leading to either the overlooking of at-risk youths or the </w:t>
      </w:r>
      <w:proofErr w:type="spellStart"/>
      <w:r w:rsidRPr="00A9206E">
        <w:t>mislabeling</w:t>
      </w:r>
      <w:proofErr w:type="spellEnd"/>
      <w:r w:rsidRPr="00A9206E">
        <w:t xml:space="preserve"> of non-risk individuals (Schwalbe, 2007). This can result in resources being misallocated, thereby reducing the overall effectiveness of the intervention programs.</w:t>
      </w:r>
      <w:r>
        <w:t xml:space="preserve"> </w:t>
      </w:r>
    </w:p>
    <w:p w14:paraId="6E3BD6C9" w14:textId="77777777" w:rsidR="00A246CF" w:rsidRPr="00A9206E" w:rsidRDefault="00A246CF" w:rsidP="00A246CF">
      <w:r w:rsidRPr="00A9206E">
        <w:t>Additionally, the success of early intervention is heavily dependent on the consistency and quality of program implementation. In some instances, there may be a lack of trained professionals to deliver the necessary services, or there might be insufficient funding to sustain these programs long-term (Greenwood, 2008). In South Wales, while the police have made significant strides, there are still reports of resource constraints that hinder the full potential of these initiatives (South Wales Police, 2021). </w:t>
      </w:r>
    </w:p>
    <w:p w14:paraId="08ABC579" w14:textId="77777777" w:rsidR="00A246CF" w:rsidRPr="00A9206E" w:rsidRDefault="00A246CF" w:rsidP="00A246CF">
      <w:r w:rsidRPr="00A9206E">
        <w:t>As previously mentioned, resource limitations are a significant barrier to the effectiveness of early intervention programs. Insufficient funding can lead to understaffed programs, inadequate training for professionals, and a lack of necessary materials and infrastructure (Greenwood, 2008). In South Wales, ongoing budget cuts</w:t>
      </w:r>
      <w:r>
        <w:t xml:space="preserve"> </w:t>
      </w:r>
      <w:r w:rsidRPr="00A9206E">
        <w:t>and resource allocation issues have been reported as significant challenges to the sustainability and expansion of intervention initiatives (South Wales Police, 2021).</w:t>
      </w:r>
    </w:p>
    <w:p w14:paraId="40C36E86" w14:textId="77777777" w:rsidR="00A246CF" w:rsidRPr="00A9206E" w:rsidRDefault="00A246CF" w:rsidP="00A246CF">
      <w:r w:rsidRPr="00A9206E">
        <w:t> Another factor that can detract from the effectiveness of early intervention is the potential for stigmati</w:t>
      </w:r>
      <w:r>
        <w:t>s</w:t>
      </w:r>
      <w:r w:rsidRPr="00A9206E">
        <w:t>ation and label</w:t>
      </w:r>
      <w:r>
        <w:t>l</w:t>
      </w:r>
      <w:r w:rsidRPr="00A9206E">
        <w:t xml:space="preserve">ing of at-risk youths. When children are identified </w:t>
      </w:r>
      <w:r w:rsidRPr="00A9206E">
        <w:lastRenderedPageBreak/>
        <w:t>and singled out as potential offenders, it can lead to self-fulfilling prophecies where they internali</w:t>
      </w:r>
      <w:r>
        <w:t>s</w:t>
      </w:r>
      <w:r w:rsidRPr="00A9206E">
        <w:t>e these labels and engage in the very behaviou</w:t>
      </w:r>
      <w:r>
        <w:t>r</w:t>
      </w:r>
      <w:r w:rsidRPr="00A9206E">
        <w:t>s the programs aim to prevent (Becker, 1963). Care must be taken to ensure that interventions are supportive and empowering rather than punitive and stigmati</w:t>
      </w:r>
      <w:r>
        <w:t>s</w:t>
      </w:r>
      <w:r w:rsidRPr="00A9206E">
        <w:t>ing.</w:t>
      </w:r>
    </w:p>
    <w:p w14:paraId="2473F408" w14:textId="77777777" w:rsidR="00A246CF" w:rsidRPr="00A9206E" w:rsidRDefault="00A246CF" w:rsidP="00A246CF">
      <w:r w:rsidRPr="00A9206E">
        <w:t> In conclusion, early intervention can be an effective means of preventing youth offending, especially when implemented through a collaborative, multi-agency approach as seen in South Wales. The positive outcomes associated with such programs include reduced re-offending rates and improved life prospects for at-risk youths. However, the effectiveness of these interventions is contingent upon accurate identification of at-risk individuals, adequate resources, and the avoidance of stigmati</w:t>
      </w:r>
      <w:r>
        <w:t>s</w:t>
      </w:r>
      <w:r w:rsidRPr="00A9206E">
        <w:t>ation. Addressing these challenges is crucial for maximi</w:t>
      </w:r>
      <w:r>
        <w:t>s</w:t>
      </w:r>
      <w:r w:rsidRPr="00A9206E">
        <w:t>ing the potential of early intervention programs and ensuring they contribute to safer communities.</w:t>
      </w:r>
    </w:p>
    <w:p w14:paraId="0F659939" w14:textId="77777777" w:rsidR="00A246CF" w:rsidRDefault="00A246CF" w:rsidP="00A246CF"/>
    <w:p w14:paraId="47B3C9AB" w14:textId="77777777" w:rsidR="00A246CF" w:rsidRDefault="00A246CF" w:rsidP="00A246CF"/>
    <w:p w14:paraId="574C742B" w14:textId="77777777" w:rsidR="00A246CF" w:rsidRDefault="00A246CF" w:rsidP="00A246CF"/>
    <w:p w14:paraId="2B1187AA" w14:textId="77777777" w:rsidR="00A246CF" w:rsidRDefault="00A246CF" w:rsidP="00A246CF">
      <w:r>
        <w:t>Word Count-969</w:t>
      </w:r>
    </w:p>
    <w:p w14:paraId="5A8E49C4" w14:textId="77777777" w:rsidR="00A246CF" w:rsidRDefault="00A246CF" w:rsidP="00A246CF"/>
    <w:p w14:paraId="1FB0C935" w14:textId="77777777" w:rsidR="00A246CF" w:rsidRDefault="00A246CF" w:rsidP="00A246CF"/>
    <w:p w14:paraId="5C23CA66" w14:textId="77777777" w:rsidR="00A246CF" w:rsidRDefault="00A246CF" w:rsidP="00A246CF"/>
    <w:p w14:paraId="64188438" w14:textId="77777777" w:rsidR="00A246CF" w:rsidRDefault="00A246CF" w:rsidP="00A246CF"/>
    <w:p w14:paraId="1B953808" w14:textId="77777777" w:rsidR="00A246CF" w:rsidRDefault="00A246CF" w:rsidP="00A246CF"/>
    <w:p w14:paraId="46933CA9" w14:textId="77777777" w:rsidR="00A246CF" w:rsidRDefault="00A246CF" w:rsidP="00A246CF"/>
    <w:p w14:paraId="198AEA40" w14:textId="77777777" w:rsidR="00A246CF" w:rsidRDefault="00A246CF" w:rsidP="00A246CF"/>
    <w:p w14:paraId="01495E57" w14:textId="77777777" w:rsidR="00A246CF" w:rsidRDefault="00A246CF" w:rsidP="00A246CF"/>
    <w:p w14:paraId="76B4CED9" w14:textId="77777777" w:rsidR="00A246CF" w:rsidRDefault="00A246CF" w:rsidP="00A246CF"/>
    <w:p w14:paraId="11705139" w14:textId="77777777" w:rsidR="00A246CF" w:rsidRDefault="00A246CF" w:rsidP="00A246CF"/>
    <w:p w14:paraId="1CE8B66D" w14:textId="77777777" w:rsidR="00A246CF" w:rsidRDefault="00A246CF" w:rsidP="00A246CF"/>
    <w:p w14:paraId="26AB2859" w14:textId="77777777" w:rsidR="00A246CF" w:rsidRPr="00A9206E" w:rsidRDefault="00A246CF" w:rsidP="00A246CF">
      <w:r w:rsidRPr="00A9206E">
        <w:t> </w:t>
      </w:r>
    </w:p>
    <w:p w14:paraId="0F37B361" w14:textId="77777777" w:rsidR="00A246CF" w:rsidRDefault="00A246CF" w:rsidP="00A246CF">
      <w:pPr>
        <w:rPr>
          <w:b/>
          <w:bCs/>
        </w:rPr>
      </w:pPr>
    </w:p>
    <w:p w14:paraId="66E949EE" w14:textId="77777777" w:rsidR="00A246CF" w:rsidRDefault="00A246CF" w:rsidP="00A246CF">
      <w:pPr>
        <w:rPr>
          <w:b/>
          <w:bCs/>
        </w:rPr>
      </w:pPr>
    </w:p>
    <w:p w14:paraId="1EC62A6C" w14:textId="77777777" w:rsidR="00A246CF" w:rsidRDefault="00A246CF" w:rsidP="00A246CF">
      <w:pPr>
        <w:rPr>
          <w:b/>
          <w:bCs/>
        </w:rPr>
      </w:pPr>
    </w:p>
    <w:p w14:paraId="3356277C" w14:textId="77777777" w:rsidR="00A246CF" w:rsidRPr="004C6C04" w:rsidRDefault="00A246CF" w:rsidP="00A246CF">
      <w:pPr>
        <w:rPr>
          <w:b/>
          <w:bCs/>
        </w:rPr>
      </w:pPr>
      <w:r w:rsidRPr="00165F43">
        <w:rPr>
          <w:b/>
          <w:bCs/>
        </w:rPr>
        <w:lastRenderedPageBreak/>
        <w:t>References</w:t>
      </w:r>
    </w:p>
    <w:p w14:paraId="0B358702" w14:textId="77777777" w:rsidR="00A246CF" w:rsidRPr="00A9206E" w:rsidRDefault="00A246CF" w:rsidP="00A246CF">
      <w:r w:rsidRPr="00A9206E">
        <w:t>Becker, H.S. (1963). Outsiders: Studies in the Sociology of Deviance. Free Press.</w:t>
      </w:r>
    </w:p>
    <w:p w14:paraId="1F890BBB" w14:textId="77777777" w:rsidR="00A246CF" w:rsidRDefault="00A246CF" w:rsidP="00A246CF">
      <w:r w:rsidRPr="00F91E76">
        <w:t xml:space="preserve">Farrington, D.P. and Welsh, B.C., 2007. </w:t>
      </w:r>
      <w:r w:rsidRPr="00F91E76">
        <w:rPr>
          <w:i/>
          <w:iCs/>
        </w:rPr>
        <w:t>Saving Children from a Life of Crime: Early Risk Factors and Effective Interventions</w:t>
      </w:r>
      <w:r w:rsidRPr="00F91E76">
        <w:t>. Oxford University Press.</w:t>
      </w:r>
    </w:p>
    <w:p w14:paraId="6793BAA8" w14:textId="77777777" w:rsidR="00A246CF" w:rsidRPr="00A9206E" w:rsidRDefault="00A246CF" w:rsidP="00A246CF">
      <w:r w:rsidRPr="00A9206E">
        <w:t>Farrington, D.P., &amp; Welsh, B.C. (2007). Saving Children from a Life of Crime: Early Risk Factors and Effective Interventions. Oxford University Press.</w:t>
      </w:r>
    </w:p>
    <w:p w14:paraId="296CA1F0" w14:textId="77777777" w:rsidR="00A246CF" w:rsidRDefault="00A246CF" w:rsidP="00A246CF">
      <w:r w:rsidRPr="00674BAA">
        <w:t>Gottfredson, D.C., 1986. An empirical test of school</w:t>
      </w:r>
      <w:r w:rsidRPr="00674BAA">
        <w:rPr>
          <w:rFonts w:ascii="Cambria Math" w:hAnsi="Cambria Math" w:cs="Cambria Math"/>
        </w:rPr>
        <w:t>‐</w:t>
      </w:r>
      <w:r w:rsidRPr="00674BAA">
        <w:t xml:space="preserve">based environmental and individual interventions to reduce the risk of delinquent </w:t>
      </w:r>
      <w:proofErr w:type="spellStart"/>
      <w:r w:rsidRPr="00674BAA">
        <w:t>behavior</w:t>
      </w:r>
      <w:proofErr w:type="spellEnd"/>
      <w:r w:rsidRPr="00674BAA">
        <w:t>.</w:t>
      </w:r>
      <w:r w:rsidRPr="00674BAA">
        <w:rPr>
          <w:rFonts w:ascii="Aptos" w:hAnsi="Aptos" w:cs="Aptos"/>
        </w:rPr>
        <w:t> </w:t>
      </w:r>
      <w:r w:rsidRPr="00674BAA">
        <w:rPr>
          <w:i/>
          <w:iCs/>
        </w:rPr>
        <w:t>Criminology</w:t>
      </w:r>
      <w:r w:rsidRPr="00674BAA">
        <w:t>, </w:t>
      </w:r>
      <w:r w:rsidRPr="00674BAA">
        <w:rPr>
          <w:i/>
          <w:iCs/>
        </w:rPr>
        <w:t>24</w:t>
      </w:r>
      <w:r w:rsidRPr="00674BAA">
        <w:t>(4), pp.705-731.</w:t>
      </w:r>
    </w:p>
    <w:p w14:paraId="478D4509" w14:textId="77777777" w:rsidR="00A246CF" w:rsidRPr="00A9206E" w:rsidRDefault="00A246CF" w:rsidP="00A246CF">
      <w:r w:rsidRPr="00A9206E">
        <w:t>Greenwood, P. (2008). Prevention and Intervention Programs for Juvenile Offenders. The Future of Children, 18(2), 185-210.</w:t>
      </w:r>
    </w:p>
    <w:p w14:paraId="119E43BD" w14:textId="77777777" w:rsidR="00A246CF" w:rsidRPr="00A9206E" w:rsidRDefault="00A246CF" w:rsidP="00A246CF">
      <w:r w:rsidRPr="00A9206E">
        <w:t xml:space="preserve">Hawkins, J.D., </w:t>
      </w:r>
      <w:proofErr w:type="spellStart"/>
      <w:r w:rsidRPr="00A9206E">
        <w:t>Herrenkohl</w:t>
      </w:r>
      <w:proofErr w:type="spellEnd"/>
      <w:r w:rsidRPr="00A9206E">
        <w:t xml:space="preserve">, T.I., Farrington, D.P., Brewer, D., Catalano, R.F., </w:t>
      </w:r>
      <w:proofErr w:type="spellStart"/>
      <w:r w:rsidRPr="00A9206E">
        <w:t>Harachi</w:t>
      </w:r>
      <w:proofErr w:type="spellEnd"/>
      <w:r w:rsidRPr="00A9206E">
        <w:t>, T.W., &amp; Cothern, L. (1998). Predictors of Youth Violence. Juvenile Justice Bulletin.</w:t>
      </w:r>
    </w:p>
    <w:p w14:paraId="7F99587D" w14:textId="77777777" w:rsidR="00A246CF" w:rsidRPr="00A9206E" w:rsidRDefault="00A246CF" w:rsidP="00A246CF">
      <w:r w:rsidRPr="00A9206E">
        <w:t>Olds, D., Sadler, L., &amp; Kitzman, H. (1998). Programs for parents of infants and toddlers: Recent evidence from randomized trials. Journal of Child Psychology and Psychiatry, 39(3), 355-391.</w:t>
      </w:r>
    </w:p>
    <w:p w14:paraId="38E4A168" w14:textId="77777777" w:rsidR="00A246CF" w:rsidRPr="00A9206E" w:rsidRDefault="00A246CF" w:rsidP="00A246CF">
      <w:r w:rsidRPr="00A9206E">
        <w:t xml:space="preserve">Schwalbe, C.S. (2007). Risk Assessment for Juvenile Justice: A Meta-Analysis. Law and Human </w:t>
      </w:r>
      <w:proofErr w:type="spellStart"/>
      <w:r w:rsidRPr="00A9206E">
        <w:t>Behavior</w:t>
      </w:r>
      <w:proofErr w:type="spellEnd"/>
      <w:r w:rsidRPr="00A9206E">
        <w:t>, 31(5), 449-462.</w:t>
      </w:r>
    </w:p>
    <w:p w14:paraId="3610DF22" w14:textId="77777777" w:rsidR="00A246CF" w:rsidRPr="00A9206E" w:rsidRDefault="00A246CF" w:rsidP="00A246CF">
      <w:r w:rsidRPr="00A9206E">
        <w:t xml:space="preserve">Sherman, L.W., Gottfredson, D., </w:t>
      </w:r>
      <w:proofErr w:type="spellStart"/>
      <w:r w:rsidRPr="00A9206E">
        <w:t>MacKenzie</w:t>
      </w:r>
      <w:proofErr w:type="spellEnd"/>
      <w:r w:rsidRPr="00A9206E">
        <w:t>, D., Eck, J., Reuter, P., &amp; Bushway, S. (1997). Preventing Crime: What Works, What Doesn’t, What’s Promising. National Institute of Justice.</w:t>
      </w:r>
    </w:p>
    <w:p w14:paraId="404CF8B6" w14:textId="77777777" w:rsidR="00A246CF" w:rsidRPr="00A9206E" w:rsidRDefault="00A246CF" w:rsidP="00A246CF">
      <w:r w:rsidRPr="00A9206E">
        <w:t>South Wales Police. (2021). Youth Offending Teams: Reducing Re-offending. [online] Available at: </w:t>
      </w:r>
      <w:hyperlink r:id="rId14" w:tgtFrame="_blank" w:history="1">
        <w:r w:rsidRPr="00A9206E">
          <w:rPr>
            <w:rStyle w:val="Hyperlink"/>
          </w:rPr>
          <w:t>https://www.south-wales.police.uk/youth-offending-teams</w:t>
        </w:r>
      </w:hyperlink>
      <w:r w:rsidRPr="00A9206E">
        <w:t> </w:t>
      </w:r>
    </w:p>
    <w:p w14:paraId="63EE4464" w14:textId="77777777" w:rsidR="00A246CF" w:rsidRDefault="00A246CF" w:rsidP="00A246CF">
      <w:pPr>
        <w:rPr>
          <w:b/>
          <w:bCs/>
        </w:rPr>
      </w:pPr>
    </w:p>
    <w:p w14:paraId="46C2AE35" w14:textId="77777777" w:rsidR="00A246CF" w:rsidRDefault="00A246CF" w:rsidP="00A246CF">
      <w:pPr>
        <w:rPr>
          <w:b/>
          <w:bCs/>
        </w:rPr>
      </w:pPr>
    </w:p>
    <w:p w14:paraId="35A20717" w14:textId="77777777" w:rsidR="00A246CF" w:rsidRDefault="00A246CF" w:rsidP="00A246CF">
      <w:pPr>
        <w:rPr>
          <w:b/>
          <w:bCs/>
        </w:rPr>
      </w:pPr>
    </w:p>
    <w:p w14:paraId="23F6BD0C" w14:textId="77777777" w:rsidR="00A246CF" w:rsidRDefault="00A246CF" w:rsidP="00A246CF">
      <w:pPr>
        <w:rPr>
          <w:b/>
          <w:bCs/>
        </w:rPr>
      </w:pPr>
    </w:p>
    <w:p w14:paraId="4BBF37F8" w14:textId="77777777" w:rsidR="00A246CF" w:rsidRDefault="00A246CF" w:rsidP="00A246CF">
      <w:pPr>
        <w:rPr>
          <w:b/>
          <w:bCs/>
        </w:rPr>
      </w:pPr>
    </w:p>
    <w:p w14:paraId="01D3114B" w14:textId="77777777" w:rsidR="00A246CF" w:rsidRDefault="00A246CF" w:rsidP="00A246CF">
      <w:pPr>
        <w:rPr>
          <w:b/>
          <w:bCs/>
        </w:rPr>
      </w:pPr>
    </w:p>
    <w:p w14:paraId="194B28D0" w14:textId="77777777" w:rsidR="00A246CF" w:rsidRDefault="00A246CF" w:rsidP="00A246CF">
      <w:pPr>
        <w:rPr>
          <w:b/>
          <w:bCs/>
        </w:rPr>
      </w:pPr>
    </w:p>
    <w:p w14:paraId="736980BD" w14:textId="77777777" w:rsidR="00A246CF" w:rsidRDefault="00A246CF" w:rsidP="00A246CF">
      <w:pPr>
        <w:rPr>
          <w:b/>
          <w:bCs/>
        </w:rPr>
      </w:pPr>
    </w:p>
    <w:p w14:paraId="317CC6F3" w14:textId="77777777" w:rsidR="00A246CF" w:rsidRDefault="00A246CF" w:rsidP="00A246CF">
      <w:pPr>
        <w:rPr>
          <w:b/>
          <w:bCs/>
        </w:rPr>
      </w:pPr>
    </w:p>
    <w:p w14:paraId="1AE92E86" w14:textId="77777777" w:rsidR="00A246CF" w:rsidRPr="004C6C04" w:rsidRDefault="00A246CF" w:rsidP="00A246CF">
      <w:r w:rsidRPr="004C6C04">
        <w:rPr>
          <w:b/>
          <w:bCs/>
        </w:rPr>
        <w:lastRenderedPageBreak/>
        <w:t>Essay four – Valuing Difference &amp; Inclusion</w:t>
      </w:r>
    </w:p>
    <w:p w14:paraId="7EAA80C6" w14:textId="77777777" w:rsidR="00A246CF" w:rsidRPr="004C6C04" w:rsidRDefault="00A246CF" w:rsidP="00A246CF">
      <w:r w:rsidRPr="004C6C04">
        <w:t>How effectively has policing adapted to accommodate diversity within the UK?</w:t>
      </w:r>
    </w:p>
    <w:p w14:paraId="6E1B31AD" w14:textId="77777777" w:rsidR="00A246CF" w:rsidRPr="004C6C04" w:rsidRDefault="00A246CF" w:rsidP="00A246CF">
      <w:r w:rsidRPr="004C6C04">
        <w:t>Consider the police force itself and/or the way police engage with diverse communities.</w:t>
      </w:r>
    </w:p>
    <w:p w14:paraId="244D9C88" w14:textId="77777777" w:rsidR="00A246CF" w:rsidRPr="004C6C04" w:rsidRDefault="00A246CF" w:rsidP="00A246CF">
      <w:r w:rsidRPr="004C6C04">
        <w:t>Support your answer with relevant evidence drawn from academic sources.</w:t>
      </w:r>
    </w:p>
    <w:p w14:paraId="507AC96C" w14:textId="77777777" w:rsidR="00A246CF" w:rsidRDefault="00A246CF" w:rsidP="00A246CF">
      <w:r w:rsidRPr="004C6C04">
        <w:rPr>
          <w:b/>
          <w:bCs/>
        </w:rPr>
        <w:t>Word limit: </w:t>
      </w:r>
      <w:r w:rsidRPr="004C6C04">
        <w:t>1000 words </w:t>
      </w:r>
    </w:p>
    <w:p w14:paraId="118E2109" w14:textId="77777777" w:rsidR="00A246CF" w:rsidRDefault="00A246CF" w:rsidP="00A246CF">
      <w:r w:rsidRPr="00BF2F94">
        <w:t xml:space="preserve">The policing environment in the United Kingdom has experienced notable changes in the last several decades to adapt to the growing diversity of the </w:t>
      </w:r>
      <w:r>
        <w:t>population</w:t>
      </w:r>
      <w:r w:rsidRPr="00BF2F94">
        <w:t>.</w:t>
      </w:r>
      <w:r>
        <w:t xml:space="preserve"> Diversity, in terms of policing, refers to employing officers from a range of backgrounds, including race, age, religion and educational. (Fair,2023). This essay examines how well UK police forces have adapted to diversity and inclusion within the UK, while also referring to equal opportunities within police employment. It also focuses on strategies aimed at increasing diversity within police forces, along with explaining how the police force engages with diverse communities. </w:t>
      </w:r>
    </w:p>
    <w:p w14:paraId="1495FFDC" w14:textId="77777777" w:rsidR="00A246CF" w:rsidRDefault="00A246CF" w:rsidP="00A246CF">
      <w:r w:rsidRPr="00BF2F94">
        <w:t>One of the primary measures taken by UK police forces to address diversity is the recruitment and retention of officers from various ethnic backgrounds. Historically, the police have struggled with a lack of representation from minority groups, leading to criticisms and mistrust. Efforts to diversify the force have seen some progress. For instance, the National Police Chiefs' Council (NPCC) reported an increase in Black, Asian, and Minority Ethnic (BAME) officers from 6.6% in 2010 to 7.8% in 2020 (NPCC, 2020).</w:t>
      </w:r>
    </w:p>
    <w:p w14:paraId="59854721" w14:textId="77777777" w:rsidR="00A246CF" w:rsidRPr="00BF2F94" w:rsidRDefault="00A246CF" w:rsidP="00A246CF">
      <w:r>
        <w:t xml:space="preserve">Specifically, South Wales Police’s ‘Positive Action’ support scheme recognises that to value difference in individuals, the force must become inclusive, providing equal opportunities for all. Positive Action aims to support individuals from ethnic minority backgrounds, as the force is currently underrepresented with individuals from minority backgrounds (South Wales Police, 2019). </w:t>
      </w:r>
    </w:p>
    <w:p w14:paraId="69069D45" w14:textId="77777777" w:rsidR="00A246CF" w:rsidRDefault="00A246CF" w:rsidP="00A246CF">
      <w:r w:rsidRPr="00BF2F94">
        <w:t>However, the effectiveness of these efforts is debated. A study by Loftus (2009) highlights that despite increased recruitment, the integration of BAME officers is often hampered by institutional racism and a lack of support, which can impede career progression and overall job satisfaction. Moreover, the visibility of minority officers has not necessarily translated into improved relations with minority communities, suggesting that representation alone is insufficient without addressing deeper systemic issues.</w:t>
      </w:r>
      <w:r>
        <w:t xml:space="preserve"> This makes it clear that successful adaptation to diversity is rooted in more than just visible changes within police forces in the UK. </w:t>
      </w:r>
    </w:p>
    <w:p w14:paraId="3DCC4991" w14:textId="77777777" w:rsidR="00A246CF" w:rsidRPr="00BF2F94" w:rsidRDefault="00A246CF" w:rsidP="00A246CF">
      <w:r>
        <w:t xml:space="preserve">One way that UK police forces have attempted to increase inclusivity within police forces other than a visible increase in officers from ethnic minority backgrounds  is through training programmes focused on cultural competence. These training programmes have been put in place to enhance the ability of officers to effectively </w:t>
      </w:r>
      <w:r>
        <w:lastRenderedPageBreak/>
        <w:t xml:space="preserve">engage with diverse populations. For example, the College of Policing has developed a range of training modules designed to increase awareness of cultural differences and reduce unconscious bias (College of Policing, 2018). These efforts aim to foster a more inclusive and diverse police culture and improve the quality of interactions with minority communities. </w:t>
      </w:r>
    </w:p>
    <w:p w14:paraId="612F0FEC" w14:textId="77777777" w:rsidR="00A246CF" w:rsidRDefault="00A246CF" w:rsidP="00A246CF">
      <w:r w:rsidRPr="00BF2F94">
        <w:t>The effectiveness of these training program</w:t>
      </w:r>
      <w:r>
        <w:t>me</w:t>
      </w:r>
      <w:r w:rsidRPr="00BF2F94">
        <w:t>s, however, remains under scrutiny. Research by Bhui (2016) indicates that while such training can raise awareness, its impact on actual policing practices is variable. Bhui argues that for training to be truly effective, it must be part of a broader strategy that includes policy changes and accountability measures. Simply put, training needs to be coupled with structural reforms to produce lasting changes in behaviour and attitudes</w:t>
      </w:r>
      <w:r>
        <w:t xml:space="preserve"> (Bhui,2016). </w:t>
      </w:r>
    </w:p>
    <w:p w14:paraId="6582BF2D" w14:textId="77777777" w:rsidR="00A246CF" w:rsidRPr="00BF2F94" w:rsidRDefault="00A246CF" w:rsidP="00A246CF">
      <w:r>
        <w:t>Taking into consideration the arguments given by Bhui, it may be reasonable to reach the judgement that more physical programmes, rather than theory, could be utilised in addition to policy changes to aim for a more concise and positive outcome on valuing difference and inclusion.</w:t>
      </w:r>
    </w:p>
    <w:p w14:paraId="63ED1782" w14:textId="77777777" w:rsidR="00A246CF" w:rsidRPr="00BF2F94" w:rsidRDefault="00A246CF" w:rsidP="00A246CF">
      <w:r w:rsidRPr="00BF2F94">
        <w:t>Building trust with diverse communities is a critical component of effective policing</w:t>
      </w:r>
      <w:r>
        <w:t xml:space="preserve"> within the community</w:t>
      </w:r>
      <w:r w:rsidRPr="00BF2F94">
        <w:t>. The concept of community policing, which emphasi</w:t>
      </w:r>
      <w:r>
        <w:t>s</w:t>
      </w:r>
      <w:r w:rsidRPr="00BF2F94">
        <w:t>es collaboration between police and community members, has been promoted to achieve this goal. Program</w:t>
      </w:r>
      <w:r>
        <w:t>me</w:t>
      </w:r>
      <w:r w:rsidRPr="00BF2F94">
        <w:t>s such as neighbourhood policing teams have been established to create regular, positive interactions between officers and community members (Mackenzie &amp; Henry, 2009).</w:t>
      </w:r>
    </w:p>
    <w:p w14:paraId="19ABC13A" w14:textId="77777777" w:rsidR="00A246CF" w:rsidRPr="00BF2F94" w:rsidRDefault="00A246CF" w:rsidP="00A246CF">
      <w:r w:rsidRPr="00BF2F94">
        <w:t>Evidence suggests that community policing can improve trust and cooperation</w:t>
      </w:r>
      <w:r>
        <w:t xml:space="preserve"> with a range of individuals</w:t>
      </w:r>
      <w:r w:rsidRPr="00BF2F94">
        <w:t xml:space="preserve">. </w:t>
      </w:r>
      <w:r>
        <w:t>For example, a</w:t>
      </w:r>
      <w:r w:rsidRPr="00BF2F94">
        <w:t xml:space="preserve"> study by Myhill and Quinton (2011) found that neighbourhoods with active community policing program</w:t>
      </w:r>
      <w:r>
        <w:t>me</w:t>
      </w:r>
      <w:r w:rsidRPr="00BF2F94">
        <w:t>s reported higher levels of trust in the police and a greater willingness to report crimes. However, the success of these program</w:t>
      </w:r>
      <w:r>
        <w:t>me</w:t>
      </w:r>
      <w:r w:rsidRPr="00BF2F94">
        <w:t xml:space="preserve">s often depends on the consistency and quality of </w:t>
      </w:r>
      <w:r>
        <w:t xml:space="preserve">the </w:t>
      </w:r>
      <w:r w:rsidRPr="00BF2F94">
        <w:t>engagement</w:t>
      </w:r>
      <w:r>
        <w:t>, where</w:t>
      </w:r>
      <w:r w:rsidRPr="00BF2F94">
        <w:t xml:space="preserve"> </w:t>
      </w:r>
      <w:r>
        <w:t>i</w:t>
      </w:r>
      <w:r w:rsidRPr="00BF2F94">
        <w:t>nconsistencies in implementation and resource allocation can undermine their effectiveness, leading to perceptions of tokenism</w:t>
      </w:r>
      <w:r>
        <w:t xml:space="preserve"> </w:t>
      </w:r>
      <w:r w:rsidRPr="00BF2F94">
        <w:t>rather than genuine partnership (Innes, 2010).</w:t>
      </w:r>
    </w:p>
    <w:p w14:paraId="6D20903B" w14:textId="77777777" w:rsidR="00A246CF" w:rsidRPr="00BF2F94" w:rsidRDefault="00A246CF" w:rsidP="00A246CF">
      <w:r w:rsidRPr="00BF2F94">
        <w:t>Despite the advancements, significant challenges remain in the adaptation of UK policing to diversity. One major issue is the prevalence of stop and search practices, which disproportionately target minority groups. Statistics from the Home Office reveal that Black individuals are nine times more likely to be stopped and searched than White individuals (Home Office, 2020). This disparity has been a source of tension and distrust, undermining efforts to build positive relationships with minority communities.</w:t>
      </w:r>
    </w:p>
    <w:p w14:paraId="154A1030" w14:textId="77777777" w:rsidR="00A246CF" w:rsidRPr="00BF2F94" w:rsidRDefault="00A246CF" w:rsidP="00A246CF">
      <w:r w:rsidRPr="00BF2F94">
        <w:t xml:space="preserve">Moreover, high-profile cases of police misconduct and institutional racism, such as the Stephen Lawrence case and the subsequent Macpherson Report (1999), have highlighted ongoing issues within the police force. The Macpherson Report labelled the </w:t>
      </w:r>
      <w:r w:rsidRPr="00BF2F94">
        <w:lastRenderedPageBreak/>
        <w:t>Metropolitan Police as institutionally racist and called for comprehensive reforms. While some recommendations have been implemented, critics argue that progress has been slow and insufficient (Rollock, 2009).</w:t>
      </w:r>
    </w:p>
    <w:p w14:paraId="555BB284" w14:textId="016FA0DB" w:rsidR="00A246CF" w:rsidRPr="004C6C04" w:rsidRDefault="00A246CF" w:rsidP="00A246CF">
      <w:r w:rsidRPr="00BF2F94">
        <w:t xml:space="preserve">In conclusion, the adaptation of UK policing to accommodate diversity has seen mixed results. Efforts to diversify the police force and implement cultural competence training are steps in the right direction, but their effectiveness is limited by deeper systemic issues. Community engagement initiatives have shown promise in building trust, yet their success is uneven and often contingent on sustained effort and resources. Persistent challenges, such as disproportionate stop and search practices and instances of institutional racism, continue to undermine these efforts. To truly accommodate diversity, UK policing must commit to comprehensive, structural reforms that address both representation and the quality of interactions with diverse communities. Furthermore, ongoing assessment and transparency are essential to ensure that these initiatives are effectively implemented and lead to substantial, positive change. The involvement of minority communities in </w:t>
      </w:r>
      <w:r w:rsidRPr="00BF2F94">
        <w:t>policymaking</w:t>
      </w:r>
      <w:r w:rsidRPr="00BF2F94">
        <w:t xml:space="preserve"> and oversight can also enhance accountability and trust, fostering a policing environment that genuinely reflects and respects the diversity of the UK popul</w:t>
      </w:r>
      <w:r>
        <w:t>ation</w:t>
      </w:r>
      <w:r w:rsidRPr="00BF2F94">
        <w:t>.</w:t>
      </w:r>
    </w:p>
    <w:p w14:paraId="39DC4AD2" w14:textId="77777777" w:rsidR="00A246CF" w:rsidRDefault="00A246CF" w:rsidP="00A246CF">
      <w:pPr>
        <w:rPr>
          <w:b/>
          <w:bCs/>
        </w:rPr>
      </w:pPr>
    </w:p>
    <w:p w14:paraId="532F1E19" w14:textId="77777777" w:rsidR="00A246CF" w:rsidRDefault="00A246CF" w:rsidP="00A246CF">
      <w:pPr>
        <w:rPr>
          <w:b/>
          <w:bCs/>
        </w:rPr>
      </w:pPr>
    </w:p>
    <w:p w14:paraId="51A28DAE" w14:textId="77777777" w:rsidR="00A246CF" w:rsidRDefault="00A246CF" w:rsidP="00A246CF">
      <w:pPr>
        <w:rPr>
          <w:b/>
          <w:bCs/>
        </w:rPr>
      </w:pPr>
    </w:p>
    <w:p w14:paraId="64223BED" w14:textId="77777777" w:rsidR="00A246CF" w:rsidRDefault="00A246CF" w:rsidP="00A246CF">
      <w:pPr>
        <w:rPr>
          <w:b/>
          <w:bCs/>
        </w:rPr>
      </w:pPr>
    </w:p>
    <w:p w14:paraId="1061ECA2" w14:textId="77777777" w:rsidR="00A246CF" w:rsidRDefault="00A246CF" w:rsidP="00A246CF">
      <w:pPr>
        <w:rPr>
          <w:b/>
          <w:bCs/>
        </w:rPr>
      </w:pPr>
      <w:r>
        <w:rPr>
          <w:b/>
          <w:bCs/>
        </w:rPr>
        <w:t>Word Count: 972</w:t>
      </w:r>
    </w:p>
    <w:p w14:paraId="17BFCE28" w14:textId="77777777" w:rsidR="00A246CF" w:rsidRDefault="00A246CF" w:rsidP="00A246CF">
      <w:pPr>
        <w:rPr>
          <w:b/>
          <w:bCs/>
        </w:rPr>
      </w:pPr>
    </w:p>
    <w:p w14:paraId="34549D10" w14:textId="77777777" w:rsidR="00A246CF" w:rsidRDefault="00A246CF" w:rsidP="00A246CF">
      <w:pPr>
        <w:rPr>
          <w:b/>
          <w:bCs/>
        </w:rPr>
      </w:pPr>
    </w:p>
    <w:p w14:paraId="2D1A420F" w14:textId="77777777" w:rsidR="00A246CF" w:rsidRDefault="00A246CF" w:rsidP="00A246CF">
      <w:pPr>
        <w:rPr>
          <w:b/>
          <w:bCs/>
        </w:rPr>
      </w:pPr>
    </w:p>
    <w:p w14:paraId="63650BB8" w14:textId="77777777" w:rsidR="00A246CF" w:rsidRDefault="00A246CF" w:rsidP="00A246CF">
      <w:pPr>
        <w:rPr>
          <w:b/>
          <w:bCs/>
        </w:rPr>
      </w:pPr>
    </w:p>
    <w:p w14:paraId="367F7C9E" w14:textId="77777777" w:rsidR="00A246CF" w:rsidRDefault="00A246CF" w:rsidP="00A246CF">
      <w:pPr>
        <w:rPr>
          <w:b/>
          <w:bCs/>
        </w:rPr>
      </w:pPr>
    </w:p>
    <w:p w14:paraId="53DC8D04" w14:textId="77777777" w:rsidR="00A246CF" w:rsidRDefault="00A246CF" w:rsidP="00A246CF">
      <w:pPr>
        <w:rPr>
          <w:b/>
          <w:bCs/>
        </w:rPr>
      </w:pPr>
    </w:p>
    <w:p w14:paraId="4F1AC791" w14:textId="77777777" w:rsidR="00A246CF" w:rsidRDefault="00A246CF" w:rsidP="00A246CF">
      <w:pPr>
        <w:rPr>
          <w:b/>
          <w:bCs/>
        </w:rPr>
      </w:pPr>
    </w:p>
    <w:p w14:paraId="5166DBD8" w14:textId="77777777" w:rsidR="00A246CF" w:rsidRDefault="00A246CF" w:rsidP="00A246CF">
      <w:pPr>
        <w:rPr>
          <w:b/>
          <w:bCs/>
        </w:rPr>
      </w:pPr>
    </w:p>
    <w:p w14:paraId="720CC2F6" w14:textId="77777777" w:rsidR="00A246CF" w:rsidRDefault="00A246CF" w:rsidP="00A246CF">
      <w:pPr>
        <w:rPr>
          <w:b/>
          <w:bCs/>
        </w:rPr>
      </w:pPr>
    </w:p>
    <w:p w14:paraId="6EA03ADF" w14:textId="77777777" w:rsidR="00A246CF" w:rsidRDefault="00A246CF" w:rsidP="00A246CF">
      <w:pPr>
        <w:rPr>
          <w:b/>
          <w:bCs/>
        </w:rPr>
      </w:pPr>
    </w:p>
    <w:p w14:paraId="13FF5F3F" w14:textId="77777777" w:rsidR="00A246CF" w:rsidRDefault="00A246CF" w:rsidP="00A246CF">
      <w:pPr>
        <w:rPr>
          <w:b/>
          <w:bCs/>
        </w:rPr>
      </w:pPr>
    </w:p>
    <w:p w14:paraId="46F5AC75" w14:textId="77777777" w:rsidR="00A246CF" w:rsidRPr="004C6C04" w:rsidRDefault="00A246CF" w:rsidP="00A246CF">
      <w:r w:rsidRPr="004C6C04">
        <w:rPr>
          <w:b/>
          <w:bCs/>
        </w:rPr>
        <w:lastRenderedPageBreak/>
        <w:t>References</w:t>
      </w:r>
    </w:p>
    <w:p w14:paraId="59E5E3A9" w14:textId="77777777" w:rsidR="00A246CF" w:rsidRPr="00580BE5" w:rsidRDefault="00A246CF" w:rsidP="00A246CF">
      <w:r w:rsidRPr="00580BE5">
        <w:t xml:space="preserve">Bhui, H.S., 2016. Police, race, and culture in the “new” Ireland. </w:t>
      </w:r>
      <w:r w:rsidRPr="00580BE5">
        <w:rPr>
          <w:i/>
          <w:iCs/>
        </w:rPr>
        <w:t>Race &amp; Class</w:t>
      </w:r>
      <w:r w:rsidRPr="00580BE5">
        <w:t>, 57(4), pp.66-77.</w:t>
      </w:r>
    </w:p>
    <w:p w14:paraId="635BBE75" w14:textId="77777777" w:rsidR="00A246CF" w:rsidRPr="00580BE5" w:rsidRDefault="00A246CF" w:rsidP="00A246CF">
      <w:r w:rsidRPr="00580BE5">
        <w:t xml:space="preserve">College of Policing, 2018. </w:t>
      </w:r>
      <w:r w:rsidRPr="00580BE5">
        <w:rPr>
          <w:i/>
          <w:iCs/>
        </w:rPr>
        <w:t>Diversity and Inclusion Strategy 2018-2025</w:t>
      </w:r>
      <w:r w:rsidRPr="00580BE5">
        <w:t>. College of Policing.</w:t>
      </w:r>
    </w:p>
    <w:p w14:paraId="51A67634" w14:textId="77777777" w:rsidR="00A246CF" w:rsidRDefault="00A246CF" w:rsidP="00A246CF">
      <w:r w:rsidRPr="00AB1225">
        <w:t xml:space="preserve">Fair, L. (2023). </w:t>
      </w:r>
      <w:r w:rsidRPr="00AB1225">
        <w:rPr>
          <w:i/>
          <w:iCs/>
        </w:rPr>
        <w:t>Policing Diversity and Why It Should Matter to Communities | American Public University</w:t>
      </w:r>
      <w:r w:rsidRPr="00AB1225">
        <w:t xml:space="preserve">. [online] www.apu.apus.edu. Available at: </w:t>
      </w:r>
      <w:hyperlink r:id="rId15" w:history="1">
        <w:r w:rsidRPr="00AB1225">
          <w:rPr>
            <w:rStyle w:val="Hyperlink"/>
          </w:rPr>
          <w:t>https://www.apu.apus.edu/area-of-study/security-and-global-studies/resources/policing-diversity-and-why-it-should-matter-to-communities/</w:t>
        </w:r>
      </w:hyperlink>
      <w:r w:rsidRPr="00AB1225">
        <w:t>.</w:t>
      </w:r>
    </w:p>
    <w:p w14:paraId="7A1191B6" w14:textId="77777777" w:rsidR="00A246CF" w:rsidRPr="00580BE5" w:rsidRDefault="00A246CF" w:rsidP="00A246CF">
      <w:r w:rsidRPr="00580BE5">
        <w:t xml:space="preserve">Home Office, 2020. </w:t>
      </w:r>
      <w:r w:rsidRPr="00580BE5">
        <w:rPr>
          <w:i/>
          <w:iCs/>
        </w:rPr>
        <w:t>Police Powers and Procedures, England and Wales Year Ending 31 March 2020</w:t>
      </w:r>
      <w:r w:rsidRPr="00580BE5">
        <w:t>. Home Office.</w:t>
      </w:r>
    </w:p>
    <w:p w14:paraId="0F0FF7BE" w14:textId="77777777" w:rsidR="00A246CF" w:rsidRPr="00580BE5" w:rsidRDefault="00A246CF" w:rsidP="00A246CF">
      <w:r w:rsidRPr="00580BE5">
        <w:t xml:space="preserve">Innes, M., 2010. A 'mirror' and a 'motor': Researching and reforming policing in an age of austerity. </w:t>
      </w:r>
      <w:r w:rsidRPr="00580BE5">
        <w:rPr>
          <w:i/>
          <w:iCs/>
        </w:rPr>
        <w:t>Policing: A Journal of Policy and Practice</w:t>
      </w:r>
      <w:r w:rsidRPr="00580BE5">
        <w:t>, 4(2), pp.127-134.</w:t>
      </w:r>
    </w:p>
    <w:p w14:paraId="729FFAFA" w14:textId="77777777" w:rsidR="00A246CF" w:rsidRPr="00580BE5" w:rsidRDefault="00A246CF" w:rsidP="00A246CF">
      <w:r w:rsidRPr="00580BE5">
        <w:t xml:space="preserve">Loftus, B., 2009. </w:t>
      </w:r>
      <w:r w:rsidRPr="00580BE5">
        <w:rPr>
          <w:i/>
          <w:iCs/>
        </w:rPr>
        <w:t>Police Culture in a Changing World</w:t>
      </w:r>
      <w:r w:rsidRPr="00580BE5">
        <w:t>. Oxford: Oxford University Press.</w:t>
      </w:r>
    </w:p>
    <w:p w14:paraId="7E6C498B" w14:textId="77777777" w:rsidR="00A246CF" w:rsidRPr="00580BE5" w:rsidRDefault="00A246CF" w:rsidP="00A246CF">
      <w:r w:rsidRPr="00580BE5">
        <w:t xml:space="preserve">Mackenzie, S. and Henry, A., 2009. </w:t>
      </w:r>
      <w:r w:rsidRPr="00580BE5">
        <w:rPr>
          <w:i/>
          <w:iCs/>
        </w:rPr>
        <w:t>Community Policing: A Review of the Evidence</w:t>
      </w:r>
      <w:r w:rsidRPr="00580BE5">
        <w:t>. Scottish Government Social Research.</w:t>
      </w:r>
    </w:p>
    <w:p w14:paraId="1B4E5C19" w14:textId="77777777" w:rsidR="00A246CF" w:rsidRPr="00580BE5" w:rsidRDefault="00A246CF" w:rsidP="00A246CF">
      <w:r w:rsidRPr="00580BE5">
        <w:t xml:space="preserve">Myhill, A. and Quinton, P., 2011. It </w:t>
      </w:r>
      <w:proofErr w:type="gramStart"/>
      <w:r w:rsidRPr="00580BE5">
        <w:t>depends</w:t>
      </w:r>
      <w:proofErr w:type="gramEnd"/>
      <w:r w:rsidRPr="00580BE5">
        <w:t xml:space="preserve"> what you mean by ‘confident’: Operationalizing measures of public confidence and the role of performance indicators. </w:t>
      </w:r>
      <w:r w:rsidRPr="00580BE5">
        <w:rPr>
          <w:i/>
          <w:iCs/>
        </w:rPr>
        <w:t>Policing</w:t>
      </w:r>
      <w:r w:rsidRPr="00580BE5">
        <w:t>, 5(2), pp.114-124.</w:t>
      </w:r>
    </w:p>
    <w:p w14:paraId="282FF5A3" w14:textId="77777777" w:rsidR="00A246CF" w:rsidRPr="00580BE5" w:rsidRDefault="00A246CF" w:rsidP="00A246CF">
      <w:r w:rsidRPr="00580BE5">
        <w:t xml:space="preserve">National Police Chiefs' Council (NPCC), 2020. </w:t>
      </w:r>
      <w:r w:rsidRPr="00580BE5">
        <w:rPr>
          <w:i/>
          <w:iCs/>
        </w:rPr>
        <w:t>Police Workforce, England and Wales: 31 March 2020</w:t>
      </w:r>
      <w:r w:rsidRPr="00580BE5">
        <w:t>. NPCC.</w:t>
      </w:r>
    </w:p>
    <w:p w14:paraId="52EF3DCA" w14:textId="77777777" w:rsidR="00A246CF" w:rsidRPr="00580BE5" w:rsidRDefault="00A246CF" w:rsidP="00A246CF">
      <w:r w:rsidRPr="00580BE5">
        <w:t xml:space="preserve">Rollock, N., 2009. </w:t>
      </w:r>
      <w:r w:rsidRPr="00580BE5">
        <w:rPr>
          <w:i/>
          <w:iCs/>
        </w:rPr>
        <w:t>The Stephen Lawrence Inquiry 10 Years On: An Analysis of the Literature</w:t>
      </w:r>
      <w:r w:rsidRPr="00580BE5">
        <w:t>. Runnymede Trust.</w:t>
      </w:r>
    </w:p>
    <w:p w14:paraId="3F22447A" w14:textId="77777777" w:rsidR="00A246CF" w:rsidRDefault="00A246CF" w:rsidP="00A246CF">
      <w:r w:rsidRPr="004C6C04">
        <w:t> </w:t>
      </w:r>
      <w:r w:rsidRPr="00E2295B">
        <w:t xml:space="preserve">Ross, A., Duckworth, K., Smith, D., Wyness, G. and Schoon, I. (2010). </w:t>
      </w:r>
      <w:r w:rsidRPr="00E2295B">
        <w:rPr>
          <w:i/>
          <w:iCs/>
        </w:rPr>
        <w:t>Prevention and Reduction: A review of strategies for intervening early to prevent or reduce youth crime and anti-social behaviour Centre for Analysis of Youth Transitions (CAYT)</w:t>
      </w:r>
      <w:r w:rsidRPr="00E2295B">
        <w:t xml:space="preserve">. [online] Available at: </w:t>
      </w:r>
      <w:hyperlink r:id="rId16" w:history="1">
        <w:r w:rsidRPr="004975E4">
          <w:rPr>
            <w:rStyle w:val="Hyperlink"/>
          </w:rPr>
          <w:t>https://assets.publishing.service.gov.uk/media/5a7a36f2e5274a34770e5114/DFE-RR111.pdf</w:t>
        </w:r>
      </w:hyperlink>
      <w:r w:rsidRPr="00E2295B">
        <w:t>.</w:t>
      </w:r>
    </w:p>
    <w:p w14:paraId="20A9CAD9" w14:textId="77777777" w:rsidR="00A246CF" w:rsidRPr="00AB1225" w:rsidRDefault="00A246CF" w:rsidP="00A246CF">
      <w:r w:rsidRPr="001A5DD3">
        <w:t>South Wales Police. (2019). </w:t>
      </w:r>
      <w:r w:rsidRPr="001A5DD3">
        <w:rPr>
          <w:i/>
          <w:iCs/>
        </w:rPr>
        <w:t>Positive Action Support</w:t>
      </w:r>
      <w:r w:rsidRPr="001A5DD3">
        <w:t>. [Online]. South Wales Police. Available at: https://www.south-wales.police.uk/police-forces/south-wales-police/areas/careers/careers/positive-ac .</w:t>
      </w:r>
    </w:p>
    <w:p w14:paraId="0F1EB240" w14:textId="77777777" w:rsidR="006174C9" w:rsidRDefault="006174C9"/>
    <w:sectPr w:rsidR="00617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75139B"/>
    <w:multiLevelType w:val="multilevel"/>
    <w:tmpl w:val="A25A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6694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6CF"/>
    <w:rsid w:val="004402FB"/>
    <w:rsid w:val="00566690"/>
    <w:rsid w:val="006174C9"/>
    <w:rsid w:val="009E68F8"/>
    <w:rsid w:val="00A24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B129"/>
  <w15:chartTrackingRefBased/>
  <w15:docId w15:val="{FE8C5F34-6156-4826-AC31-3828A16D7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6CF"/>
    <w:pPr>
      <w:spacing w:line="278" w:lineRule="auto"/>
    </w:pPr>
    <w:rPr>
      <w:sz w:val="24"/>
      <w:szCs w:val="24"/>
    </w:rPr>
  </w:style>
  <w:style w:type="paragraph" w:styleId="Heading1">
    <w:name w:val="heading 1"/>
    <w:basedOn w:val="Normal"/>
    <w:next w:val="Normal"/>
    <w:link w:val="Heading1Char"/>
    <w:uiPriority w:val="9"/>
    <w:qFormat/>
    <w:rsid w:val="00A24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6CF"/>
    <w:rPr>
      <w:rFonts w:eastAsiaTheme="majorEastAsia" w:cstheme="majorBidi"/>
      <w:color w:val="272727" w:themeColor="text1" w:themeTint="D8"/>
    </w:rPr>
  </w:style>
  <w:style w:type="paragraph" w:styleId="Title">
    <w:name w:val="Title"/>
    <w:basedOn w:val="Normal"/>
    <w:next w:val="Normal"/>
    <w:link w:val="TitleChar"/>
    <w:uiPriority w:val="10"/>
    <w:qFormat/>
    <w:rsid w:val="00A24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6CF"/>
    <w:pPr>
      <w:spacing w:before="160"/>
      <w:jc w:val="center"/>
    </w:pPr>
    <w:rPr>
      <w:i/>
      <w:iCs/>
      <w:color w:val="404040" w:themeColor="text1" w:themeTint="BF"/>
    </w:rPr>
  </w:style>
  <w:style w:type="character" w:customStyle="1" w:styleId="QuoteChar">
    <w:name w:val="Quote Char"/>
    <w:basedOn w:val="DefaultParagraphFont"/>
    <w:link w:val="Quote"/>
    <w:uiPriority w:val="29"/>
    <w:rsid w:val="00A246CF"/>
    <w:rPr>
      <w:i/>
      <w:iCs/>
      <w:color w:val="404040" w:themeColor="text1" w:themeTint="BF"/>
    </w:rPr>
  </w:style>
  <w:style w:type="paragraph" w:styleId="ListParagraph">
    <w:name w:val="List Paragraph"/>
    <w:basedOn w:val="Normal"/>
    <w:uiPriority w:val="34"/>
    <w:qFormat/>
    <w:rsid w:val="00A246CF"/>
    <w:pPr>
      <w:ind w:left="720"/>
      <w:contextualSpacing/>
    </w:pPr>
  </w:style>
  <w:style w:type="character" w:styleId="IntenseEmphasis">
    <w:name w:val="Intense Emphasis"/>
    <w:basedOn w:val="DefaultParagraphFont"/>
    <w:uiPriority w:val="21"/>
    <w:qFormat/>
    <w:rsid w:val="00A246CF"/>
    <w:rPr>
      <w:i/>
      <w:iCs/>
      <w:color w:val="0F4761" w:themeColor="accent1" w:themeShade="BF"/>
    </w:rPr>
  </w:style>
  <w:style w:type="paragraph" w:styleId="IntenseQuote">
    <w:name w:val="Intense Quote"/>
    <w:basedOn w:val="Normal"/>
    <w:next w:val="Normal"/>
    <w:link w:val="IntenseQuoteChar"/>
    <w:uiPriority w:val="30"/>
    <w:qFormat/>
    <w:rsid w:val="00A24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6CF"/>
    <w:rPr>
      <w:i/>
      <w:iCs/>
      <w:color w:val="0F4761" w:themeColor="accent1" w:themeShade="BF"/>
    </w:rPr>
  </w:style>
  <w:style w:type="character" w:styleId="IntenseReference">
    <w:name w:val="Intense Reference"/>
    <w:basedOn w:val="DefaultParagraphFont"/>
    <w:uiPriority w:val="32"/>
    <w:qFormat/>
    <w:rsid w:val="00A246CF"/>
    <w:rPr>
      <w:b/>
      <w:bCs/>
      <w:smallCaps/>
      <w:color w:val="0F4761" w:themeColor="accent1" w:themeShade="BF"/>
      <w:spacing w:val="5"/>
    </w:rPr>
  </w:style>
  <w:style w:type="character" w:styleId="Hyperlink">
    <w:name w:val="Hyperlink"/>
    <w:basedOn w:val="DefaultParagraphFont"/>
    <w:uiPriority w:val="99"/>
    <w:unhideWhenUsed/>
    <w:rsid w:val="00A246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What-we-do/Development/decision-model" TargetMode="External"/><Relationship Id="rId13" Type="http://schemas.openxmlformats.org/officeDocument/2006/relationships/hyperlink" Target="https://www.britannica.com/topic/gang-crim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itannica.com/topic/povert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5a7a36f2e5274a34770e5114/DFE-RR1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olice-and-criminal-evidence-act-1984-pace-codes-of-practice" TargetMode="External"/><Relationship Id="rId5" Type="http://schemas.openxmlformats.org/officeDocument/2006/relationships/styles" Target="styles.xml"/><Relationship Id="rId15" Type="http://schemas.openxmlformats.org/officeDocument/2006/relationships/hyperlink" Target="https://www.apu.apus.edu/area-of-study/security-and-global-studies/resources/policing-diversity-and-why-it-should-matter-to-communities/" TargetMode="External"/><Relationship Id="rId10" Type="http://schemas.openxmlformats.org/officeDocument/2006/relationships/hyperlink" Target="http://gov.uk/" TargetMode="External"/><Relationship Id="rId4" Type="http://schemas.openxmlformats.org/officeDocument/2006/relationships/numbering" Target="numbering.xml"/><Relationship Id="rId9" Type="http://schemas.openxmlformats.org/officeDocument/2006/relationships/hyperlink" Target="https://www.college.police.uk/What-we-do/Ethics/Code-of-Ethics" TargetMode="External"/><Relationship Id="rId14" Type="http://schemas.openxmlformats.org/officeDocument/2006/relationships/hyperlink" Target="https://www.south-wales.police.uk/youth-offending-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4" ma:contentTypeDescription="Create a new document." ma:contentTypeScope="" ma:versionID="d70c22372f86a285eb6578697aa206e4">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7dde62e1a6ce64c35a9765e1086ed1c3"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Props1.xml><?xml version="1.0" encoding="utf-8"?>
<ds:datastoreItem xmlns:ds="http://schemas.openxmlformats.org/officeDocument/2006/customXml" ds:itemID="{9C6614B2-3878-46F8-929B-7F1501798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61EE70-0FEE-45B8-A273-CC4D599242C3}">
  <ds:schemaRefs>
    <ds:schemaRef ds:uri="http://schemas.microsoft.com/sharepoint/v3/contenttype/forms"/>
  </ds:schemaRefs>
</ds:datastoreItem>
</file>

<file path=customXml/itemProps3.xml><?xml version="1.0" encoding="utf-8"?>
<ds:datastoreItem xmlns:ds="http://schemas.openxmlformats.org/officeDocument/2006/customXml" ds:itemID="{8428786B-83FC-4026-9D68-7DB2CB5E0862}">
  <ds:schemaRefs>
    <ds:schemaRef ds:uri="http://schemas.microsoft.com/office/2006/documentManagement/types"/>
    <ds:schemaRef ds:uri="http://purl.org/dc/elements/1.1/"/>
    <ds:schemaRef ds:uri="http://schemas.microsoft.com/office/infopath/2007/PartnerControls"/>
    <ds:schemaRef ds:uri="http://purl.org/dc/terms/"/>
    <ds:schemaRef ds:uri="d1a1a500-2c2a-4591-a81d-39b4f8f714e1"/>
    <ds:schemaRef ds:uri="http://schemas.openxmlformats.org/package/2006/metadata/core-properties"/>
    <ds:schemaRef ds:uri="http://purl.org/dc/dcmitype/"/>
    <ds:schemaRef ds:uri="113f4ac3-40e6-4eba-afe1-a2dad95cb9e0"/>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6111</Words>
  <Characters>34834</Characters>
  <Application>Microsoft Office Word</Application>
  <DocSecurity>0</DocSecurity>
  <Lines>290</Lines>
  <Paragraphs>81</Paragraphs>
  <ScaleCrop>false</ScaleCrop>
  <Company/>
  <LinksUpToDate>false</LinksUpToDate>
  <CharactersWithSpaces>40864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Lewis,Dylan swp8656</dc:creator>
  <cp:keywords/>
  <dc:description/>
  <cp:lastModifiedBy>Lewis,Dylan swp8656</cp:lastModifiedBy>
  <cp:revision>1</cp:revision>
  <dcterms:created xsi:type="dcterms:W3CDTF">2024-08-04T17:11:00Z</dcterms:created>
  <dcterms:modified xsi:type="dcterms:W3CDTF">2024-08-04T17:14:00Z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2024-08-04T17:14:37Z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21c16630-4819-4f36-b4ff-415a8cac4ebf</vt:lpwstr>
  </property>
  <property fmtid="{D5CDD505-2E9C-101B-9397-08002B2CF9AE}" pid="9" name="MSIP_Label_66cf8fe5-b7b7-4df7-b38d-1c61ac2f6639_ContentBits">
    <vt:lpwstr>0</vt:lpwstr>
  </property>
</Properties>
</file>