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AF27A" w14:textId="77777777" w:rsidR="000A7CA6" w:rsidRDefault="000A7CA6">
      <w:pPr>
        <w:jc w:val="center"/>
        <w:rPr>
          <w:b/>
          <w:bCs/>
        </w:rPr>
      </w:pPr>
    </w:p>
    <w:p w14:paraId="4EE4EE7D" w14:textId="77777777" w:rsidR="000A7CA6" w:rsidRDefault="000A7CA6">
      <w:pPr>
        <w:jc w:val="center"/>
        <w:rPr>
          <w:b/>
          <w:bCs/>
        </w:rPr>
      </w:pPr>
    </w:p>
    <w:p w14:paraId="3F9E05C8" w14:textId="77777777" w:rsidR="000A7CA6" w:rsidRDefault="000761AB">
      <w:pPr>
        <w:jc w:val="center"/>
        <w:rPr>
          <w:b/>
          <w:bCs/>
        </w:rPr>
      </w:pPr>
      <w:r>
        <w:rPr>
          <w:b/>
          <w:bCs/>
          <w:noProof/>
        </w:rPr>
        <w:drawing>
          <wp:inline distT="114300" distB="114300" distL="114300" distR="114300" wp14:anchorId="2C6FD9C4" wp14:editId="5A020FC4">
            <wp:extent cx="2449350" cy="1055878"/>
            <wp:effectExtent l="0" t="0" r="0" b="0"/>
            <wp:docPr id="20142474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49350" cy="1055878"/>
                    </a:xfrm>
                    <a:prstGeom prst="rect">
                      <a:avLst/>
                    </a:prstGeom>
                    <a:ln/>
                  </pic:spPr>
                </pic:pic>
              </a:graphicData>
            </a:graphic>
          </wp:inline>
        </w:drawing>
      </w:r>
    </w:p>
    <w:p w14:paraId="2C50915D" w14:textId="77777777" w:rsidR="000A7CA6" w:rsidRDefault="000761AB">
      <w:pPr>
        <w:jc w:val="center"/>
        <w:rPr>
          <w:b/>
          <w:bCs/>
          <w:sz w:val="26"/>
          <w:szCs w:val="26"/>
        </w:rPr>
      </w:pPr>
      <w:r>
        <w:rPr>
          <w:b/>
          <w:bCs/>
          <w:sz w:val="26"/>
          <w:szCs w:val="26"/>
        </w:rPr>
        <w:t>Certificate of Higher Education in Employability Skills</w:t>
      </w:r>
    </w:p>
    <w:p w14:paraId="29E5701B" w14:textId="77777777" w:rsidR="000A7CA6" w:rsidRDefault="000A7CA6">
      <w:pPr>
        <w:jc w:val="center"/>
        <w:rPr>
          <w:b/>
          <w:bCs/>
        </w:rPr>
      </w:pPr>
    </w:p>
    <w:p w14:paraId="620A950C" w14:textId="77777777" w:rsidR="000A7CA6" w:rsidRDefault="000761AB">
      <w:pPr>
        <w:jc w:val="center"/>
        <w:rPr>
          <w:b/>
          <w:bCs/>
        </w:rPr>
      </w:pPr>
      <w:r>
        <w:rPr>
          <w:b/>
          <w:bCs/>
        </w:rPr>
        <w:t>Module Code and Name: BMSW4014 Problem Solving and Innovation</w:t>
      </w:r>
    </w:p>
    <w:p w14:paraId="4B04D403" w14:textId="77777777" w:rsidR="000A7CA6" w:rsidRDefault="000761AB">
      <w:pPr>
        <w:jc w:val="center"/>
        <w:rPr>
          <w:b/>
          <w:bCs/>
        </w:rPr>
      </w:pPr>
      <w:r>
        <w:rPr>
          <w:b/>
          <w:bCs/>
        </w:rPr>
        <w:t>Assignment Title: Greenwashing in the Automobile Industry</w:t>
      </w:r>
    </w:p>
    <w:p w14:paraId="13464B16" w14:textId="77777777" w:rsidR="000A7CA6" w:rsidRDefault="000A7CA6">
      <w:pPr>
        <w:jc w:val="center"/>
        <w:rPr>
          <w:b/>
          <w:bCs/>
        </w:rPr>
      </w:pPr>
    </w:p>
    <w:p w14:paraId="0ABB5639" w14:textId="77777777" w:rsidR="000A7CA6" w:rsidRDefault="000A7CA6">
      <w:pPr>
        <w:jc w:val="center"/>
        <w:rPr>
          <w:b/>
          <w:bCs/>
        </w:rPr>
      </w:pPr>
    </w:p>
    <w:p w14:paraId="4FE78A45" w14:textId="77777777" w:rsidR="000A7CA6" w:rsidRDefault="000A7CA6">
      <w:pPr>
        <w:rPr>
          <w:b/>
          <w:bCs/>
        </w:rPr>
      </w:pPr>
    </w:p>
    <w:p w14:paraId="00B05070" w14:textId="77777777" w:rsidR="000A7CA6" w:rsidRDefault="000A7CA6">
      <w:pPr>
        <w:jc w:val="center"/>
        <w:rPr>
          <w:b/>
          <w:bCs/>
        </w:rPr>
      </w:pPr>
    </w:p>
    <w:p w14:paraId="070A843A" w14:textId="77777777" w:rsidR="000A7CA6" w:rsidRDefault="000761AB">
      <w:pPr>
        <w:jc w:val="center"/>
        <w:rPr>
          <w:b/>
          <w:bCs/>
        </w:rPr>
      </w:pPr>
      <w:r>
        <w:rPr>
          <w:b/>
          <w:bCs/>
        </w:rPr>
        <w:t>Student name: Barbara Bagi</w:t>
      </w:r>
    </w:p>
    <w:p w14:paraId="397F46A4" w14:textId="77777777" w:rsidR="000A7CA6" w:rsidRDefault="000761AB">
      <w:pPr>
        <w:jc w:val="center"/>
        <w:rPr>
          <w:b/>
          <w:bCs/>
        </w:rPr>
      </w:pPr>
      <w:r>
        <w:rPr>
          <w:b/>
          <w:bCs/>
        </w:rPr>
        <w:t xml:space="preserve">Student ID: </w:t>
      </w:r>
      <w:r>
        <w:br w:type="page"/>
      </w:r>
    </w:p>
    <w:p w14:paraId="62C5CEF1" w14:textId="77777777" w:rsidR="000A7CA6" w:rsidRDefault="000761AB">
      <w:pPr>
        <w:keepNext/>
        <w:keepLines/>
        <w:pBdr>
          <w:top w:val="nil"/>
          <w:left w:val="nil"/>
          <w:bottom w:val="nil"/>
          <w:right w:val="nil"/>
          <w:between w:val="nil"/>
        </w:pBdr>
        <w:spacing w:before="240"/>
        <w:jc w:val="center"/>
        <w:rPr>
          <w:b/>
          <w:bCs/>
          <w:color w:val="000000"/>
        </w:rPr>
      </w:pPr>
      <w:bookmarkStart w:id="0" w:name="_heading=h.1k8yyfj5wk6q" w:colFirst="0" w:colLast="0"/>
      <w:bookmarkEnd w:id="0"/>
      <w:r>
        <w:rPr>
          <w:b/>
          <w:bCs/>
          <w:color w:val="000000"/>
        </w:rPr>
        <w:lastRenderedPageBreak/>
        <w:t>Table of Contents</w:t>
      </w:r>
    </w:p>
    <w:sdt>
      <w:sdtPr>
        <w:id w:val="-1691720690"/>
        <w:docPartObj>
          <w:docPartGallery w:val="Table of Contents"/>
          <w:docPartUnique/>
        </w:docPartObj>
      </w:sdtPr>
      <w:sdtEndPr/>
      <w:sdtContent>
        <w:p w14:paraId="59A0CF1D" w14:textId="77777777" w:rsidR="000A7CA6" w:rsidRDefault="000761AB">
          <w:pPr>
            <w:widowControl w:val="0"/>
            <w:tabs>
              <w:tab w:val="right" w:pos="12000"/>
            </w:tabs>
            <w:rPr>
              <w:b/>
              <w:bCs/>
              <w:color w:val="000000"/>
              <w:sz w:val="22"/>
              <w:szCs w:val="22"/>
            </w:rPr>
          </w:pPr>
          <w:r>
            <w:fldChar w:fldCharType="begin"/>
          </w:r>
          <w:r>
            <w:instrText xml:space="preserve"> TOC \h \u \z \t "Heading 1,1,Heading 2,2,Heading 3,3,"</w:instrText>
          </w:r>
          <w:r>
            <w:fldChar w:fldCharType="separate"/>
          </w:r>
          <w:hyperlink w:anchor="_heading=h.hrertzgpqh09">
            <w:r w:rsidR="000A7CA6">
              <w:rPr>
                <w:color w:val="000000"/>
              </w:rPr>
              <w:t>Slide 1: Title</w:t>
            </w:r>
            <w:r w:rsidR="000A7CA6">
              <w:rPr>
                <w:color w:val="000000"/>
              </w:rPr>
              <w:tab/>
              <w:t>3</w:t>
            </w:r>
          </w:hyperlink>
        </w:p>
        <w:p w14:paraId="09366407" w14:textId="77777777" w:rsidR="000A7CA6" w:rsidRDefault="000A7CA6">
          <w:pPr>
            <w:widowControl w:val="0"/>
            <w:tabs>
              <w:tab w:val="right" w:pos="12000"/>
            </w:tabs>
            <w:rPr>
              <w:b/>
              <w:bCs/>
              <w:color w:val="000000"/>
              <w:sz w:val="22"/>
              <w:szCs w:val="22"/>
            </w:rPr>
          </w:pPr>
          <w:hyperlink w:anchor="_heading=h.bor5b8mw3og2">
            <w:r>
              <w:rPr>
                <w:color w:val="000000"/>
              </w:rPr>
              <w:t>Slide 2: TOC</w:t>
            </w:r>
            <w:r>
              <w:rPr>
                <w:color w:val="000000"/>
              </w:rPr>
              <w:tab/>
              <w:t>3</w:t>
            </w:r>
          </w:hyperlink>
        </w:p>
        <w:p w14:paraId="06A827E1" w14:textId="77777777" w:rsidR="000A7CA6" w:rsidRDefault="000A7CA6">
          <w:pPr>
            <w:widowControl w:val="0"/>
            <w:tabs>
              <w:tab w:val="right" w:pos="12000"/>
            </w:tabs>
            <w:rPr>
              <w:b/>
              <w:bCs/>
              <w:color w:val="000000"/>
              <w:sz w:val="22"/>
              <w:szCs w:val="22"/>
            </w:rPr>
          </w:pPr>
          <w:hyperlink w:anchor="_heading=h.ij8ccitbyvyd">
            <w:r>
              <w:rPr>
                <w:color w:val="000000"/>
              </w:rPr>
              <w:t>Slide 3: Introduction</w:t>
            </w:r>
            <w:r>
              <w:rPr>
                <w:color w:val="000000"/>
              </w:rPr>
              <w:tab/>
              <w:t>3</w:t>
            </w:r>
          </w:hyperlink>
        </w:p>
        <w:p w14:paraId="7C0E9337" w14:textId="77777777" w:rsidR="000A7CA6" w:rsidRDefault="000A7CA6">
          <w:pPr>
            <w:widowControl w:val="0"/>
            <w:tabs>
              <w:tab w:val="right" w:pos="12000"/>
            </w:tabs>
            <w:rPr>
              <w:b/>
              <w:bCs/>
              <w:color w:val="000000"/>
              <w:sz w:val="22"/>
              <w:szCs w:val="22"/>
            </w:rPr>
          </w:pPr>
          <w:hyperlink w:anchor="_heading=h.yvlanrqgchb">
            <w:r>
              <w:rPr>
                <w:color w:val="000000"/>
              </w:rPr>
              <w:t>Slide 4: Impact of greenwashing on Volkswagen</w:t>
            </w:r>
            <w:r>
              <w:rPr>
                <w:color w:val="000000"/>
              </w:rPr>
              <w:tab/>
              <w:t>3</w:t>
            </w:r>
          </w:hyperlink>
        </w:p>
        <w:p w14:paraId="563292D3" w14:textId="77777777" w:rsidR="000A7CA6" w:rsidRDefault="000A7CA6">
          <w:pPr>
            <w:widowControl w:val="0"/>
            <w:tabs>
              <w:tab w:val="right" w:pos="12000"/>
            </w:tabs>
            <w:rPr>
              <w:b/>
              <w:bCs/>
              <w:color w:val="000000"/>
              <w:sz w:val="22"/>
              <w:szCs w:val="22"/>
            </w:rPr>
          </w:pPr>
          <w:hyperlink w:anchor="_heading=h.qmu3aqhcogr4">
            <w:r>
              <w:rPr>
                <w:color w:val="000000"/>
              </w:rPr>
              <w:t>Slide 5: Cause of greenwashing (pressure from the government)</w:t>
            </w:r>
            <w:r>
              <w:rPr>
                <w:color w:val="000000"/>
              </w:rPr>
              <w:tab/>
              <w:t>4</w:t>
            </w:r>
          </w:hyperlink>
        </w:p>
        <w:p w14:paraId="6D378D94" w14:textId="77777777" w:rsidR="000A7CA6" w:rsidRDefault="000A7CA6">
          <w:pPr>
            <w:widowControl w:val="0"/>
            <w:tabs>
              <w:tab w:val="right" w:pos="12000"/>
            </w:tabs>
            <w:rPr>
              <w:b/>
              <w:bCs/>
              <w:color w:val="000000"/>
              <w:sz w:val="22"/>
              <w:szCs w:val="22"/>
            </w:rPr>
          </w:pPr>
          <w:hyperlink w:anchor="_heading=h.yoxrao95zqnh">
            <w:r>
              <w:rPr>
                <w:color w:val="000000"/>
              </w:rPr>
              <w:t>Slide 6: Cause of greenwashing (cheating behaviour and tendency)</w:t>
            </w:r>
            <w:r>
              <w:rPr>
                <w:color w:val="000000"/>
              </w:rPr>
              <w:tab/>
              <w:t>5</w:t>
            </w:r>
          </w:hyperlink>
        </w:p>
        <w:p w14:paraId="073F5A4F" w14:textId="77777777" w:rsidR="000A7CA6" w:rsidRDefault="000A7CA6">
          <w:pPr>
            <w:widowControl w:val="0"/>
            <w:tabs>
              <w:tab w:val="right" w:pos="12000"/>
            </w:tabs>
            <w:rPr>
              <w:b/>
              <w:bCs/>
              <w:color w:val="000000"/>
              <w:sz w:val="22"/>
              <w:szCs w:val="22"/>
            </w:rPr>
          </w:pPr>
          <w:hyperlink w:anchor="_heading=h.smeyktmzyoka">
            <w:r>
              <w:rPr>
                <w:color w:val="000000"/>
              </w:rPr>
              <w:t>Slide 7: Cause of greenwashing (marketing practices)</w:t>
            </w:r>
            <w:r>
              <w:rPr>
                <w:color w:val="000000"/>
              </w:rPr>
              <w:tab/>
              <w:t>6</w:t>
            </w:r>
          </w:hyperlink>
        </w:p>
        <w:p w14:paraId="24783FC6" w14:textId="77777777" w:rsidR="000A7CA6" w:rsidRDefault="000A7CA6">
          <w:pPr>
            <w:widowControl w:val="0"/>
            <w:tabs>
              <w:tab w:val="right" w:pos="12000"/>
            </w:tabs>
            <w:rPr>
              <w:b/>
              <w:bCs/>
              <w:color w:val="000000"/>
              <w:sz w:val="22"/>
              <w:szCs w:val="22"/>
            </w:rPr>
          </w:pPr>
          <w:hyperlink w:anchor="_heading=h.2rptwndz487c">
            <w:r>
              <w:rPr>
                <w:color w:val="000000"/>
              </w:rPr>
              <w:t>Slide 8: Conclusion</w:t>
            </w:r>
            <w:r>
              <w:rPr>
                <w:color w:val="000000"/>
              </w:rPr>
              <w:tab/>
              <w:t>7</w:t>
            </w:r>
          </w:hyperlink>
        </w:p>
        <w:p w14:paraId="343355D0" w14:textId="77777777" w:rsidR="000A7CA6" w:rsidRDefault="000A7CA6">
          <w:pPr>
            <w:widowControl w:val="0"/>
            <w:tabs>
              <w:tab w:val="right" w:pos="12000"/>
            </w:tabs>
            <w:rPr>
              <w:b/>
              <w:bCs/>
              <w:color w:val="000000"/>
              <w:sz w:val="22"/>
              <w:szCs w:val="22"/>
            </w:rPr>
          </w:pPr>
          <w:hyperlink w:anchor="_heading=h.nz24duuy69r6">
            <w:r>
              <w:rPr>
                <w:color w:val="000000"/>
              </w:rPr>
              <w:t>Slide 9: References</w:t>
            </w:r>
            <w:r>
              <w:rPr>
                <w:color w:val="000000"/>
              </w:rPr>
              <w:tab/>
              <w:t>8</w:t>
            </w:r>
          </w:hyperlink>
          <w:r w:rsidR="000761AB">
            <w:fldChar w:fldCharType="end"/>
          </w:r>
        </w:p>
      </w:sdtContent>
    </w:sdt>
    <w:p w14:paraId="306FDFF5" w14:textId="77777777" w:rsidR="000A7CA6" w:rsidRDefault="000761AB">
      <w:pPr>
        <w:rPr>
          <w:b/>
          <w:bCs/>
        </w:rPr>
      </w:pPr>
      <w:r>
        <w:br w:type="page"/>
      </w:r>
    </w:p>
    <w:p w14:paraId="4EEF9A36" w14:textId="77777777" w:rsidR="000A7CA6" w:rsidRDefault="000761AB">
      <w:pPr>
        <w:pStyle w:val="Heading1"/>
        <w:spacing w:after="200"/>
      </w:pPr>
      <w:bookmarkStart w:id="1" w:name="_heading=h.hrertzgpqh09" w:colFirst="0" w:colLast="0"/>
      <w:bookmarkEnd w:id="1"/>
      <w:r>
        <w:lastRenderedPageBreak/>
        <w:t xml:space="preserve">Slide 1: Title </w:t>
      </w:r>
    </w:p>
    <w:p w14:paraId="58FBEC26" w14:textId="77777777" w:rsidR="000A7CA6" w:rsidRDefault="000761AB">
      <w:pPr>
        <w:jc w:val="center"/>
      </w:pPr>
      <w:r>
        <w:rPr>
          <w:noProof/>
        </w:rPr>
        <w:drawing>
          <wp:inline distT="0" distB="0" distL="0" distR="0" wp14:anchorId="1C23C1B3" wp14:editId="22CAAE4B">
            <wp:extent cx="4572635" cy="3429000"/>
            <wp:effectExtent l="0" t="0" r="0" b="0"/>
            <wp:docPr id="201424747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4572635" cy="3429000"/>
                    </a:xfrm>
                    <a:prstGeom prst="rect">
                      <a:avLst/>
                    </a:prstGeom>
                    <a:ln/>
                  </pic:spPr>
                </pic:pic>
              </a:graphicData>
            </a:graphic>
          </wp:inline>
        </w:drawing>
      </w:r>
    </w:p>
    <w:p w14:paraId="539F422C" w14:textId="77777777" w:rsidR="000A7CA6" w:rsidRDefault="000761AB">
      <w:pPr>
        <w:pStyle w:val="Heading1"/>
        <w:spacing w:after="200"/>
      </w:pPr>
      <w:bookmarkStart w:id="2" w:name="_heading=h.bor5b8mw3og2" w:colFirst="0" w:colLast="0"/>
      <w:bookmarkEnd w:id="2"/>
      <w:r>
        <w:t>Slide 2: TOC</w:t>
      </w:r>
    </w:p>
    <w:p w14:paraId="1FBA800E" w14:textId="77777777" w:rsidR="000A7CA6" w:rsidRDefault="000761AB">
      <w:pPr>
        <w:jc w:val="center"/>
      </w:pPr>
      <w:r>
        <w:rPr>
          <w:noProof/>
        </w:rPr>
        <w:drawing>
          <wp:inline distT="0" distB="0" distL="0" distR="0" wp14:anchorId="548D4AE9" wp14:editId="4B7FBA6A">
            <wp:extent cx="4572635" cy="3429000"/>
            <wp:effectExtent l="0" t="0" r="0" b="0"/>
            <wp:docPr id="201424747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572635" cy="3429000"/>
                    </a:xfrm>
                    <a:prstGeom prst="rect">
                      <a:avLst/>
                    </a:prstGeom>
                    <a:ln/>
                  </pic:spPr>
                </pic:pic>
              </a:graphicData>
            </a:graphic>
          </wp:inline>
        </w:drawing>
      </w:r>
    </w:p>
    <w:p w14:paraId="50CF6C68" w14:textId="77777777" w:rsidR="000A7CA6" w:rsidRDefault="000761AB">
      <w:pPr>
        <w:pStyle w:val="Heading1"/>
        <w:spacing w:after="200"/>
      </w:pPr>
      <w:bookmarkStart w:id="3" w:name="_heading=h.ij8ccitbyvyd" w:colFirst="0" w:colLast="0"/>
      <w:bookmarkEnd w:id="3"/>
      <w:r>
        <w:lastRenderedPageBreak/>
        <w:t>Slide 3: Introduction</w:t>
      </w:r>
    </w:p>
    <w:p w14:paraId="407EAB05" w14:textId="77777777" w:rsidR="000A7CA6" w:rsidRDefault="000761AB">
      <w:pPr>
        <w:spacing w:after="200"/>
        <w:jc w:val="center"/>
      </w:pPr>
      <w:r>
        <w:rPr>
          <w:noProof/>
        </w:rPr>
        <w:drawing>
          <wp:inline distT="0" distB="0" distL="0" distR="0" wp14:anchorId="7E1F5251" wp14:editId="12A5D727">
            <wp:extent cx="4572635" cy="3429000"/>
            <wp:effectExtent l="0" t="0" r="0" b="0"/>
            <wp:docPr id="201424747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72635" cy="3429000"/>
                    </a:xfrm>
                    <a:prstGeom prst="rect">
                      <a:avLst/>
                    </a:prstGeom>
                    <a:ln/>
                  </pic:spPr>
                </pic:pic>
              </a:graphicData>
            </a:graphic>
          </wp:inline>
        </w:drawing>
      </w:r>
    </w:p>
    <w:p w14:paraId="5673C578" w14:textId="77777777" w:rsidR="000A7CA6" w:rsidRDefault="000761AB">
      <w:pPr>
        <w:spacing w:after="200"/>
      </w:pPr>
      <w:r>
        <w:t>In the current era, sustainability and ethical responsibilities are gaining importance in the business scenario. Adair (2019) opined that both problem-solving and decision-making also serve a crucial role for business organisations. In this regard, greenwashing is one of the phenomena by which the stakeholders of the businesses can be misled. Greenwashing is conceptualised as an intersection of poor environmental performance and positive communication about environmental performance leveraged by organisatio</w:t>
      </w:r>
      <w:r>
        <w:t xml:space="preserve">ns (De Freitas Netto </w:t>
      </w:r>
      <w:r>
        <w:rPr>
          <w:i/>
          <w:iCs/>
        </w:rPr>
        <w:t>et al.</w:t>
      </w:r>
      <w:r>
        <w:t xml:space="preserve">, 2020). This study includes the analysis of the greenwashing issue in the automobile sector in terms of understanding the responsible factors behind such issue. The discussion is also founded on the impact of the greenwashing issue on Volkswagen. </w:t>
      </w:r>
    </w:p>
    <w:p w14:paraId="326B6097" w14:textId="77777777" w:rsidR="000A7CA6" w:rsidRDefault="000761AB">
      <w:pPr>
        <w:pStyle w:val="Heading1"/>
        <w:spacing w:after="200"/>
      </w:pPr>
      <w:bookmarkStart w:id="4" w:name="_heading=h.yvlanrqgchb" w:colFirst="0" w:colLast="0"/>
      <w:bookmarkEnd w:id="4"/>
      <w:r>
        <w:lastRenderedPageBreak/>
        <w:t>Slide 4: Impact of greenwashing on Volkswagen</w:t>
      </w:r>
    </w:p>
    <w:p w14:paraId="5C654C15" w14:textId="77777777" w:rsidR="000A7CA6" w:rsidRDefault="000761AB">
      <w:pPr>
        <w:spacing w:after="200"/>
        <w:jc w:val="center"/>
      </w:pPr>
      <w:r>
        <w:rPr>
          <w:noProof/>
        </w:rPr>
        <w:drawing>
          <wp:inline distT="0" distB="0" distL="0" distR="0" wp14:anchorId="7F3BB207" wp14:editId="3029C5F5">
            <wp:extent cx="4572635" cy="3429000"/>
            <wp:effectExtent l="0" t="0" r="0" b="0"/>
            <wp:docPr id="201424747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4572635" cy="3429000"/>
                    </a:xfrm>
                    <a:prstGeom prst="rect">
                      <a:avLst/>
                    </a:prstGeom>
                    <a:ln/>
                  </pic:spPr>
                </pic:pic>
              </a:graphicData>
            </a:graphic>
          </wp:inline>
        </w:drawing>
      </w:r>
    </w:p>
    <w:p w14:paraId="3524A98E" w14:textId="77777777" w:rsidR="000A7CA6" w:rsidRDefault="000761AB">
      <w:pPr>
        <w:spacing w:after="200"/>
      </w:pPr>
      <w:r>
        <w:t>In 2015, Volkswagen was charged with installing software to cheat emission test of the government. The company misled the government by showing the tolerable level of nitrogen emissions (Kell, 2022). In the real scenario, the amount of emission was 40 times higher than the permissible level of the government. It is seen that any kind of discrepancies between the environmental claims by organisations and actual practices can disrupt the positive brand image of the company (Koch and Denner, 2025). In the case</w:t>
      </w:r>
      <w:r>
        <w:t xml:space="preserve"> of Volkswagen, the perception and image of the brand were harmed after the allegation of false claims of nitrogen emissions (Aichner </w:t>
      </w:r>
      <w:r>
        <w:rPr>
          <w:i/>
          <w:iCs/>
        </w:rPr>
        <w:t>et al.</w:t>
      </w:r>
      <w:r>
        <w:t xml:space="preserve">, 2021). This also disrupted their corporate social responsibilities. </w:t>
      </w:r>
    </w:p>
    <w:p w14:paraId="5A8983F3" w14:textId="77777777" w:rsidR="000A7CA6" w:rsidRDefault="000761AB">
      <w:pPr>
        <w:pStyle w:val="Heading1"/>
        <w:spacing w:after="200"/>
      </w:pPr>
      <w:bookmarkStart w:id="5" w:name="_heading=h.qmu3aqhcogr4" w:colFirst="0" w:colLast="0"/>
      <w:bookmarkEnd w:id="5"/>
      <w:r>
        <w:lastRenderedPageBreak/>
        <w:t>Slide 5: Cause of greenwashing (pressure from the government)</w:t>
      </w:r>
    </w:p>
    <w:p w14:paraId="6897F989" w14:textId="77777777" w:rsidR="000A7CA6" w:rsidRDefault="000761AB">
      <w:pPr>
        <w:spacing w:after="200"/>
        <w:jc w:val="center"/>
      </w:pPr>
      <w:r>
        <w:rPr>
          <w:noProof/>
        </w:rPr>
        <w:drawing>
          <wp:inline distT="0" distB="0" distL="0" distR="0" wp14:anchorId="4D9C14F4" wp14:editId="77DCC362">
            <wp:extent cx="4572635" cy="3429000"/>
            <wp:effectExtent l="0" t="0" r="0" b="0"/>
            <wp:docPr id="201424748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572635" cy="3429000"/>
                    </a:xfrm>
                    <a:prstGeom prst="rect">
                      <a:avLst/>
                    </a:prstGeom>
                    <a:ln/>
                  </pic:spPr>
                </pic:pic>
              </a:graphicData>
            </a:graphic>
          </wp:inline>
        </w:drawing>
      </w:r>
    </w:p>
    <w:p w14:paraId="294CEB11" w14:textId="77777777" w:rsidR="000A7CA6" w:rsidRDefault="000761AB">
      <w:pPr>
        <w:spacing w:after="200"/>
      </w:pPr>
      <w:r>
        <w:t>The RCA analysis illustrates that, in terms of understanding the causes behind the issue of greenwashing and the engagement of the companies in such aspects, the rules and regulations of the government can be considered responsible. In the UK, the government has a plan to reach net zero by 2050 (Parliament, 2025). The government, as per the analysis, is also encouraging companies to drive their operations in a manner in which the level of emissions can be controlled. This can be a reason behind the greenwas</w:t>
      </w:r>
      <w:r>
        <w:t xml:space="preserve">hing issue in the automobile industry. </w:t>
      </w:r>
    </w:p>
    <w:p w14:paraId="06E2AD0B" w14:textId="77777777" w:rsidR="000A7CA6" w:rsidRDefault="000761AB">
      <w:pPr>
        <w:pStyle w:val="Heading1"/>
        <w:spacing w:after="200"/>
      </w:pPr>
      <w:bookmarkStart w:id="6" w:name="_heading=h.yoxrao95zqnh" w:colFirst="0" w:colLast="0"/>
      <w:bookmarkEnd w:id="6"/>
      <w:r>
        <w:t>Slide 6: Cause of greenwashing (cheating behaviour and tendency)</w:t>
      </w:r>
    </w:p>
    <w:p w14:paraId="41152582" w14:textId="77777777" w:rsidR="000A7CA6" w:rsidRDefault="000761AB">
      <w:pPr>
        <w:spacing w:after="200"/>
        <w:jc w:val="center"/>
      </w:pPr>
      <w:r>
        <w:rPr>
          <w:noProof/>
        </w:rPr>
        <w:drawing>
          <wp:inline distT="0" distB="0" distL="0" distR="0" wp14:anchorId="6B407245" wp14:editId="226CC205">
            <wp:extent cx="4572635" cy="3429000"/>
            <wp:effectExtent l="0" t="0" r="0" b="0"/>
            <wp:docPr id="201424747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572635" cy="3429000"/>
                    </a:xfrm>
                    <a:prstGeom prst="rect">
                      <a:avLst/>
                    </a:prstGeom>
                    <a:ln/>
                  </pic:spPr>
                </pic:pic>
              </a:graphicData>
            </a:graphic>
          </wp:inline>
        </w:drawing>
      </w:r>
    </w:p>
    <w:p w14:paraId="634CD400" w14:textId="77777777" w:rsidR="000A7CA6" w:rsidRDefault="000761AB">
      <w:pPr>
        <w:spacing w:after="200"/>
      </w:pPr>
      <w:r>
        <w:t xml:space="preserve">In the organisational context, cheating tendency is another cause behind the emergence of the greenwashing issue with companies in the automobile industry (Boiral </w:t>
      </w:r>
      <w:r>
        <w:rPr>
          <w:i/>
          <w:iCs/>
        </w:rPr>
        <w:t>et al.</w:t>
      </w:r>
      <w:r>
        <w:t xml:space="preserve">, 2022). The companies are being pressurised to reduce the amount of greenhouse gas emissions from their products and operations. However, due to high cost, companies such as Ford, Honda are engaged in scandals and convictions related to greenwashing (Boiral </w:t>
      </w:r>
      <w:r>
        <w:rPr>
          <w:i/>
          <w:iCs/>
        </w:rPr>
        <w:t>et al.</w:t>
      </w:r>
      <w:r>
        <w:t xml:space="preserve">, 2022). Thus, the tendency of unethical behaviour among the automobile companies is increasing. </w:t>
      </w:r>
    </w:p>
    <w:p w14:paraId="156DF3CC" w14:textId="77777777" w:rsidR="000A7CA6" w:rsidRDefault="000761AB">
      <w:pPr>
        <w:pStyle w:val="Heading1"/>
        <w:spacing w:after="200"/>
      </w:pPr>
      <w:bookmarkStart w:id="7" w:name="_heading=h.smeyktmzyoka" w:colFirst="0" w:colLast="0"/>
      <w:bookmarkEnd w:id="7"/>
      <w:r>
        <w:t>Slide 7: Cause of greenwashing (marketing practices)</w:t>
      </w:r>
    </w:p>
    <w:p w14:paraId="362E8CE3" w14:textId="77777777" w:rsidR="000A7CA6" w:rsidRDefault="000761AB">
      <w:pPr>
        <w:spacing w:after="200"/>
        <w:jc w:val="center"/>
      </w:pPr>
      <w:r>
        <w:rPr>
          <w:noProof/>
        </w:rPr>
        <w:drawing>
          <wp:inline distT="0" distB="0" distL="0" distR="0" wp14:anchorId="415C0485" wp14:editId="02263FD5">
            <wp:extent cx="4572635" cy="3429000"/>
            <wp:effectExtent l="0" t="0" r="0" b="0"/>
            <wp:docPr id="201424748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572635" cy="3429000"/>
                    </a:xfrm>
                    <a:prstGeom prst="rect">
                      <a:avLst/>
                    </a:prstGeom>
                    <a:ln/>
                  </pic:spPr>
                </pic:pic>
              </a:graphicData>
            </a:graphic>
          </wp:inline>
        </w:drawing>
      </w:r>
    </w:p>
    <w:p w14:paraId="32DFA7A6" w14:textId="77777777" w:rsidR="000A7CA6" w:rsidRDefault="000761AB">
      <w:pPr>
        <w:spacing w:after="200"/>
      </w:pPr>
      <w:r>
        <w:t xml:space="preserve">Respecting the business context, organisations are interested in making an appeal to consumers by developing their positive and eco-conscious brand image (Rashid </w:t>
      </w:r>
      <w:r>
        <w:rPr>
          <w:i/>
          <w:iCs/>
        </w:rPr>
        <w:t>et al</w:t>
      </w:r>
      <w:r>
        <w:t xml:space="preserve">., 2025). In terms of attracting consumers and managing marketing strategies, the companies in the automobile industry are engaged in making false claims about their environmental initiatives. </w:t>
      </w:r>
    </w:p>
    <w:p w14:paraId="492F5436" w14:textId="77777777" w:rsidR="000A7CA6" w:rsidRDefault="000761AB">
      <w:pPr>
        <w:pStyle w:val="Heading1"/>
        <w:spacing w:after="200"/>
      </w:pPr>
      <w:bookmarkStart w:id="8" w:name="_heading=h.2rptwndz487c" w:colFirst="0" w:colLast="0"/>
      <w:bookmarkEnd w:id="8"/>
      <w:r>
        <w:t xml:space="preserve">Slide 8: Conclusion </w:t>
      </w:r>
    </w:p>
    <w:p w14:paraId="37BE6B57" w14:textId="77777777" w:rsidR="000A7CA6" w:rsidRDefault="000761AB">
      <w:pPr>
        <w:spacing w:after="200"/>
        <w:jc w:val="center"/>
      </w:pPr>
      <w:r>
        <w:rPr>
          <w:noProof/>
        </w:rPr>
        <w:drawing>
          <wp:inline distT="0" distB="0" distL="0" distR="0" wp14:anchorId="106B75DF" wp14:editId="059594EE">
            <wp:extent cx="4572635" cy="3429000"/>
            <wp:effectExtent l="0" t="0" r="0" b="0"/>
            <wp:docPr id="201424748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572635" cy="3429000"/>
                    </a:xfrm>
                    <a:prstGeom prst="rect">
                      <a:avLst/>
                    </a:prstGeom>
                    <a:ln/>
                  </pic:spPr>
                </pic:pic>
              </a:graphicData>
            </a:graphic>
          </wp:inline>
        </w:drawing>
      </w:r>
    </w:p>
    <w:p w14:paraId="1F28CCA3" w14:textId="77777777" w:rsidR="000A7CA6" w:rsidRDefault="000761AB">
      <w:pPr>
        <w:spacing w:after="200"/>
      </w:pPr>
      <w:r>
        <w:t>From the performed RCA, it is concluded from the above discussion that, due to the issue of greenwashing, a negative impact was seen on the brand image of Volkswagen. The corporate reputation of the company was also disrupted. The major causes behind the emergence of greenwashing in the automobile industry are pressure from the government, cheating behaviour and maintaining attractiveness in the market. Driven by these reasons, Ford, Honda are making false claims about their ethical and sustainable initiati</w:t>
      </w:r>
      <w:r>
        <w:t xml:space="preserve">ves, which result in reputational damage. </w:t>
      </w:r>
      <w:r>
        <w:br w:type="page"/>
      </w:r>
    </w:p>
    <w:p w14:paraId="7B3F4F7F" w14:textId="77777777" w:rsidR="000A7CA6" w:rsidRDefault="000761AB">
      <w:pPr>
        <w:pStyle w:val="Heading1"/>
        <w:spacing w:before="240" w:after="240"/>
      </w:pPr>
      <w:bookmarkStart w:id="9" w:name="_heading=h.nz24duuy69r6" w:colFirst="0" w:colLast="0"/>
      <w:bookmarkEnd w:id="9"/>
      <w:r>
        <w:t>Slide 9: References</w:t>
      </w:r>
    </w:p>
    <w:p w14:paraId="46D9A383" w14:textId="77777777" w:rsidR="000A7CA6" w:rsidRDefault="000761AB">
      <w:pPr>
        <w:jc w:val="center"/>
      </w:pPr>
      <w:r>
        <w:rPr>
          <w:noProof/>
        </w:rPr>
        <w:drawing>
          <wp:inline distT="114300" distB="114300" distL="114300" distR="114300" wp14:anchorId="567F1952" wp14:editId="64FB34BB">
            <wp:extent cx="5731200" cy="4292600"/>
            <wp:effectExtent l="0" t="0" r="0" b="0"/>
            <wp:docPr id="201424747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4292600"/>
                    </a:xfrm>
                    <a:prstGeom prst="rect">
                      <a:avLst/>
                    </a:prstGeom>
                    <a:ln/>
                  </pic:spPr>
                </pic:pic>
              </a:graphicData>
            </a:graphic>
          </wp:inline>
        </w:drawing>
      </w:r>
    </w:p>
    <w:p w14:paraId="2662B37B" w14:textId="77777777" w:rsidR="000A7CA6" w:rsidRDefault="000761AB">
      <w:pPr>
        <w:spacing w:before="240" w:after="240"/>
      </w:pPr>
      <w:r>
        <w:t xml:space="preserve">Adair, J.E. (2019) </w:t>
      </w:r>
      <w:r>
        <w:rPr>
          <w:i/>
          <w:iCs/>
        </w:rPr>
        <w:t>Decision making and problem solving: break through barriers and banish uncertainty at work.</w:t>
      </w:r>
      <w:r>
        <w:t xml:space="preserve"> Fourth edition. London: KoganPage.</w:t>
      </w:r>
    </w:p>
    <w:p w14:paraId="338C35D3" w14:textId="77777777" w:rsidR="000A7CA6" w:rsidRDefault="000761AB">
      <w:pPr>
        <w:spacing w:before="240" w:after="240"/>
      </w:pPr>
      <w:r>
        <w:t xml:space="preserve">Aichner, T., Coletti, P., Jacob, F. and Wilken, R. (2021) ‘Did the Volkswagen emissions scandal harm the “Made in Germany” image? A cross-cultural, cross-products, cross-time study’, </w:t>
      </w:r>
      <w:r>
        <w:rPr>
          <w:i/>
          <w:iCs/>
        </w:rPr>
        <w:t>Corporate reputation review</w:t>
      </w:r>
      <w:r>
        <w:t>, 24(4), pp. 179-190.</w:t>
      </w:r>
    </w:p>
    <w:p w14:paraId="24F9A5B6" w14:textId="77777777" w:rsidR="000A7CA6" w:rsidRDefault="000761AB">
      <w:pPr>
        <w:spacing w:before="240" w:after="240"/>
      </w:pPr>
      <w:r>
        <w:t xml:space="preserve">Boiral, O., Brotherton, M.C., Yuriev, A. and Talbot, D. (2022) ‘Through the smokescreen of the dieselgate disclosure: Neutralising the impacts of a major sustainability scandal’, </w:t>
      </w:r>
      <w:r>
        <w:rPr>
          <w:i/>
          <w:iCs/>
        </w:rPr>
        <w:t>Organisation &amp; Environment</w:t>
      </w:r>
      <w:r>
        <w:t>, 35(2), pp. 175-201.</w:t>
      </w:r>
    </w:p>
    <w:p w14:paraId="18570A97" w14:textId="77777777" w:rsidR="000A7CA6" w:rsidRDefault="000761AB">
      <w:pPr>
        <w:spacing w:before="240" w:after="240"/>
      </w:pPr>
      <w:r>
        <w:t xml:space="preserve">De Freitas Netto, S.V., Sobral, M.F.F., Ribeiro, A.R.B. and Soares, G.R.D.L. (2020) ‘Concepts and forms of greenwashing: A systematic review’. </w:t>
      </w:r>
      <w:r>
        <w:rPr>
          <w:i/>
          <w:iCs/>
        </w:rPr>
        <w:t>Environmental Sciences Europe</w:t>
      </w:r>
      <w:r>
        <w:t>, 32(1), p.19.</w:t>
      </w:r>
    </w:p>
    <w:p w14:paraId="5E3E03AB" w14:textId="77777777" w:rsidR="000A7CA6" w:rsidRDefault="000761AB">
      <w:pPr>
        <w:spacing w:before="240" w:after="240"/>
      </w:pPr>
      <w:r>
        <w:t xml:space="preserve">Kell (2022) </w:t>
      </w:r>
      <w:r>
        <w:rPr>
          <w:i/>
          <w:iCs/>
        </w:rPr>
        <w:t>From Emissions Cheater To Climate Leader: VW’s Journey From Dieselgate To Embracing E-Mobility</w:t>
      </w:r>
      <w:r>
        <w:t>. Available at:</w:t>
      </w:r>
      <w:hyperlink r:id="rId17">
        <w:r w:rsidR="000A7CA6">
          <w:t xml:space="preserve"> </w:t>
        </w:r>
      </w:hyperlink>
      <w:hyperlink r:id="rId18">
        <w:r w:rsidR="000A7CA6">
          <w:rPr>
            <w:color w:val="1155CC"/>
            <w:u w:val="single"/>
          </w:rPr>
          <w:t>https://www.forbes.com/sites/georgkell/2022/12/05/from-emissions-cheater-to-climate-leader-vws-journey-from-dieselgate-to-embracing-e-mobility/</w:t>
        </w:r>
      </w:hyperlink>
      <w:r>
        <w:t xml:space="preserve"> (Accessed: 13 November 2025). </w:t>
      </w:r>
    </w:p>
    <w:p w14:paraId="0C1F9589" w14:textId="77777777" w:rsidR="000A7CA6" w:rsidRDefault="000761AB">
      <w:pPr>
        <w:spacing w:before="240" w:after="240"/>
      </w:pPr>
      <w:r>
        <w:t xml:space="preserve">Koch, T. and Denner, N. (2025) ‘Different shades of green deception. Greenwashing’s adverse effects on corporate image and credibility’, </w:t>
      </w:r>
      <w:r>
        <w:rPr>
          <w:i/>
          <w:iCs/>
        </w:rPr>
        <w:t>Public Relations Review</w:t>
      </w:r>
      <w:r>
        <w:t>, 51(1), p. 102521.</w:t>
      </w:r>
    </w:p>
    <w:p w14:paraId="32B85727" w14:textId="77777777" w:rsidR="000A7CA6" w:rsidRDefault="000761AB">
      <w:pPr>
        <w:spacing w:before="240" w:after="240"/>
      </w:pPr>
      <w:r>
        <w:t xml:space="preserve">Parliament (2025) </w:t>
      </w:r>
      <w:r>
        <w:rPr>
          <w:i/>
          <w:iCs/>
        </w:rPr>
        <w:t>The UK’s plans and progress to reach net zero by 2050</w:t>
      </w:r>
      <w:r>
        <w:t>. Available at:</w:t>
      </w:r>
      <w:hyperlink r:id="rId19">
        <w:r w:rsidR="000A7CA6">
          <w:t xml:space="preserve"> </w:t>
        </w:r>
      </w:hyperlink>
      <w:hyperlink r:id="rId20">
        <w:r w:rsidR="000A7CA6">
          <w:rPr>
            <w:color w:val="1155CC"/>
            <w:u w:val="single"/>
          </w:rPr>
          <w:t>https://commonslibrary.parliament.uk/research-briefings/cbp-9888/</w:t>
        </w:r>
      </w:hyperlink>
      <w:r>
        <w:t xml:space="preserve"> (Accessed: 12 November 2025).</w:t>
      </w:r>
    </w:p>
    <w:p w14:paraId="64F4375A" w14:textId="77777777" w:rsidR="000A7CA6" w:rsidRDefault="000761AB">
      <w:pPr>
        <w:spacing w:before="240" w:after="240"/>
      </w:pPr>
      <w:r>
        <w:t xml:space="preserve">Rashid, H., Ahmed, W. and Shahid, S. (2025) ‘Sustainable Branding and Green Marketing Strategies: Engaging Eco-Conscious Consumers and Building Responsible Brand Equity Across Emerging and Developed Economies’, </w:t>
      </w:r>
      <w:r>
        <w:rPr>
          <w:i/>
          <w:iCs/>
        </w:rPr>
        <w:t>Journal of Asian Development Studies</w:t>
      </w:r>
      <w:r>
        <w:t>, 14(3), pp. 779-790.</w:t>
      </w:r>
    </w:p>
    <w:p w14:paraId="07FC5CC7" w14:textId="77777777" w:rsidR="000A7CA6" w:rsidRDefault="000761AB">
      <w:pPr>
        <w:spacing w:before="240" w:after="240"/>
      </w:pPr>
      <w:r>
        <w:t xml:space="preserve"> </w:t>
      </w:r>
    </w:p>
    <w:p w14:paraId="777FF30A" w14:textId="77777777" w:rsidR="000A7CA6" w:rsidRDefault="000A7CA6"/>
    <w:p w14:paraId="029BC20B" w14:textId="77777777" w:rsidR="000A7CA6" w:rsidRDefault="000A7CA6"/>
    <w:sectPr w:rsidR="000A7CA6">
      <w:footerReference w:type="default" r:id="rId2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D04A2" w14:textId="77777777" w:rsidR="00E24948" w:rsidRDefault="00E24948">
      <w:pPr>
        <w:spacing w:line="240" w:lineRule="auto"/>
      </w:pPr>
      <w:r>
        <w:separator/>
      </w:r>
    </w:p>
  </w:endnote>
  <w:endnote w:type="continuationSeparator" w:id="0">
    <w:p w14:paraId="1C1F8ACB" w14:textId="77777777" w:rsidR="00E24948" w:rsidRDefault="00E249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1D80DCD-31E1-4BE4-A255-463127A5BF68}"/>
  </w:font>
  <w:font w:name="Cambria">
    <w:panose1 w:val="02040503050406030204"/>
    <w:charset w:val="00"/>
    <w:family w:val="roman"/>
    <w:pitch w:val="variable"/>
    <w:sig w:usb0="E00006FF" w:usb1="420024FF" w:usb2="02000000" w:usb3="00000000" w:csb0="0000019F" w:csb1="00000000"/>
    <w:embedRegular r:id="rId2" w:fontKey="{34E1C98D-F3B0-754B-970D-DD963AE5FA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05026" w14:textId="77777777" w:rsidR="000A7CA6" w:rsidRDefault="000761AB">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274C65">
      <w:rPr>
        <w:noProof/>
        <w:color w:val="000000"/>
        <w:sz w:val="22"/>
        <w:szCs w:val="22"/>
      </w:rPr>
      <w:t>2</w:t>
    </w:r>
    <w:r>
      <w:rPr>
        <w:color w:val="000000"/>
        <w:sz w:val="22"/>
        <w:szCs w:val="22"/>
      </w:rPr>
      <w:fldChar w:fldCharType="end"/>
    </w:r>
  </w:p>
  <w:p w14:paraId="460F7EF2" w14:textId="77777777" w:rsidR="000A7CA6" w:rsidRDefault="000A7CA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14E6B" w14:textId="77777777" w:rsidR="00E24948" w:rsidRDefault="00E24948">
      <w:pPr>
        <w:spacing w:line="240" w:lineRule="auto"/>
      </w:pPr>
      <w:r>
        <w:separator/>
      </w:r>
    </w:p>
  </w:footnote>
  <w:footnote w:type="continuationSeparator" w:id="0">
    <w:p w14:paraId="006C846E" w14:textId="77777777" w:rsidR="00E24948" w:rsidRDefault="00E249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CA6"/>
    <w:rsid w:val="000761AB"/>
    <w:rsid w:val="000A7CA6"/>
    <w:rsid w:val="00274C65"/>
    <w:rsid w:val="004E3BD6"/>
    <w:rsid w:val="00803655"/>
    <w:rsid w:val="00E24948"/>
    <w:rsid w:val="00F946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7CD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B732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B7325"/>
    <w:pPr>
      <w:spacing w:after="100"/>
    </w:pPr>
  </w:style>
  <w:style w:type="character" w:styleId="Hyperlink">
    <w:name w:val="Hyperlink"/>
    <w:basedOn w:val="DefaultParagraphFont"/>
    <w:uiPriority w:val="99"/>
    <w:unhideWhenUsed/>
    <w:rsid w:val="00BB7325"/>
    <w:rPr>
      <w:color w:val="0000FF" w:themeColor="hyperlink"/>
      <w:u w:val="single"/>
    </w:rPr>
  </w:style>
  <w:style w:type="paragraph" w:styleId="Header">
    <w:name w:val="header"/>
    <w:basedOn w:val="Normal"/>
    <w:link w:val="HeaderChar"/>
    <w:uiPriority w:val="99"/>
    <w:unhideWhenUsed/>
    <w:rsid w:val="00BB7325"/>
    <w:pPr>
      <w:tabs>
        <w:tab w:val="center" w:pos="4513"/>
        <w:tab w:val="right" w:pos="9026"/>
      </w:tabs>
      <w:spacing w:line="240" w:lineRule="auto"/>
    </w:pPr>
  </w:style>
  <w:style w:type="character" w:customStyle="1" w:styleId="HeaderChar">
    <w:name w:val="Header Char"/>
    <w:basedOn w:val="DefaultParagraphFont"/>
    <w:link w:val="Header"/>
    <w:uiPriority w:val="99"/>
    <w:rsid w:val="00BB7325"/>
  </w:style>
  <w:style w:type="paragraph" w:styleId="Footer">
    <w:name w:val="footer"/>
    <w:basedOn w:val="Normal"/>
    <w:link w:val="FooterChar"/>
    <w:uiPriority w:val="99"/>
    <w:unhideWhenUsed/>
    <w:rsid w:val="00BB7325"/>
    <w:pPr>
      <w:tabs>
        <w:tab w:val="center" w:pos="4513"/>
        <w:tab w:val="right" w:pos="9026"/>
      </w:tabs>
      <w:spacing w:line="240" w:lineRule="auto"/>
    </w:pPr>
  </w:style>
  <w:style w:type="character" w:customStyle="1" w:styleId="FooterChar">
    <w:name w:val="Footer Char"/>
    <w:basedOn w:val="DefaultParagraphFont"/>
    <w:link w:val="Footer"/>
    <w:uiPriority w:val="99"/>
    <w:rsid w:val="00BB7325"/>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image" Target="media/image7.png" /><Relationship Id="rId18" Type="http://schemas.openxmlformats.org/officeDocument/2006/relationships/hyperlink" Target="https://www.forbes.com/sites/georgkell/2022/12/05/from-emissions-cheater-to-climate-leader-vws-journey-from-dieselgate-to-embracing-e-mobility/"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forbes.com/sites/georgkell/2022/12/05/from-emissions-cheater-to-climate-leader-vws-journey-from-dieselgate-to-embracing-e-mobility/" TargetMode="Externa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yperlink" Target="https://commonslibrary.parliament.uk/research-briefings/cbp-9888/"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commonslibrary.parliament.uk/research-briefings/cbp-9888/"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lGGfsi8wqEDHVAg5khXgm1A9YA==">CgMxLjAyDmguMWs4eXlmajV3azZxMg5oLmhyZXJ0emdwcWgwOTIOaC5ib3I1YjhtdzNvZzIyDmguaWo4Y2NpdGJ5dnlkMg1oLnl2bGFucnFnY2hiMg5oLnFtdTNhcWhjb2dyNDIOaC55b3hyYW85NXpxbmgyDmguc21leWt0bXp5b2thMg5oLjJycHR3bmR6NDg3YzIOaC5uejI0ZHV1eTY5cjY4AHIhMU1fc2ZuMFFGVkVKYlhiR0tiLUJ0aEtEeXNoeTM0akl0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874</Words>
  <Characters>6235</Characters>
  <Application>Microsoft Office Word</Application>
  <DocSecurity>0</DocSecurity>
  <Lines>51</Lines>
  <Paragraphs>14</Paragraphs>
  <ScaleCrop>false</ScaleCrop>
  <Company/>
  <LinksUpToDate>false</LinksUpToDate>
  <CharactersWithSpaces>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2025-11-13T23:58:00Z</dcterms:created>
  <dcterms:modified xsi:type="dcterms:W3CDTF">2025-11-13T23:58:00Z</dcterms:modified>
</cp:coreProperties>
</file>