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A4180" w14:textId="18573523" w:rsidR="002645EE" w:rsidRDefault="00E54181" w:rsidP="00D6248B">
      <w:pPr>
        <w:widowControl w:val="0"/>
        <w:autoSpaceDE w:val="0"/>
        <w:autoSpaceDN w:val="0"/>
        <w:spacing w:after="0" w:line="360" w:lineRule="auto"/>
        <w:outlineLvl w:val="0"/>
        <w:rPr>
          <w:rFonts w:ascii="Aptos" w:eastAsiaTheme="majorEastAsia" w:hAnsi="Aptos" w:cs="Arial"/>
          <w:b/>
          <w:color w:val="0F4761" w:themeColor="accent1" w:themeShade="BF"/>
          <w:kern w:val="0"/>
          <w:sz w:val="36"/>
          <w:szCs w:val="36"/>
          <w:lang w:bidi="en-GB"/>
          <w14:ligatures w14:val="none"/>
        </w:rPr>
      </w:pPr>
      <w:r>
        <w:rPr>
          <w:rFonts w:ascii="Aptos" w:eastAsiaTheme="majorEastAsia" w:hAnsi="Aptos" w:cs="Arial"/>
          <w:b/>
          <w:color w:val="0F4761" w:themeColor="accent1" w:themeShade="BF"/>
          <w:kern w:val="0"/>
          <w:sz w:val="36"/>
          <w:szCs w:val="36"/>
          <w:lang w:bidi="en-GB"/>
          <w14:ligatures w14:val="none"/>
        </w:rPr>
        <w:t>S</w:t>
      </w:r>
      <w:r w:rsidR="00F45BC2">
        <w:rPr>
          <w:rFonts w:ascii="Aptos" w:eastAsiaTheme="majorEastAsia" w:hAnsi="Aptos" w:cs="Arial"/>
          <w:b/>
          <w:color w:val="0F4761" w:themeColor="accent1" w:themeShade="BF"/>
          <w:kern w:val="0"/>
          <w:sz w:val="36"/>
          <w:szCs w:val="36"/>
          <w:lang w:bidi="en-GB"/>
          <w14:ligatures w14:val="none"/>
        </w:rPr>
        <w:t>hamail</w:t>
      </w:r>
      <w:r w:rsidR="002614C1">
        <w:rPr>
          <w:rFonts w:ascii="Aptos" w:eastAsiaTheme="majorEastAsia" w:hAnsi="Aptos" w:cs="Arial"/>
          <w:b/>
          <w:color w:val="0F4761" w:themeColor="accent1" w:themeShade="BF"/>
          <w:kern w:val="0"/>
          <w:sz w:val="36"/>
          <w:szCs w:val="36"/>
          <w:lang w:bidi="en-GB"/>
          <w14:ligatures w14:val="none"/>
        </w:rPr>
        <w:t>a</w:t>
      </w:r>
      <w:r w:rsidR="00727135">
        <w:rPr>
          <w:rFonts w:ascii="Aptos" w:eastAsiaTheme="majorEastAsia" w:hAnsi="Aptos" w:cs="Arial"/>
          <w:b/>
          <w:color w:val="0F4761" w:themeColor="accent1" w:themeShade="BF"/>
          <w:kern w:val="0"/>
          <w:sz w:val="36"/>
          <w:szCs w:val="36"/>
          <w:lang w:bidi="en-GB"/>
          <w14:ligatures w14:val="none"/>
        </w:rPr>
        <w:t xml:space="preserve"> </w:t>
      </w:r>
      <w:r w:rsidR="00B54816">
        <w:rPr>
          <w:rFonts w:ascii="Aptos" w:eastAsiaTheme="majorEastAsia" w:hAnsi="Aptos" w:cs="Arial"/>
          <w:b/>
          <w:color w:val="0F4761" w:themeColor="accent1" w:themeShade="BF"/>
          <w:kern w:val="0"/>
          <w:sz w:val="36"/>
          <w:szCs w:val="36"/>
          <w:lang w:bidi="en-GB"/>
          <w14:ligatures w14:val="none"/>
        </w:rPr>
        <w:t>Sakhawat</w:t>
      </w:r>
    </w:p>
    <w:p w14:paraId="22562935" w14:textId="0A18A5B3" w:rsidR="002645EE" w:rsidRDefault="009D237A" w:rsidP="00D6248B">
      <w:pPr>
        <w:widowControl w:val="0"/>
        <w:autoSpaceDE w:val="0"/>
        <w:autoSpaceDN w:val="0"/>
        <w:spacing w:after="0" w:line="360" w:lineRule="auto"/>
        <w:outlineLvl w:val="0"/>
        <w:rPr>
          <w:rFonts w:ascii="Aptos" w:eastAsiaTheme="majorEastAsia" w:hAnsi="Aptos" w:cs="Arial"/>
          <w:b/>
          <w:color w:val="0F4761" w:themeColor="accent1" w:themeShade="BF"/>
          <w:kern w:val="0"/>
          <w:sz w:val="36"/>
          <w:szCs w:val="36"/>
          <w:lang w:bidi="en-GB"/>
          <w14:ligatures w14:val="none"/>
        </w:rPr>
      </w:pPr>
      <w:r>
        <w:rPr>
          <w:rFonts w:ascii="Aptos" w:eastAsiaTheme="majorEastAsia" w:hAnsi="Aptos" w:cs="Arial"/>
          <w:b/>
          <w:color w:val="0F4761" w:themeColor="accent1" w:themeShade="BF"/>
          <w:kern w:val="0"/>
          <w:sz w:val="36"/>
          <w:szCs w:val="36"/>
          <w:lang w:bidi="en-GB"/>
          <w14:ligatures w14:val="none"/>
        </w:rPr>
        <w:t xml:space="preserve">Student </w:t>
      </w:r>
      <w:r w:rsidR="00830354">
        <w:rPr>
          <w:rFonts w:ascii="Aptos" w:eastAsiaTheme="majorEastAsia" w:hAnsi="Aptos" w:cs="Arial"/>
          <w:b/>
          <w:color w:val="0F4761" w:themeColor="accent1" w:themeShade="BF"/>
          <w:kern w:val="0"/>
          <w:sz w:val="36"/>
          <w:szCs w:val="36"/>
          <w:lang w:bidi="en-GB"/>
          <w14:ligatures w14:val="none"/>
        </w:rPr>
        <w:t>Id</w:t>
      </w:r>
      <w:r w:rsidR="00574064">
        <w:rPr>
          <w:rFonts w:ascii="Aptos" w:eastAsiaTheme="majorEastAsia" w:hAnsi="Aptos" w:cs="Arial"/>
          <w:b/>
          <w:color w:val="0F4761" w:themeColor="accent1" w:themeShade="BF"/>
          <w:kern w:val="0"/>
          <w:sz w:val="36"/>
          <w:szCs w:val="36"/>
          <w:lang w:bidi="en-GB"/>
          <w14:ligatures w14:val="none"/>
        </w:rPr>
        <w:t>: 2309140</w:t>
      </w:r>
    </w:p>
    <w:p w14:paraId="300A61A2" w14:textId="77777777" w:rsidR="002645EE" w:rsidRDefault="002645EE" w:rsidP="00D6248B">
      <w:pPr>
        <w:widowControl w:val="0"/>
        <w:autoSpaceDE w:val="0"/>
        <w:autoSpaceDN w:val="0"/>
        <w:spacing w:after="0" w:line="360" w:lineRule="auto"/>
        <w:outlineLvl w:val="0"/>
        <w:rPr>
          <w:rFonts w:ascii="Aptos" w:eastAsiaTheme="majorEastAsia" w:hAnsi="Aptos" w:cs="Arial"/>
          <w:b/>
          <w:color w:val="0F4761" w:themeColor="accent1" w:themeShade="BF"/>
          <w:kern w:val="0"/>
          <w:sz w:val="36"/>
          <w:szCs w:val="36"/>
          <w:lang w:bidi="en-GB"/>
          <w14:ligatures w14:val="none"/>
        </w:rPr>
      </w:pPr>
    </w:p>
    <w:p w14:paraId="7B6A7D0A" w14:textId="5E77ABE5" w:rsidR="00D6248B" w:rsidRPr="00D6248B" w:rsidRDefault="00D6248B" w:rsidP="00D6248B">
      <w:pPr>
        <w:widowControl w:val="0"/>
        <w:autoSpaceDE w:val="0"/>
        <w:autoSpaceDN w:val="0"/>
        <w:spacing w:after="0" w:line="360" w:lineRule="auto"/>
        <w:outlineLvl w:val="0"/>
        <w:rPr>
          <w:rFonts w:ascii="Arial" w:eastAsia="Calibri Light" w:hAnsi="Arial" w:cs="Arial"/>
          <w:b/>
          <w:kern w:val="0"/>
          <w:sz w:val="22"/>
          <w:szCs w:val="22"/>
          <w:lang w:bidi="en-GB"/>
          <w14:ligatures w14:val="none"/>
        </w:rPr>
      </w:pPr>
      <w:r w:rsidRPr="00D6248B">
        <w:rPr>
          <w:rFonts w:ascii="Aptos" w:eastAsiaTheme="majorEastAsia" w:hAnsi="Aptos" w:cs="Arial"/>
          <w:b/>
          <w:color w:val="0F4761" w:themeColor="accent1" w:themeShade="BF"/>
          <w:kern w:val="0"/>
          <w:sz w:val="36"/>
          <w:szCs w:val="36"/>
          <w:lang w:bidi="en-GB"/>
          <w14:ligatures w14:val="none"/>
        </w:rPr>
        <w:t>CHAPTER 4 – Findings and Discussion</w:t>
      </w:r>
      <w:r w:rsidRPr="00D6248B">
        <w:rPr>
          <w:rFonts w:ascii="Arial" w:eastAsia="Calibri Light" w:hAnsi="Arial" w:cs="Arial"/>
          <w:b/>
          <w:kern w:val="0"/>
          <w:sz w:val="22"/>
          <w:szCs w:val="22"/>
          <w:lang w:bidi="en-GB"/>
          <w14:ligatures w14:val="none"/>
        </w:rPr>
        <w:t xml:space="preserve"> </w:t>
      </w:r>
    </w:p>
    <w:p w14:paraId="3F4BDDE5" w14:textId="77777777" w:rsidR="00D6248B" w:rsidRPr="00D6248B" w:rsidRDefault="00D6248B" w:rsidP="00D6248B">
      <w:pPr>
        <w:spacing w:line="360" w:lineRule="auto"/>
        <w:jc w:val="both"/>
        <w:rPr>
          <w:rFonts w:ascii="Arial" w:hAnsi="Arial" w:cs="Arial"/>
          <w:sz w:val="22"/>
          <w:szCs w:val="22"/>
          <w:lang w:eastAsia="zh-CN"/>
        </w:rPr>
      </w:pPr>
    </w:p>
    <w:p w14:paraId="5C8C7E5E"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r w:rsidRPr="00D6248B">
        <w:rPr>
          <w:rFonts w:ascii="Arial" w:eastAsiaTheme="majorEastAsia" w:hAnsi="Arial" w:cs="Arial"/>
          <w:b/>
          <w:bCs/>
          <w:color w:val="0F4761" w:themeColor="accent1" w:themeShade="BF"/>
          <w:sz w:val="36"/>
          <w:szCs w:val="36"/>
          <w:lang w:eastAsia="zh-CN"/>
        </w:rPr>
        <w:t xml:space="preserve">4.1 – Introduction </w:t>
      </w:r>
    </w:p>
    <w:p w14:paraId="14D8D6BC"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chapter presents and discusses findings from a thematic analysis of secondary literature on Type 2 Diabetes Mellitus (T2DM) in older adults living in Birmingham. Two key themes appeared from the analysis (Braun and Clarke, 2006). The first examines the physiological mechanisms of T2DM, including insulin resistance, beta-cell dysfunction, and chronic inflammation, which contribute to disease progression (DeFronzo et al., 2015; Sinclair et al., 2020). The second explores long-term health impacts such as cardiovascular disease, neuropathy, reduced mobility, and poorer quality of life (</w:t>
      </w:r>
      <w:proofErr w:type="spellStart"/>
      <w:r w:rsidRPr="00D6248B">
        <w:rPr>
          <w:rFonts w:ascii="Arial" w:hAnsi="Arial" w:cs="Arial"/>
          <w:kern w:val="0"/>
          <w:sz w:val="22"/>
          <w:szCs w:val="22"/>
          <w14:ligatures w14:val="none"/>
        </w:rPr>
        <w:t>Rawshani</w:t>
      </w:r>
      <w:proofErr w:type="spellEnd"/>
      <w:r w:rsidRPr="00D6248B">
        <w:rPr>
          <w:rFonts w:ascii="Arial" w:hAnsi="Arial" w:cs="Arial"/>
          <w:kern w:val="0"/>
          <w:sz w:val="22"/>
          <w:szCs w:val="22"/>
          <w14:ligatures w14:val="none"/>
        </w:rPr>
        <w:t xml:space="preserve"> et al., 2018; Zheng et al., 2018). The chapter also considers healthcare policies and prevention strategies that support diabetes management in older adults.</w:t>
      </w:r>
    </w:p>
    <w:p w14:paraId="5DB2A41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294CFBB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9625A27"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r w:rsidRPr="00D6248B">
        <w:rPr>
          <w:rFonts w:ascii="Arial" w:eastAsiaTheme="majorEastAsia" w:hAnsi="Arial" w:cs="Arial"/>
          <w:b/>
          <w:bCs/>
          <w:color w:val="0F4761" w:themeColor="accent1" w:themeShade="BF"/>
          <w:sz w:val="36"/>
          <w:szCs w:val="36"/>
          <w:lang w:eastAsia="zh-CN"/>
        </w:rPr>
        <w:t xml:space="preserve">4.2 – Thematic Analysis </w:t>
      </w:r>
    </w:p>
    <w:p w14:paraId="1D295181" w14:textId="77777777" w:rsidR="00D6248B" w:rsidRPr="00D6248B" w:rsidRDefault="00D6248B"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55287257"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r w:rsidRPr="00D6248B">
        <w:rPr>
          <w:rFonts w:ascii="Arial" w:eastAsiaTheme="majorEastAsia" w:hAnsi="Arial" w:cs="Arial"/>
          <w:b/>
          <w:bCs/>
          <w:color w:val="0F4761" w:themeColor="accent1" w:themeShade="BF"/>
          <w:sz w:val="36"/>
          <w:szCs w:val="36"/>
          <w:lang w:eastAsia="zh-CN"/>
        </w:rPr>
        <w:t>Definition of Thematic Analysis:</w:t>
      </w:r>
    </w:p>
    <w:p w14:paraId="0BB7617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This chapter presents the findings and discussion derived from the thematic analysis of secondary literature relating to Type 2 Diabetes Mellitus (T2DM) in older adults living in Birmingham. The chapter explores the key physiological mechanisms associated with T2DM and evaluates the long-term health impacts experienced by older adults. A thematic approach </w:t>
      </w:r>
      <w:bookmarkStart w:id="0" w:name="_Int_KbjvKLkc"/>
      <w:r w:rsidRPr="00D6248B">
        <w:rPr>
          <w:rFonts w:ascii="Arial" w:hAnsi="Arial" w:cs="Arial"/>
          <w:kern w:val="0"/>
          <w:sz w:val="22"/>
          <w:szCs w:val="22"/>
          <w14:ligatures w14:val="none"/>
        </w:rPr>
        <w:t>was used</w:t>
      </w:r>
      <w:bookmarkEnd w:id="0"/>
      <w:r w:rsidRPr="00D6248B">
        <w:rPr>
          <w:rFonts w:ascii="Arial" w:hAnsi="Arial" w:cs="Arial"/>
          <w:kern w:val="0"/>
          <w:sz w:val="22"/>
          <w:szCs w:val="22"/>
          <w14:ligatures w14:val="none"/>
        </w:rPr>
        <w:t xml:space="preserve"> to </w:t>
      </w:r>
      <w:bookmarkStart w:id="1" w:name="_Int_MNnGLd48"/>
      <w:r w:rsidRPr="00D6248B">
        <w:rPr>
          <w:rFonts w:ascii="Arial" w:hAnsi="Arial" w:cs="Arial"/>
          <w:kern w:val="0"/>
          <w:sz w:val="22"/>
          <w:szCs w:val="22"/>
          <w14:ligatures w14:val="none"/>
        </w:rPr>
        <w:t>identify</w:t>
      </w:r>
      <w:bookmarkEnd w:id="1"/>
      <w:r w:rsidRPr="00D6248B">
        <w:rPr>
          <w:rFonts w:ascii="Arial" w:hAnsi="Arial" w:cs="Arial"/>
          <w:kern w:val="0"/>
          <w:sz w:val="22"/>
          <w:szCs w:val="22"/>
          <w14:ligatures w14:val="none"/>
        </w:rPr>
        <w:t xml:space="preserve"> recurring patterns across the selected studies, allowing the findings to be organised into two central themes (Braun and Clarke, 2006). Theme One focuses on the physiological mechanisms of T2DM, including insulin resistance, beta-cell dysfunction, and chronic inflammation, which </w:t>
      </w:r>
      <w:bookmarkStart w:id="2" w:name="_Int_fHu2RKnA"/>
      <w:r w:rsidRPr="00D6248B">
        <w:rPr>
          <w:rFonts w:ascii="Arial" w:hAnsi="Arial" w:cs="Arial"/>
          <w:kern w:val="0"/>
          <w:sz w:val="22"/>
          <w:szCs w:val="22"/>
          <w14:ligatures w14:val="none"/>
        </w:rPr>
        <w:t>are recognised</w:t>
      </w:r>
      <w:bookmarkEnd w:id="2"/>
      <w:r w:rsidRPr="00D6248B">
        <w:rPr>
          <w:rFonts w:ascii="Arial" w:hAnsi="Arial" w:cs="Arial"/>
          <w:kern w:val="0"/>
          <w:sz w:val="22"/>
          <w:szCs w:val="22"/>
          <w14:ligatures w14:val="none"/>
        </w:rPr>
        <w:t xml:space="preserve"> as major contributors to metabolic dysfunction and disease progression in older adults (Sinclair et al., 2020; DeFronzo et al., 2015). Theme Two explores the long-term health impacts of T2DM, including cardiovascular complications, neuropathy, nephropathy, reduced mobility, and decreased quality of life, all of which can significantly affect independence and increase healthcare demands among ageing populations (Zheng et al., 2018; </w:t>
      </w:r>
      <w:proofErr w:type="spellStart"/>
      <w:r w:rsidRPr="00D6248B">
        <w:rPr>
          <w:rFonts w:ascii="Arial" w:hAnsi="Arial" w:cs="Arial"/>
          <w:kern w:val="0"/>
          <w:sz w:val="22"/>
          <w:szCs w:val="22"/>
          <w14:ligatures w14:val="none"/>
        </w:rPr>
        <w:t>Rawshani</w:t>
      </w:r>
      <w:proofErr w:type="spellEnd"/>
      <w:r w:rsidRPr="00D6248B">
        <w:rPr>
          <w:rFonts w:ascii="Arial" w:hAnsi="Arial" w:cs="Arial"/>
          <w:kern w:val="0"/>
          <w:sz w:val="22"/>
          <w:szCs w:val="22"/>
          <w14:ligatures w14:val="none"/>
        </w:rPr>
        <w:t xml:space="preserve"> et al., 2018). The discussion critically evaluates current literature, compares findings across studies, and links the evidence to the research </w:t>
      </w:r>
      <w:bookmarkStart w:id="3" w:name="_Int_niNxjFx8"/>
      <w:r w:rsidRPr="00D6248B">
        <w:rPr>
          <w:rFonts w:ascii="Arial" w:hAnsi="Arial" w:cs="Arial"/>
          <w:kern w:val="0"/>
          <w:sz w:val="22"/>
          <w:szCs w:val="22"/>
          <w14:ligatures w14:val="none"/>
        </w:rPr>
        <w:t>objectives</w:t>
      </w:r>
      <w:bookmarkEnd w:id="3"/>
      <w:r w:rsidRPr="00D6248B">
        <w:rPr>
          <w:rFonts w:ascii="Arial" w:hAnsi="Arial" w:cs="Arial"/>
          <w:kern w:val="0"/>
          <w:sz w:val="22"/>
          <w:szCs w:val="22"/>
          <w14:ligatures w14:val="none"/>
        </w:rPr>
        <w:t xml:space="preserve"> and wider health and social care implications within Birmingham. Furthermore, this chapter considers the role of healthcare policies and preventative strategies in improving diabetes management and reducing long-term complications in older adults (NICE, 2022; NHS England, 2019).</w:t>
      </w:r>
    </w:p>
    <w:p w14:paraId="15225D8F" w14:textId="77777777" w:rsidR="00D6248B" w:rsidRPr="00D6248B" w:rsidRDefault="00D6248B" w:rsidP="00D6248B">
      <w:pPr>
        <w:spacing w:line="360" w:lineRule="auto"/>
        <w:jc w:val="both"/>
        <w:rPr>
          <w:rFonts w:ascii="Arial" w:hAnsi="Arial" w:cs="Arial"/>
          <w:b/>
          <w:bCs/>
          <w:sz w:val="32"/>
          <w:szCs w:val="32"/>
          <w:lang w:eastAsia="zh-CN"/>
        </w:rPr>
      </w:pPr>
    </w:p>
    <w:p w14:paraId="626BF630"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r w:rsidRPr="00D6248B">
        <w:rPr>
          <w:rFonts w:ascii="Arial" w:eastAsiaTheme="majorEastAsia" w:hAnsi="Arial" w:cs="Arial"/>
          <w:b/>
          <w:bCs/>
          <w:color w:val="0F4761" w:themeColor="accent1" w:themeShade="BF"/>
          <w:sz w:val="36"/>
          <w:szCs w:val="36"/>
          <w:lang w:eastAsia="zh-CN"/>
        </w:rPr>
        <w:t>Link to Coding/Results Table:</w:t>
      </w:r>
    </w:p>
    <w:p w14:paraId="62D074F7"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In this study, thematic analysis </w:t>
      </w:r>
      <w:bookmarkStart w:id="4" w:name="_Int_OdvgN5SB"/>
      <w:r w:rsidRPr="00D6248B">
        <w:rPr>
          <w:rFonts w:ascii="Arial" w:hAnsi="Arial" w:cs="Arial"/>
          <w:kern w:val="0"/>
          <w:sz w:val="22"/>
          <w:szCs w:val="22"/>
          <w14:ligatures w14:val="none"/>
        </w:rPr>
        <w:t>was applied</w:t>
      </w:r>
      <w:bookmarkEnd w:id="4"/>
      <w:r w:rsidRPr="00D6248B">
        <w:rPr>
          <w:rFonts w:ascii="Arial" w:hAnsi="Arial" w:cs="Arial"/>
          <w:kern w:val="0"/>
          <w:sz w:val="22"/>
          <w:szCs w:val="22"/>
          <w14:ligatures w14:val="none"/>
        </w:rPr>
        <w:t xml:space="preserve"> to the selected literature concerning Type 2 Diabetes Mellitus in older adults. A thematic coding approach </w:t>
      </w:r>
      <w:bookmarkStart w:id="5" w:name="_Int_ySGk2Vbd"/>
      <w:r w:rsidRPr="00D6248B">
        <w:rPr>
          <w:rFonts w:ascii="Arial" w:hAnsi="Arial" w:cs="Arial"/>
          <w:kern w:val="0"/>
          <w:sz w:val="22"/>
          <w:szCs w:val="22"/>
          <w14:ligatures w14:val="none"/>
        </w:rPr>
        <w:t>was adopted</w:t>
      </w:r>
      <w:bookmarkEnd w:id="5"/>
      <w:r w:rsidRPr="00D6248B">
        <w:rPr>
          <w:rFonts w:ascii="Arial" w:hAnsi="Arial" w:cs="Arial"/>
          <w:kern w:val="0"/>
          <w:sz w:val="22"/>
          <w:szCs w:val="22"/>
          <w14:ligatures w14:val="none"/>
        </w:rPr>
        <w:t xml:space="preserve"> to systematically examine recurring issues within the literature. Articles </w:t>
      </w:r>
      <w:bookmarkStart w:id="6" w:name="_Int_i3oLarb6"/>
      <w:r w:rsidRPr="00D6248B">
        <w:rPr>
          <w:rFonts w:ascii="Arial" w:hAnsi="Arial" w:cs="Arial"/>
          <w:kern w:val="0"/>
          <w:sz w:val="22"/>
          <w:szCs w:val="22"/>
          <w14:ligatures w14:val="none"/>
        </w:rPr>
        <w:t>were reviewed</w:t>
      </w:r>
      <w:bookmarkEnd w:id="6"/>
      <w:r w:rsidRPr="00D6248B">
        <w:rPr>
          <w:rFonts w:ascii="Arial" w:hAnsi="Arial" w:cs="Arial"/>
          <w:kern w:val="0"/>
          <w:sz w:val="22"/>
          <w:szCs w:val="22"/>
          <w14:ligatures w14:val="none"/>
        </w:rPr>
        <w:t xml:space="preserve"> in detail, and initial codes such as insulin resistance, beta-cell dysfunction, chronic hyperglycaemia, cardiovascular disease, neuropathy, and renal impairment were </w:t>
      </w:r>
      <w:bookmarkStart w:id="7" w:name="_Int_FDyMBdqC"/>
      <w:r w:rsidRPr="00D6248B">
        <w:rPr>
          <w:rFonts w:ascii="Arial" w:hAnsi="Arial" w:cs="Arial"/>
          <w:kern w:val="0"/>
          <w:sz w:val="22"/>
          <w:szCs w:val="22"/>
          <w14:ligatures w14:val="none"/>
        </w:rPr>
        <w:t>identified</w:t>
      </w:r>
      <w:bookmarkEnd w:id="7"/>
      <w:r w:rsidRPr="00D6248B">
        <w:rPr>
          <w:rFonts w:ascii="Arial" w:hAnsi="Arial" w:cs="Arial"/>
          <w:kern w:val="0"/>
          <w:sz w:val="22"/>
          <w:szCs w:val="22"/>
          <w14:ligatures w14:val="none"/>
        </w:rPr>
        <w:t xml:space="preserve">. These codes </w:t>
      </w:r>
      <w:bookmarkStart w:id="8" w:name="_Int_3LN19UWq"/>
      <w:r w:rsidRPr="00D6248B">
        <w:rPr>
          <w:rFonts w:ascii="Arial" w:hAnsi="Arial" w:cs="Arial"/>
          <w:kern w:val="0"/>
          <w:sz w:val="22"/>
          <w:szCs w:val="22"/>
          <w14:ligatures w14:val="none"/>
        </w:rPr>
        <w:t>were grouped</w:t>
      </w:r>
      <w:bookmarkEnd w:id="8"/>
      <w:r w:rsidRPr="00D6248B">
        <w:rPr>
          <w:rFonts w:ascii="Arial" w:hAnsi="Arial" w:cs="Arial"/>
          <w:kern w:val="0"/>
          <w:sz w:val="22"/>
          <w:szCs w:val="22"/>
          <w14:ligatures w14:val="none"/>
        </w:rPr>
        <w:t xml:space="preserve"> into broader themes using a coding spreadsheet and colour-coded categorisation process to improve analytical clarity.</w:t>
      </w:r>
    </w:p>
    <w:p w14:paraId="7224064A"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Two major themes </w:t>
      </w:r>
      <w:bookmarkStart w:id="9" w:name="_Int_6Pk9aSvf"/>
      <w:r w:rsidRPr="00D6248B">
        <w:rPr>
          <w:rFonts w:ascii="Arial" w:hAnsi="Arial" w:cs="Arial"/>
          <w:kern w:val="0"/>
          <w:sz w:val="22"/>
          <w:szCs w:val="22"/>
          <w14:ligatures w14:val="none"/>
        </w:rPr>
        <w:t>emerged</w:t>
      </w:r>
      <w:bookmarkEnd w:id="9"/>
      <w:r w:rsidRPr="00D6248B">
        <w:rPr>
          <w:rFonts w:ascii="Arial" w:hAnsi="Arial" w:cs="Arial"/>
          <w:kern w:val="0"/>
          <w:sz w:val="22"/>
          <w:szCs w:val="22"/>
          <w14:ligatures w14:val="none"/>
        </w:rPr>
        <w:t xml:space="preserve"> from the analysis. The first theme focused on the physiological mechanisms underlying T2DM in older adults, while the second theme explored the long-term health impacts associated with the condition. These themes form the basis of the discussion presented in the following sections.200 words all together.</w:t>
      </w:r>
    </w:p>
    <w:p w14:paraId="6B122790" w14:textId="77777777" w:rsidR="00D6248B" w:rsidRPr="00D6248B" w:rsidRDefault="00D6248B" w:rsidP="00D6248B">
      <w:pPr>
        <w:spacing w:line="360" w:lineRule="auto"/>
        <w:jc w:val="both"/>
        <w:rPr>
          <w:rFonts w:ascii="Arial" w:hAnsi="Arial" w:cs="Arial"/>
          <w:sz w:val="22"/>
          <w:szCs w:val="22"/>
          <w:lang w:eastAsia="zh-CN"/>
        </w:rPr>
      </w:pPr>
    </w:p>
    <w:p w14:paraId="3284A1B2"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 xml:space="preserve">4.3 – </w:t>
      </w:r>
      <w:r w:rsidRPr="00D6248B">
        <w:rPr>
          <w:rFonts w:ascii="Arial" w:eastAsiaTheme="majorEastAsia" w:hAnsi="Arial" w:cs="Arial"/>
          <w:b/>
          <w:bCs/>
          <w:color w:val="0F4761" w:themeColor="accent1" w:themeShade="BF"/>
          <w:sz w:val="36"/>
          <w:szCs w:val="36"/>
          <w:lang w:eastAsia="zh-CN"/>
        </w:rPr>
        <w:t>Theme 1 (Physiological Mechanisms of Type 2 Diabetes mellitus)</w:t>
      </w:r>
      <w:r w:rsidRPr="00D6248B">
        <w:rPr>
          <w:rFonts w:ascii="Arial" w:eastAsiaTheme="majorEastAsia" w:hAnsi="Arial" w:cs="Arial"/>
          <w:color w:val="0F4761" w:themeColor="accent1" w:themeShade="BF"/>
          <w:sz w:val="22"/>
          <w:szCs w:val="22"/>
          <w:lang w:eastAsia="zh-CN"/>
        </w:rPr>
        <w:t xml:space="preserve"> (1,150 words approx.) 60 less words</w:t>
      </w:r>
    </w:p>
    <w:p w14:paraId="253BF02C" w14:textId="77777777" w:rsidR="00D6248B" w:rsidRPr="00D6248B" w:rsidRDefault="00D6248B"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07799EE8" w14:textId="77777777" w:rsidR="00D6248B" w:rsidRPr="00D6248B" w:rsidRDefault="00D6248B" w:rsidP="00D6248B">
      <w:pPr>
        <w:keepNext/>
        <w:keepLines/>
        <w:spacing w:before="40" w:after="0" w:line="360" w:lineRule="auto"/>
        <w:jc w:val="both"/>
        <w:outlineLvl w:val="3"/>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b/>
          <w:bCs/>
          <w:color w:val="0F4761" w:themeColor="accent1" w:themeShade="BF"/>
          <w:sz w:val="32"/>
          <w:szCs w:val="32"/>
          <w:lang w:eastAsia="zh-CN"/>
        </w:rPr>
        <w:t xml:space="preserve">Definition </w:t>
      </w:r>
    </w:p>
    <w:p w14:paraId="5FD1D25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Type 2 Diabetes Mellitus (T2DM) is a long-term metabolic disorder characterised by insulin resistance, impaired insulin secretion, and chronic hyperglycaemia (Sinclair et al., 2020). Insulin is a hormone produced by pancreatic beta cells which helps regulate blood glucose levels. In individuals with T2DM, the body becomes resistant to insulin, meaning glucose cannot effectively enter cells to produce energy. As a result, glucose accumulates in the bloodstream, leading to persistent hyperglycaemia and long-term physiological damage (DeFronzo et al., 2015).</w:t>
      </w:r>
    </w:p>
    <w:p w14:paraId="0F8040C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 physiological mechanisms of T2DM refer to the biological and metabolic processes that contribute to the development and progression of the condition. These mechanisms include insulin resistance, beta-cell dysfunction, chronic inflammation, obesity-related metabolic changes, and impaired glucose regulation. In older adults, these mechanisms </w:t>
      </w:r>
      <w:bookmarkStart w:id="10" w:name="_Int_XimqqpY5"/>
      <w:r w:rsidRPr="00D6248B">
        <w:rPr>
          <w:rFonts w:ascii="Arial" w:hAnsi="Arial" w:cs="Arial"/>
          <w:kern w:val="0"/>
          <w:sz w:val="22"/>
          <w:szCs w:val="22"/>
          <w14:ligatures w14:val="none"/>
        </w:rPr>
        <w:t>are often worsened</w:t>
      </w:r>
      <w:bookmarkEnd w:id="10"/>
      <w:r w:rsidRPr="00D6248B">
        <w:rPr>
          <w:rFonts w:ascii="Arial" w:hAnsi="Arial" w:cs="Arial"/>
          <w:kern w:val="0"/>
          <w:sz w:val="22"/>
          <w:szCs w:val="22"/>
          <w14:ligatures w14:val="none"/>
        </w:rPr>
        <w:t xml:space="preserve"> by age-related physiological decline, increasing the risk of complications and long-term health problems (Reimann, 2023).</w:t>
      </w:r>
    </w:p>
    <w:p w14:paraId="464304D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141C819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Understanding the physiological mechanisms of T2DM is important because they form the foundation of disease progression and directly influence treatment strategies, patient outcomes, and health and social care needs. This theme therefore plays a significant role in addressing the research aim, which is to explore the physiological mechanisms and long-term health impacts of T2DM in older adults living in Birmingham.</w:t>
      </w:r>
    </w:p>
    <w:p w14:paraId="24A387FF" w14:textId="77777777" w:rsidR="00D6248B" w:rsidRPr="00D6248B" w:rsidRDefault="00D6248B" w:rsidP="00D6248B">
      <w:pPr>
        <w:spacing w:before="100" w:beforeAutospacing="1" w:after="100" w:afterAutospacing="1" w:line="360" w:lineRule="auto"/>
        <w:rPr>
          <w:rFonts w:ascii="Arial" w:eastAsiaTheme="majorEastAsia" w:hAnsi="Arial" w:cs="Arial"/>
          <w:b/>
          <w:bCs/>
          <w:color w:val="0F4761" w:themeColor="accent1" w:themeShade="BF"/>
          <w:sz w:val="32"/>
          <w:szCs w:val="32"/>
          <w:lang w:eastAsia="zh-CN"/>
        </w:rPr>
      </w:pPr>
    </w:p>
    <w:p w14:paraId="30A4FFD4" w14:textId="77777777" w:rsidR="00D6248B" w:rsidRPr="00D6248B" w:rsidRDefault="00D6248B" w:rsidP="00D6248B">
      <w:pPr>
        <w:spacing w:before="100" w:beforeAutospacing="1" w:after="100" w:afterAutospacing="1" w:line="360" w:lineRule="auto"/>
        <w:rPr>
          <w:rFonts w:ascii="Arial" w:eastAsiaTheme="majorEastAsia" w:hAnsi="Arial" w:cs="Arial"/>
          <w:b/>
          <w:bCs/>
          <w:color w:val="0F4761" w:themeColor="accent1" w:themeShade="BF"/>
          <w:sz w:val="32"/>
          <w:szCs w:val="32"/>
          <w:lang w:eastAsia="zh-CN"/>
        </w:rPr>
      </w:pPr>
    </w:p>
    <w:p w14:paraId="44F738B7" w14:textId="77777777" w:rsidR="00D6248B" w:rsidRPr="00D6248B" w:rsidRDefault="00D6248B" w:rsidP="00D6248B">
      <w:pPr>
        <w:spacing w:before="100" w:beforeAutospacing="1" w:after="100" w:afterAutospacing="1" w:line="360" w:lineRule="auto"/>
        <w:rPr>
          <w:rFonts w:ascii="Arial" w:hAnsi="Arial" w:cs="Arial"/>
          <w:b/>
          <w:bCs/>
          <w:sz w:val="22"/>
          <w:szCs w:val="22"/>
          <w:lang w:eastAsia="zh-CN"/>
        </w:rPr>
      </w:pPr>
      <w:r w:rsidRPr="00D6248B">
        <w:rPr>
          <w:rFonts w:ascii="Arial" w:eastAsiaTheme="majorEastAsia" w:hAnsi="Arial" w:cs="Arial"/>
          <w:b/>
          <w:bCs/>
          <w:color w:val="0F4761" w:themeColor="accent1" w:themeShade="BF"/>
          <w:sz w:val="32"/>
          <w:szCs w:val="32"/>
          <w:lang w:eastAsia="zh-CN"/>
        </w:rPr>
        <w:t>Historical/Contextual Background</w:t>
      </w:r>
      <w:r w:rsidRPr="00D6248B">
        <w:rPr>
          <w:rFonts w:ascii="Arial" w:hAnsi="Arial" w:cs="Arial"/>
          <w:b/>
          <w:bCs/>
          <w:sz w:val="22"/>
          <w:szCs w:val="22"/>
          <w:lang w:eastAsia="zh-CN"/>
        </w:rPr>
        <w:t>:</w:t>
      </w:r>
    </w:p>
    <w:p w14:paraId="5B47900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Historically, Type 2 Diabetes Mellitus (T2DM) was associated with insulin deficiency and ageing. However, advances in medical research have </w:t>
      </w:r>
      <w:bookmarkStart w:id="11" w:name="_Int_sheyqNbd"/>
      <w:r w:rsidRPr="00D6248B">
        <w:rPr>
          <w:rFonts w:ascii="Arial" w:hAnsi="Arial" w:cs="Arial"/>
          <w:kern w:val="0"/>
          <w:sz w:val="22"/>
          <w:szCs w:val="22"/>
          <w14:ligatures w14:val="none"/>
        </w:rPr>
        <w:t>demonstrated</w:t>
      </w:r>
      <w:bookmarkEnd w:id="11"/>
      <w:r w:rsidRPr="00D6248B">
        <w:rPr>
          <w:rFonts w:ascii="Arial" w:hAnsi="Arial" w:cs="Arial"/>
          <w:kern w:val="0"/>
          <w:sz w:val="22"/>
          <w:szCs w:val="22"/>
          <w14:ligatures w14:val="none"/>
        </w:rPr>
        <w:t xml:space="preserve"> that T2DM is a complex condition influenced by insulin resistance, chronic inflammation, obesity, sedentary lifestyles, and genetic factors (Cerf, 2013; </w:t>
      </w:r>
      <w:proofErr w:type="spellStart"/>
      <w:r w:rsidRPr="00D6248B">
        <w:rPr>
          <w:rFonts w:ascii="Arial" w:hAnsi="Arial" w:cs="Arial"/>
          <w:kern w:val="0"/>
          <w:sz w:val="22"/>
          <w:szCs w:val="22"/>
          <w14:ligatures w14:val="none"/>
        </w:rPr>
        <w:t>Hotamisligil</w:t>
      </w:r>
      <w:proofErr w:type="spellEnd"/>
      <w:r w:rsidRPr="00D6248B">
        <w:rPr>
          <w:rFonts w:ascii="Arial" w:hAnsi="Arial" w:cs="Arial"/>
          <w:kern w:val="0"/>
          <w:sz w:val="22"/>
          <w:szCs w:val="22"/>
          <w14:ligatures w14:val="none"/>
        </w:rPr>
        <w:t>, 2017).</w:t>
      </w:r>
    </w:p>
    <w:p w14:paraId="636C7A29"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prevalence of T2DM has increased significantly in recent decades. Diabetes UK (2023) reports that approximately 4.3 million people in the UK are living with diabetes, with T2DM accounting for around 90% of cases. Older adults are particularly vulnerable due to age-related metabolic changes, reduced physical activity, and increased obesity rates.</w:t>
      </w:r>
    </w:p>
    <w:p w14:paraId="5397642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Within Birmingham, health inequalities and socioeconomic deprivation may further increase diabetes prevalence and negatively affect disease management. Additionally, ageing contributes to reduced muscle mass and increased visceral fat, both of which impair insulin sensitivity and glucose metabolism (Reimann, 2023).</w:t>
      </w:r>
    </w:p>
    <w:p w14:paraId="71E98C78" w14:textId="77777777" w:rsidR="00D6248B" w:rsidRPr="00D6248B" w:rsidRDefault="00D6248B" w:rsidP="00D6248B">
      <w:pPr>
        <w:keepNext/>
        <w:keepLines/>
        <w:spacing w:before="40" w:after="0" w:line="360" w:lineRule="auto"/>
        <w:jc w:val="both"/>
        <w:outlineLvl w:val="3"/>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b/>
          <w:bCs/>
          <w:color w:val="0F4761" w:themeColor="accent1" w:themeShade="BF"/>
          <w:sz w:val="32"/>
          <w:szCs w:val="32"/>
          <w:lang w:eastAsia="zh-CN"/>
        </w:rPr>
        <w:t>Impact on Research Question</w:t>
      </w:r>
    </w:p>
    <w:p w14:paraId="27BEDE2B"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This theme </w:t>
      </w:r>
      <w:bookmarkStart w:id="12" w:name="_Int_G1xADH5z"/>
      <w:r w:rsidRPr="00D6248B">
        <w:rPr>
          <w:rFonts w:ascii="Arial" w:hAnsi="Arial" w:cs="Arial"/>
          <w:kern w:val="0"/>
          <w:sz w:val="22"/>
          <w:szCs w:val="22"/>
          <w14:ligatures w14:val="none"/>
        </w:rPr>
        <w:t>is linked</w:t>
      </w:r>
      <w:bookmarkEnd w:id="12"/>
      <w:r w:rsidRPr="00D6248B">
        <w:rPr>
          <w:rFonts w:ascii="Arial" w:hAnsi="Arial" w:cs="Arial"/>
          <w:kern w:val="0"/>
          <w:sz w:val="22"/>
          <w:szCs w:val="22"/>
          <w14:ligatures w14:val="none"/>
        </w:rPr>
        <w:t xml:space="preserve"> to the dissertation title and research goals because it explores the underlying physiological mechanisms responsible for the development and progression of T2DM in older adults. Understanding these mechanisms is essential for finding why older adults are more susceptible to diabetes-related complications and increased care needs.</w:t>
      </w:r>
    </w:p>
    <w:p w14:paraId="605DD3C9"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A92C0C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Objective One aimed to examine how age-related physiological changes affect glucose regulation and insulin sensitivity in older adults. The literature strongly </w:t>
      </w:r>
      <w:bookmarkStart w:id="13" w:name="_Int_Fskdu4K4"/>
      <w:r w:rsidRPr="00D6248B">
        <w:rPr>
          <w:rFonts w:ascii="Arial" w:hAnsi="Arial" w:cs="Arial"/>
          <w:kern w:val="0"/>
          <w:sz w:val="22"/>
          <w:szCs w:val="22"/>
          <w14:ligatures w14:val="none"/>
        </w:rPr>
        <w:t>demonstrates</w:t>
      </w:r>
      <w:bookmarkEnd w:id="13"/>
      <w:r w:rsidRPr="00D6248B">
        <w:rPr>
          <w:rFonts w:ascii="Arial" w:hAnsi="Arial" w:cs="Arial"/>
          <w:kern w:val="0"/>
          <w:sz w:val="22"/>
          <w:szCs w:val="22"/>
          <w14:ligatures w14:val="none"/>
        </w:rPr>
        <w:t xml:space="preserve"> that ageing contributes to reduced insulin sensitivity, increased adiposity, and impaired metabolic function (Reimann, 2023). These physiological changes increase the likelihood of chronic hyperglycaemia and disease progression.</w:t>
      </w:r>
    </w:p>
    <w:p w14:paraId="3AF973D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EDD129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Objective Two focused on analysing the key physiological characteristics of T2DM, including insulin resistance and chronic hyperglycaemia. The evidence reviewed within this theme clearly supports this </w:t>
      </w:r>
      <w:bookmarkStart w:id="14" w:name="_Int_857ru0J5"/>
      <w:r w:rsidRPr="00D6248B">
        <w:rPr>
          <w:rFonts w:ascii="Arial" w:hAnsi="Arial" w:cs="Arial"/>
          <w:kern w:val="0"/>
          <w:sz w:val="22"/>
          <w:szCs w:val="22"/>
          <w14:ligatures w14:val="none"/>
        </w:rPr>
        <w:t>objective</w:t>
      </w:r>
      <w:bookmarkEnd w:id="14"/>
      <w:r w:rsidRPr="00D6248B">
        <w:rPr>
          <w:rFonts w:ascii="Arial" w:hAnsi="Arial" w:cs="Arial"/>
          <w:kern w:val="0"/>
          <w:sz w:val="22"/>
          <w:szCs w:val="22"/>
          <w14:ligatures w14:val="none"/>
        </w:rPr>
        <w:t xml:space="preserve"> by </w:t>
      </w:r>
      <w:bookmarkStart w:id="15" w:name="_Int_XjJFAi2z"/>
      <w:r w:rsidRPr="00D6248B">
        <w:rPr>
          <w:rFonts w:ascii="Arial" w:hAnsi="Arial" w:cs="Arial"/>
          <w:kern w:val="0"/>
          <w:sz w:val="22"/>
          <w:szCs w:val="22"/>
          <w14:ligatures w14:val="none"/>
        </w:rPr>
        <w:t>demonstrating</w:t>
      </w:r>
      <w:bookmarkEnd w:id="15"/>
      <w:r w:rsidRPr="00D6248B">
        <w:rPr>
          <w:rFonts w:ascii="Arial" w:hAnsi="Arial" w:cs="Arial"/>
          <w:kern w:val="0"/>
          <w:sz w:val="22"/>
          <w:szCs w:val="22"/>
          <w14:ligatures w14:val="none"/>
        </w:rPr>
        <w:t xml:space="preserve"> how insulin resistance and beta-cell dysfunction interact to impair glucose regulation (Sinclair et al., 2020).</w:t>
      </w:r>
    </w:p>
    <w:p w14:paraId="521FC3E9"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theme is also important because understanding physiological dysfunction can help healthcare professionals develop more effective interventions and preventative strategies. Early identification of insulin resistance and metabolic dysfunction may reduce long-term complications and improve quality of life for older adults.</w:t>
      </w:r>
    </w:p>
    <w:p w14:paraId="27ABA84C" w14:textId="77777777" w:rsidR="00D6248B" w:rsidRPr="00D6248B" w:rsidRDefault="00D6248B" w:rsidP="00D6248B">
      <w:pPr>
        <w:keepNext/>
        <w:keepLines/>
        <w:spacing w:before="40" w:after="0" w:line="360" w:lineRule="auto"/>
        <w:jc w:val="both"/>
        <w:outlineLvl w:val="3"/>
        <w:rPr>
          <w:rFonts w:ascii="Arial" w:eastAsiaTheme="majorEastAsia" w:hAnsi="Arial" w:cs="Arial"/>
          <w:i/>
          <w:iCs/>
          <w:color w:val="0F4761" w:themeColor="accent1" w:themeShade="BF"/>
          <w:sz w:val="22"/>
          <w:szCs w:val="22"/>
          <w:lang w:eastAsia="zh-CN"/>
        </w:rPr>
      </w:pPr>
    </w:p>
    <w:p w14:paraId="7F643F9A" w14:textId="77777777" w:rsidR="00D6248B" w:rsidRPr="00D6248B" w:rsidRDefault="00D6248B" w:rsidP="00D6248B">
      <w:pPr>
        <w:keepNext/>
        <w:keepLines/>
        <w:spacing w:before="40" w:after="0" w:line="360" w:lineRule="auto"/>
        <w:jc w:val="both"/>
        <w:outlineLvl w:val="4"/>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b/>
          <w:bCs/>
          <w:color w:val="0F4761" w:themeColor="accent1" w:themeShade="BF"/>
          <w:sz w:val="32"/>
          <w:szCs w:val="32"/>
          <w:lang w:eastAsia="zh-CN"/>
        </w:rPr>
        <w:t>Data and Statistics:</w:t>
      </w:r>
    </w:p>
    <w:p w14:paraId="43E8E889" w14:textId="77777777" w:rsidR="00D6248B" w:rsidRPr="00D6248B" w:rsidRDefault="00D6248B" w:rsidP="00D6248B">
      <w:pPr>
        <w:spacing w:line="360" w:lineRule="auto"/>
        <w:jc w:val="both"/>
        <w:rPr>
          <w:rFonts w:ascii="Aptos" w:hAnsi="Aptos"/>
          <w:sz w:val="22"/>
          <w:szCs w:val="22"/>
          <w:lang w:eastAsia="zh-CN"/>
        </w:rPr>
      </w:pPr>
    </w:p>
    <w:p w14:paraId="592DB7B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Statistical evidence highlights the growing burden of T2DM. The International Diabetes Federation (2021) estimated that 537 million adults worldwide are living with diabetes. In the UK, prevalence is particularly high among individuals aged over 65 years (Diabetes UK, 2023).</w:t>
      </w:r>
    </w:p>
    <w:p w14:paraId="49ECFF08"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Obesity is still one of the strongest risk factors for T2DM, with overweight individuals being significantly more likely to develop the condition. Furthermore, NHS England (2019) estimates that more than one million people in the UK may have undiagnosed diabetes, increasing the risk of complications due to delayed treatment.</w:t>
      </w:r>
    </w:p>
    <w:p w14:paraId="2400A7C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While lifestyle factors play a key role, researchers increasingly recognise the influence of ageing, chronic inflammation, and biological factors on disease development (</w:t>
      </w:r>
      <w:proofErr w:type="spellStart"/>
      <w:r w:rsidRPr="00D6248B">
        <w:rPr>
          <w:rFonts w:ascii="Arial" w:hAnsi="Arial" w:cs="Arial"/>
          <w:kern w:val="0"/>
          <w:sz w:val="22"/>
          <w:szCs w:val="22"/>
          <w14:ligatures w14:val="none"/>
        </w:rPr>
        <w:t>Hotamisligil</w:t>
      </w:r>
      <w:proofErr w:type="spellEnd"/>
      <w:r w:rsidRPr="00D6248B">
        <w:rPr>
          <w:rFonts w:ascii="Arial" w:hAnsi="Arial" w:cs="Arial"/>
          <w:kern w:val="0"/>
          <w:sz w:val="22"/>
          <w:szCs w:val="22"/>
          <w14:ligatures w14:val="none"/>
        </w:rPr>
        <w:t>, 2017).</w:t>
      </w:r>
    </w:p>
    <w:p w14:paraId="483251C4" w14:textId="77777777" w:rsidR="00D6248B" w:rsidRPr="00D6248B" w:rsidRDefault="00D6248B" w:rsidP="00D6248B">
      <w:pPr>
        <w:spacing w:before="100" w:beforeAutospacing="1" w:after="100" w:afterAutospacing="1" w:line="360" w:lineRule="auto"/>
        <w:rPr>
          <w:rFonts w:ascii="Arial" w:hAnsi="Arial" w:cs="Arial"/>
          <w:sz w:val="22"/>
          <w:szCs w:val="22"/>
          <w:lang w:eastAsia="zh-CN"/>
        </w:rPr>
      </w:pPr>
    </w:p>
    <w:p w14:paraId="4D77B46E" w14:textId="77777777" w:rsidR="00D6248B" w:rsidRPr="00D6248B" w:rsidRDefault="00D6248B" w:rsidP="00D6248B">
      <w:pPr>
        <w:keepNext/>
        <w:keepLines/>
        <w:spacing w:before="40" w:after="0" w:line="360" w:lineRule="auto"/>
        <w:jc w:val="both"/>
        <w:outlineLvl w:val="3"/>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b/>
          <w:bCs/>
          <w:color w:val="0F4761" w:themeColor="accent1" w:themeShade="BF"/>
          <w:sz w:val="32"/>
          <w:szCs w:val="32"/>
          <w:lang w:eastAsia="zh-CN"/>
        </w:rPr>
        <w:t>Theories, Policies, and Legislation</w:t>
      </w:r>
    </w:p>
    <w:p w14:paraId="0451ACD7"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biomedical model is one of the main theoretical frameworks used to explain T2DM. This model focuses on biological dysfunction, disease pathology, and physiological abnormalities (Engel, 1977). From this perspective, T2DM develops due to impaired insulin function, pancreatic beta-cell damage, and metabolic imbalance.</w:t>
      </w:r>
    </w:p>
    <w:p w14:paraId="4C60758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2B8938B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Although the biomedical model helps explain the physiological basis of T2DM, critics argue that it overlooks social and environmental influences on health. Engel (1977) proposed the biopsychosocial model, which considers the interaction between biological, psychological, and social factors. This approach may be more </w:t>
      </w:r>
      <w:bookmarkStart w:id="16" w:name="_Int_z8RVcPog"/>
      <w:r w:rsidRPr="00D6248B">
        <w:rPr>
          <w:rFonts w:ascii="Arial" w:hAnsi="Arial" w:cs="Arial"/>
          <w:kern w:val="0"/>
          <w:sz w:val="22"/>
          <w:szCs w:val="22"/>
          <w14:ligatures w14:val="none"/>
        </w:rPr>
        <w:t>appropriate when</w:t>
      </w:r>
      <w:bookmarkEnd w:id="16"/>
      <w:r w:rsidRPr="00D6248B">
        <w:rPr>
          <w:rFonts w:ascii="Arial" w:hAnsi="Arial" w:cs="Arial"/>
          <w:kern w:val="0"/>
          <w:sz w:val="22"/>
          <w:szCs w:val="22"/>
          <w14:ligatures w14:val="none"/>
        </w:rPr>
        <w:t xml:space="preserve"> examining diabetes among older adults living in Birmingham because social deprivation, ethnicity, healthcare access, and lifestyle behaviours also influence disease outcomes.</w:t>
      </w:r>
    </w:p>
    <w:p w14:paraId="4A52D186" w14:textId="77777777" w:rsidR="00D6248B" w:rsidRPr="00D6248B" w:rsidRDefault="00D6248B" w:rsidP="00D6248B">
      <w:pPr>
        <w:spacing w:before="100" w:beforeAutospacing="1" w:after="100" w:afterAutospacing="1" w:line="360" w:lineRule="auto"/>
        <w:rPr>
          <w:rFonts w:ascii="Arial" w:hAnsi="Arial" w:cs="Arial"/>
          <w:sz w:val="22"/>
          <w:szCs w:val="22"/>
          <w:lang w:eastAsia="zh-CN"/>
        </w:rPr>
      </w:pPr>
    </w:p>
    <w:p w14:paraId="663CEF39" w14:textId="77777777" w:rsidR="00D6248B" w:rsidRPr="00D6248B" w:rsidRDefault="00D6248B" w:rsidP="00D6248B">
      <w:pPr>
        <w:keepNext/>
        <w:keepLines/>
        <w:spacing w:before="40" w:after="0" w:line="360" w:lineRule="auto"/>
        <w:jc w:val="both"/>
        <w:outlineLvl w:val="1"/>
        <w:rPr>
          <w:rFonts w:ascii="Aptos" w:eastAsiaTheme="majorEastAsia" w:hAnsi="Aptos" w:cstheme="majorBidi"/>
          <w:color w:val="0F4761" w:themeColor="accent1" w:themeShade="BF"/>
          <w:szCs w:val="26"/>
          <w:lang w:eastAsia="zh-CN"/>
        </w:rPr>
      </w:pPr>
      <w:r w:rsidRPr="00D6248B">
        <w:rPr>
          <w:rFonts w:ascii="Arial" w:eastAsia="Calibri Light" w:hAnsi="Arial" w:cs="Arial"/>
          <w:b/>
          <w:bCs/>
          <w:color w:val="0F4761" w:themeColor="accent1" w:themeShade="BF"/>
          <w:sz w:val="32"/>
          <w:szCs w:val="32"/>
          <w:lang w:eastAsia="zh-CN"/>
        </w:rPr>
        <w:t>Policy and Legislation:</w:t>
      </w:r>
    </w:p>
    <w:p w14:paraId="4AB24CFA"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Several healthcare policies and guidelines support the management of T2DM in the UK. The NHS Long Term Plan (NHS England, 2019) prioritises diabetes prevention, early diagnosis, and personalised care pathways. Similarly, NICE guidelines recommend regular blood glucose monitoring, lifestyle interventions, and individualised treatment plans for older adults with T2DM (NICE, 2022).</w:t>
      </w:r>
    </w:p>
    <w:p w14:paraId="353FE28C"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These policies aim to reduce hospital admissions, improve patient outcomes, and decrease the financial burden of diabetes-related complications on healthcare systems. However, despite these policies, inequalities in healthcare access still exist, particularly within deprived communities. Therefore, healthcare providers in Birmingham must ensure that diabetes services are inclusive, accessible, and culturally appropriate. </w:t>
      </w:r>
    </w:p>
    <w:p w14:paraId="6EE2D286" w14:textId="77777777" w:rsidR="00D6248B" w:rsidRPr="00D6248B" w:rsidRDefault="00D6248B" w:rsidP="00D6248B">
      <w:pPr>
        <w:keepNext/>
        <w:keepLines/>
        <w:spacing w:before="40" w:after="0" w:line="360" w:lineRule="auto"/>
        <w:jc w:val="both"/>
        <w:outlineLvl w:val="3"/>
        <w:rPr>
          <w:rFonts w:ascii="Arial" w:eastAsiaTheme="majorEastAsia" w:hAnsi="Arial" w:cs="Arial"/>
          <w:i/>
          <w:iCs/>
          <w:color w:val="0F4761" w:themeColor="accent1" w:themeShade="BF"/>
          <w:sz w:val="22"/>
          <w:szCs w:val="22"/>
          <w:lang w:eastAsia="zh-CN"/>
        </w:rPr>
      </w:pPr>
    </w:p>
    <w:p w14:paraId="0EB34B54"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Positive and Negative Implications:</w:t>
      </w:r>
    </w:p>
    <w:p w14:paraId="0F5D9788"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physiological mechanisms associated with T2DM have significant implications for both individuals and healthcare systems. One major implication is the increased risk of long-term complications resulting from persistent hyperglycaemia. Poor glucose regulation can damage blood vessels, nerves, kidneys, and the cardiovascular system, leading to severe health problems and reduced life expectancy (Zheng et al., 2018).</w:t>
      </w:r>
    </w:p>
    <w:p w14:paraId="148AF0DC"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3146E118"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Another implication is the increasing demand placed on health and social care services. Older adults with T2DM often require ongoing monitoring, medication management, dietary support, and assistance with mobility or daily activities. This creates additional financial and workforce pressures for local healthcare services within Birmingham.</w:t>
      </w:r>
    </w:p>
    <w:p w14:paraId="07361FE7"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42728DA6"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There are also positive implications associated with increased understanding of physiological mechanisms. Advancements in medical research have improved diabetes treatments, early screening programmes, and preventative healthcare initiatives. Better understanding of insulin resistance and inflammation has contributed to the development of medications that target multiple physiological pathways rather than focusing solely on blood glucose reduction.</w:t>
      </w:r>
    </w:p>
    <w:p w14:paraId="3FB1040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4F3670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However, some negative implications remain. Many older adults struggle to maintain lifestyle changes due to mobility limitations, cognitive decline, or financial barriers. Additionally, delayed diagnosis and health inequalities may worsen disease outcomes among vulnerable populations.</w:t>
      </w:r>
    </w:p>
    <w:p w14:paraId="08C3D75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5C2860F2" w14:textId="77777777" w:rsidR="00D6248B" w:rsidRPr="00D6248B" w:rsidRDefault="00D6248B" w:rsidP="00D6248B">
      <w:pPr>
        <w:keepNext/>
        <w:keepLines/>
        <w:spacing w:before="40" w:after="0" w:line="360" w:lineRule="auto"/>
        <w:jc w:val="both"/>
        <w:outlineLvl w:val="3"/>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b/>
          <w:bCs/>
          <w:color w:val="0F4761" w:themeColor="accent1" w:themeShade="BF"/>
          <w:sz w:val="32"/>
          <w:szCs w:val="32"/>
          <w:lang w:eastAsia="zh-CN"/>
        </w:rPr>
        <w:t>Examples from Your Articles</w:t>
      </w:r>
    </w:p>
    <w:p w14:paraId="141BFCEF" w14:textId="77777777" w:rsidR="00D6248B" w:rsidRPr="00D6248B" w:rsidRDefault="00D6248B" w:rsidP="00D6248B">
      <w:pPr>
        <w:spacing w:line="360" w:lineRule="auto"/>
        <w:jc w:val="both"/>
        <w:rPr>
          <w:rFonts w:ascii="Aptos" w:hAnsi="Aptos"/>
          <w:sz w:val="22"/>
          <w:szCs w:val="22"/>
          <w:lang w:eastAsia="zh-CN"/>
        </w:rPr>
      </w:pPr>
    </w:p>
    <w:p w14:paraId="10C30836"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Several studies strongly support this theme. Reimann (2023) found that age-related reductions in muscle mass and increases in body fat significantly impair insulin sensitivity, increasing the risk of T2DM among older adults.</w:t>
      </w:r>
    </w:p>
    <w:p w14:paraId="251EB99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Similarly, Sinclair et al. (2020) identified insulin resistance and chronic hyperglycaemia as key physiological characteristics of T2DM and highlighted the challenges of diagnosing diabetes in older populations.</w:t>
      </w:r>
    </w:p>
    <w:p w14:paraId="26C3862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DeFronzo et al. (2015) concluded that insulin resistance and beta-cell dysfunction are interconnected processes that gradually worsen over time. The authors emphasised the importance of early intervention to delay disease progression.</w:t>
      </w:r>
    </w:p>
    <w:p w14:paraId="35FDDF3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Together, these studies demonstrate that ageing, metabolic dysfunction, and impaired insulin action are central mechanisms underlying T2DM.</w:t>
      </w:r>
    </w:p>
    <w:p w14:paraId="6768BCB5" w14:textId="77777777" w:rsidR="00D6248B" w:rsidRPr="00D6248B" w:rsidRDefault="00D6248B" w:rsidP="00D6248B">
      <w:pPr>
        <w:spacing w:line="360" w:lineRule="auto"/>
        <w:jc w:val="both"/>
        <w:rPr>
          <w:rFonts w:ascii="Arial" w:hAnsi="Arial" w:cs="Arial"/>
          <w:b/>
          <w:bCs/>
          <w:sz w:val="32"/>
          <w:szCs w:val="32"/>
          <w:lang w:eastAsia="zh-CN"/>
        </w:rPr>
      </w:pPr>
    </w:p>
    <w:p w14:paraId="381C5E65" w14:textId="77777777" w:rsidR="00D6248B" w:rsidRPr="00D6248B" w:rsidRDefault="00D6248B" w:rsidP="00D6248B">
      <w:pPr>
        <w:keepNext/>
        <w:keepLines/>
        <w:spacing w:before="40" w:after="0" w:line="360" w:lineRule="auto"/>
        <w:jc w:val="both"/>
        <w:outlineLvl w:val="3"/>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i/>
          <w:iCs/>
          <w:color w:val="0F4761" w:themeColor="accent1" w:themeShade="BF"/>
          <w:sz w:val="22"/>
          <w:szCs w:val="22"/>
          <w:lang w:eastAsia="zh-CN"/>
        </w:rPr>
        <w:br/>
      </w:r>
      <w:r w:rsidRPr="00D6248B">
        <w:rPr>
          <w:rFonts w:ascii="Arial" w:eastAsiaTheme="majorEastAsia" w:hAnsi="Arial" w:cs="Arial"/>
          <w:b/>
          <w:bCs/>
          <w:color w:val="0F4761" w:themeColor="accent1" w:themeShade="BF"/>
          <w:sz w:val="32"/>
          <w:szCs w:val="32"/>
          <w:lang w:eastAsia="zh-CN"/>
        </w:rPr>
        <w:t>Connections to Other Themes</w:t>
      </w:r>
    </w:p>
    <w:p w14:paraId="142C84C2" w14:textId="37DF1357" w:rsidR="00D6248B" w:rsidRPr="0092534E" w:rsidRDefault="00D6248B" w:rsidP="0092534E">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theme links directly to Theme Two, which explores the long-term health impacts of T2DM. Insulin resistance, beta-cell dysfunction, and chronic hyperglycaemia contribute to cardiovascular disease, neuropathy, nephropathy, and reduced functional independence. Therefore, understanding these physiological mechanisms is essential for preventing complications and improving outcomes for older adults living in Birmingham</w:t>
      </w:r>
      <w:r w:rsidR="00200670">
        <w:rPr>
          <w:rFonts w:ascii="Arial" w:hAnsi="Arial" w:cs="Arial"/>
          <w:kern w:val="0"/>
          <w:sz w:val="22"/>
          <w:szCs w:val="22"/>
          <w14:ligatures w14:val="none"/>
        </w:rPr>
        <w:t>.</w:t>
      </w:r>
    </w:p>
    <w:p w14:paraId="0AEDC738"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4.4 – Theme 2 (Long-Term Health Impact of Type 2 Diabetes Mellitus)</w:t>
      </w:r>
      <w:r w:rsidRPr="00D6248B">
        <w:rPr>
          <w:rFonts w:ascii="Arial" w:eastAsiaTheme="majorEastAsia" w:hAnsi="Arial" w:cs="Arial"/>
          <w:color w:val="0F4761" w:themeColor="accent1" w:themeShade="BF"/>
          <w:sz w:val="22"/>
          <w:szCs w:val="22"/>
          <w:lang w:eastAsia="zh-CN"/>
        </w:rPr>
        <w:t xml:space="preserve"> </w:t>
      </w:r>
    </w:p>
    <w:p w14:paraId="5F00606C" w14:textId="77777777" w:rsidR="00D6248B" w:rsidRPr="00D6248B" w:rsidRDefault="00D6248B"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2C7FE81A" w14:textId="77777777" w:rsidR="00D6248B" w:rsidRPr="00D6248B" w:rsidRDefault="00D6248B" w:rsidP="00D6248B">
      <w:pPr>
        <w:keepNext/>
        <w:keepLines/>
        <w:spacing w:before="40" w:after="0" w:line="360" w:lineRule="auto"/>
        <w:jc w:val="both"/>
        <w:outlineLvl w:val="3"/>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b/>
          <w:bCs/>
          <w:color w:val="0F4761" w:themeColor="accent1" w:themeShade="BF"/>
          <w:sz w:val="32"/>
          <w:szCs w:val="32"/>
          <w:lang w:eastAsia="zh-CN"/>
        </w:rPr>
        <w:t>Definition of theme</w:t>
      </w:r>
    </w:p>
    <w:p w14:paraId="41F7F14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long-term health impacts of Type 2 Diabetes Mellitus (T2DM) refer to the chronic physical, psychological, and social complications that develop due to prolonged hyperglycaemia and metabolic dysfunction. T2DM is associated with progressive damage to major organs and body systems, including the cardiovascular system, kidneys, nerves, and eyes (Zheng et al., 2018). These complications can significantly reduce quality of life, increase dependency, and contribute to premature mortality among older adults.</w:t>
      </w:r>
    </w:p>
    <w:p w14:paraId="5FEF3336" w14:textId="77777777" w:rsidR="00D6248B" w:rsidRPr="00D6248B" w:rsidRDefault="00D6248B" w:rsidP="00D6248B">
      <w:pPr>
        <w:spacing w:before="100" w:beforeAutospacing="1" w:after="100" w:afterAutospacing="1" w:line="360" w:lineRule="auto"/>
        <w:ind w:left="360"/>
        <w:rPr>
          <w:rFonts w:ascii="Arial" w:hAnsi="Arial" w:cs="Arial"/>
          <w:kern w:val="0"/>
          <w:sz w:val="22"/>
          <w:szCs w:val="22"/>
          <w14:ligatures w14:val="none"/>
        </w:rPr>
      </w:pPr>
    </w:p>
    <w:p w14:paraId="768C8E5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Long-term complications are commonly divided into microvascular and microvascular complications. Microvascular complications include neuropathy, nephropathy, and retinopathy, while microvascular complications include cardiovascular disease, stroke, and peripheral vascular disease (Stratton et al., 2000). Older adults are particularly vulnerable to these complications because ageing itself is associated with reduced organ function, weakened immunity, and increased frailty.</w:t>
      </w:r>
    </w:p>
    <w:p w14:paraId="093D4C6B" w14:textId="77777777" w:rsidR="00D6248B" w:rsidRPr="00D6248B" w:rsidRDefault="00D6248B" w:rsidP="00D6248B">
      <w:pPr>
        <w:spacing w:before="100" w:beforeAutospacing="1" w:after="100" w:afterAutospacing="1" w:line="360" w:lineRule="auto"/>
        <w:ind w:left="360"/>
        <w:rPr>
          <w:rFonts w:ascii="Arial" w:hAnsi="Arial" w:cs="Arial"/>
          <w:kern w:val="0"/>
          <w:sz w:val="22"/>
          <w:szCs w:val="22"/>
          <w14:ligatures w14:val="none"/>
        </w:rPr>
      </w:pPr>
    </w:p>
    <w:p w14:paraId="0FA949D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theme is important because it explores how the long-term consequences of T2DM affect older adults living in Birmingham, particularly in relation to independence, healthcare needs, and quality of life. Understanding these complications is essential for improving prevention strategies, healthcare interventions, and long-term patient outcomes.</w:t>
      </w:r>
    </w:p>
    <w:p w14:paraId="6C817917" w14:textId="77777777" w:rsidR="00D6248B" w:rsidRPr="00D6248B" w:rsidRDefault="00D6248B" w:rsidP="00D6248B">
      <w:pPr>
        <w:spacing w:before="100" w:beforeAutospacing="1" w:after="100" w:afterAutospacing="1" w:line="360" w:lineRule="auto"/>
        <w:rPr>
          <w:rFonts w:ascii="Arial" w:hAnsi="Arial" w:cs="Arial"/>
          <w:sz w:val="22"/>
          <w:szCs w:val="22"/>
          <w:lang w:eastAsia="zh-CN"/>
        </w:rPr>
      </w:pPr>
    </w:p>
    <w:p w14:paraId="3E0F60F7"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Historical/Contextual Background:</w:t>
      </w:r>
    </w:p>
    <w:p w14:paraId="6F07B613"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Historically, diabetes management focused mainly on controlling blood glucose levels. However, research has since shown that poorly managed T2DM can lead to serious long-term complications affecting multiple organs and body systems (</w:t>
      </w:r>
      <w:proofErr w:type="spellStart"/>
      <w:r w:rsidRPr="00D6248B">
        <w:rPr>
          <w:rFonts w:ascii="Arial" w:hAnsi="Arial" w:cs="Arial"/>
          <w:kern w:val="0"/>
          <w:sz w:val="22"/>
          <w:szCs w:val="22"/>
          <w14:ligatures w14:val="none"/>
        </w:rPr>
        <w:t>Rawshani</w:t>
      </w:r>
      <w:proofErr w:type="spellEnd"/>
      <w:r w:rsidRPr="00D6248B">
        <w:rPr>
          <w:rFonts w:ascii="Arial" w:hAnsi="Arial" w:cs="Arial"/>
          <w:kern w:val="0"/>
          <w:sz w:val="22"/>
          <w:szCs w:val="22"/>
          <w14:ligatures w14:val="none"/>
        </w:rPr>
        <w:t xml:space="preserve"> et al., 2018). Consequently, healthcare services now place greater emphasis on prevention, early intervention, and complication management.</w:t>
      </w:r>
    </w:p>
    <w:p w14:paraId="15E0E8A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According to the World Health Organization (2022), diabetes is a leading cause of cardiovascular disease, kidney failure, blindness, and lower limb amputations worldwide. In the UK, diabetes-related complications continue to place significant pressure on NHS services, particularly among older adults (NHS Digital, 2022).</w:t>
      </w:r>
    </w:p>
    <w:p w14:paraId="7049D17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Older adults are at increased risk because ageing naturally reduces organ function and resilience. Furthermore, factors such as obesity, physical inactivity, poor diet, and delayed diagnosis can accelerate disease progression and increase the likelihood of complications (Diabetes UK, 2023). Although advances in treatment and monitoring have improved outcomes, diabetes complications remain a major public health concern.</w:t>
      </w:r>
    </w:p>
    <w:p w14:paraId="5AF4AB2C"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7757AFFE"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Relevance to Title/Research Question:</w:t>
      </w:r>
    </w:p>
    <w:p w14:paraId="7A078A8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theme directly addresses the dissertation aim by evaluating the long-term health impacts of T2DM among older adults living in Birmingham. It particularly supports Objective Three, which focused on assessing complications such as cardiovascular disease, neuropathy, and renal impairment and their effects on functional independence.</w:t>
      </w:r>
    </w:p>
    <w:p w14:paraId="0E5A1C1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literature demonstrates that these complications can reduce mobility, increase dependence on health and social care services, and negatively affect quality of life. The findings also support Objective Four by highlighting the need for early intervention, personalised care, and improved support services to reduce complications and improve outcomes.</w:t>
      </w:r>
    </w:p>
    <w:p w14:paraId="31F33C26" w14:textId="77777777" w:rsidR="00D6248B" w:rsidRPr="00D6248B" w:rsidRDefault="00D6248B" w:rsidP="00D6248B">
      <w:pPr>
        <w:spacing w:before="100" w:beforeAutospacing="1" w:after="100" w:afterAutospacing="1" w:line="360" w:lineRule="auto"/>
        <w:rPr>
          <w:rFonts w:ascii="Arial" w:hAnsi="Arial" w:cs="Arial"/>
          <w:b/>
          <w:bCs/>
          <w:sz w:val="22"/>
          <w:szCs w:val="22"/>
          <w:lang w:eastAsia="zh-CN"/>
        </w:rPr>
      </w:pPr>
    </w:p>
    <w:p w14:paraId="5B574955"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Data and Statistics:</w:t>
      </w:r>
    </w:p>
    <w:p w14:paraId="3EA51F5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Statistical evidence </w:t>
      </w:r>
      <w:bookmarkStart w:id="17" w:name="_Int_VgDnorVD"/>
      <w:r w:rsidRPr="00D6248B">
        <w:rPr>
          <w:rFonts w:ascii="Arial" w:hAnsi="Arial" w:cs="Arial"/>
          <w:kern w:val="0"/>
          <w:sz w:val="22"/>
          <w:szCs w:val="22"/>
          <w14:ligatures w14:val="none"/>
        </w:rPr>
        <w:t>demonstrates</w:t>
      </w:r>
      <w:bookmarkEnd w:id="17"/>
      <w:r w:rsidRPr="00D6248B">
        <w:rPr>
          <w:rFonts w:ascii="Arial" w:hAnsi="Arial" w:cs="Arial"/>
          <w:kern w:val="0"/>
          <w:sz w:val="22"/>
          <w:szCs w:val="22"/>
          <w14:ligatures w14:val="none"/>
        </w:rPr>
        <w:t xml:space="preserve"> the significant burden of T2DM complications. Diabetes UK (2023) reports that people with diabetes are </w:t>
      </w:r>
      <w:bookmarkStart w:id="18" w:name="_Int_8W4G1Ojx"/>
      <w:r w:rsidRPr="00D6248B">
        <w:rPr>
          <w:rFonts w:ascii="Arial" w:hAnsi="Arial" w:cs="Arial"/>
          <w:kern w:val="0"/>
          <w:sz w:val="22"/>
          <w:szCs w:val="22"/>
          <w14:ligatures w14:val="none"/>
        </w:rPr>
        <w:t>approximately twice</w:t>
      </w:r>
      <w:bookmarkEnd w:id="18"/>
      <w:r w:rsidRPr="00D6248B">
        <w:rPr>
          <w:rFonts w:ascii="Arial" w:hAnsi="Arial" w:cs="Arial"/>
          <w:kern w:val="0"/>
          <w:sz w:val="22"/>
          <w:szCs w:val="22"/>
          <w14:ligatures w14:val="none"/>
        </w:rPr>
        <w:t xml:space="preserve"> as likely to develop cardiovascular disease compared with those without diabetes.</w:t>
      </w:r>
    </w:p>
    <w:p w14:paraId="5FAF2D4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roofErr w:type="spellStart"/>
      <w:r w:rsidRPr="00D6248B">
        <w:rPr>
          <w:rFonts w:ascii="Arial" w:hAnsi="Arial" w:cs="Arial"/>
          <w:kern w:val="0"/>
          <w:sz w:val="22"/>
          <w:szCs w:val="22"/>
          <w14:ligatures w14:val="none"/>
        </w:rPr>
        <w:t>Rawshani</w:t>
      </w:r>
      <w:proofErr w:type="spellEnd"/>
      <w:r w:rsidRPr="00D6248B">
        <w:rPr>
          <w:rFonts w:ascii="Arial" w:hAnsi="Arial" w:cs="Arial"/>
          <w:kern w:val="0"/>
          <w:sz w:val="22"/>
          <w:szCs w:val="22"/>
          <w14:ligatures w14:val="none"/>
        </w:rPr>
        <w:t xml:space="preserve"> et al. (2018) found that poor glycaemic control was associated with increased mortality and reduced life expectancy. In addition, diabetic neuropathy affects around half of people with diabetes and is a major cause of lower limb amputations (Pop-</w:t>
      </w:r>
      <w:proofErr w:type="spellStart"/>
      <w:r w:rsidRPr="00D6248B">
        <w:rPr>
          <w:rFonts w:ascii="Arial" w:hAnsi="Arial" w:cs="Arial"/>
          <w:kern w:val="0"/>
          <w:sz w:val="22"/>
          <w:szCs w:val="22"/>
          <w14:ligatures w14:val="none"/>
        </w:rPr>
        <w:t>Busui</w:t>
      </w:r>
      <w:proofErr w:type="spellEnd"/>
      <w:r w:rsidRPr="00D6248B">
        <w:rPr>
          <w:rFonts w:ascii="Arial" w:hAnsi="Arial" w:cs="Arial"/>
          <w:kern w:val="0"/>
          <w:sz w:val="22"/>
          <w:szCs w:val="22"/>
          <w14:ligatures w14:val="none"/>
        </w:rPr>
        <w:t xml:space="preserve"> et al., 2017).</w:t>
      </w:r>
    </w:p>
    <w:p w14:paraId="5E6A0318"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Diabetes is also a leading cause of chronic kidney disease and renal failure worldwide (Thomas et al., 2015). While strict glucose control may reduce complications, some evidence suggests that intensive treatment may increase the risk of hypoglycaemia in frail older adults, highlighting the importance of personalised care (Sinclair et al., 2020).</w:t>
      </w:r>
    </w:p>
    <w:p w14:paraId="24058FEE" w14:textId="77777777" w:rsidR="00D6248B" w:rsidRPr="00D6248B" w:rsidRDefault="00D6248B" w:rsidP="00D6248B">
      <w:pPr>
        <w:spacing w:before="100" w:beforeAutospacing="1" w:after="100" w:afterAutospacing="1" w:line="360" w:lineRule="auto"/>
        <w:rPr>
          <w:rFonts w:ascii="Arial" w:hAnsi="Arial" w:cs="Arial"/>
          <w:sz w:val="22"/>
          <w:szCs w:val="22"/>
          <w:lang w:eastAsia="zh-CN"/>
        </w:rPr>
      </w:pPr>
    </w:p>
    <w:p w14:paraId="046F59A2" w14:textId="77777777" w:rsidR="00D6248B" w:rsidRPr="00D6248B" w:rsidRDefault="00D6248B" w:rsidP="00D6248B">
      <w:pPr>
        <w:keepNext/>
        <w:keepLines/>
        <w:spacing w:before="40" w:after="0" w:line="360" w:lineRule="auto"/>
        <w:jc w:val="both"/>
        <w:outlineLvl w:val="4"/>
        <w:rPr>
          <w:rFonts w:ascii="Arial" w:eastAsia="Calibri Light" w:hAnsi="Arial" w:cs="Arial"/>
          <w:b/>
          <w:bCs/>
          <w:color w:val="0F4761" w:themeColor="accent1" w:themeShade="BF"/>
          <w:sz w:val="32"/>
          <w:szCs w:val="32"/>
          <w:lang w:eastAsia="zh-CN"/>
        </w:rPr>
      </w:pPr>
      <w:r w:rsidRPr="00D6248B">
        <w:rPr>
          <w:rFonts w:ascii="Arial" w:eastAsia="Calibri Light" w:hAnsi="Arial" w:cs="Arial"/>
          <w:b/>
          <w:bCs/>
          <w:color w:val="0F4761" w:themeColor="accent1" w:themeShade="BF"/>
          <w:sz w:val="32"/>
          <w:szCs w:val="32"/>
          <w:lang w:eastAsia="zh-CN"/>
        </w:rPr>
        <w:t>Theoretical Framework:</w:t>
      </w:r>
    </w:p>
    <w:p w14:paraId="3ECE49DC" w14:textId="77777777" w:rsidR="00D6248B" w:rsidRPr="00D6248B" w:rsidRDefault="00D6248B" w:rsidP="00D6248B">
      <w:pPr>
        <w:spacing w:line="360" w:lineRule="auto"/>
        <w:jc w:val="both"/>
        <w:rPr>
          <w:rFonts w:ascii="Aptos" w:hAnsi="Aptos"/>
          <w:sz w:val="22"/>
          <w:szCs w:val="22"/>
          <w:lang w:eastAsia="zh-CN"/>
        </w:rPr>
      </w:pPr>
    </w:p>
    <w:p w14:paraId="0AF444A2" w14:textId="77777777" w:rsidR="00D6248B" w:rsidRPr="00D6248B" w:rsidRDefault="00D6248B" w:rsidP="00D6248B">
      <w:pPr>
        <w:spacing w:line="360" w:lineRule="auto"/>
        <w:jc w:val="both"/>
        <w:rPr>
          <w:rFonts w:ascii="Aptos" w:hAnsi="Aptos"/>
          <w:sz w:val="22"/>
          <w:szCs w:val="22"/>
          <w:lang w:eastAsia="zh-CN"/>
        </w:rPr>
      </w:pPr>
      <w:r w:rsidRPr="00D6248B">
        <w:rPr>
          <w:rFonts w:ascii="Aptos" w:hAnsi="Aptos"/>
          <w:noProof/>
          <w:sz w:val="22"/>
          <w:szCs w:val="22"/>
          <w:lang w:eastAsia="zh-CN"/>
        </w:rPr>
        <w:drawing>
          <wp:anchor distT="0" distB="0" distL="114300" distR="114300" simplePos="0" relativeHeight="251658242" behindDoc="0" locked="0" layoutInCell="1" allowOverlap="1" wp14:anchorId="2F3D3DDD" wp14:editId="5B7B02DA">
            <wp:simplePos x="0" y="0"/>
            <wp:positionH relativeFrom="margin">
              <wp:posOffset>67945</wp:posOffset>
            </wp:positionH>
            <wp:positionV relativeFrom="paragraph">
              <wp:posOffset>315595</wp:posOffset>
            </wp:positionV>
            <wp:extent cx="4510405" cy="2878455"/>
            <wp:effectExtent l="0" t="0" r="4445" b="0"/>
            <wp:wrapTopAndBottom/>
            <wp:docPr id="1871709153" name="Picture 1">
              <a:extLst xmlns:a="http://schemas.openxmlformats.org/drawingml/2006/main">
                <a:ext uri="{FF2B5EF4-FFF2-40B4-BE49-F238E27FC236}">
                  <a16:creationId xmlns:a16="http://schemas.microsoft.com/office/drawing/2014/main" id="{1D3FD1F3-B044-4DC5-929B-9379EBBD0C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09153" name=""/>
                    <pic:cNvPicPr/>
                  </pic:nvPicPr>
                  <pic:blipFill>
                    <a:blip r:embed="rId5"/>
                    <a:stretch>
                      <a:fillRect/>
                    </a:stretch>
                  </pic:blipFill>
                  <pic:spPr>
                    <a:xfrm>
                      <a:off x="0" y="0"/>
                      <a:ext cx="4510405" cy="2878455"/>
                    </a:xfrm>
                    <a:prstGeom prst="rect">
                      <a:avLst/>
                    </a:prstGeom>
                  </pic:spPr>
                </pic:pic>
              </a:graphicData>
            </a:graphic>
            <wp14:sizeRelH relativeFrom="margin">
              <wp14:pctWidth>0</wp14:pctWidth>
            </wp14:sizeRelH>
            <wp14:sizeRelV relativeFrom="margin">
              <wp14:pctHeight>0</wp14:pctHeight>
            </wp14:sizeRelV>
          </wp:anchor>
        </w:drawing>
      </w:r>
    </w:p>
    <w:p w14:paraId="57F9A7CF" w14:textId="77777777" w:rsidR="00D6248B" w:rsidRPr="00D6248B" w:rsidRDefault="00D6248B" w:rsidP="00D6248B">
      <w:pPr>
        <w:spacing w:line="360" w:lineRule="auto"/>
        <w:jc w:val="both"/>
        <w:rPr>
          <w:rFonts w:ascii="Aptos" w:hAnsi="Aptos"/>
          <w:sz w:val="22"/>
          <w:szCs w:val="22"/>
          <w:lang w:eastAsia="zh-CN"/>
        </w:rPr>
      </w:pPr>
    </w:p>
    <w:p w14:paraId="1FA78971" w14:textId="77777777" w:rsidR="00D6248B" w:rsidRPr="00D6248B" w:rsidRDefault="00D6248B" w:rsidP="00D6248B">
      <w:pPr>
        <w:spacing w:line="360" w:lineRule="auto"/>
        <w:jc w:val="both"/>
        <w:rPr>
          <w:rFonts w:ascii="Aptos" w:hAnsi="Aptos"/>
          <w:sz w:val="22"/>
          <w:szCs w:val="22"/>
          <w:lang w:eastAsia="zh-CN"/>
        </w:rPr>
      </w:pPr>
    </w:p>
    <w:p w14:paraId="79507456" w14:textId="77777777" w:rsidR="00D6248B" w:rsidRPr="00D6248B" w:rsidRDefault="00D6248B" w:rsidP="00D6248B">
      <w:pPr>
        <w:spacing w:line="360" w:lineRule="auto"/>
        <w:jc w:val="both"/>
        <w:rPr>
          <w:rFonts w:ascii="Aptos" w:hAnsi="Aptos"/>
          <w:sz w:val="22"/>
          <w:szCs w:val="22"/>
          <w:lang w:eastAsia="zh-CN"/>
        </w:rPr>
      </w:pPr>
    </w:p>
    <w:tbl>
      <w:tblPr>
        <w:tblStyle w:val="TableGrid"/>
        <w:tblW w:w="0" w:type="auto"/>
        <w:tblInd w:w="-147" w:type="dxa"/>
        <w:tblLook w:val="04A0" w:firstRow="1" w:lastRow="0" w:firstColumn="1" w:lastColumn="0" w:noHBand="0" w:noVBand="1"/>
      </w:tblPr>
      <w:tblGrid>
        <w:gridCol w:w="9163"/>
      </w:tblGrid>
      <w:tr w:rsidR="00D6248B" w:rsidRPr="00D6248B" w14:paraId="3D2FF231" w14:textId="77777777" w:rsidTr="00223CA2">
        <w:trPr>
          <w:trHeight w:val="902"/>
        </w:trPr>
        <w:tc>
          <w:tcPr>
            <w:tcW w:w="9163" w:type="dxa"/>
          </w:tcPr>
          <w:p w14:paraId="1E8C019A" w14:textId="77777777" w:rsidR="00D6248B" w:rsidRPr="00D6248B" w:rsidRDefault="00D6248B" w:rsidP="00D6248B">
            <w:pPr>
              <w:spacing w:before="100" w:beforeAutospacing="1" w:after="100" w:afterAutospacing="1" w:line="360" w:lineRule="auto"/>
              <w:outlineLvl w:val="0"/>
              <w:rPr>
                <w:rFonts w:ascii="Arial" w:eastAsia="Times New Roman" w:hAnsi="Arial" w:cs="Arial"/>
                <w:kern w:val="36"/>
              </w:rPr>
            </w:pPr>
            <w:r w:rsidRPr="00D6248B">
              <w:rPr>
                <w:rFonts w:ascii="Arial" w:eastAsia="Times New Roman" w:hAnsi="Arial" w:cs="Arial"/>
                <w:kern w:val="36"/>
              </w:rPr>
              <w:t>Figure: Social and contextual challenges influencing self-management in people with Type 2 Diabetes Mellitus (T2DM)</w:t>
            </w:r>
          </w:p>
          <w:p w14:paraId="7C263C3F" w14:textId="77777777" w:rsidR="00D6248B" w:rsidRPr="00D6248B" w:rsidRDefault="00D6248B" w:rsidP="00D6248B">
            <w:pPr>
              <w:spacing w:before="100" w:beforeAutospacing="1" w:after="100" w:afterAutospacing="1"/>
              <w:rPr>
                <w:rFonts w:ascii="Times New Roman" w:hAnsi="Times New Roman" w:cs="Times New Roman"/>
              </w:rPr>
            </w:pPr>
          </w:p>
          <w:p w14:paraId="61E22BC7" w14:textId="77777777" w:rsidR="00D6248B" w:rsidRPr="00D6248B" w:rsidRDefault="00D6248B" w:rsidP="00D6248B">
            <w:pPr>
              <w:spacing w:before="100" w:beforeAutospacing="1" w:after="100" w:afterAutospacing="1"/>
              <w:rPr>
                <w:rFonts w:ascii="Times New Roman" w:hAnsi="Times New Roman" w:cs="Times New Roman"/>
              </w:rPr>
            </w:pPr>
          </w:p>
          <w:p w14:paraId="3CB66AE7" w14:textId="77777777" w:rsidR="00D6248B" w:rsidRPr="00D6248B" w:rsidRDefault="00D6248B" w:rsidP="00D6248B">
            <w:pPr>
              <w:spacing w:line="360" w:lineRule="auto"/>
              <w:jc w:val="both"/>
              <w:rPr>
                <w:rFonts w:ascii="Aptos" w:hAnsi="Aptos"/>
              </w:rPr>
            </w:pPr>
          </w:p>
        </w:tc>
      </w:tr>
    </w:tbl>
    <w:p w14:paraId="736B0635" w14:textId="77777777" w:rsidR="00D6248B" w:rsidRPr="00D6248B" w:rsidRDefault="00D6248B" w:rsidP="00D6248B">
      <w:pPr>
        <w:spacing w:line="360" w:lineRule="auto"/>
        <w:jc w:val="both"/>
        <w:rPr>
          <w:rFonts w:ascii="Aptos" w:hAnsi="Aptos"/>
          <w:sz w:val="22"/>
          <w:szCs w:val="22"/>
          <w:lang w:eastAsia="zh-CN"/>
        </w:rPr>
      </w:pPr>
    </w:p>
    <w:p w14:paraId="6BDA193C" w14:textId="77777777" w:rsidR="00D6248B" w:rsidRPr="00D6248B" w:rsidRDefault="00D6248B" w:rsidP="00D6248B">
      <w:pPr>
        <w:spacing w:line="360" w:lineRule="auto"/>
        <w:jc w:val="both"/>
        <w:rPr>
          <w:rFonts w:ascii="Aptos" w:hAnsi="Aptos"/>
          <w:sz w:val="22"/>
          <w:szCs w:val="22"/>
          <w:lang w:eastAsia="zh-CN"/>
        </w:rPr>
      </w:pPr>
    </w:p>
    <w:p w14:paraId="290707E9" w14:textId="77777777" w:rsidR="00D6248B" w:rsidRPr="00D6248B" w:rsidRDefault="00D6248B" w:rsidP="00D6248B">
      <w:pPr>
        <w:spacing w:line="360" w:lineRule="auto"/>
        <w:jc w:val="both"/>
        <w:rPr>
          <w:rFonts w:ascii="Aptos" w:hAnsi="Aptos"/>
          <w:sz w:val="22"/>
          <w:szCs w:val="22"/>
          <w:lang w:eastAsia="zh-CN"/>
        </w:rPr>
      </w:pPr>
    </w:p>
    <w:p w14:paraId="0DC74BE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self-management theory emphasises the role of individuals in managing chronic conditions through healthy lifestyles, medication adherence, and blood glucose monitoring (Barlow et al., 2002). Effective self-management can reduce complications and improve quality of life.</w:t>
      </w:r>
    </w:p>
    <w:p w14:paraId="31B71FE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biopsychosocial model (Engel, 1977) is also relevant because it recognises that health outcomes are influenced by biological, psychological, and social factors. This is particularly important in Birmingham, where health inequalities and social circumstances may affect diabetes management.</w:t>
      </w:r>
    </w:p>
    <w:p w14:paraId="5950A67B"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chronic care model further supports coordinated and patient-centred care for individuals living with long-term conditions (Wagner et al., 2001).</w:t>
      </w:r>
    </w:p>
    <w:p w14:paraId="060F9F4B"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2"/>
          <w:szCs w:val="32"/>
          <w:lang w:eastAsia="zh-CN"/>
        </w:rPr>
      </w:pPr>
    </w:p>
    <w:p w14:paraId="205EB539"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32"/>
          <w:szCs w:val="32"/>
          <w:lang w:eastAsia="zh-CN"/>
        </w:rPr>
      </w:pPr>
      <w:r w:rsidRPr="00D6248B">
        <w:rPr>
          <w:rFonts w:ascii="Arial" w:eastAsia="Calibri Light" w:hAnsi="Arial" w:cs="Arial"/>
          <w:b/>
          <w:bCs/>
          <w:color w:val="0F4761" w:themeColor="accent1" w:themeShade="BF"/>
          <w:sz w:val="32"/>
          <w:szCs w:val="32"/>
          <w:lang w:eastAsia="zh-CN"/>
        </w:rPr>
        <w:t>Policy and Legislation:</w:t>
      </w:r>
    </w:p>
    <w:p w14:paraId="6C5B0F4A"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NHS Long Term Plan (NHS England, 2019) focuses on early intervention, prevention, and personalised care for chronic conditions such as T2DM. This policy aims to reduce hospital admissions and improve long-term outcomes for older adults.</w:t>
      </w:r>
    </w:p>
    <w:p w14:paraId="7C6683F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3E08A59"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NICE guidelines (2022) recommend regular monitoring for complications including cardiovascular disease, neuropathy, kidney disease, and retinopathy. These guidelines help healthcare professionals </w:t>
      </w:r>
      <w:bookmarkStart w:id="19" w:name="_Int_vxyiZ3k3"/>
      <w:r w:rsidRPr="00D6248B">
        <w:rPr>
          <w:rFonts w:ascii="Arial" w:hAnsi="Arial" w:cs="Arial"/>
          <w:kern w:val="0"/>
          <w:sz w:val="22"/>
          <w:szCs w:val="22"/>
          <w14:ligatures w14:val="none"/>
        </w:rPr>
        <w:t>identify</w:t>
      </w:r>
      <w:bookmarkEnd w:id="19"/>
      <w:r w:rsidRPr="00D6248B">
        <w:rPr>
          <w:rFonts w:ascii="Arial" w:hAnsi="Arial" w:cs="Arial"/>
          <w:kern w:val="0"/>
          <w:sz w:val="22"/>
          <w:szCs w:val="22"/>
          <w14:ligatures w14:val="none"/>
        </w:rPr>
        <w:t xml:space="preserve"> complications early and improve patient care.</w:t>
      </w:r>
    </w:p>
    <w:p w14:paraId="58282B0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1808B72B"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Equality Act 2010 is also relevant because it protects individuals with chronic conditions from discrimination and promotes equal access to healthcare services.</w:t>
      </w:r>
    </w:p>
    <w:p w14:paraId="2167A27F" w14:textId="77777777" w:rsidR="00D6248B" w:rsidRPr="00D6248B" w:rsidRDefault="00D6248B" w:rsidP="00D6248B">
      <w:pPr>
        <w:spacing w:before="100" w:beforeAutospacing="1" w:after="100" w:afterAutospacing="1" w:line="360" w:lineRule="auto"/>
        <w:ind w:left="360"/>
        <w:rPr>
          <w:rFonts w:ascii="Arial" w:hAnsi="Arial" w:cs="Arial"/>
          <w:kern w:val="0"/>
          <w:sz w:val="22"/>
          <w:szCs w:val="22"/>
          <w14:ligatures w14:val="none"/>
        </w:rPr>
      </w:pPr>
    </w:p>
    <w:p w14:paraId="1FD1AC9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Although these policies have improved diabetes care, health inequalities still exist within Birmingham. Some older adults may face barriers such as poor access to healthcare, financial difficulties, or limited health education, which can negatively affect diabetes management and long-term outcomes.</w:t>
      </w:r>
    </w:p>
    <w:p w14:paraId="49D7F20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7C6BEA93" w14:textId="77777777" w:rsidR="00D6248B" w:rsidRPr="00D6248B" w:rsidRDefault="00D6248B" w:rsidP="00D6248B">
      <w:pPr>
        <w:keepNext/>
        <w:keepLines/>
        <w:spacing w:before="40" w:after="0" w:line="360" w:lineRule="auto"/>
        <w:jc w:val="both"/>
        <w:outlineLvl w:val="4"/>
        <w:rPr>
          <w:rFonts w:ascii="Arial" w:eastAsiaTheme="majorEastAsia" w:hAnsi="Arial" w:cs="Arial"/>
          <w:b/>
          <w:bCs/>
          <w:color w:val="0F4761" w:themeColor="accent1" w:themeShade="BF"/>
          <w:sz w:val="32"/>
          <w:szCs w:val="32"/>
          <w:lang w:eastAsia="zh-CN"/>
        </w:rPr>
      </w:pPr>
      <w:r w:rsidRPr="00D6248B">
        <w:rPr>
          <w:rFonts w:ascii="Arial" w:eastAsiaTheme="majorEastAsia" w:hAnsi="Arial" w:cs="Arial"/>
          <w:b/>
          <w:bCs/>
          <w:color w:val="0F4761" w:themeColor="accent1" w:themeShade="BF"/>
          <w:sz w:val="32"/>
          <w:szCs w:val="32"/>
          <w:lang w:eastAsia="zh-CN"/>
        </w:rPr>
        <w:t>Positive and Negative Implications:</w:t>
      </w:r>
    </w:p>
    <w:p w14:paraId="5312FDEA" w14:textId="77777777" w:rsidR="00D6248B" w:rsidRPr="00D6248B" w:rsidRDefault="00D6248B" w:rsidP="00D6248B">
      <w:pPr>
        <w:spacing w:line="360" w:lineRule="auto"/>
        <w:jc w:val="both"/>
        <w:rPr>
          <w:rFonts w:ascii="Aptos" w:hAnsi="Aptos"/>
          <w:sz w:val="22"/>
          <w:szCs w:val="22"/>
          <w:lang w:eastAsia="zh-CN"/>
        </w:rPr>
      </w:pPr>
    </w:p>
    <w:p w14:paraId="1AA3E53C"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long-term impacts of T2DM have significant implications for older adults and healthcare services. Complications such as cardiovascular disease, neuropathy, and kidney impairment can reduce independence, increase frailty, and lower quality of life (Zheng et al., 2018). These complications also increase healthcare costs and place additional demands on NHS services (NHS Digital, 2022).</w:t>
      </w:r>
    </w:p>
    <w:p w14:paraId="1C9DDF8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However, improvements in medication, screening, and integrated care have enhanced diabetes management and reduced complication rates for many individuals (Diabetes UK, 2023). These developments highlight the importance of preventative healthcare and personalised treatment approaches.</w:t>
      </w:r>
    </w:p>
    <w:p w14:paraId="6F940DE2" w14:textId="77777777" w:rsidR="00D6248B" w:rsidRPr="00D6248B" w:rsidRDefault="00D6248B" w:rsidP="00D6248B">
      <w:pPr>
        <w:spacing w:line="360" w:lineRule="auto"/>
        <w:jc w:val="both"/>
        <w:rPr>
          <w:rFonts w:ascii="Aptos" w:hAnsi="Aptos"/>
          <w:sz w:val="22"/>
          <w:szCs w:val="22"/>
          <w:lang w:eastAsia="zh-CN"/>
        </w:rPr>
      </w:pPr>
    </w:p>
    <w:p w14:paraId="1DE595E2" w14:textId="77777777" w:rsidR="00D6248B" w:rsidRPr="00D6248B" w:rsidRDefault="00D6248B" w:rsidP="00D6248B">
      <w:pPr>
        <w:keepNext/>
        <w:keepLines/>
        <w:spacing w:before="40" w:after="0" w:line="360" w:lineRule="auto"/>
        <w:jc w:val="both"/>
        <w:outlineLvl w:val="3"/>
        <w:rPr>
          <w:rFonts w:ascii="Arial" w:eastAsiaTheme="majorEastAsia" w:hAnsi="Arial" w:cs="Arial"/>
          <w:b/>
          <w:iCs/>
          <w:color w:val="0F4761" w:themeColor="accent1" w:themeShade="BF"/>
          <w:sz w:val="32"/>
          <w:szCs w:val="32"/>
          <w:lang w:eastAsia="zh-CN"/>
        </w:rPr>
      </w:pPr>
      <w:r w:rsidRPr="00D6248B">
        <w:rPr>
          <w:rFonts w:ascii="Arial" w:eastAsiaTheme="majorEastAsia" w:hAnsi="Arial" w:cs="Arial"/>
          <w:b/>
          <w:iCs/>
          <w:color w:val="0F4761" w:themeColor="accent1" w:themeShade="BF"/>
          <w:sz w:val="32"/>
          <w:szCs w:val="32"/>
          <w:lang w:eastAsia="zh-CN"/>
        </w:rPr>
        <w:t>Examples from Your Articles</w:t>
      </w:r>
    </w:p>
    <w:p w14:paraId="0BB3BF78" w14:textId="77777777" w:rsidR="00D6248B" w:rsidRPr="00D6248B" w:rsidRDefault="00D6248B" w:rsidP="00D6248B">
      <w:pPr>
        <w:spacing w:line="360" w:lineRule="auto"/>
        <w:jc w:val="both"/>
        <w:rPr>
          <w:rFonts w:ascii="Aptos" w:hAnsi="Aptos"/>
          <w:sz w:val="22"/>
          <w:szCs w:val="22"/>
          <w:lang w:eastAsia="zh-CN"/>
        </w:rPr>
      </w:pPr>
    </w:p>
    <w:p w14:paraId="09C5133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687E2C45" w14:textId="77777777" w:rsidR="00D6248B" w:rsidRPr="00D6248B" w:rsidRDefault="00D6248B" w:rsidP="00D6248B">
      <w:pPr>
        <w:spacing w:line="360" w:lineRule="auto"/>
        <w:jc w:val="both"/>
        <w:rPr>
          <w:rFonts w:ascii="Aptos" w:hAnsi="Aptos"/>
          <w:sz w:val="22"/>
          <w:szCs w:val="22"/>
          <w:lang w:eastAsia="zh-CN"/>
        </w:rPr>
      </w:pPr>
    </w:p>
    <w:p w14:paraId="4B753B5E" w14:textId="77777777" w:rsidR="00D6248B" w:rsidRPr="00D6248B" w:rsidRDefault="00D6248B" w:rsidP="00D6248B">
      <w:pPr>
        <w:tabs>
          <w:tab w:val="left" w:pos="1909"/>
        </w:tabs>
        <w:spacing w:line="360" w:lineRule="auto"/>
        <w:jc w:val="both"/>
        <w:rPr>
          <w:rFonts w:ascii="Arial" w:hAnsi="Arial" w:cs="Arial"/>
          <w:sz w:val="22"/>
          <w:szCs w:val="22"/>
          <w:lang w:eastAsia="zh-CN"/>
        </w:rPr>
      </w:pPr>
      <w:r w:rsidRPr="00D6248B">
        <w:rPr>
          <w:rFonts w:ascii="Arial" w:hAnsi="Arial" w:cs="Arial"/>
          <w:sz w:val="22"/>
          <w:szCs w:val="22"/>
          <w:lang w:eastAsia="zh-CN"/>
        </w:rPr>
        <w:tab/>
      </w:r>
    </w:p>
    <w:p w14:paraId="6B7358FE" w14:textId="77777777" w:rsidR="00D6248B" w:rsidRPr="00D6248B" w:rsidRDefault="00D6248B" w:rsidP="00D6248B">
      <w:pPr>
        <w:keepNext/>
        <w:keepLines/>
        <w:spacing w:before="40" w:after="0" w:line="360" w:lineRule="auto"/>
        <w:jc w:val="both"/>
        <w:outlineLvl w:val="3"/>
        <w:rPr>
          <w:rFonts w:ascii="Arial" w:eastAsiaTheme="majorEastAsia" w:hAnsi="Arial" w:cs="Arial"/>
          <w:b/>
          <w:iCs/>
          <w:color w:val="0F4761" w:themeColor="accent1" w:themeShade="BF"/>
          <w:sz w:val="32"/>
          <w:szCs w:val="32"/>
          <w:lang w:eastAsia="zh-CN"/>
        </w:rPr>
      </w:pPr>
      <w:r w:rsidRPr="00D6248B">
        <w:rPr>
          <w:rFonts w:ascii="Arial" w:eastAsiaTheme="majorEastAsia" w:hAnsi="Arial" w:cs="Arial"/>
          <w:b/>
          <w:iCs/>
          <w:color w:val="0F4761" w:themeColor="accent1" w:themeShade="BF"/>
          <w:sz w:val="32"/>
          <w:szCs w:val="32"/>
          <w:lang w:eastAsia="zh-CN"/>
        </w:rPr>
        <w:t>Connections to Other Themes</w:t>
      </w:r>
    </w:p>
    <w:p w14:paraId="4329EBE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theme strongly connects with Theme One concerning the physiological mechanisms of T2DM. The long-term complications discussed within this section develop as a direct result of insulin resistance, chronic inflammation, and prolonged hyperglycaemia. Persistent metabolic dysfunction damages blood vessels, nerves, kidneys, and cardiovascular tissues over time.</w:t>
      </w:r>
    </w:p>
    <w:p w14:paraId="3A4CD34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Therefore, understanding the physiological basis of T2DM is essential for preventing complications and improving long-term outcomes. Both themes highlight the importance of early intervention, preventative healthcare, and personalised treatment strategies for older adults living with diabetes in Birmingham.</w:t>
      </w:r>
    </w:p>
    <w:p w14:paraId="3051AE52"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32"/>
          <w:szCs w:val="32"/>
          <w:lang w:eastAsia="zh-CN"/>
        </w:rPr>
      </w:pPr>
    </w:p>
    <w:p w14:paraId="489958BB"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32"/>
          <w:szCs w:val="32"/>
          <w:lang w:eastAsia="zh-CN"/>
        </w:rPr>
      </w:pPr>
    </w:p>
    <w:p w14:paraId="3DEDC8B6"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22"/>
          <w:szCs w:val="22"/>
          <w:lang w:eastAsia="zh-CN"/>
        </w:rPr>
      </w:pPr>
      <w:r w:rsidRPr="00D6248B">
        <w:rPr>
          <w:rFonts w:ascii="Arial" w:eastAsiaTheme="majorEastAsia" w:hAnsi="Arial" w:cs="Arial"/>
          <w:color w:val="0F4761" w:themeColor="accent1" w:themeShade="BF"/>
          <w:sz w:val="32"/>
          <w:szCs w:val="32"/>
          <w:lang w:eastAsia="zh-CN"/>
        </w:rPr>
        <w:t>4.5 – Theme 3 (Management and Support Strategies for Older Adults with Type 2 Diabetes Mellitus)</w:t>
      </w:r>
      <w:r w:rsidRPr="00D6248B">
        <w:rPr>
          <w:rFonts w:ascii="Arial" w:eastAsiaTheme="majorEastAsia" w:hAnsi="Arial" w:cs="Arial"/>
          <w:color w:val="0F4761" w:themeColor="accent1" w:themeShade="BF"/>
          <w:sz w:val="22"/>
          <w:szCs w:val="22"/>
          <w:lang w:eastAsia="zh-CN"/>
        </w:rPr>
        <w:t xml:space="preserve"> (1,150 words approx.) add 365 words </w:t>
      </w:r>
    </w:p>
    <w:p w14:paraId="6639D298" w14:textId="77777777" w:rsidR="00D6248B" w:rsidRPr="00D6248B" w:rsidRDefault="00D6248B" w:rsidP="00D6248B">
      <w:pPr>
        <w:keepNext/>
        <w:keepLines/>
        <w:spacing w:before="40" w:after="0" w:line="360" w:lineRule="auto"/>
        <w:jc w:val="both"/>
        <w:outlineLvl w:val="4"/>
        <w:rPr>
          <w:rFonts w:ascii="Arial" w:eastAsiaTheme="majorEastAsia" w:hAnsi="Arial" w:cs="Arial"/>
          <w:color w:val="0F4761" w:themeColor="accent1" w:themeShade="BF"/>
          <w:sz w:val="32"/>
          <w:szCs w:val="32"/>
          <w:lang w:eastAsia="zh-CN"/>
        </w:rPr>
      </w:pPr>
      <w:r w:rsidRPr="00D6248B">
        <w:rPr>
          <w:rFonts w:ascii="Arial" w:eastAsiaTheme="majorEastAsia" w:hAnsi="Arial" w:cs="Arial"/>
          <w:color w:val="0F4761" w:themeColor="accent1" w:themeShade="BF"/>
          <w:sz w:val="32"/>
          <w:szCs w:val="32"/>
          <w:lang w:eastAsia="zh-CN"/>
        </w:rPr>
        <w:t>Definition of the Theme</w:t>
      </w:r>
    </w:p>
    <w:p w14:paraId="53510150" w14:textId="77777777" w:rsidR="00D6248B" w:rsidRPr="00D6248B" w:rsidRDefault="00D6248B" w:rsidP="00D6248B">
      <w:pPr>
        <w:spacing w:before="100" w:beforeAutospacing="1" w:after="100" w:afterAutospacing="1" w:line="360" w:lineRule="auto"/>
        <w:jc w:val="both"/>
        <w:rPr>
          <w:rFonts w:ascii="Arial" w:hAnsi="Arial" w:cs="Arial"/>
          <w:sz w:val="22"/>
          <w:szCs w:val="22"/>
          <w:lang w:eastAsia="zh-CN"/>
        </w:rPr>
      </w:pPr>
      <w:r w:rsidRPr="00D6248B">
        <w:rPr>
          <w:rFonts w:ascii="Arial" w:hAnsi="Arial" w:cs="Arial"/>
          <w:sz w:val="22"/>
          <w:szCs w:val="22"/>
          <w:lang w:eastAsia="zh-CN"/>
        </w:rPr>
        <w:t>Management and support strategies for Type 2 Diabetes Mellitus (T2DM) refer to the medical, lifestyle, and social care interventions used to control blood glucose levels, reduce complications, and improve quality of life among individuals living with diabetes. These strategies include medication management, dietary support, physical activity, blood glucose monitoring, patient education, and integrated healthcare services (NICE, 2022).</w:t>
      </w:r>
    </w:p>
    <w:p w14:paraId="65AC29B6" w14:textId="77777777" w:rsidR="00D6248B" w:rsidRPr="00D6248B" w:rsidRDefault="00D6248B" w:rsidP="00D6248B">
      <w:pPr>
        <w:spacing w:before="100" w:beforeAutospacing="1" w:after="100" w:afterAutospacing="1" w:line="360" w:lineRule="auto"/>
        <w:jc w:val="both"/>
        <w:rPr>
          <w:rFonts w:ascii="Arial" w:hAnsi="Arial" w:cs="Arial"/>
          <w:sz w:val="22"/>
          <w:szCs w:val="22"/>
          <w:lang w:eastAsia="zh-CN"/>
        </w:rPr>
      </w:pPr>
    </w:p>
    <w:p w14:paraId="18C9082E" w14:textId="77777777" w:rsidR="00D6248B" w:rsidRPr="00D6248B" w:rsidRDefault="00D6248B" w:rsidP="00D6248B">
      <w:pPr>
        <w:spacing w:before="100" w:beforeAutospacing="1" w:after="100" w:afterAutospacing="1" w:line="360" w:lineRule="auto"/>
        <w:jc w:val="both"/>
        <w:rPr>
          <w:rFonts w:ascii="Arial" w:hAnsi="Arial" w:cs="Arial"/>
          <w:sz w:val="22"/>
          <w:szCs w:val="22"/>
          <w:lang w:eastAsia="zh-CN"/>
        </w:rPr>
      </w:pPr>
      <w:r w:rsidRPr="00D6248B">
        <w:rPr>
          <w:rFonts w:ascii="Arial" w:hAnsi="Arial" w:cs="Arial"/>
          <w:sz w:val="22"/>
          <w:szCs w:val="22"/>
          <w:lang w:eastAsia="zh-CN"/>
        </w:rPr>
        <w:t xml:space="preserve">In older adults, diabetes management often </w:t>
      </w:r>
      <w:bookmarkStart w:id="20" w:name="_Int_v6fj2qZW"/>
      <w:r w:rsidRPr="00D6248B">
        <w:rPr>
          <w:rFonts w:ascii="Arial" w:hAnsi="Arial" w:cs="Arial"/>
          <w:sz w:val="22"/>
          <w:szCs w:val="22"/>
          <w:lang w:eastAsia="zh-CN"/>
        </w:rPr>
        <w:t>requires</w:t>
      </w:r>
      <w:bookmarkEnd w:id="20"/>
      <w:r w:rsidRPr="00D6248B">
        <w:rPr>
          <w:rFonts w:ascii="Arial" w:hAnsi="Arial" w:cs="Arial"/>
          <w:sz w:val="22"/>
          <w:szCs w:val="22"/>
          <w:lang w:eastAsia="zh-CN"/>
        </w:rPr>
        <w:t xml:space="preserve"> a personalised approach because ageing is associated with frailty, multiple health conditions, and reduced functional ability. Effective support strategies are essential for preventing complications, </w:t>
      </w:r>
      <w:bookmarkStart w:id="21" w:name="_Int_Rod7ltde"/>
      <w:r w:rsidRPr="00D6248B">
        <w:rPr>
          <w:rFonts w:ascii="Arial" w:hAnsi="Arial" w:cs="Arial"/>
          <w:sz w:val="22"/>
          <w:szCs w:val="22"/>
          <w:lang w:eastAsia="zh-CN"/>
        </w:rPr>
        <w:t>maintaining</w:t>
      </w:r>
      <w:bookmarkEnd w:id="21"/>
      <w:r w:rsidRPr="00D6248B">
        <w:rPr>
          <w:rFonts w:ascii="Arial" w:hAnsi="Arial" w:cs="Arial"/>
          <w:sz w:val="22"/>
          <w:szCs w:val="22"/>
          <w:lang w:eastAsia="zh-CN"/>
        </w:rPr>
        <w:t xml:space="preserve"> independence, and improving long-term wellbeing.</w:t>
      </w:r>
    </w:p>
    <w:p w14:paraId="734B971D" w14:textId="77777777" w:rsidR="00D6248B" w:rsidRPr="00D6248B" w:rsidRDefault="00D6248B" w:rsidP="00D6248B">
      <w:pPr>
        <w:spacing w:before="100" w:beforeAutospacing="1" w:after="100" w:afterAutospacing="1" w:line="360" w:lineRule="auto"/>
        <w:rPr>
          <w:rFonts w:ascii="Arial" w:hAnsi="Arial" w:cs="Arial"/>
          <w:sz w:val="22"/>
          <w:szCs w:val="22"/>
          <w:lang w:eastAsia="zh-CN"/>
        </w:rPr>
      </w:pPr>
    </w:p>
    <w:p w14:paraId="35F11B89"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Historical/Contextual Background:</w:t>
      </w:r>
    </w:p>
    <w:p w14:paraId="7DBA351A" w14:textId="77777777" w:rsidR="00D6248B" w:rsidRPr="00D6248B" w:rsidRDefault="00D6248B" w:rsidP="00D6248B">
      <w:pPr>
        <w:spacing w:before="100" w:beforeAutospacing="1" w:after="100" w:afterAutospacing="1" w:line="360" w:lineRule="auto"/>
        <w:ind w:left="1080"/>
        <w:rPr>
          <w:rFonts w:ascii="Arial" w:hAnsi="Arial" w:cs="Arial"/>
          <w:sz w:val="22"/>
          <w:szCs w:val="22"/>
          <w:lang w:eastAsia="zh-CN"/>
        </w:rPr>
      </w:pPr>
    </w:p>
    <w:p w14:paraId="6B941A9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Historically, diabetes management focused on controlling blood glucose levels through medication. However, healthcare approaches have gradually become more holistic, recognising the importance of lifestyle modification, prevention, and patient-centred care (Diabetes UK, 2023).</w:t>
      </w:r>
    </w:p>
    <w:p w14:paraId="2BCCB4C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6740DAE3"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In the UK, the number of older adults living with T2DM has increased significantly due to population ageing, obesity, and sedentary lifestyles. As a result, healthcare providers now place greater emphasis on early intervention, self-management, and integrated care services.</w:t>
      </w:r>
    </w:p>
    <w:p w14:paraId="3E1A1C1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AB39DB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In Birmingham, diabetes management is particularly important because the city has important levels of deprivation and health inequalities. Some older adults may face barriers such as poor access to healthcare, language differences, financial difficulties, and limited health education. These factors may negatively affect diabetes management and increase complication risks.</w:t>
      </w:r>
    </w:p>
    <w:p w14:paraId="27B5E0F4" w14:textId="77777777" w:rsidR="00D6248B" w:rsidRPr="00D6248B" w:rsidRDefault="00D6248B" w:rsidP="00D6248B">
      <w:pPr>
        <w:keepNext/>
        <w:keepLines/>
        <w:spacing w:before="40" w:after="0" w:line="360" w:lineRule="auto"/>
        <w:jc w:val="both"/>
        <w:outlineLvl w:val="4"/>
        <w:rPr>
          <w:rFonts w:ascii="Arial" w:eastAsiaTheme="majorEastAsia" w:hAnsi="Arial" w:cs="Arial"/>
          <w:b/>
          <w:bCs/>
          <w:color w:val="0F4761" w:themeColor="accent1" w:themeShade="BF"/>
          <w:sz w:val="32"/>
          <w:szCs w:val="32"/>
          <w:lang w:eastAsia="zh-CN"/>
        </w:rPr>
      </w:pPr>
    </w:p>
    <w:p w14:paraId="0783ACF6"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Data and Statistics:</w:t>
      </w:r>
    </w:p>
    <w:p w14:paraId="618F154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According to Diabetes UK (2023), more than 4.3 million people in the UK are currently living with diabetes, with older adults </w:t>
      </w:r>
      <w:bookmarkStart w:id="22" w:name="_Int_muwhxOVf"/>
      <w:r w:rsidRPr="00D6248B">
        <w:rPr>
          <w:rFonts w:ascii="Arial" w:hAnsi="Arial" w:cs="Arial"/>
          <w:kern w:val="0"/>
          <w:sz w:val="22"/>
          <w:szCs w:val="22"/>
          <w14:ligatures w14:val="none"/>
        </w:rPr>
        <w:t>representing</w:t>
      </w:r>
      <w:bookmarkEnd w:id="22"/>
      <w:r w:rsidRPr="00D6248B">
        <w:rPr>
          <w:rFonts w:ascii="Arial" w:hAnsi="Arial" w:cs="Arial"/>
          <w:kern w:val="0"/>
          <w:sz w:val="22"/>
          <w:szCs w:val="22"/>
          <w14:ligatures w14:val="none"/>
        </w:rPr>
        <w:t xml:space="preserve"> one of the highest-risk groups. Research suggests that structured diabetes education programmes can significantly improve blood glucose control and reduce complications.</w:t>
      </w:r>
    </w:p>
    <w:p w14:paraId="49315D87"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5DDD81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NHS England (2019) reported that early intervention and lifestyle management programmes have reduced diabetes-related hospital admissions in some areas. However, complications </w:t>
      </w:r>
      <w:bookmarkStart w:id="23" w:name="_Int_15RlGIUu"/>
      <w:r w:rsidRPr="00D6248B">
        <w:rPr>
          <w:rFonts w:ascii="Arial" w:hAnsi="Arial" w:cs="Arial"/>
          <w:kern w:val="0"/>
          <w:sz w:val="22"/>
          <w:szCs w:val="22"/>
          <w14:ligatures w14:val="none"/>
        </w:rPr>
        <w:t>remain</w:t>
      </w:r>
      <w:bookmarkEnd w:id="23"/>
      <w:r w:rsidRPr="00D6248B">
        <w:rPr>
          <w:rFonts w:ascii="Arial" w:hAnsi="Arial" w:cs="Arial"/>
          <w:kern w:val="0"/>
          <w:sz w:val="22"/>
          <w:szCs w:val="22"/>
          <w14:ligatures w14:val="none"/>
        </w:rPr>
        <w:t xml:space="preserve"> common among older adults with poor glycaemic control.</w:t>
      </w:r>
    </w:p>
    <w:p w14:paraId="2AB8A2BC"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847C3B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Statistics also show that individuals who </w:t>
      </w:r>
      <w:bookmarkStart w:id="24" w:name="_Int_ZPpw5ofe"/>
      <w:r w:rsidRPr="00D6248B">
        <w:rPr>
          <w:rFonts w:ascii="Arial" w:hAnsi="Arial" w:cs="Arial"/>
          <w:kern w:val="0"/>
          <w:sz w:val="22"/>
          <w:szCs w:val="22"/>
          <w14:ligatures w14:val="none"/>
        </w:rPr>
        <w:t>maintain</w:t>
      </w:r>
      <w:bookmarkEnd w:id="24"/>
      <w:r w:rsidRPr="00D6248B">
        <w:rPr>
          <w:rFonts w:ascii="Arial" w:hAnsi="Arial" w:cs="Arial"/>
          <w:kern w:val="0"/>
          <w:sz w:val="22"/>
          <w:szCs w:val="22"/>
          <w14:ligatures w14:val="none"/>
        </w:rPr>
        <w:t xml:space="preserve"> healthy body weight, balanced diets, and regular physical activity are less likely to experience severe complications (WHO, 2022). Despite this, many older adults face challenges </w:t>
      </w:r>
      <w:bookmarkStart w:id="25" w:name="_Int_aXBM84Rd"/>
      <w:r w:rsidRPr="00D6248B">
        <w:rPr>
          <w:rFonts w:ascii="Arial" w:hAnsi="Arial" w:cs="Arial"/>
          <w:kern w:val="0"/>
          <w:sz w:val="22"/>
          <w:szCs w:val="22"/>
          <w14:ligatures w14:val="none"/>
        </w:rPr>
        <w:t>maintaining</w:t>
      </w:r>
      <w:bookmarkEnd w:id="25"/>
      <w:r w:rsidRPr="00D6248B">
        <w:rPr>
          <w:rFonts w:ascii="Arial" w:hAnsi="Arial" w:cs="Arial"/>
          <w:kern w:val="0"/>
          <w:sz w:val="22"/>
          <w:szCs w:val="22"/>
          <w14:ligatures w14:val="none"/>
        </w:rPr>
        <w:t xml:space="preserve"> lifestyle changes due to reduced mobility, chronic illness, or social isolation.</w:t>
      </w:r>
    </w:p>
    <w:p w14:paraId="442D0167" w14:textId="77777777" w:rsidR="00D6248B" w:rsidRPr="00D6248B" w:rsidRDefault="00D6248B" w:rsidP="00D6248B">
      <w:pPr>
        <w:keepNext/>
        <w:keepLines/>
        <w:spacing w:before="40" w:after="0" w:line="360" w:lineRule="auto"/>
        <w:jc w:val="both"/>
        <w:outlineLvl w:val="4"/>
        <w:rPr>
          <w:rFonts w:ascii="Arial" w:eastAsia="Calibri Light" w:hAnsi="Arial" w:cs="Arial"/>
          <w:b/>
          <w:bCs/>
          <w:color w:val="0F4761" w:themeColor="accent1" w:themeShade="BF"/>
          <w:sz w:val="32"/>
          <w:szCs w:val="32"/>
          <w:lang w:eastAsia="zh-CN"/>
        </w:rPr>
      </w:pPr>
    </w:p>
    <w:p w14:paraId="0D9B9ACC"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Calibri Light" w:hAnsi="Arial" w:cs="Arial"/>
          <w:b/>
          <w:bCs/>
          <w:color w:val="0F4761" w:themeColor="accent1" w:themeShade="BF"/>
          <w:sz w:val="32"/>
          <w:szCs w:val="32"/>
          <w:lang w:eastAsia="zh-CN"/>
        </w:rPr>
        <w:t>Theoretical Framework:</w:t>
      </w:r>
    </w:p>
    <w:p w14:paraId="258E377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self-management theory is highly relevant to this theme because it focuses on patient involvement in managing chronic conditions (Barlow et al., 2002). Effective self-management includes medication adherence, healthy eating, physical activity, and regular monitoring of blood glucose levels.</w:t>
      </w:r>
    </w:p>
    <w:p w14:paraId="5BF1876C"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5BE51BD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 biopsychosocial model is also important because diabetes management </w:t>
      </w:r>
      <w:bookmarkStart w:id="26" w:name="_Int_iKxr0z11"/>
      <w:r w:rsidRPr="00D6248B">
        <w:rPr>
          <w:rFonts w:ascii="Arial" w:hAnsi="Arial" w:cs="Arial"/>
          <w:kern w:val="0"/>
          <w:sz w:val="22"/>
          <w:szCs w:val="22"/>
          <w14:ligatures w14:val="none"/>
        </w:rPr>
        <w:t>is influenced</w:t>
      </w:r>
      <w:bookmarkEnd w:id="26"/>
      <w:r w:rsidRPr="00D6248B">
        <w:rPr>
          <w:rFonts w:ascii="Arial" w:hAnsi="Arial" w:cs="Arial"/>
          <w:kern w:val="0"/>
          <w:sz w:val="22"/>
          <w:szCs w:val="22"/>
          <w14:ligatures w14:val="none"/>
        </w:rPr>
        <w:t xml:space="preserve"> by biological, psychological, and social factors (Engel, 1977). Older adults may </w:t>
      </w:r>
      <w:bookmarkStart w:id="27" w:name="_Int_amr4o1wf"/>
      <w:r w:rsidRPr="00D6248B">
        <w:rPr>
          <w:rFonts w:ascii="Arial" w:hAnsi="Arial" w:cs="Arial"/>
          <w:kern w:val="0"/>
          <w:sz w:val="22"/>
          <w:szCs w:val="22"/>
          <w14:ligatures w14:val="none"/>
        </w:rPr>
        <w:t>require</w:t>
      </w:r>
      <w:bookmarkEnd w:id="27"/>
      <w:r w:rsidRPr="00D6248B">
        <w:rPr>
          <w:rFonts w:ascii="Arial" w:hAnsi="Arial" w:cs="Arial"/>
          <w:kern w:val="0"/>
          <w:sz w:val="22"/>
          <w:szCs w:val="22"/>
          <w14:ligatures w14:val="none"/>
        </w:rPr>
        <w:t xml:space="preserve"> emotional support, social care </w:t>
      </w:r>
      <w:bookmarkStart w:id="28" w:name="_Int_qNQV4nX5"/>
      <w:r w:rsidRPr="00D6248B">
        <w:rPr>
          <w:rFonts w:ascii="Arial" w:hAnsi="Arial" w:cs="Arial"/>
          <w:kern w:val="0"/>
          <w:sz w:val="22"/>
          <w:szCs w:val="22"/>
          <w14:ligatures w14:val="none"/>
        </w:rPr>
        <w:t>assistance</w:t>
      </w:r>
      <w:bookmarkEnd w:id="28"/>
      <w:r w:rsidRPr="00D6248B">
        <w:rPr>
          <w:rFonts w:ascii="Arial" w:hAnsi="Arial" w:cs="Arial"/>
          <w:kern w:val="0"/>
          <w:sz w:val="22"/>
          <w:szCs w:val="22"/>
          <w14:ligatures w14:val="none"/>
        </w:rPr>
        <w:t xml:space="preserve">, and culturally </w:t>
      </w:r>
      <w:bookmarkStart w:id="29" w:name="_Int_q1iVERch"/>
      <w:r w:rsidRPr="00D6248B">
        <w:rPr>
          <w:rFonts w:ascii="Arial" w:hAnsi="Arial" w:cs="Arial"/>
          <w:kern w:val="0"/>
          <w:sz w:val="22"/>
          <w:szCs w:val="22"/>
          <w14:ligatures w14:val="none"/>
        </w:rPr>
        <w:t>appropriate healthcare</w:t>
      </w:r>
      <w:bookmarkEnd w:id="29"/>
      <w:r w:rsidRPr="00D6248B">
        <w:rPr>
          <w:rFonts w:ascii="Arial" w:hAnsi="Arial" w:cs="Arial"/>
          <w:kern w:val="0"/>
          <w:sz w:val="22"/>
          <w:szCs w:val="22"/>
          <w14:ligatures w14:val="none"/>
        </w:rPr>
        <w:t xml:space="preserve"> services in addition to medical treatment.</w:t>
      </w:r>
    </w:p>
    <w:p w14:paraId="7F6AE11F" w14:textId="77777777" w:rsidR="00D6248B" w:rsidRPr="00D6248B" w:rsidRDefault="00D6248B" w:rsidP="00D6248B">
      <w:pPr>
        <w:spacing w:before="100" w:beforeAutospacing="1" w:after="100" w:afterAutospacing="1" w:line="360" w:lineRule="auto"/>
        <w:rPr>
          <w:rFonts w:ascii="Arial" w:hAnsi="Arial" w:cs="Arial"/>
          <w:sz w:val="22"/>
          <w:szCs w:val="22"/>
          <w:lang w:eastAsia="zh-CN"/>
        </w:rPr>
      </w:pPr>
    </w:p>
    <w:p w14:paraId="424B5B6C" w14:textId="77777777" w:rsidR="00D6248B" w:rsidRPr="00D6248B" w:rsidRDefault="00D6248B" w:rsidP="00D6248B">
      <w:pPr>
        <w:keepNext/>
        <w:keepLines/>
        <w:spacing w:before="40" w:after="0" w:line="360" w:lineRule="auto"/>
        <w:jc w:val="both"/>
        <w:outlineLvl w:val="4"/>
        <w:rPr>
          <w:rFonts w:ascii="Arial" w:eastAsiaTheme="majorEastAsia" w:hAnsi="Arial" w:cs="Arial"/>
          <w:color w:val="0F4761" w:themeColor="accent1" w:themeShade="BF"/>
          <w:sz w:val="22"/>
          <w:szCs w:val="22"/>
          <w:lang w:eastAsia="zh-CN"/>
        </w:rPr>
      </w:pPr>
      <w:r w:rsidRPr="00D6248B">
        <w:rPr>
          <w:rFonts w:ascii="Arial" w:eastAsia="Calibri Light" w:hAnsi="Arial" w:cs="Arial"/>
          <w:b/>
          <w:bCs/>
          <w:color w:val="0F4761" w:themeColor="accent1" w:themeShade="BF"/>
          <w:sz w:val="36"/>
          <w:szCs w:val="36"/>
          <w:lang w:eastAsia="zh-CN"/>
        </w:rPr>
        <w:t>Policy and Legislation:</w:t>
      </w:r>
    </w:p>
    <w:p w14:paraId="5FFF0D2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Several policies support diabetes management in the UK. NICE guidelines (2022) recommend personalised care plans, annual health checks, and structured education for individuals with T2DM. The NHS Long Term Plan (NHS England, 2019) also promotes prevention, integrated healthcare services, and community support programmes for chronic illnesses.</w:t>
      </w:r>
    </w:p>
    <w:p w14:paraId="56A7B57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7AE916C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Equality Act 2010 supports equal access to healthcare services and protects individuals with chronic conditions from discrimination. These policies aim to improve healthcare outcomes and reduce inequalities among vulnerable populations.</w:t>
      </w:r>
    </w:p>
    <w:p w14:paraId="5B1ACE5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2E6BC756" w14:textId="77777777" w:rsidR="00D6248B" w:rsidRPr="00D6248B" w:rsidRDefault="00D6248B" w:rsidP="00D6248B">
      <w:pPr>
        <w:keepNext/>
        <w:keepLines/>
        <w:spacing w:before="40" w:after="0" w:line="360" w:lineRule="auto"/>
        <w:jc w:val="both"/>
        <w:outlineLvl w:val="4"/>
        <w:rPr>
          <w:rFonts w:asciiTheme="majorHAnsi" w:eastAsiaTheme="majorEastAsia" w:hAnsiTheme="majorHAnsi" w:cstheme="majorBidi"/>
          <w:color w:val="0F4761" w:themeColor="accent1" w:themeShade="BF"/>
          <w:sz w:val="22"/>
          <w:szCs w:val="22"/>
          <w:lang w:eastAsia="zh-CN"/>
        </w:rPr>
      </w:pPr>
      <w:r w:rsidRPr="00D6248B">
        <w:rPr>
          <w:rFonts w:ascii="Arial" w:eastAsiaTheme="majorEastAsia" w:hAnsi="Arial" w:cs="Arial"/>
          <w:b/>
          <w:bCs/>
          <w:color w:val="0F4761" w:themeColor="accent1" w:themeShade="BF"/>
          <w:sz w:val="32"/>
          <w:szCs w:val="32"/>
          <w:lang w:eastAsia="zh-CN"/>
        </w:rPr>
        <w:t>Positive and Negative Implications:</w:t>
      </w:r>
    </w:p>
    <w:p w14:paraId="77CB0A4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There are several positive implications associated with effective management of Type 2 Diabetes Mellitus (T2DM) among older adults. Early intervention, regular blood glucose monitoring, healthy lifestyle changes, and personalised care plans can reduce the risk of complications such as cardiovascular disease, neuropathy, and kidney damage (NICE, 2022). Effective diabetes management may also improve quality of life, </w:t>
      </w:r>
      <w:bookmarkStart w:id="30" w:name="_Int_FkoWKxd6"/>
      <w:r w:rsidRPr="00D6248B">
        <w:rPr>
          <w:rFonts w:ascii="Arial" w:hAnsi="Arial" w:cs="Arial"/>
          <w:kern w:val="0"/>
          <w:sz w:val="22"/>
          <w:szCs w:val="22"/>
          <w14:ligatures w14:val="none"/>
        </w:rPr>
        <w:t>maintain</w:t>
      </w:r>
      <w:bookmarkEnd w:id="30"/>
      <w:r w:rsidRPr="00D6248B">
        <w:rPr>
          <w:rFonts w:ascii="Arial" w:hAnsi="Arial" w:cs="Arial"/>
          <w:kern w:val="0"/>
          <w:sz w:val="22"/>
          <w:szCs w:val="22"/>
          <w14:ligatures w14:val="none"/>
        </w:rPr>
        <w:t xml:space="preserve"> independence, and reduce hospital admissions. In addition, patient education and community support programmes can help older adults better understand their condition and improve self-management skills.</w:t>
      </w:r>
    </w:p>
    <w:p w14:paraId="43553B8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37DA654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However, there are also negative implications. Many older adults experience difficulties managing diabetes due to frailty, cognitive decline, poor mobility, or multiple long-term health conditions (Sinclair et al., 2020). Some individuals may struggle with medication adherence, </w:t>
      </w:r>
      <w:bookmarkStart w:id="31" w:name="_Int_WiqAoEYn"/>
      <w:r w:rsidRPr="00D6248B">
        <w:rPr>
          <w:rFonts w:ascii="Arial" w:hAnsi="Arial" w:cs="Arial"/>
          <w:kern w:val="0"/>
          <w:sz w:val="22"/>
          <w:szCs w:val="22"/>
          <w14:ligatures w14:val="none"/>
        </w:rPr>
        <w:t>maintaining</w:t>
      </w:r>
      <w:bookmarkEnd w:id="31"/>
      <w:r w:rsidRPr="00D6248B">
        <w:rPr>
          <w:rFonts w:ascii="Arial" w:hAnsi="Arial" w:cs="Arial"/>
          <w:kern w:val="0"/>
          <w:sz w:val="22"/>
          <w:szCs w:val="22"/>
          <w14:ligatures w14:val="none"/>
        </w:rPr>
        <w:t xml:space="preserve"> healthy diets, or participating in regular physical activity. Financial difficulties and health inequalities within Birmingham may also limit access to healthcare services, diabetes education, and support programmes. Furthermore, poor diabetes management can increase pressure on NHS and social care services through rising hospital admissions and long-term care needs.</w:t>
      </w:r>
    </w:p>
    <w:p w14:paraId="506BC1C3"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50F52A6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Overall, these positive and negative implications </w:t>
      </w:r>
      <w:bookmarkStart w:id="32" w:name="_Int_uNBMZH4X"/>
      <w:r w:rsidRPr="00D6248B">
        <w:rPr>
          <w:rFonts w:ascii="Arial" w:hAnsi="Arial" w:cs="Arial"/>
          <w:kern w:val="0"/>
          <w:sz w:val="22"/>
          <w:szCs w:val="22"/>
          <w14:ligatures w14:val="none"/>
        </w:rPr>
        <w:t>demonstrate</w:t>
      </w:r>
      <w:bookmarkEnd w:id="32"/>
      <w:r w:rsidRPr="00D6248B">
        <w:rPr>
          <w:rFonts w:ascii="Arial" w:hAnsi="Arial" w:cs="Arial"/>
          <w:kern w:val="0"/>
          <w:sz w:val="22"/>
          <w:szCs w:val="22"/>
          <w14:ligatures w14:val="none"/>
        </w:rPr>
        <w:t xml:space="preserve"> the importance of accessible, personalised, and integrated diabetes care for older adults living in Birmingham.</w:t>
      </w:r>
    </w:p>
    <w:p w14:paraId="6869C0EF"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2"/>
          <w:szCs w:val="32"/>
          <w:lang w:eastAsia="zh-CN"/>
        </w:rPr>
      </w:pPr>
    </w:p>
    <w:p w14:paraId="3C1B7E25" w14:textId="77777777" w:rsidR="00D6248B" w:rsidRPr="00D6248B" w:rsidRDefault="00D6248B" w:rsidP="00D6248B">
      <w:pPr>
        <w:keepNext/>
        <w:keepLines/>
        <w:spacing w:before="40" w:after="0" w:line="360" w:lineRule="auto"/>
        <w:jc w:val="both"/>
        <w:outlineLvl w:val="1"/>
        <w:rPr>
          <w:rFonts w:ascii="Arial" w:eastAsiaTheme="majorEastAsia" w:hAnsi="Arial" w:cs="Arial"/>
          <w:b/>
          <w:color w:val="0F4761" w:themeColor="accent1" w:themeShade="BF"/>
          <w:sz w:val="32"/>
          <w:szCs w:val="32"/>
          <w:lang w:eastAsia="zh-CN"/>
        </w:rPr>
      </w:pPr>
      <w:r w:rsidRPr="00D6248B">
        <w:rPr>
          <w:rFonts w:ascii="Arial" w:eastAsiaTheme="majorEastAsia" w:hAnsi="Arial" w:cs="Arial"/>
          <w:b/>
          <w:color w:val="0F4761" w:themeColor="accent1" w:themeShade="BF"/>
          <w:sz w:val="32"/>
          <w:szCs w:val="32"/>
          <w:lang w:eastAsia="zh-CN"/>
        </w:rPr>
        <w:t>Example from your Articles</w:t>
      </w:r>
    </w:p>
    <w:p w14:paraId="05C32BC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Several studies included in the literature review provide </w:t>
      </w:r>
      <w:bookmarkStart w:id="33" w:name="_Int_rDP8cGHH"/>
      <w:r w:rsidRPr="00D6248B">
        <w:rPr>
          <w:rFonts w:ascii="Arial" w:hAnsi="Arial" w:cs="Arial"/>
          <w:kern w:val="0"/>
          <w:sz w:val="22"/>
          <w:szCs w:val="22"/>
          <w14:ligatures w14:val="none"/>
        </w:rPr>
        <w:t>strong evidence</w:t>
      </w:r>
      <w:bookmarkEnd w:id="33"/>
      <w:r w:rsidRPr="00D6248B">
        <w:rPr>
          <w:rFonts w:ascii="Arial" w:hAnsi="Arial" w:cs="Arial"/>
          <w:kern w:val="0"/>
          <w:sz w:val="22"/>
          <w:szCs w:val="22"/>
          <w14:ligatures w14:val="none"/>
        </w:rPr>
        <w:t xml:space="preserve"> supporting the importance of effective diabetes management among older adults.</w:t>
      </w:r>
    </w:p>
    <w:p w14:paraId="2B7459E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Sinclair et al. (2020) found that personalised diabetes care plans improved glycaemic control and reduced the risk of complications. The authors argued that treatment goals should be adapted according to the individual’s age, health status, and level of independence. This finding supports the need for patient-centred care within Birmingham’s ageing population.</w:t>
      </w:r>
    </w:p>
    <w:p w14:paraId="29AA95A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Similarly, Diabetes UK (2023) highlighted the benefits of lifestyle interventions, including healthy eating, weight management, and regular physical activity. The report suggested that individuals who actively engage in self-management are more likely to achieve improved blood glucose control and experience fewer diabetes-related complications.</w:t>
      </w:r>
    </w:p>
    <w:p w14:paraId="103B856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NHS England (2019) also emphasised the value of integrated healthcare services. The NHS Long Term Plan promotes collaboration between healthcare professionals, social care providers, and community organisations to support people living with long-term conditions. The report concluded that coordinated care could reduce hospital admissions and improve patient experiences.</w:t>
      </w:r>
    </w:p>
    <w:p w14:paraId="567A801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Although these sources </w:t>
      </w:r>
      <w:bookmarkStart w:id="34" w:name="_Int_sDgPRkfx"/>
      <w:r w:rsidRPr="00D6248B">
        <w:rPr>
          <w:rFonts w:ascii="Arial" w:hAnsi="Arial" w:cs="Arial"/>
          <w:kern w:val="0"/>
          <w:sz w:val="22"/>
          <w:szCs w:val="22"/>
          <w14:ligatures w14:val="none"/>
        </w:rPr>
        <w:t>generally agree</w:t>
      </w:r>
      <w:bookmarkEnd w:id="34"/>
      <w:r w:rsidRPr="00D6248B">
        <w:rPr>
          <w:rFonts w:ascii="Arial" w:hAnsi="Arial" w:cs="Arial"/>
          <w:kern w:val="0"/>
          <w:sz w:val="22"/>
          <w:szCs w:val="22"/>
          <w14:ligatures w14:val="none"/>
        </w:rPr>
        <w:t xml:space="preserve"> on the importance of early intervention and self-management, some differences exist </w:t>
      </w:r>
      <w:bookmarkStart w:id="35" w:name="_Int_ybk8Jtj5"/>
      <w:r w:rsidRPr="00D6248B">
        <w:rPr>
          <w:rFonts w:ascii="Arial" w:hAnsi="Arial" w:cs="Arial"/>
          <w:kern w:val="0"/>
          <w:sz w:val="22"/>
          <w:szCs w:val="22"/>
          <w14:ligatures w14:val="none"/>
        </w:rPr>
        <w:t>regarding</w:t>
      </w:r>
      <w:bookmarkEnd w:id="35"/>
      <w:r w:rsidRPr="00D6248B">
        <w:rPr>
          <w:rFonts w:ascii="Arial" w:hAnsi="Arial" w:cs="Arial"/>
          <w:kern w:val="0"/>
          <w:sz w:val="22"/>
          <w:szCs w:val="22"/>
          <w14:ligatures w14:val="none"/>
        </w:rPr>
        <w:t xml:space="preserve"> implementation. While lifestyle modification </w:t>
      </w:r>
      <w:bookmarkStart w:id="36" w:name="_Int_TasyTSNQ"/>
      <w:r w:rsidRPr="00D6248B">
        <w:rPr>
          <w:rFonts w:ascii="Arial" w:hAnsi="Arial" w:cs="Arial"/>
          <w:kern w:val="0"/>
          <w:sz w:val="22"/>
          <w:szCs w:val="22"/>
          <w14:ligatures w14:val="none"/>
        </w:rPr>
        <w:t>is widely recognised</w:t>
      </w:r>
      <w:bookmarkEnd w:id="36"/>
      <w:r w:rsidRPr="00D6248B">
        <w:rPr>
          <w:rFonts w:ascii="Arial" w:hAnsi="Arial" w:cs="Arial"/>
          <w:kern w:val="0"/>
          <w:sz w:val="22"/>
          <w:szCs w:val="22"/>
          <w14:ligatures w14:val="none"/>
        </w:rPr>
        <w:t xml:space="preserve"> as effective, some researchers acknowledge that older adults may face barriers such as mobility limitations, cognitive decline, and social isolation. Therefore, management strategies must be flexible and adapted to individual circumstances.</w:t>
      </w:r>
    </w:p>
    <w:p w14:paraId="348FBB0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Together, these studies </w:t>
      </w:r>
      <w:bookmarkStart w:id="37" w:name="_Int_oD3tAN3H"/>
      <w:r w:rsidRPr="00D6248B">
        <w:rPr>
          <w:rFonts w:ascii="Arial" w:hAnsi="Arial" w:cs="Arial"/>
          <w:kern w:val="0"/>
          <w:sz w:val="22"/>
          <w:szCs w:val="22"/>
          <w14:ligatures w14:val="none"/>
        </w:rPr>
        <w:t>demonstrate</w:t>
      </w:r>
      <w:bookmarkEnd w:id="37"/>
      <w:r w:rsidRPr="00D6248B">
        <w:rPr>
          <w:rFonts w:ascii="Arial" w:hAnsi="Arial" w:cs="Arial"/>
          <w:kern w:val="0"/>
          <w:sz w:val="22"/>
          <w:szCs w:val="22"/>
          <w14:ligatures w14:val="none"/>
        </w:rPr>
        <w:t xml:space="preserve"> that successful diabetes management requires both medical intervention and wider social support. These findings help answer the research question by showing how </w:t>
      </w:r>
      <w:bookmarkStart w:id="38" w:name="_Int_uU926MbV"/>
      <w:r w:rsidRPr="00D6248B">
        <w:rPr>
          <w:rFonts w:ascii="Arial" w:hAnsi="Arial" w:cs="Arial"/>
          <w:kern w:val="0"/>
          <w:sz w:val="22"/>
          <w:szCs w:val="22"/>
          <w14:ligatures w14:val="none"/>
        </w:rPr>
        <w:t>appropriate management</w:t>
      </w:r>
      <w:bookmarkEnd w:id="38"/>
      <w:r w:rsidRPr="00D6248B">
        <w:rPr>
          <w:rFonts w:ascii="Arial" w:hAnsi="Arial" w:cs="Arial"/>
          <w:kern w:val="0"/>
          <w:sz w:val="22"/>
          <w:szCs w:val="22"/>
          <w14:ligatures w14:val="none"/>
        </w:rPr>
        <w:t xml:space="preserve"> strategies can reduce the long-term health impacts of T2DM among older adults.</w:t>
      </w:r>
    </w:p>
    <w:p w14:paraId="0906035D" w14:textId="77777777" w:rsidR="00D6248B" w:rsidRPr="00D6248B" w:rsidRDefault="00D6248B" w:rsidP="00D6248B">
      <w:pPr>
        <w:keepNext/>
        <w:keepLines/>
        <w:spacing w:before="40" w:after="0" w:line="360" w:lineRule="auto"/>
        <w:jc w:val="both"/>
        <w:outlineLvl w:val="3"/>
        <w:rPr>
          <w:rFonts w:ascii="Arial" w:eastAsiaTheme="majorEastAsia" w:hAnsi="Arial" w:cs="Arial"/>
          <w:i/>
          <w:iCs/>
          <w:color w:val="0F4761" w:themeColor="accent1" w:themeShade="BF"/>
          <w:sz w:val="22"/>
          <w:szCs w:val="22"/>
          <w:lang w:eastAsia="zh-CN"/>
        </w:rPr>
      </w:pPr>
    </w:p>
    <w:p w14:paraId="46BBACC6" w14:textId="77777777" w:rsidR="00D6248B" w:rsidRPr="00D6248B" w:rsidRDefault="00D6248B" w:rsidP="00D6248B">
      <w:pPr>
        <w:spacing w:line="360" w:lineRule="auto"/>
        <w:jc w:val="both"/>
        <w:rPr>
          <w:rFonts w:ascii="Arial" w:hAnsi="Arial" w:cs="Arial"/>
          <w:sz w:val="22"/>
          <w:szCs w:val="22"/>
          <w:lang w:eastAsia="zh-CN"/>
        </w:rPr>
      </w:pPr>
    </w:p>
    <w:p w14:paraId="28E0054B" w14:textId="77777777" w:rsidR="00D6248B" w:rsidRPr="00D6248B" w:rsidRDefault="00D6248B" w:rsidP="00D6248B">
      <w:pPr>
        <w:keepNext/>
        <w:keepLines/>
        <w:spacing w:before="40" w:after="0" w:line="360" w:lineRule="auto"/>
        <w:jc w:val="both"/>
        <w:outlineLvl w:val="3"/>
        <w:rPr>
          <w:rFonts w:ascii="Arial" w:eastAsiaTheme="majorEastAsia" w:hAnsi="Arial" w:cs="Arial"/>
          <w:b/>
          <w:iCs/>
          <w:color w:val="0F4761" w:themeColor="accent1" w:themeShade="BF"/>
          <w:sz w:val="32"/>
          <w:szCs w:val="32"/>
          <w:lang w:eastAsia="zh-CN"/>
        </w:rPr>
      </w:pPr>
      <w:r w:rsidRPr="00D6248B">
        <w:rPr>
          <w:rFonts w:ascii="Arial" w:eastAsiaTheme="majorEastAsia" w:hAnsi="Arial" w:cs="Arial"/>
          <w:b/>
          <w:iCs/>
          <w:color w:val="0F4761" w:themeColor="accent1" w:themeShade="BF"/>
          <w:sz w:val="32"/>
          <w:szCs w:val="32"/>
          <w:lang w:eastAsia="zh-CN"/>
        </w:rPr>
        <w:t>Connections to Other Themes</w:t>
      </w:r>
    </w:p>
    <w:p w14:paraId="3537CE29"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This theme has strong links with both </w:t>
      </w:r>
      <w:bookmarkStart w:id="39" w:name="_Int_L9PlqXaU"/>
      <w:r w:rsidRPr="00D6248B">
        <w:rPr>
          <w:rFonts w:ascii="Arial" w:hAnsi="Arial" w:cs="Arial"/>
          <w:kern w:val="0"/>
          <w:sz w:val="22"/>
          <w:szCs w:val="22"/>
          <w14:ligatures w14:val="none"/>
        </w:rPr>
        <w:t>previous</w:t>
      </w:r>
      <w:bookmarkEnd w:id="39"/>
      <w:r w:rsidRPr="00D6248B">
        <w:rPr>
          <w:rFonts w:ascii="Arial" w:hAnsi="Arial" w:cs="Arial"/>
          <w:kern w:val="0"/>
          <w:sz w:val="22"/>
          <w:szCs w:val="22"/>
          <w14:ligatures w14:val="none"/>
        </w:rPr>
        <w:t xml:space="preserve"> themes </w:t>
      </w:r>
      <w:bookmarkStart w:id="40" w:name="_Int_X0gux2uL"/>
      <w:r w:rsidRPr="00D6248B">
        <w:rPr>
          <w:rFonts w:ascii="Arial" w:hAnsi="Arial" w:cs="Arial"/>
          <w:kern w:val="0"/>
          <w:sz w:val="22"/>
          <w:szCs w:val="22"/>
          <w14:ligatures w14:val="none"/>
        </w:rPr>
        <w:t>identified</w:t>
      </w:r>
      <w:bookmarkEnd w:id="40"/>
      <w:r w:rsidRPr="00D6248B">
        <w:rPr>
          <w:rFonts w:ascii="Arial" w:hAnsi="Arial" w:cs="Arial"/>
          <w:kern w:val="0"/>
          <w:sz w:val="22"/>
          <w:szCs w:val="22"/>
          <w14:ligatures w14:val="none"/>
        </w:rPr>
        <w:t xml:space="preserve"> within the study. Theme One </w:t>
      </w:r>
      <w:bookmarkStart w:id="41" w:name="_Int_nQHMEojW"/>
      <w:r w:rsidRPr="00D6248B">
        <w:rPr>
          <w:rFonts w:ascii="Arial" w:hAnsi="Arial" w:cs="Arial"/>
          <w:kern w:val="0"/>
          <w:sz w:val="22"/>
          <w:szCs w:val="22"/>
          <w14:ligatures w14:val="none"/>
        </w:rPr>
        <w:t>demonstrated</w:t>
      </w:r>
      <w:bookmarkEnd w:id="41"/>
      <w:r w:rsidRPr="00D6248B">
        <w:rPr>
          <w:rFonts w:ascii="Arial" w:hAnsi="Arial" w:cs="Arial"/>
          <w:kern w:val="0"/>
          <w:sz w:val="22"/>
          <w:szCs w:val="22"/>
          <w14:ligatures w14:val="none"/>
        </w:rPr>
        <w:t xml:space="preserve"> how physiological mechanisms such as insulin resistance, beta-cell dysfunction, and chronic inflammation contribute to the development of T2DM. Understanding these biological processes allows healthcare professionals to select proper treatment and management strategies.</w:t>
      </w:r>
    </w:p>
    <w:p w14:paraId="38ECD269"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Theme Two explored the long-term complications associated with T2DM, including cardiovascular disease, neuropathy, nephropathy, and reduced functional independence. The management approaches discussed within this theme </w:t>
      </w:r>
      <w:bookmarkStart w:id="42" w:name="_Int_IrDCinnW"/>
      <w:r w:rsidRPr="00D6248B">
        <w:rPr>
          <w:rFonts w:ascii="Arial" w:hAnsi="Arial" w:cs="Arial"/>
          <w:kern w:val="0"/>
          <w:sz w:val="22"/>
          <w:szCs w:val="22"/>
          <w14:ligatures w14:val="none"/>
        </w:rPr>
        <w:t>are designed</w:t>
      </w:r>
      <w:bookmarkEnd w:id="42"/>
      <w:r w:rsidRPr="00D6248B">
        <w:rPr>
          <w:rFonts w:ascii="Arial" w:hAnsi="Arial" w:cs="Arial"/>
          <w:kern w:val="0"/>
          <w:sz w:val="22"/>
          <w:szCs w:val="22"/>
          <w14:ligatures w14:val="none"/>
        </w:rPr>
        <w:t xml:space="preserve"> to prevent or delay the development of these complications.</w:t>
      </w:r>
    </w:p>
    <w:p w14:paraId="7050E5FA"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Therefore, all three themes </w:t>
      </w:r>
      <w:bookmarkStart w:id="43" w:name="_Int_Blcbkrd4"/>
      <w:r w:rsidRPr="00D6248B">
        <w:rPr>
          <w:rFonts w:ascii="Arial" w:hAnsi="Arial" w:cs="Arial"/>
          <w:kern w:val="0"/>
          <w:sz w:val="22"/>
          <w:szCs w:val="22"/>
          <w14:ligatures w14:val="none"/>
        </w:rPr>
        <w:t>are interconnected</w:t>
      </w:r>
      <w:bookmarkEnd w:id="43"/>
      <w:r w:rsidRPr="00D6248B">
        <w:rPr>
          <w:rFonts w:ascii="Arial" w:hAnsi="Arial" w:cs="Arial"/>
          <w:kern w:val="0"/>
          <w:sz w:val="22"/>
          <w:szCs w:val="22"/>
          <w14:ligatures w14:val="none"/>
        </w:rPr>
        <w:t>. The physiological mechanisms lead to disease progression, long-term complications result from poor metabolic control, and effective management strategies help reduce these negative outcomes. Collectively, the findings highlight the importance of early diagnosis, personalised care, patient education, and integrated health and social care services in improving the health and wellbeing of older adults living with T2DM in Birmingham.</w:t>
      </w:r>
    </w:p>
    <w:p w14:paraId="6A938DDF" w14:textId="77777777" w:rsidR="00D6248B" w:rsidRPr="00D6248B" w:rsidRDefault="00D6248B" w:rsidP="00D6248B">
      <w:pPr>
        <w:spacing w:line="360" w:lineRule="auto"/>
        <w:jc w:val="both"/>
        <w:rPr>
          <w:rFonts w:ascii="Aptos" w:hAnsi="Aptos"/>
          <w:sz w:val="22"/>
          <w:szCs w:val="22"/>
          <w:lang w:eastAsia="zh-CN"/>
        </w:rPr>
      </w:pPr>
    </w:p>
    <w:p w14:paraId="39B68CFD"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22"/>
          <w:szCs w:val="22"/>
          <w:lang w:eastAsia="zh-CN"/>
        </w:rPr>
      </w:pPr>
      <w:r w:rsidRPr="00D6248B">
        <w:rPr>
          <w:rFonts w:ascii="Arial" w:eastAsiaTheme="majorEastAsia" w:hAnsi="Arial" w:cs="Arial"/>
          <w:color w:val="0F4761" w:themeColor="accent1" w:themeShade="BF"/>
          <w:sz w:val="32"/>
          <w:szCs w:val="32"/>
          <w:lang w:eastAsia="zh-CN"/>
        </w:rPr>
        <w:t>4.6 – Chapter Conclusion</w:t>
      </w:r>
      <w:r w:rsidRPr="00D6248B">
        <w:rPr>
          <w:rFonts w:ascii="Arial" w:eastAsiaTheme="majorEastAsia" w:hAnsi="Arial" w:cs="Arial"/>
          <w:color w:val="0F4761" w:themeColor="accent1" w:themeShade="BF"/>
          <w:sz w:val="22"/>
          <w:szCs w:val="22"/>
          <w:lang w:eastAsia="zh-CN"/>
        </w:rPr>
        <w:t xml:space="preserve"> </w:t>
      </w:r>
    </w:p>
    <w:p w14:paraId="2B4B8BBF" w14:textId="77777777" w:rsidR="00D6248B" w:rsidRPr="00D6248B" w:rsidRDefault="00D6248B" w:rsidP="00D6248B">
      <w:pPr>
        <w:spacing w:line="360" w:lineRule="auto"/>
        <w:jc w:val="both"/>
        <w:rPr>
          <w:rFonts w:ascii="Arial" w:hAnsi="Arial" w:cs="Arial"/>
          <w:sz w:val="22"/>
          <w:szCs w:val="22"/>
          <w:lang w:eastAsia="zh-CN"/>
        </w:rPr>
      </w:pPr>
    </w:p>
    <w:p w14:paraId="0C3CDCF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chapter has critically discussed the findings obtained from the thematic analysis of literature relating to Type 2 Diabetes Mellitus (T2DM) in older adults living in Birmingham. Three main themes were identified and explored throughout the chapter. The first theme examined the physiological mechanisms of T2DM, including insulin resistance, beta-cell dysfunction, and chronic inflammation. The second theme evaluated the long-term health impacts of T2DM, such as cardiovascular disease, neuropathy, nephropathy, and reduced functional independence. The final theme explored management and support strategies, highlighting the importance of personalised care, early intervention, patient education, and integrated healthcare services.</w:t>
      </w:r>
    </w:p>
    <w:p w14:paraId="15F549D2"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7E1DB435"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 findings </w:t>
      </w:r>
      <w:bookmarkStart w:id="44" w:name="_Int_mrpHGWxJ"/>
      <w:r w:rsidRPr="00D6248B">
        <w:rPr>
          <w:rFonts w:ascii="Arial" w:hAnsi="Arial" w:cs="Arial"/>
          <w:kern w:val="0"/>
          <w:sz w:val="22"/>
          <w:szCs w:val="22"/>
          <w14:ligatures w14:val="none"/>
        </w:rPr>
        <w:t>demonstrated</w:t>
      </w:r>
      <w:bookmarkEnd w:id="44"/>
      <w:r w:rsidRPr="00D6248B">
        <w:rPr>
          <w:rFonts w:ascii="Arial" w:hAnsi="Arial" w:cs="Arial"/>
          <w:kern w:val="0"/>
          <w:sz w:val="22"/>
          <w:szCs w:val="22"/>
          <w14:ligatures w14:val="none"/>
        </w:rPr>
        <w:t xml:space="preserve"> that T2DM is a complex chronic condition influenced by biological, social, and environmental factors. The evidence also showed that older adults are particularly vulnerable to complications due to age-related physiological decline and existing health inequalities. Furthermore, the chapter </w:t>
      </w:r>
      <w:bookmarkStart w:id="45" w:name="_Int_8lRjkudu"/>
      <w:r w:rsidRPr="00D6248B">
        <w:rPr>
          <w:rFonts w:ascii="Arial" w:hAnsi="Arial" w:cs="Arial"/>
          <w:kern w:val="0"/>
          <w:sz w:val="22"/>
          <w:szCs w:val="22"/>
          <w14:ligatures w14:val="none"/>
        </w:rPr>
        <w:t>identified</w:t>
      </w:r>
      <w:bookmarkEnd w:id="45"/>
      <w:r w:rsidRPr="00D6248B">
        <w:rPr>
          <w:rFonts w:ascii="Arial" w:hAnsi="Arial" w:cs="Arial"/>
          <w:kern w:val="0"/>
          <w:sz w:val="22"/>
          <w:szCs w:val="22"/>
          <w14:ligatures w14:val="none"/>
        </w:rPr>
        <w:t xml:space="preserve"> the importance of effective diabetes management in reducing complications, improving quality of life, and supporting independence among older adults.</w:t>
      </w:r>
    </w:p>
    <w:p w14:paraId="54975AE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4D8811BC" w14:textId="77777777" w:rsidR="00D6248B" w:rsidRPr="00D6248B" w:rsidRDefault="00D6248B" w:rsidP="00D6248B">
      <w:pPr>
        <w:spacing w:before="100" w:beforeAutospacing="1" w:after="100" w:afterAutospacing="1" w:line="360" w:lineRule="auto"/>
        <w:rPr>
          <w:rFonts w:ascii="Arial" w:eastAsiaTheme="majorEastAsia" w:hAnsi="Arial" w:cs="Arial"/>
          <w:color w:val="0F4761" w:themeColor="accent1" w:themeShade="BF"/>
          <w:kern w:val="0"/>
          <w:sz w:val="22"/>
          <w:szCs w:val="22"/>
          <w14:ligatures w14:val="none"/>
        </w:rPr>
      </w:pPr>
      <w:r w:rsidRPr="00D6248B">
        <w:rPr>
          <w:rFonts w:ascii="Arial" w:hAnsi="Arial" w:cs="Arial"/>
          <w:kern w:val="0"/>
          <w:sz w:val="22"/>
          <w:szCs w:val="22"/>
          <w14:ligatures w14:val="none"/>
        </w:rPr>
        <w:t xml:space="preserve">Overall, this chapter addressed the research </w:t>
      </w:r>
      <w:bookmarkStart w:id="46" w:name="_Int_jqHA1rWO"/>
      <w:r w:rsidRPr="00D6248B">
        <w:rPr>
          <w:rFonts w:ascii="Arial" w:hAnsi="Arial" w:cs="Arial"/>
          <w:kern w:val="0"/>
          <w:sz w:val="22"/>
          <w:szCs w:val="22"/>
          <w14:ligatures w14:val="none"/>
        </w:rPr>
        <w:t>objectives</w:t>
      </w:r>
      <w:bookmarkEnd w:id="46"/>
      <w:r w:rsidRPr="00D6248B">
        <w:rPr>
          <w:rFonts w:ascii="Arial" w:hAnsi="Arial" w:cs="Arial"/>
          <w:kern w:val="0"/>
          <w:sz w:val="22"/>
          <w:szCs w:val="22"/>
          <w14:ligatures w14:val="none"/>
        </w:rPr>
        <w:t xml:space="preserve"> by linking current literature to the physiological mechanisms and long-term impacts of T2DM. The following chapter will present the conclusion and recommendations of the study, including suggestions for improving diabetes care and support services for older adults living in Birmingham.</w:t>
      </w:r>
    </w:p>
    <w:p w14:paraId="781D38C1" w14:textId="77777777" w:rsidR="00D6248B" w:rsidRPr="00D6248B" w:rsidRDefault="00D6248B" w:rsidP="00D6248B">
      <w:pPr>
        <w:widowControl w:val="0"/>
        <w:autoSpaceDE w:val="0"/>
        <w:autoSpaceDN w:val="0"/>
        <w:spacing w:after="0" w:line="360" w:lineRule="auto"/>
        <w:outlineLvl w:val="0"/>
        <w:rPr>
          <w:rFonts w:asciiTheme="majorHAnsi" w:eastAsiaTheme="majorEastAsia" w:hAnsiTheme="majorHAnsi" w:cs="Arial"/>
          <w:b/>
          <w:color w:val="0F4761" w:themeColor="accent1" w:themeShade="BF"/>
          <w:kern w:val="0"/>
          <w:sz w:val="32"/>
          <w:szCs w:val="32"/>
          <w:lang w:bidi="en-GB"/>
          <w14:ligatures w14:val="none"/>
        </w:rPr>
      </w:pPr>
    </w:p>
    <w:p w14:paraId="14172DB1" w14:textId="77777777" w:rsidR="00D6248B" w:rsidRPr="00D6248B" w:rsidRDefault="00D6248B" w:rsidP="00D6248B">
      <w:pPr>
        <w:widowControl w:val="0"/>
        <w:autoSpaceDE w:val="0"/>
        <w:autoSpaceDN w:val="0"/>
        <w:spacing w:after="0" w:line="360" w:lineRule="auto"/>
        <w:outlineLvl w:val="0"/>
        <w:rPr>
          <w:rFonts w:asciiTheme="majorHAnsi" w:eastAsiaTheme="majorEastAsia" w:hAnsiTheme="majorHAnsi" w:cs="Arial"/>
          <w:b/>
          <w:color w:val="0F4761" w:themeColor="accent1" w:themeShade="BF"/>
          <w:kern w:val="0"/>
          <w:sz w:val="32"/>
          <w:szCs w:val="32"/>
          <w:lang w:bidi="en-GB"/>
          <w14:ligatures w14:val="none"/>
        </w:rPr>
      </w:pPr>
    </w:p>
    <w:p w14:paraId="5840903A" w14:textId="77777777" w:rsidR="00D6248B" w:rsidRPr="00D6248B" w:rsidRDefault="00D6248B" w:rsidP="00D6248B">
      <w:pPr>
        <w:widowControl w:val="0"/>
        <w:autoSpaceDE w:val="0"/>
        <w:autoSpaceDN w:val="0"/>
        <w:spacing w:after="0" w:line="360" w:lineRule="auto"/>
        <w:outlineLvl w:val="0"/>
        <w:rPr>
          <w:rFonts w:asciiTheme="majorHAnsi" w:eastAsiaTheme="majorEastAsia" w:hAnsiTheme="majorHAnsi" w:cs="Arial"/>
          <w:b/>
          <w:color w:val="0F4761" w:themeColor="accent1" w:themeShade="BF"/>
          <w:kern w:val="0"/>
          <w:sz w:val="32"/>
          <w:szCs w:val="32"/>
          <w:lang w:bidi="en-GB"/>
          <w14:ligatures w14:val="none"/>
        </w:rPr>
      </w:pPr>
    </w:p>
    <w:p w14:paraId="3FE9F25D" w14:textId="77777777" w:rsidR="00D6248B" w:rsidRPr="00D6248B" w:rsidRDefault="00D6248B" w:rsidP="00D6248B">
      <w:pPr>
        <w:widowControl w:val="0"/>
        <w:autoSpaceDE w:val="0"/>
        <w:autoSpaceDN w:val="0"/>
        <w:spacing w:after="0" w:line="360" w:lineRule="auto"/>
        <w:outlineLvl w:val="0"/>
        <w:rPr>
          <w:rFonts w:ascii="Arial" w:eastAsia="Calibri Light" w:hAnsi="Arial" w:cs="Arial"/>
          <w:b/>
          <w:kern w:val="0"/>
          <w:sz w:val="22"/>
          <w:szCs w:val="22"/>
          <w:lang w:bidi="en-GB"/>
          <w14:ligatures w14:val="none"/>
        </w:rPr>
      </w:pPr>
      <w:r w:rsidRPr="00D6248B">
        <w:rPr>
          <w:rFonts w:asciiTheme="majorHAnsi" w:eastAsiaTheme="majorEastAsia" w:hAnsiTheme="majorHAnsi" w:cs="Arial"/>
          <w:b/>
          <w:color w:val="0F4761" w:themeColor="accent1" w:themeShade="BF"/>
          <w:kern w:val="0"/>
          <w:sz w:val="32"/>
          <w:szCs w:val="32"/>
          <w:lang w:bidi="en-GB"/>
          <w14:ligatures w14:val="none"/>
        </w:rPr>
        <w:t>CHAPTER 5 – Conclusion and Recommendations</w:t>
      </w:r>
      <w:r w:rsidRPr="00D6248B">
        <w:rPr>
          <w:rFonts w:ascii="Arial" w:eastAsia="Calibri Light" w:hAnsi="Arial" w:cs="Arial"/>
          <w:b/>
          <w:kern w:val="0"/>
          <w:sz w:val="22"/>
          <w:szCs w:val="22"/>
          <w:lang w:bidi="en-GB"/>
          <w14:ligatures w14:val="none"/>
        </w:rPr>
        <w:t xml:space="preserve"> (1,000 words approx.)</w:t>
      </w:r>
    </w:p>
    <w:p w14:paraId="0D03A5D7"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6"/>
          <w:szCs w:val="36"/>
        </w:rPr>
      </w:pPr>
      <w:r w:rsidRPr="00D6248B">
        <w:rPr>
          <w:rFonts w:ascii="Arial" w:eastAsiaTheme="majorEastAsia" w:hAnsi="Arial" w:cs="Arial"/>
          <w:b/>
          <w:bCs/>
          <w:color w:val="0F4761" w:themeColor="accent1" w:themeShade="BF"/>
          <w:sz w:val="36"/>
          <w:szCs w:val="36"/>
        </w:rPr>
        <w:t>5.1 Conclusion</w:t>
      </w:r>
    </w:p>
    <w:p w14:paraId="5FFDEA97"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This dissertation explored the physiological mechanisms and long-term health impacts of Type 2 Diabetes Mellitus (T2DM) among older adults living in Birmingham. Through a systematic review and thematic analysis of contemporary literature, the study examined the biological processes underlying disease development, evaluated the consequences of long-term metabolic dysfunction, and considered strategies to improve management and support within health and social care settings.</w:t>
      </w:r>
    </w:p>
    <w:p w14:paraId="2B1D999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findings demonstrated that T2DM is a multifactorial and progressive condition driven by interconnected physiological mechanisms, including insulin resistance, beta-cell dysfunction, chronic inflammation, and age-related metabolic decline. These processes contribute to persistent hyperglycaemia and increase susceptibility to a range of serious complications. The evidence further highlighted that ageing exacerbates metabolic dysfunction through reductions in muscle mass, increased visceral adiposity, oxidative stress, and impaired physiological resilience.</w:t>
      </w:r>
    </w:p>
    <w:p w14:paraId="299B186B"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study also demonstrated that long-term complications of T2DM extend beyond glucose dysregulation and significantly affect overall health and wellbeing. Cardiovascular disease, neuropathy, nephropathy, retinopathy, frailty, cognitive decline, and reduced functional independence were consistently identified as major consequences of prolonged hyperglycaemia. These complications can negatively impact quality of life, increase dependency on health and social care services, and place substantial pressure on healthcare resources.</w:t>
      </w:r>
    </w:p>
    <w:p w14:paraId="3E04886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Importantly, the research highlighted that biological factors alone do not explain the burden of T2DM. Socioeconomic deprivation, ethnic inequalities, lifestyle factors, and healthcare accessibility all influence disease prevalence, progression, and outcomes. This is particularly relevant within Birmingham, where demographic diversity and health inequalities contribute to increased diabetes risk among older adults.</w:t>
      </w:r>
    </w:p>
    <w:p w14:paraId="4EF2A958"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findings suggest that effective diabetes management requires a holistic approach integrating medical treatment, patient education, preventative healthcare, and coordinated health and social care services. Early intervention, personalised care planning, and culturally appropriate support programmes were identified as essential components of effective diabetes management.</w:t>
      </w:r>
    </w:p>
    <w:p w14:paraId="4E577673"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Although the study was limited by its reliance on secondary literature and the availability of Birmingham-specific evidence, it provides a comprehensive understanding of the complex relationship between physiological mechanisms, ageing, and long-term health outcomes. Overall, the research concludes that improving prevention, early diagnosis, and integrated care pathways is essential for reducing complications and enhancing the health, independence, and quality of life of older adults living with Type 2 Diabetes Mellitus in Birmingham.</w:t>
      </w:r>
    </w:p>
    <w:p w14:paraId="0C67FFAF" w14:textId="77777777" w:rsidR="00D6248B" w:rsidRPr="00D6248B" w:rsidRDefault="00D6248B" w:rsidP="00D6248B">
      <w:pPr>
        <w:spacing w:line="360" w:lineRule="auto"/>
        <w:jc w:val="both"/>
        <w:rPr>
          <w:rFonts w:ascii="Arial" w:hAnsi="Arial" w:cs="Arial"/>
          <w:sz w:val="22"/>
          <w:szCs w:val="22"/>
          <w:lang w:eastAsia="zh-CN"/>
        </w:rPr>
      </w:pPr>
    </w:p>
    <w:p w14:paraId="0CC89141"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32"/>
          <w:szCs w:val="32"/>
          <w:lang w:eastAsia="zh-CN"/>
        </w:rPr>
      </w:pPr>
      <w:r w:rsidRPr="00D6248B">
        <w:rPr>
          <w:rFonts w:ascii="Arial" w:eastAsiaTheme="majorEastAsia" w:hAnsi="Arial" w:cs="Arial"/>
          <w:b/>
          <w:bCs/>
          <w:color w:val="0F4761" w:themeColor="accent1" w:themeShade="BF"/>
          <w:sz w:val="36"/>
          <w:szCs w:val="36"/>
          <w:lang w:eastAsia="zh-CN"/>
        </w:rPr>
        <w:t>5.2 – Recommendations</w:t>
      </w:r>
      <w:r w:rsidRPr="00D6248B">
        <w:rPr>
          <w:rFonts w:ascii="Arial" w:eastAsiaTheme="majorEastAsia" w:hAnsi="Arial" w:cs="Arial"/>
          <w:color w:val="0F4761" w:themeColor="accent1" w:themeShade="BF"/>
          <w:sz w:val="32"/>
          <w:szCs w:val="32"/>
          <w:lang w:eastAsia="zh-CN"/>
        </w:rPr>
        <w:t xml:space="preserve"> (800 words approx.) 200 more </w:t>
      </w:r>
    </w:p>
    <w:p w14:paraId="05791254" w14:textId="77777777" w:rsidR="00D6248B" w:rsidRPr="00D6248B" w:rsidRDefault="00D6248B" w:rsidP="00D6248B">
      <w:pPr>
        <w:spacing w:line="360" w:lineRule="auto"/>
        <w:jc w:val="both"/>
        <w:rPr>
          <w:rFonts w:ascii="Arial" w:hAnsi="Arial" w:cs="Arial"/>
          <w:sz w:val="22"/>
          <w:szCs w:val="22"/>
          <w:lang w:eastAsia="zh-CN"/>
        </w:rPr>
      </w:pPr>
    </w:p>
    <w:p w14:paraId="10C0DE56"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6"/>
          <w:szCs w:val="36"/>
        </w:rPr>
      </w:pPr>
      <w:r w:rsidRPr="00D6248B">
        <w:rPr>
          <w:rFonts w:ascii="Aptos" w:eastAsiaTheme="majorEastAsia" w:hAnsi="Aptos" w:cstheme="majorBidi"/>
          <w:noProof/>
          <w:color w:val="0F4761" w:themeColor="accent1" w:themeShade="BF"/>
          <w:szCs w:val="26"/>
          <w:lang w:eastAsia="zh-CN"/>
        </w:rPr>
        <w:drawing>
          <wp:anchor distT="0" distB="0" distL="114300" distR="114300" simplePos="0" relativeHeight="251658241" behindDoc="0" locked="0" layoutInCell="1" allowOverlap="1" wp14:anchorId="19294E8C" wp14:editId="60B7132B">
            <wp:simplePos x="0" y="0"/>
            <wp:positionH relativeFrom="page">
              <wp:posOffset>649605</wp:posOffset>
            </wp:positionH>
            <wp:positionV relativeFrom="paragraph">
              <wp:posOffset>878205</wp:posOffset>
            </wp:positionV>
            <wp:extent cx="5017770" cy="2311400"/>
            <wp:effectExtent l="0" t="0" r="0" b="0"/>
            <wp:wrapTopAndBottom/>
            <wp:docPr id="480810617" name="Picture 480810617">
              <a:extLst xmlns:a="http://schemas.openxmlformats.org/drawingml/2006/main">
                <a:ext uri="{FF2B5EF4-FFF2-40B4-BE49-F238E27FC236}">
                  <a16:creationId xmlns:a16="http://schemas.microsoft.com/office/drawing/2014/main" id="{11FF38CC-05A1-4FDB-9C14-5081754BDB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810617" name=""/>
                    <pic:cNvPicPr/>
                  </pic:nvPicPr>
                  <pic:blipFill>
                    <a:blip r:embed="rId6"/>
                    <a:stretch>
                      <a:fillRect/>
                    </a:stretch>
                  </pic:blipFill>
                  <pic:spPr>
                    <a:xfrm>
                      <a:off x="0" y="0"/>
                      <a:ext cx="5017770" cy="2311400"/>
                    </a:xfrm>
                    <a:prstGeom prst="rect">
                      <a:avLst/>
                    </a:prstGeom>
                  </pic:spPr>
                </pic:pic>
              </a:graphicData>
            </a:graphic>
            <wp14:sizeRelH relativeFrom="margin">
              <wp14:pctWidth>0</wp14:pctWidth>
            </wp14:sizeRelH>
            <wp14:sizeRelV relativeFrom="margin">
              <wp14:pctHeight>0</wp14:pctHeight>
            </wp14:sizeRelV>
          </wp:anchor>
        </w:drawing>
      </w:r>
      <w:r w:rsidRPr="00D6248B">
        <w:rPr>
          <w:rFonts w:ascii="Aptos" w:eastAsiaTheme="majorEastAsia" w:hAnsi="Aptos" w:cstheme="majorBidi"/>
          <w:b/>
          <w:bCs/>
          <w:color w:val="0F4761" w:themeColor="accent1" w:themeShade="BF"/>
          <w:sz w:val="32"/>
          <w:szCs w:val="32"/>
          <w:lang w:eastAsia="zh-CN"/>
        </w:rPr>
        <w:t>5.2.1</w:t>
      </w:r>
      <w:r w:rsidRPr="00D6248B">
        <w:rPr>
          <w:rFonts w:ascii="Aptos" w:eastAsiaTheme="majorEastAsia" w:hAnsi="Aptos" w:cstheme="majorBidi"/>
          <w:color w:val="0F4761" w:themeColor="accent1" w:themeShade="BF"/>
          <w:sz w:val="32"/>
          <w:szCs w:val="32"/>
          <w:lang w:eastAsia="zh-CN"/>
        </w:rPr>
        <w:t xml:space="preserve"> – </w:t>
      </w:r>
      <w:r w:rsidRPr="00D6248B">
        <w:rPr>
          <w:rFonts w:ascii="Arial" w:eastAsiaTheme="majorEastAsia" w:hAnsi="Arial" w:cs="Arial"/>
          <w:b/>
          <w:bCs/>
          <w:color w:val="0F4761" w:themeColor="accent1" w:themeShade="BF"/>
          <w:sz w:val="36"/>
          <w:szCs w:val="36"/>
          <w:lang w:eastAsia="zh-CN"/>
        </w:rPr>
        <w:t xml:space="preserve">Recommendation 1 </w:t>
      </w:r>
      <w:r w:rsidRPr="00D6248B">
        <w:rPr>
          <w:rFonts w:ascii="Arial" w:eastAsiaTheme="majorEastAsia" w:hAnsi="Arial" w:cs="Arial"/>
          <w:b/>
          <w:bCs/>
          <w:color w:val="0F4761" w:themeColor="accent1" w:themeShade="BF"/>
          <w:sz w:val="36"/>
          <w:szCs w:val="36"/>
        </w:rPr>
        <w:t>– Improve Early Screening and Diagnosis Programmes</w:t>
      </w:r>
    </w:p>
    <w:p w14:paraId="521E3719" w14:textId="77777777" w:rsidR="00D6248B" w:rsidRPr="00D6248B" w:rsidRDefault="00D6248B" w:rsidP="00D6248B">
      <w:pPr>
        <w:spacing w:line="360" w:lineRule="auto"/>
        <w:jc w:val="both"/>
        <w:rPr>
          <w:rFonts w:ascii="Aptos" w:hAnsi="Aptos"/>
          <w:sz w:val="22"/>
          <w:szCs w:val="22"/>
        </w:rPr>
      </w:pPr>
    </w:p>
    <w:tbl>
      <w:tblPr>
        <w:tblStyle w:val="TableGrid"/>
        <w:tblpPr w:leftFromText="180" w:rightFromText="180" w:vertAnchor="text" w:horzAnchor="margin" w:tblpY="-498"/>
        <w:tblW w:w="0" w:type="auto"/>
        <w:tblLook w:val="04A0" w:firstRow="1" w:lastRow="0" w:firstColumn="1" w:lastColumn="0" w:noHBand="0" w:noVBand="1"/>
      </w:tblPr>
      <w:tblGrid>
        <w:gridCol w:w="9016"/>
      </w:tblGrid>
      <w:tr w:rsidR="00D6248B" w:rsidRPr="00D6248B" w14:paraId="4480ABFD" w14:textId="77777777" w:rsidTr="00CC67CB">
        <w:tc>
          <w:tcPr>
            <w:tcW w:w="9016" w:type="dxa"/>
          </w:tcPr>
          <w:p w14:paraId="6C349A36" w14:textId="77777777" w:rsidR="00D6248B" w:rsidRPr="00D6248B" w:rsidRDefault="00D6248B" w:rsidP="00D6248B">
            <w:pPr>
              <w:spacing w:before="100" w:beforeAutospacing="1" w:after="100" w:afterAutospacing="1" w:line="360" w:lineRule="auto"/>
              <w:rPr>
                <w:rFonts w:ascii="Arial" w:hAnsi="Arial" w:cs="Arial"/>
              </w:rPr>
            </w:pPr>
            <w:r w:rsidRPr="00D6248B">
              <w:rPr>
                <w:rFonts w:ascii="Arial" w:hAnsi="Arial" w:cs="Arial"/>
              </w:rPr>
              <w:t>Figure 1: shows a patient receiving routine health screening from a healthcare professional, illustrating how early detection through regular screening supports preventive healthcare and improves treatment outcomes.</w:t>
            </w:r>
          </w:p>
          <w:p w14:paraId="390D0B8B" w14:textId="77777777" w:rsidR="00D6248B" w:rsidRPr="00D6248B" w:rsidRDefault="00D6248B" w:rsidP="00D6248B">
            <w:pPr>
              <w:spacing w:line="360" w:lineRule="auto"/>
              <w:jc w:val="both"/>
              <w:rPr>
                <w:rFonts w:ascii="Aptos" w:hAnsi="Aptos"/>
              </w:rPr>
            </w:pPr>
          </w:p>
        </w:tc>
      </w:tr>
    </w:tbl>
    <w:p w14:paraId="1752D03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5F0BB15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One important recommendation is to improve early screening and diagnosis programmes for older adults at risk of Type 2 Diabetes Mellitus within Birmingham. Early detection through screening can improve treatment outcomes (NHS, 2024). insulin resistance and abnormal glucose regulation before severe complications develop. Healthcare providers should increase routine diabetes screening within GP practices, community health centres, pharmacies, and care homes, particularly for adults aged over 65 years and individuals from high-risk communities (NHS England, 2019).</w:t>
      </w:r>
    </w:p>
    <w:p w14:paraId="5EA02AA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4190474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Early intervention may reduce the risk of cardiovascular disease, neuropathy, and kidney damage through earlier treatment and lifestyle support (</w:t>
      </w:r>
      <w:proofErr w:type="spellStart"/>
      <w:r w:rsidRPr="00D6248B">
        <w:rPr>
          <w:rFonts w:ascii="Arial" w:hAnsi="Arial" w:cs="Arial"/>
          <w:kern w:val="0"/>
          <w:sz w:val="22"/>
          <w:szCs w:val="22"/>
          <w14:ligatures w14:val="none"/>
        </w:rPr>
        <w:t>Rawshani</w:t>
      </w:r>
      <w:proofErr w:type="spellEnd"/>
      <w:r w:rsidRPr="00D6248B">
        <w:rPr>
          <w:rFonts w:ascii="Arial" w:hAnsi="Arial" w:cs="Arial"/>
          <w:kern w:val="0"/>
          <w:sz w:val="22"/>
          <w:szCs w:val="22"/>
          <w14:ligatures w14:val="none"/>
        </w:rPr>
        <w:t xml:space="preserve"> et al., 2018). Increased screening can also improve patient education and encourage healthier lifestyle choices before complications become severe.</w:t>
      </w:r>
    </w:p>
    <w:p w14:paraId="570AE14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577252DD"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However, barriers to this recommendation include limited NHS resources, staff shortages, and reduced patient engagement. Some older adults may also avoid screening due to fear, lack of awareness, or cultural barriers. To overcome these challenges, healthcare providers should introduce culturally sensitive awareness campaigns, mobile screening services, and community outreach programmes (Diabetes UK, 2023). Greater collaboration between local councils, GP surgeries, and community organisations may also improve accessibility and participation.</w:t>
      </w:r>
    </w:p>
    <w:p w14:paraId="57E1C6D8" w14:textId="77777777" w:rsidR="00D6248B" w:rsidRPr="00D6248B" w:rsidRDefault="00D6248B" w:rsidP="00D6248B">
      <w:pPr>
        <w:widowControl w:val="0"/>
        <w:autoSpaceDE w:val="0"/>
        <w:autoSpaceDN w:val="0"/>
        <w:spacing w:after="0" w:line="360" w:lineRule="auto"/>
        <w:outlineLvl w:val="0"/>
        <w:rPr>
          <w:rFonts w:ascii="Arial" w:eastAsia="Calibri Light" w:hAnsi="Arial" w:cs="Arial"/>
          <w:b/>
          <w:kern w:val="0"/>
          <w:sz w:val="22"/>
          <w:szCs w:val="22"/>
          <w:lang w:bidi="en-GB"/>
          <w14:ligatures w14:val="none"/>
        </w:rPr>
      </w:pPr>
    </w:p>
    <w:p w14:paraId="0B962F27" w14:textId="77777777" w:rsidR="00D6248B" w:rsidRPr="00D6248B" w:rsidRDefault="00D6248B"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1B9BA71D" w14:textId="77777777" w:rsidR="00D6248B" w:rsidRPr="00D6248B" w:rsidRDefault="00D6248B" w:rsidP="00D6248B">
      <w:pPr>
        <w:keepNext/>
        <w:keepLines/>
        <w:spacing w:before="40" w:after="0" w:line="360" w:lineRule="auto"/>
        <w:jc w:val="both"/>
        <w:outlineLvl w:val="1"/>
        <w:rPr>
          <w:rFonts w:ascii="Arial" w:eastAsiaTheme="majorEastAsia" w:hAnsi="Arial" w:cs="Arial"/>
          <w:color w:val="0F4761" w:themeColor="accent1" w:themeShade="BF"/>
          <w:sz w:val="32"/>
          <w:szCs w:val="32"/>
        </w:rPr>
      </w:pPr>
      <w:r w:rsidRPr="00D6248B">
        <w:rPr>
          <w:rFonts w:ascii="Aptos" w:eastAsiaTheme="majorEastAsia" w:hAnsi="Aptos" w:cstheme="majorBidi"/>
          <w:noProof/>
          <w:color w:val="0F4761" w:themeColor="accent1" w:themeShade="BF"/>
          <w:szCs w:val="26"/>
          <w:lang w:eastAsia="zh-CN"/>
        </w:rPr>
        <w:drawing>
          <wp:anchor distT="0" distB="0" distL="114300" distR="114300" simplePos="0" relativeHeight="251658240" behindDoc="0" locked="0" layoutInCell="1" allowOverlap="1" wp14:anchorId="6A674F4E" wp14:editId="185A58C0">
            <wp:simplePos x="0" y="0"/>
            <wp:positionH relativeFrom="column">
              <wp:posOffset>392430</wp:posOffset>
            </wp:positionH>
            <wp:positionV relativeFrom="paragraph">
              <wp:posOffset>1027430</wp:posOffset>
            </wp:positionV>
            <wp:extent cx="4163695" cy="2236470"/>
            <wp:effectExtent l="0" t="0" r="8255" b="0"/>
            <wp:wrapTopAndBottom/>
            <wp:docPr id="237524242" name="Picture 1">
              <a:extLst xmlns:a="http://schemas.openxmlformats.org/drawingml/2006/main">
                <a:ext uri="{FF2B5EF4-FFF2-40B4-BE49-F238E27FC236}">
                  <a16:creationId xmlns:a16="http://schemas.microsoft.com/office/drawing/2014/main" id="{2526E6F6-E3B7-492F-90E3-06DE64B8C6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24242" name=""/>
                    <pic:cNvPicPr/>
                  </pic:nvPicPr>
                  <pic:blipFill>
                    <a:blip r:embed="rId7"/>
                    <a:stretch>
                      <a:fillRect/>
                    </a:stretch>
                  </pic:blipFill>
                  <pic:spPr>
                    <a:xfrm>
                      <a:off x="0" y="0"/>
                      <a:ext cx="4163695" cy="2236470"/>
                    </a:xfrm>
                    <a:prstGeom prst="rect">
                      <a:avLst/>
                    </a:prstGeom>
                  </pic:spPr>
                </pic:pic>
              </a:graphicData>
            </a:graphic>
            <wp14:sizeRelH relativeFrom="margin">
              <wp14:pctWidth>0</wp14:pctWidth>
            </wp14:sizeRelH>
            <wp14:sizeRelV relativeFrom="margin">
              <wp14:pctHeight>0</wp14:pctHeight>
            </wp14:sizeRelV>
          </wp:anchor>
        </w:drawing>
      </w:r>
      <w:r w:rsidRPr="00D6248B">
        <w:rPr>
          <w:rFonts w:ascii="Arial" w:eastAsiaTheme="majorEastAsia" w:hAnsi="Arial" w:cs="Arial"/>
          <w:color w:val="0F4761" w:themeColor="accent1" w:themeShade="BF"/>
          <w:sz w:val="32"/>
          <w:szCs w:val="32"/>
          <w:lang w:eastAsia="zh-CN"/>
        </w:rPr>
        <w:t>5.2.2</w:t>
      </w:r>
      <w:r w:rsidRPr="00D6248B">
        <w:rPr>
          <w:rFonts w:ascii="Arial" w:eastAsiaTheme="majorEastAsia" w:hAnsi="Arial" w:cs="Arial"/>
          <w:color w:val="0F4761" w:themeColor="accent1" w:themeShade="BF"/>
          <w:sz w:val="22"/>
          <w:szCs w:val="22"/>
          <w:lang w:eastAsia="zh-CN"/>
        </w:rPr>
        <w:t xml:space="preserve"> – </w:t>
      </w:r>
      <w:r w:rsidRPr="00D6248B">
        <w:rPr>
          <w:rFonts w:ascii="Arial" w:eastAsiaTheme="majorEastAsia" w:hAnsi="Arial" w:cs="Arial"/>
          <w:color w:val="0F4761" w:themeColor="accent1" w:themeShade="BF"/>
          <w:sz w:val="32"/>
          <w:szCs w:val="32"/>
          <w:lang w:eastAsia="zh-CN"/>
        </w:rPr>
        <w:t>Recommendation Increase</w:t>
      </w:r>
      <w:r w:rsidRPr="00D6248B">
        <w:rPr>
          <w:rFonts w:ascii="Arial" w:eastAsiaTheme="majorEastAsia" w:hAnsi="Arial" w:cs="Arial"/>
          <w:color w:val="0F4761" w:themeColor="accent1" w:themeShade="BF"/>
          <w:sz w:val="32"/>
          <w:szCs w:val="32"/>
        </w:rPr>
        <w:t xml:space="preserve"> Personalised Diabetes Education and Lifestyle Support</w:t>
      </w:r>
    </w:p>
    <w:p w14:paraId="3D66C30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tbl>
      <w:tblPr>
        <w:tblStyle w:val="TableGrid"/>
        <w:tblW w:w="10065" w:type="dxa"/>
        <w:tblInd w:w="-572" w:type="dxa"/>
        <w:tblLook w:val="04A0" w:firstRow="1" w:lastRow="0" w:firstColumn="1" w:lastColumn="0" w:noHBand="0" w:noVBand="1"/>
      </w:tblPr>
      <w:tblGrid>
        <w:gridCol w:w="10065"/>
      </w:tblGrid>
      <w:tr w:rsidR="00D6248B" w:rsidRPr="00D6248B" w14:paraId="5354471A" w14:textId="77777777" w:rsidTr="00CC67CB">
        <w:tc>
          <w:tcPr>
            <w:tcW w:w="10065" w:type="dxa"/>
          </w:tcPr>
          <w:p w14:paraId="2A53AB12" w14:textId="77777777" w:rsidR="00D6248B" w:rsidRPr="00D6248B" w:rsidRDefault="00D6248B" w:rsidP="00D6248B">
            <w:pPr>
              <w:spacing w:line="360" w:lineRule="auto"/>
              <w:jc w:val="both"/>
              <w:rPr>
                <w:rFonts w:ascii="Arial" w:hAnsi="Arial" w:cs="Arial"/>
              </w:rPr>
            </w:pPr>
            <w:r w:rsidRPr="00D6248B">
              <w:rPr>
                <w:rFonts w:ascii="Arial" w:hAnsi="Arial" w:cs="Arial"/>
              </w:rPr>
              <w:t xml:space="preserve">Figure 4.1 Components of Diabetes Self-Management Education and Support (DSMES). Source: Author’s adaptation based on the reviewed literature, including Chatterjee, </w:t>
            </w:r>
            <w:proofErr w:type="spellStart"/>
            <w:r w:rsidRPr="00D6248B">
              <w:rPr>
                <w:rFonts w:ascii="Arial" w:hAnsi="Arial" w:cs="Arial"/>
              </w:rPr>
              <w:t>Khunti</w:t>
            </w:r>
            <w:proofErr w:type="spellEnd"/>
            <w:r w:rsidRPr="00D6248B">
              <w:rPr>
                <w:rFonts w:ascii="Arial" w:hAnsi="Arial" w:cs="Arial"/>
              </w:rPr>
              <w:t xml:space="preserve"> and Davies (2017), Zheng et al. (2018), and Diabetes UK (2023).</w:t>
            </w:r>
          </w:p>
          <w:p w14:paraId="66D6A3BC" w14:textId="77777777" w:rsidR="00D6248B" w:rsidRPr="00D6248B" w:rsidRDefault="00D6248B" w:rsidP="00D6248B">
            <w:pPr>
              <w:spacing w:before="100" w:beforeAutospacing="1" w:after="100" w:afterAutospacing="1" w:line="360" w:lineRule="auto"/>
              <w:rPr>
                <w:rFonts w:ascii="Arial" w:hAnsi="Arial" w:cs="Arial"/>
              </w:rPr>
            </w:pPr>
          </w:p>
        </w:tc>
      </w:tr>
    </w:tbl>
    <w:p w14:paraId="6338882F"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0ACD67D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Another recommendation is to improve access to personalised diabetes education and lifestyle support programmes for older adults living with T2DM. Education programmes should focus on healthy eating, physical activity, medication management, blood glucose monitoring, and complication prevention (Barlow et al., 2002). Providing personalised education can improve self-management skills and encourage older adults to take greater control of their condition.</w:t>
      </w:r>
    </w:p>
    <w:p w14:paraId="0514704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7C233158"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Lifestyle support services should also consider the specific needs of older adults, including mobility difficulties, sensory impairment, and mental health challenges. Healthcare professionals should work closely with patients and carers to develop realistic and achievable management plans.</w:t>
      </w:r>
    </w:p>
    <w:p w14:paraId="6D2904F6"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59B04548"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The positive impact of this recommendation includes improved glycaemic control, reduced hospital admissions, and better quality of life (Sinclair et al., 2020). Effective education may also reduce long-term healthcare costs by preventing complications and promoting independence.</w:t>
      </w:r>
    </w:p>
    <w:p w14:paraId="5A5EB4F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7E526C4E"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Despite these benefits, barriers such as financial limitations, low health literacy, language differences, and poor digital skills may reduce participation in education programmes. Some older adults may also struggle to </w:t>
      </w:r>
      <w:bookmarkStart w:id="47" w:name="_Int_QR5pGwPE"/>
      <w:r w:rsidRPr="00D6248B">
        <w:rPr>
          <w:rFonts w:ascii="Arial" w:hAnsi="Arial" w:cs="Arial"/>
          <w:kern w:val="0"/>
          <w:sz w:val="22"/>
          <w:szCs w:val="22"/>
          <w14:ligatures w14:val="none"/>
        </w:rPr>
        <w:t>maintain</w:t>
      </w:r>
      <w:bookmarkEnd w:id="47"/>
      <w:r w:rsidRPr="00D6248B">
        <w:rPr>
          <w:rFonts w:ascii="Arial" w:hAnsi="Arial" w:cs="Arial"/>
          <w:kern w:val="0"/>
          <w:sz w:val="22"/>
          <w:szCs w:val="22"/>
          <w14:ligatures w14:val="none"/>
        </w:rPr>
        <w:t xml:space="preserve"> long-term lifestyle changes due to physical limitations or social isolation. These barriers could </w:t>
      </w:r>
      <w:bookmarkStart w:id="48" w:name="_Int_ldkW6HAq"/>
      <w:r w:rsidRPr="00D6248B">
        <w:rPr>
          <w:rFonts w:ascii="Arial" w:hAnsi="Arial" w:cs="Arial"/>
          <w:kern w:val="0"/>
          <w:sz w:val="22"/>
          <w:szCs w:val="22"/>
          <w14:ligatures w14:val="none"/>
        </w:rPr>
        <w:t>be addressed</w:t>
      </w:r>
      <w:bookmarkEnd w:id="48"/>
      <w:r w:rsidRPr="00D6248B">
        <w:rPr>
          <w:rFonts w:ascii="Arial" w:hAnsi="Arial" w:cs="Arial"/>
          <w:kern w:val="0"/>
          <w:sz w:val="22"/>
          <w:szCs w:val="22"/>
          <w14:ligatures w14:val="none"/>
        </w:rPr>
        <w:t xml:space="preserve"> by offering free community-based programmes, translated educational materials, home visits, and </w:t>
      </w:r>
      <w:bookmarkStart w:id="49" w:name="_Int_nJCSRwzw"/>
      <w:r w:rsidRPr="00D6248B">
        <w:rPr>
          <w:rFonts w:ascii="Arial" w:hAnsi="Arial" w:cs="Arial"/>
          <w:kern w:val="0"/>
          <w:sz w:val="22"/>
          <w:szCs w:val="22"/>
          <w14:ligatures w14:val="none"/>
        </w:rPr>
        <w:t>additional</w:t>
      </w:r>
      <w:bookmarkEnd w:id="49"/>
      <w:r w:rsidRPr="00D6248B">
        <w:rPr>
          <w:rFonts w:ascii="Arial" w:hAnsi="Arial" w:cs="Arial"/>
          <w:kern w:val="0"/>
          <w:sz w:val="22"/>
          <w:szCs w:val="22"/>
          <w14:ligatures w14:val="none"/>
        </w:rPr>
        <w:t xml:space="preserve"> support from multidisciplinary healthcare teams.</w:t>
      </w:r>
    </w:p>
    <w:p w14:paraId="3B11EC17" w14:textId="77777777" w:rsidR="00D6248B" w:rsidRPr="00D6248B" w:rsidRDefault="00D6248B" w:rsidP="00D6248B">
      <w:pPr>
        <w:widowControl w:val="0"/>
        <w:autoSpaceDE w:val="0"/>
        <w:autoSpaceDN w:val="0"/>
        <w:spacing w:after="0" w:line="360" w:lineRule="auto"/>
        <w:outlineLvl w:val="0"/>
        <w:rPr>
          <w:rFonts w:ascii="Arial" w:eastAsia="Calibri Light" w:hAnsi="Arial" w:cs="Arial"/>
          <w:b/>
          <w:kern w:val="0"/>
          <w:sz w:val="22"/>
          <w:szCs w:val="22"/>
          <w:lang w:bidi="en-GB"/>
          <w14:ligatures w14:val="none"/>
        </w:rPr>
      </w:pPr>
    </w:p>
    <w:p w14:paraId="399AFCA8" w14:textId="77777777" w:rsidR="00D6248B" w:rsidRPr="00D6248B" w:rsidRDefault="00D6248B"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09DB8BC1" w14:textId="77777777" w:rsidR="00D6248B" w:rsidRPr="00D6248B" w:rsidRDefault="00D6248B" w:rsidP="00D6248B">
      <w:pPr>
        <w:keepNext/>
        <w:keepLines/>
        <w:spacing w:before="40" w:after="0" w:line="360" w:lineRule="auto"/>
        <w:jc w:val="both"/>
        <w:outlineLvl w:val="1"/>
        <w:rPr>
          <w:rFonts w:ascii="Arial" w:eastAsiaTheme="majorEastAsia" w:hAnsi="Arial" w:cs="Arial"/>
          <w:b/>
          <w:bCs/>
          <w:color w:val="0F4761" w:themeColor="accent1" w:themeShade="BF"/>
          <w:sz w:val="36"/>
          <w:szCs w:val="36"/>
        </w:rPr>
      </w:pPr>
      <w:r w:rsidRPr="00D6248B">
        <w:rPr>
          <w:rFonts w:ascii="Arial" w:eastAsiaTheme="majorEastAsia" w:hAnsi="Arial" w:cs="Arial"/>
          <w:b/>
          <w:bCs/>
          <w:color w:val="0F4761" w:themeColor="accent1" w:themeShade="BF"/>
          <w:sz w:val="36"/>
          <w:szCs w:val="36"/>
          <w:lang w:eastAsia="zh-CN"/>
        </w:rPr>
        <w:t xml:space="preserve">5.2.3 – Recommendation 3 </w:t>
      </w:r>
      <w:r w:rsidRPr="00D6248B">
        <w:rPr>
          <w:rFonts w:ascii="Arial" w:eastAsiaTheme="majorEastAsia" w:hAnsi="Arial" w:cs="Arial"/>
          <w:b/>
          <w:bCs/>
          <w:color w:val="0F4761" w:themeColor="accent1" w:themeShade="BF"/>
          <w:sz w:val="36"/>
          <w:szCs w:val="36"/>
        </w:rPr>
        <w:t>– Strengthen Integrated Health and Social Care Services</w:t>
      </w:r>
    </w:p>
    <w:p w14:paraId="468D32F8" w14:textId="77777777" w:rsidR="00D6248B" w:rsidRPr="00D6248B" w:rsidRDefault="00D6248B" w:rsidP="00D6248B">
      <w:pPr>
        <w:spacing w:line="360" w:lineRule="auto"/>
        <w:jc w:val="both"/>
        <w:rPr>
          <w:rFonts w:ascii="Aptos" w:hAnsi="Aptos"/>
          <w:sz w:val="22"/>
          <w:szCs w:val="22"/>
        </w:rPr>
      </w:pPr>
    </w:p>
    <w:p w14:paraId="31E9355A"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The final recommendation is to strengthen integrated health and social care services for older adults living with T2DM in Birmingham. Diabetes management often </w:t>
      </w:r>
      <w:bookmarkStart w:id="50" w:name="_Int_8zuqrRQD"/>
      <w:r w:rsidRPr="00D6248B">
        <w:rPr>
          <w:rFonts w:ascii="Arial" w:hAnsi="Arial" w:cs="Arial"/>
          <w:kern w:val="0"/>
          <w:sz w:val="22"/>
          <w:szCs w:val="22"/>
          <w14:ligatures w14:val="none"/>
        </w:rPr>
        <w:t>requires</w:t>
      </w:r>
      <w:bookmarkEnd w:id="50"/>
      <w:r w:rsidRPr="00D6248B">
        <w:rPr>
          <w:rFonts w:ascii="Arial" w:hAnsi="Arial" w:cs="Arial"/>
          <w:kern w:val="0"/>
          <w:sz w:val="22"/>
          <w:szCs w:val="22"/>
          <w14:ligatures w14:val="none"/>
        </w:rPr>
        <w:t xml:space="preserve"> support from multiple healthcare professionals, including GPs, nurses, dieticians, podiatrists, social workers, and mental health specialists. Improved communication and coordination between services may help provide more effective and patient-centred care (NICE, 2022).</w:t>
      </w:r>
    </w:p>
    <w:p w14:paraId="5AB08EB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425F03B4"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 xml:space="preserve">Integrated care services could improve monitoring of complications, reduce hospital admissions, and support older adults in </w:t>
      </w:r>
      <w:bookmarkStart w:id="51" w:name="_Int_UC4lXaT1"/>
      <w:r w:rsidRPr="00D6248B">
        <w:rPr>
          <w:rFonts w:ascii="Arial" w:hAnsi="Arial" w:cs="Arial"/>
          <w:kern w:val="0"/>
          <w:sz w:val="22"/>
          <w:szCs w:val="22"/>
          <w14:ligatures w14:val="none"/>
        </w:rPr>
        <w:t>maintaining</w:t>
      </w:r>
      <w:bookmarkEnd w:id="51"/>
      <w:r w:rsidRPr="00D6248B">
        <w:rPr>
          <w:rFonts w:ascii="Arial" w:hAnsi="Arial" w:cs="Arial"/>
          <w:kern w:val="0"/>
          <w:sz w:val="22"/>
          <w:szCs w:val="22"/>
          <w14:ligatures w14:val="none"/>
        </w:rPr>
        <w:t xml:space="preserve"> independence within their own homes (NHS England, 2019). Community-based healthcare programmes may also provide emotional support and reduce social isolation among individuals living with chronic illness.</w:t>
      </w:r>
    </w:p>
    <w:p w14:paraId="521DDD57"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5EC14159"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One positive implication of integrated care is improved continuity of treatment and earlier identification of complications. Older adults may receive more holistic support that addresses both medical and social care needs. This approach may also reduce pressure on hospitals and emergency healthcare services.</w:t>
      </w:r>
    </w:p>
    <w:p w14:paraId="36F4DF01"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p>
    <w:p w14:paraId="6B1C03E0" w14:textId="77777777" w:rsidR="00D6248B" w:rsidRPr="00D6248B" w:rsidRDefault="00D6248B" w:rsidP="00D6248B">
      <w:pPr>
        <w:spacing w:before="100" w:beforeAutospacing="1" w:after="100" w:afterAutospacing="1" w:line="360" w:lineRule="auto"/>
        <w:rPr>
          <w:rFonts w:ascii="Arial" w:hAnsi="Arial" w:cs="Arial"/>
          <w:kern w:val="0"/>
          <w:sz w:val="22"/>
          <w:szCs w:val="22"/>
          <w14:ligatures w14:val="none"/>
        </w:rPr>
      </w:pPr>
      <w:r w:rsidRPr="00D6248B">
        <w:rPr>
          <w:rFonts w:ascii="Arial" w:hAnsi="Arial" w:cs="Arial"/>
          <w:kern w:val="0"/>
          <w:sz w:val="22"/>
          <w:szCs w:val="22"/>
          <w14:ligatures w14:val="none"/>
        </w:rPr>
        <w:t>However, barriers include funding limitations, workforce shortages, and communication difficulties between healthcare departments. Some organisations may also use different record systems, making information sharing more difficult. To overcome these issues, healthcare providers should invest in shared digital systems, staff training, and multidisciplinary teamwork. Increased government funding and policy support may also improve the effectiveness of integrated diabetes care services (NHS Digital, 2022).</w:t>
      </w:r>
    </w:p>
    <w:p w14:paraId="2CCD9266" w14:textId="77777777" w:rsidR="00D6248B" w:rsidRDefault="00D6248B"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694B0963" w14:textId="77777777" w:rsidR="00FE5A1C" w:rsidRPr="00FE5A1C" w:rsidRDefault="00FE5A1C" w:rsidP="00FE5A1C">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r w:rsidRPr="00FE5A1C">
        <w:rPr>
          <w:rFonts w:ascii="Arial" w:eastAsiaTheme="majorEastAsia" w:hAnsi="Arial" w:cs="Arial"/>
          <w:b/>
          <w:bCs/>
          <w:color w:val="0F4761" w:themeColor="accent1" w:themeShade="BF"/>
          <w:sz w:val="36"/>
          <w:szCs w:val="36"/>
          <w:lang w:eastAsia="zh-CN"/>
        </w:rPr>
        <w:t xml:space="preserve">CHAPTER 6 – References and Appendices </w:t>
      </w:r>
    </w:p>
    <w:p w14:paraId="7EB41D43" w14:textId="77777777" w:rsidR="00FE5A1C" w:rsidRPr="00FE5A1C" w:rsidRDefault="00FE5A1C" w:rsidP="00FE5A1C">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p>
    <w:p w14:paraId="5ED38EAC" w14:textId="77777777" w:rsidR="00FE5A1C" w:rsidRPr="00FE5A1C" w:rsidRDefault="00FE5A1C" w:rsidP="00FE5A1C">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r w:rsidRPr="00FE5A1C">
        <w:rPr>
          <w:rFonts w:ascii="Arial" w:eastAsiaTheme="majorEastAsia" w:hAnsi="Arial" w:cs="Arial"/>
          <w:b/>
          <w:bCs/>
          <w:color w:val="0F4761" w:themeColor="accent1" w:themeShade="BF"/>
          <w:sz w:val="36"/>
          <w:szCs w:val="36"/>
          <w:lang w:eastAsia="zh-CN"/>
        </w:rPr>
        <w:t xml:space="preserve">6.1 – References </w:t>
      </w:r>
    </w:p>
    <w:p w14:paraId="75153592"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proofErr w:type="spellStart"/>
      <w:r w:rsidRPr="00FE5A1C">
        <w:rPr>
          <w:rFonts w:ascii="Arial" w:hAnsi="Arial" w:cs="Arial"/>
          <w:kern w:val="0"/>
          <w:sz w:val="22"/>
          <w:szCs w:val="22"/>
          <w14:ligatures w14:val="none"/>
        </w:rPr>
        <w:t>Accili</w:t>
      </w:r>
      <w:proofErr w:type="spellEnd"/>
      <w:r w:rsidRPr="00FE5A1C">
        <w:rPr>
          <w:rFonts w:ascii="Arial" w:hAnsi="Arial" w:cs="Arial"/>
          <w:kern w:val="0"/>
          <w:sz w:val="22"/>
          <w:szCs w:val="22"/>
          <w14:ligatures w14:val="none"/>
        </w:rPr>
        <w:t xml:space="preserve">, D., Deng, Z. and Liu, Q. (2025) ‘Insulin resistance in type 2 diabetes mellitus’, </w:t>
      </w:r>
      <w:r w:rsidRPr="00FE5A1C">
        <w:rPr>
          <w:rFonts w:ascii="Arial" w:hAnsi="Arial" w:cs="Arial"/>
          <w:i/>
          <w:kern w:val="0"/>
          <w:sz w:val="22"/>
          <w:szCs w:val="22"/>
          <w14:ligatures w14:val="none"/>
        </w:rPr>
        <w:t>Nature Reviews Endocrinology</w:t>
      </w:r>
      <w:r w:rsidRPr="00FE5A1C">
        <w:rPr>
          <w:rFonts w:ascii="Arial" w:hAnsi="Arial" w:cs="Arial"/>
          <w:kern w:val="0"/>
          <w:sz w:val="22"/>
          <w:szCs w:val="22"/>
          <w14:ligatures w14:val="none"/>
        </w:rPr>
        <w:t xml:space="preserve">. Available at: </w:t>
      </w:r>
      <w:hyperlink r:id="rId8" w:history="1">
        <w:r w:rsidRPr="00FE5A1C">
          <w:rPr>
            <w:rFonts w:ascii="Arial" w:hAnsi="Arial" w:cs="Arial"/>
            <w:color w:val="0000FF"/>
            <w:kern w:val="0"/>
            <w:sz w:val="22"/>
            <w:szCs w:val="22"/>
            <w:u w:val="single"/>
            <w14:ligatures w14:val="none"/>
          </w:rPr>
          <w:t>https://doi.org/10.1038/s41574-025-01114-y</w:t>
        </w:r>
      </w:hyperlink>
      <w:r w:rsidRPr="00FE5A1C">
        <w:rPr>
          <w:rFonts w:ascii="Arial" w:hAnsi="Arial" w:cs="Arial"/>
          <w:sz w:val="22"/>
          <w:szCs w:val="22"/>
          <w:lang w:eastAsia="zh-CN"/>
        </w:rPr>
        <w:t>.</w:t>
      </w:r>
    </w:p>
    <w:p w14:paraId="49B5211E"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Ahlqvist, E., Storm, P., </w:t>
      </w:r>
      <w:proofErr w:type="spellStart"/>
      <w:r w:rsidRPr="00FE5A1C">
        <w:rPr>
          <w:rFonts w:ascii="Arial" w:hAnsi="Arial" w:cs="Arial"/>
          <w:kern w:val="0"/>
          <w:sz w:val="22"/>
          <w:szCs w:val="22"/>
          <w14:ligatures w14:val="none"/>
        </w:rPr>
        <w:t>Käräjämäki</w:t>
      </w:r>
      <w:proofErr w:type="spellEnd"/>
      <w:r w:rsidRPr="00FE5A1C">
        <w:rPr>
          <w:rFonts w:ascii="Arial" w:hAnsi="Arial" w:cs="Arial"/>
          <w:kern w:val="0"/>
          <w:sz w:val="22"/>
          <w:szCs w:val="22"/>
          <w14:ligatures w14:val="none"/>
        </w:rPr>
        <w:t xml:space="preserve">, A., Martinell, M., Dorkhan, M., Carlsson, A., Vikman, P., Prasad, R.B., Aly, D.M. and Almgren, P. (2018) ‘Novel subgroups of adult-onset diabetes and their association with outcomes’, </w:t>
      </w:r>
      <w:r w:rsidRPr="00FE5A1C">
        <w:rPr>
          <w:rFonts w:ascii="Arial" w:hAnsi="Arial" w:cs="Arial"/>
          <w:i/>
          <w:kern w:val="0"/>
          <w:sz w:val="22"/>
          <w:szCs w:val="22"/>
          <w14:ligatures w14:val="none"/>
        </w:rPr>
        <w:t>The Lancet Diabetes &amp; Endocrinology</w:t>
      </w:r>
      <w:r w:rsidRPr="00FE5A1C">
        <w:rPr>
          <w:rFonts w:ascii="Arial" w:hAnsi="Arial" w:cs="Arial"/>
          <w:kern w:val="0"/>
          <w:sz w:val="22"/>
          <w:szCs w:val="22"/>
          <w14:ligatures w14:val="none"/>
        </w:rPr>
        <w:t xml:space="preserve">, 6(5), pp. 361–369. Available at: </w:t>
      </w:r>
      <w:hyperlink r:id="rId9" w:history="1">
        <w:r w:rsidRPr="00FE5A1C">
          <w:rPr>
            <w:rFonts w:ascii="Arial" w:hAnsi="Arial" w:cs="Arial"/>
            <w:color w:val="0000FF"/>
            <w:kern w:val="0"/>
            <w:sz w:val="22"/>
            <w:szCs w:val="22"/>
            <w:u w:val="single"/>
            <w14:ligatures w14:val="none"/>
          </w:rPr>
          <w:t>https://doi.org/10.1016/S2213-8587(18)30051-2</w:t>
        </w:r>
      </w:hyperlink>
      <w:r w:rsidRPr="00FE5A1C">
        <w:rPr>
          <w:rFonts w:ascii="Arial" w:hAnsi="Arial" w:cs="Arial"/>
          <w:sz w:val="22"/>
          <w:szCs w:val="22"/>
          <w:lang w:eastAsia="zh-CN"/>
        </w:rPr>
        <w:t>.</w:t>
      </w:r>
    </w:p>
    <w:p w14:paraId="44C45823"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American Diabetes Association (2023) ‘Classification and diagnosis of diabetes’, </w:t>
      </w:r>
      <w:r w:rsidRPr="00FE5A1C">
        <w:rPr>
          <w:rFonts w:ascii="Arial" w:hAnsi="Arial" w:cs="Arial"/>
          <w:i/>
          <w:kern w:val="0"/>
          <w:sz w:val="22"/>
          <w:szCs w:val="22"/>
          <w14:ligatures w14:val="none"/>
        </w:rPr>
        <w:t>Diabetes Care</w:t>
      </w:r>
      <w:r w:rsidRPr="00FE5A1C">
        <w:rPr>
          <w:rFonts w:ascii="Arial" w:hAnsi="Arial" w:cs="Arial"/>
          <w:kern w:val="0"/>
          <w:sz w:val="22"/>
          <w:szCs w:val="22"/>
          <w14:ligatures w14:val="none"/>
        </w:rPr>
        <w:t xml:space="preserve">, 46(Suppl. 1), pp. S19–S40. Available at: </w:t>
      </w:r>
      <w:hyperlink r:id="rId10" w:history="1">
        <w:r w:rsidRPr="00FE5A1C">
          <w:rPr>
            <w:rFonts w:ascii="Arial" w:hAnsi="Arial" w:cs="Arial"/>
            <w:color w:val="0000FF"/>
            <w:kern w:val="0"/>
            <w:sz w:val="22"/>
            <w:szCs w:val="22"/>
            <w:u w:val="single"/>
            <w14:ligatures w14:val="none"/>
          </w:rPr>
          <w:t>https://doi.org/10.2337/dc23-S002</w:t>
        </w:r>
      </w:hyperlink>
      <w:r w:rsidRPr="00FE5A1C">
        <w:rPr>
          <w:rFonts w:ascii="Arial" w:hAnsi="Arial" w:cs="Arial"/>
          <w:sz w:val="22"/>
          <w:szCs w:val="22"/>
          <w:lang w:eastAsia="zh-CN"/>
        </w:rPr>
        <w:t>.</w:t>
      </w:r>
    </w:p>
    <w:p w14:paraId="3B760132"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Arnold, S.E. and Arvanitakis, Z. (2018) ‘Brain insulin resistance in type 2 diabetes and Alzheimer disease: concepts and conundrums’, </w:t>
      </w:r>
      <w:r w:rsidRPr="00FE5A1C">
        <w:rPr>
          <w:rFonts w:ascii="Arial" w:hAnsi="Arial" w:cs="Arial"/>
          <w:i/>
          <w:kern w:val="0"/>
          <w:sz w:val="22"/>
          <w:szCs w:val="22"/>
          <w14:ligatures w14:val="none"/>
        </w:rPr>
        <w:t>Nature Reviews Neurology</w:t>
      </w:r>
      <w:r w:rsidRPr="00FE5A1C">
        <w:rPr>
          <w:rFonts w:ascii="Arial" w:hAnsi="Arial" w:cs="Arial"/>
          <w:kern w:val="0"/>
          <w:sz w:val="22"/>
          <w:szCs w:val="22"/>
          <w14:ligatures w14:val="none"/>
        </w:rPr>
        <w:t xml:space="preserve">, 14(3), pp. 168–181. Available at: </w:t>
      </w:r>
      <w:hyperlink r:id="rId11" w:history="1">
        <w:r w:rsidRPr="00FE5A1C">
          <w:rPr>
            <w:rFonts w:ascii="Arial" w:hAnsi="Arial" w:cs="Arial"/>
            <w:color w:val="0000FF"/>
            <w:kern w:val="0"/>
            <w:sz w:val="22"/>
            <w:szCs w:val="22"/>
            <w:u w:val="single"/>
            <w14:ligatures w14:val="none"/>
          </w:rPr>
          <w:t>https://doi.org/10.1038/nrneurol.2017.185</w:t>
        </w:r>
      </w:hyperlink>
      <w:r w:rsidRPr="00FE5A1C">
        <w:rPr>
          <w:rFonts w:ascii="Arial" w:hAnsi="Arial" w:cs="Arial"/>
          <w:sz w:val="22"/>
          <w:szCs w:val="22"/>
          <w:lang w:eastAsia="zh-CN"/>
        </w:rPr>
        <w:t>.</w:t>
      </w:r>
    </w:p>
    <w:p w14:paraId="3918A3C5"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Au-Yeung, C.H., Ellis, D., </w:t>
      </w:r>
      <w:proofErr w:type="spellStart"/>
      <w:r w:rsidRPr="00FE5A1C">
        <w:rPr>
          <w:rFonts w:ascii="Arial" w:hAnsi="Arial" w:cs="Arial"/>
          <w:kern w:val="0"/>
          <w:sz w:val="22"/>
          <w:szCs w:val="22"/>
          <w14:ligatures w14:val="none"/>
        </w:rPr>
        <w:t>Dallaway</w:t>
      </w:r>
      <w:proofErr w:type="spellEnd"/>
      <w:r w:rsidRPr="00FE5A1C">
        <w:rPr>
          <w:rFonts w:ascii="Arial" w:hAnsi="Arial" w:cs="Arial"/>
          <w:kern w:val="0"/>
          <w:sz w:val="22"/>
          <w:szCs w:val="22"/>
          <w14:ligatures w14:val="none"/>
        </w:rPr>
        <w:t xml:space="preserve">, A. and Riley, J. (2024) ‘Socioeconomic and ethnic inequalities increase the risk of type 2 diabetes: analysis of NHS health check attendees in Birmingham’, </w:t>
      </w:r>
      <w:r w:rsidRPr="00FE5A1C">
        <w:rPr>
          <w:rFonts w:ascii="Arial" w:hAnsi="Arial" w:cs="Arial"/>
          <w:i/>
          <w:kern w:val="0"/>
          <w:sz w:val="22"/>
          <w:szCs w:val="22"/>
          <w14:ligatures w14:val="none"/>
        </w:rPr>
        <w:t>Frontiers in Public Health</w:t>
      </w:r>
      <w:r w:rsidRPr="00FE5A1C">
        <w:rPr>
          <w:rFonts w:ascii="Arial" w:hAnsi="Arial" w:cs="Arial"/>
          <w:kern w:val="0"/>
          <w:sz w:val="22"/>
          <w:szCs w:val="22"/>
          <w14:ligatures w14:val="none"/>
        </w:rPr>
        <w:t xml:space="preserve">, 12. Available at: </w:t>
      </w:r>
      <w:hyperlink r:id="rId12" w:history="1">
        <w:r w:rsidRPr="00FE5A1C">
          <w:rPr>
            <w:rFonts w:ascii="Arial" w:hAnsi="Arial" w:cs="Arial"/>
            <w:color w:val="0000FF"/>
            <w:kern w:val="0"/>
            <w:sz w:val="22"/>
            <w:szCs w:val="22"/>
            <w:u w:val="single"/>
            <w14:ligatures w14:val="none"/>
          </w:rPr>
          <w:t>https://www.frontiersin.org/articles/10.3389/fpubh.2024.1477418</w:t>
        </w:r>
      </w:hyperlink>
      <w:r w:rsidRPr="00FE5A1C">
        <w:rPr>
          <w:rFonts w:ascii="Arial" w:hAnsi="Arial" w:cs="Arial"/>
          <w:kern w:val="0"/>
          <w:sz w:val="22"/>
          <w:szCs w:val="22"/>
          <w14:ligatures w14:val="none"/>
        </w:rPr>
        <w:t xml:space="preserve"> (Accessed: 24 June 2026).</w:t>
      </w:r>
    </w:p>
    <w:p w14:paraId="014F96C9"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Bailey, C.J. (2019) ‘Metformin: historical overview’, </w:t>
      </w:r>
      <w:proofErr w:type="spellStart"/>
      <w:r w:rsidRPr="00FE5A1C">
        <w:rPr>
          <w:rFonts w:ascii="Arial" w:hAnsi="Arial" w:cs="Arial"/>
          <w:i/>
          <w:kern w:val="0"/>
          <w:sz w:val="22"/>
          <w:szCs w:val="22"/>
          <w14:ligatures w14:val="none"/>
        </w:rPr>
        <w:t>Diabetologia</w:t>
      </w:r>
      <w:proofErr w:type="spellEnd"/>
      <w:r w:rsidRPr="00FE5A1C">
        <w:rPr>
          <w:rFonts w:ascii="Arial" w:hAnsi="Arial" w:cs="Arial"/>
          <w:kern w:val="0"/>
          <w:sz w:val="22"/>
          <w:szCs w:val="22"/>
          <w14:ligatures w14:val="none"/>
        </w:rPr>
        <w:t xml:space="preserve">, 62(9), pp. 1566–1576. Available at: </w:t>
      </w:r>
      <w:hyperlink r:id="rId13" w:history="1">
        <w:r w:rsidRPr="00FE5A1C">
          <w:rPr>
            <w:rFonts w:ascii="Arial" w:hAnsi="Arial" w:cs="Arial"/>
            <w:color w:val="0000FF"/>
            <w:kern w:val="0"/>
            <w:sz w:val="22"/>
            <w:szCs w:val="22"/>
            <w:u w:val="single"/>
            <w14:ligatures w14:val="none"/>
          </w:rPr>
          <w:t>https://doi.org/10.1007/s00125-019-4882-7</w:t>
        </w:r>
      </w:hyperlink>
      <w:r w:rsidRPr="00FE5A1C">
        <w:rPr>
          <w:rFonts w:ascii="Arial" w:hAnsi="Arial" w:cs="Arial"/>
          <w:sz w:val="22"/>
          <w:szCs w:val="22"/>
          <w:lang w:eastAsia="zh-CN"/>
        </w:rPr>
        <w:t>.</w:t>
      </w:r>
    </w:p>
    <w:p w14:paraId="655844CE"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Barlow, J., Wright, C., Sheasby, J., Turner, A. and Hainsworth, J. (2002) ‘Self-management approaches for people with chronic conditions: a review’, </w:t>
      </w:r>
      <w:r w:rsidRPr="00FE5A1C">
        <w:rPr>
          <w:rFonts w:ascii="Arial" w:hAnsi="Arial" w:cs="Arial"/>
          <w:i/>
          <w:kern w:val="0"/>
          <w:sz w:val="22"/>
          <w:szCs w:val="22"/>
          <w14:ligatures w14:val="none"/>
        </w:rPr>
        <w:t xml:space="preserve">Patient Education and </w:t>
      </w:r>
      <w:proofErr w:type="spellStart"/>
      <w:r w:rsidRPr="00FE5A1C">
        <w:rPr>
          <w:rFonts w:ascii="Arial" w:hAnsi="Arial" w:cs="Arial"/>
          <w:i/>
          <w:kern w:val="0"/>
          <w:sz w:val="22"/>
          <w:szCs w:val="22"/>
          <w14:ligatures w14:val="none"/>
        </w:rPr>
        <w:t>Counseling</w:t>
      </w:r>
      <w:proofErr w:type="spellEnd"/>
      <w:r w:rsidRPr="00FE5A1C">
        <w:rPr>
          <w:rFonts w:ascii="Arial" w:hAnsi="Arial" w:cs="Arial"/>
          <w:kern w:val="0"/>
          <w:sz w:val="22"/>
          <w:szCs w:val="22"/>
          <w14:ligatures w14:val="none"/>
        </w:rPr>
        <w:t xml:space="preserve">, 48(2), pp. 177–187. Available at: </w:t>
      </w:r>
      <w:hyperlink r:id="rId14" w:history="1">
        <w:r w:rsidRPr="00FE5A1C">
          <w:rPr>
            <w:rFonts w:ascii="Arial" w:hAnsi="Arial" w:cs="Arial"/>
            <w:color w:val="0000FF"/>
            <w:kern w:val="0"/>
            <w:sz w:val="22"/>
            <w:szCs w:val="22"/>
            <w:u w:val="single"/>
            <w14:ligatures w14:val="none"/>
          </w:rPr>
          <w:t>https://doi.org/10.1016/S0738-3991(02)00032-0</w:t>
        </w:r>
      </w:hyperlink>
      <w:r w:rsidRPr="00FE5A1C">
        <w:rPr>
          <w:rFonts w:ascii="Arial" w:hAnsi="Arial" w:cs="Arial"/>
          <w:sz w:val="22"/>
          <w:szCs w:val="22"/>
          <w:lang w:eastAsia="zh-CN"/>
        </w:rPr>
        <w:t>.</w:t>
      </w:r>
    </w:p>
    <w:p w14:paraId="06547DFD"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Barnett, A.H., Dixon, A.N., Bellary, S., Hanif, M.W., O’Hare, J.P., Raymond, N.T. and Kumar, S. (2006) ‘Type 2 diabetes and cardiovascular risk in the UK South Asian community’, </w:t>
      </w:r>
      <w:proofErr w:type="spellStart"/>
      <w:r w:rsidRPr="00FE5A1C">
        <w:rPr>
          <w:rFonts w:ascii="Arial" w:hAnsi="Arial" w:cs="Arial"/>
          <w:i/>
          <w:kern w:val="0"/>
          <w:sz w:val="22"/>
          <w:szCs w:val="22"/>
          <w14:ligatures w14:val="none"/>
        </w:rPr>
        <w:t>Diabetologia</w:t>
      </w:r>
      <w:proofErr w:type="spellEnd"/>
      <w:r w:rsidRPr="00FE5A1C">
        <w:rPr>
          <w:rFonts w:ascii="Arial" w:hAnsi="Arial" w:cs="Arial"/>
          <w:kern w:val="0"/>
          <w:sz w:val="22"/>
          <w:szCs w:val="22"/>
          <w14:ligatures w14:val="none"/>
        </w:rPr>
        <w:t xml:space="preserve">, 49(10), pp. </w:t>
      </w:r>
      <w:hyperlink r:id="rId15" w:history="1">
        <w:r w:rsidRPr="00FE5A1C">
          <w:rPr>
            <w:rFonts w:ascii="Arial" w:hAnsi="Arial" w:cs="Arial"/>
            <w:color w:val="0000FF"/>
            <w:kern w:val="0"/>
            <w:sz w:val="22"/>
            <w:szCs w:val="22"/>
            <w:u w:val="single"/>
            <w14:ligatures w14:val="none"/>
          </w:rPr>
          <w:t>2234–2246</w:t>
        </w:r>
      </w:hyperlink>
      <w:r w:rsidRPr="00FE5A1C">
        <w:rPr>
          <w:rFonts w:ascii="Arial" w:hAnsi="Arial" w:cs="Arial"/>
          <w:kern w:val="0"/>
          <w:sz w:val="22"/>
          <w:szCs w:val="22"/>
          <w14:ligatures w14:val="none"/>
        </w:rPr>
        <w:t xml:space="preserve">. Available at: </w:t>
      </w:r>
      <w:hyperlink r:id="rId16" w:history="1">
        <w:r w:rsidRPr="00FE5A1C">
          <w:rPr>
            <w:rFonts w:ascii="Arial" w:hAnsi="Arial" w:cs="Arial"/>
            <w:color w:val="0000FF"/>
            <w:kern w:val="0"/>
            <w:sz w:val="22"/>
            <w:szCs w:val="22"/>
            <w:u w:val="single"/>
            <w14:ligatures w14:val="none"/>
          </w:rPr>
          <w:t>https://doi.org/10.1007/s00125-006-0357-9</w:t>
        </w:r>
      </w:hyperlink>
      <w:r w:rsidRPr="00FE5A1C">
        <w:rPr>
          <w:rFonts w:ascii="Arial" w:hAnsi="Arial" w:cs="Arial"/>
          <w:sz w:val="22"/>
          <w:szCs w:val="22"/>
          <w:lang w:eastAsia="zh-CN"/>
        </w:rPr>
        <w:t>.</w:t>
      </w:r>
    </w:p>
    <w:p w14:paraId="7272081B"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Bellary, S., Kyrou, I., Brown, J.E. and Bailey, C.J. (2021) ‘Type 2 diabetes mellitus in older adults: clinical considerations and management’, </w:t>
      </w:r>
      <w:r w:rsidRPr="00FE5A1C">
        <w:rPr>
          <w:rFonts w:ascii="Arial" w:hAnsi="Arial" w:cs="Arial"/>
          <w:i/>
          <w:kern w:val="0"/>
          <w:sz w:val="22"/>
          <w:szCs w:val="22"/>
          <w14:ligatures w14:val="none"/>
        </w:rPr>
        <w:t>Nature Reviews Endocrinology</w:t>
      </w:r>
      <w:r w:rsidRPr="00FE5A1C">
        <w:rPr>
          <w:rFonts w:ascii="Arial" w:hAnsi="Arial" w:cs="Arial"/>
          <w:kern w:val="0"/>
          <w:sz w:val="22"/>
          <w:szCs w:val="22"/>
          <w14:ligatures w14:val="none"/>
        </w:rPr>
        <w:t xml:space="preserve">, 17(9), pp. 534–548. Available at: </w:t>
      </w:r>
      <w:hyperlink r:id="rId17" w:history="1">
        <w:r w:rsidRPr="00FE5A1C">
          <w:rPr>
            <w:rFonts w:ascii="Arial" w:hAnsi="Arial" w:cs="Arial"/>
            <w:color w:val="0000FF"/>
            <w:kern w:val="0"/>
            <w:sz w:val="22"/>
            <w:szCs w:val="22"/>
            <w:u w:val="single"/>
            <w14:ligatures w14:val="none"/>
          </w:rPr>
          <w:t>https://doi.org/10.1038/s41574-021-00512-z</w:t>
        </w:r>
      </w:hyperlink>
      <w:r w:rsidRPr="00FE5A1C">
        <w:rPr>
          <w:rFonts w:ascii="Arial" w:hAnsi="Arial" w:cs="Arial"/>
          <w:sz w:val="22"/>
          <w:szCs w:val="22"/>
          <w:lang w:eastAsia="zh-CN"/>
        </w:rPr>
        <w:t>.</w:t>
      </w:r>
    </w:p>
    <w:p w14:paraId="1BADF2AA"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proofErr w:type="spellStart"/>
      <w:r w:rsidRPr="00FE5A1C">
        <w:rPr>
          <w:rFonts w:ascii="Arial" w:hAnsi="Arial" w:cs="Arial"/>
          <w:kern w:val="0"/>
          <w:sz w:val="22"/>
          <w:szCs w:val="22"/>
          <w14:ligatures w14:val="none"/>
        </w:rPr>
        <w:t>Biessels</w:t>
      </w:r>
      <w:proofErr w:type="spellEnd"/>
      <w:r w:rsidRPr="00FE5A1C">
        <w:rPr>
          <w:rFonts w:ascii="Arial" w:hAnsi="Arial" w:cs="Arial"/>
          <w:kern w:val="0"/>
          <w:sz w:val="22"/>
          <w:szCs w:val="22"/>
          <w14:ligatures w14:val="none"/>
        </w:rPr>
        <w:t xml:space="preserve">, G.J. and </w:t>
      </w:r>
      <w:proofErr w:type="spellStart"/>
      <w:r w:rsidRPr="00FE5A1C">
        <w:rPr>
          <w:rFonts w:ascii="Arial" w:hAnsi="Arial" w:cs="Arial"/>
          <w:kern w:val="0"/>
          <w:sz w:val="22"/>
          <w:szCs w:val="22"/>
          <w14:ligatures w14:val="none"/>
        </w:rPr>
        <w:t>Despa</w:t>
      </w:r>
      <w:proofErr w:type="spellEnd"/>
      <w:r w:rsidRPr="00FE5A1C">
        <w:rPr>
          <w:rFonts w:ascii="Arial" w:hAnsi="Arial" w:cs="Arial"/>
          <w:kern w:val="0"/>
          <w:sz w:val="22"/>
          <w:szCs w:val="22"/>
          <w14:ligatures w14:val="none"/>
        </w:rPr>
        <w:t xml:space="preserve">, F. (2018) ‘Cognitive decline and dementia in diabetes mellitus’, </w:t>
      </w:r>
      <w:r w:rsidRPr="00FE5A1C">
        <w:rPr>
          <w:rFonts w:ascii="Arial" w:hAnsi="Arial" w:cs="Arial"/>
          <w:i/>
          <w:kern w:val="0"/>
          <w:sz w:val="22"/>
          <w:szCs w:val="22"/>
          <w14:ligatures w14:val="none"/>
        </w:rPr>
        <w:t>The Lancet Neurology</w:t>
      </w:r>
      <w:r w:rsidRPr="00FE5A1C">
        <w:rPr>
          <w:rFonts w:ascii="Arial" w:hAnsi="Arial" w:cs="Arial"/>
          <w:kern w:val="0"/>
          <w:sz w:val="22"/>
          <w:szCs w:val="22"/>
          <w14:ligatures w14:val="none"/>
        </w:rPr>
        <w:t xml:space="preserve">, 17(1), pp. 64–74. Available at: </w:t>
      </w:r>
      <w:hyperlink r:id="rId18" w:history="1">
        <w:r w:rsidRPr="00FE5A1C">
          <w:rPr>
            <w:rFonts w:ascii="Arial" w:hAnsi="Arial" w:cs="Arial"/>
            <w:color w:val="0000FF"/>
            <w:kern w:val="0"/>
            <w:sz w:val="22"/>
            <w:szCs w:val="22"/>
            <w:u w:val="single"/>
            <w14:ligatures w14:val="none"/>
          </w:rPr>
          <w:t>https://doi.org/10.1016/S1474-4422(17)30375-3</w:t>
        </w:r>
      </w:hyperlink>
      <w:r w:rsidRPr="00FE5A1C">
        <w:rPr>
          <w:rFonts w:ascii="Arial" w:hAnsi="Arial" w:cs="Arial"/>
          <w:sz w:val="22"/>
          <w:szCs w:val="22"/>
          <w:lang w:eastAsia="zh-CN"/>
        </w:rPr>
        <w:t>.</w:t>
      </w:r>
    </w:p>
    <w:p w14:paraId="7B432B29"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Birmingham City Council (2024) </w:t>
      </w:r>
      <w:r w:rsidRPr="00FE5A1C">
        <w:rPr>
          <w:rFonts w:ascii="Arial" w:hAnsi="Arial" w:cs="Arial"/>
          <w:i/>
          <w:kern w:val="0"/>
          <w:sz w:val="22"/>
          <w:szCs w:val="22"/>
          <w14:ligatures w14:val="none"/>
        </w:rPr>
        <w:t>Birmingham demographics and public health overview</w:t>
      </w:r>
      <w:r w:rsidRPr="00FE5A1C">
        <w:rPr>
          <w:rFonts w:ascii="Arial" w:hAnsi="Arial" w:cs="Arial"/>
          <w:kern w:val="0"/>
          <w:sz w:val="22"/>
          <w:szCs w:val="22"/>
          <w14:ligatures w14:val="none"/>
        </w:rPr>
        <w:t xml:space="preserve">. Available at: </w:t>
      </w:r>
      <w:hyperlink r:id="rId19" w:history="1">
        <w:r w:rsidRPr="00FE5A1C">
          <w:rPr>
            <w:rFonts w:ascii="Arial" w:hAnsi="Arial" w:cs="Arial"/>
            <w:color w:val="0000FF"/>
            <w:kern w:val="0"/>
            <w:sz w:val="22"/>
            <w:szCs w:val="22"/>
            <w:u w:val="single"/>
            <w14:ligatures w14:val="none"/>
          </w:rPr>
          <w:t>https://www.birmingham.gov.uk</w:t>
        </w:r>
      </w:hyperlink>
      <w:r w:rsidRPr="00FE5A1C">
        <w:rPr>
          <w:rFonts w:ascii="Arial" w:hAnsi="Arial" w:cs="Arial"/>
          <w:kern w:val="0"/>
          <w:sz w:val="22"/>
          <w:szCs w:val="22"/>
          <w14:ligatures w14:val="none"/>
        </w:rPr>
        <w:t xml:space="preserve"> (Accessed: 24 June 2026).</w:t>
      </w:r>
    </w:p>
    <w:p w14:paraId="5ADBC811"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Braun, V. and Clarke, V. (2006) ‘Using thematic analysis in psychology’, </w:t>
      </w:r>
      <w:r w:rsidRPr="00FE5A1C">
        <w:rPr>
          <w:rFonts w:ascii="Arial" w:hAnsi="Arial" w:cs="Arial"/>
          <w:i/>
          <w:kern w:val="0"/>
          <w:sz w:val="22"/>
          <w:szCs w:val="22"/>
          <w14:ligatures w14:val="none"/>
        </w:rPr>
        <w:t>Qualitative Research in Psychology</w:t>
      </w:r>
      <w:r w:rsidRPr="00FE5A1C">
        <w:rPr>
          <w:rFonts w:ascii="Arial" w:hAnsi="Arial" w:cs="Arial"/>
          <w:kern w:val="0"/>
          <w:sz w:val="22"/>
          <w:szCs w:val="22"/>
          <w14:ligatures w14:val="none"/>
        </w:rPr>
        <w:t xml:space="preserve">, 3(2), pp. 77–101. Available at: </w:t>
      </w:r>
      <w:hyperlink r:id="rId20" w:history="1">
        <w:r w:rsidRPr="00FE5A1C">
          <w:rPr>
            <w:rFonts w:ascii="Arial" w:hAnsi="Arial" w:cs="Arial"/>
            <w:color w:val="0000FF"/>
            <w:kern w:val="0"/>
            <w:sz w:val="22"/>
            <w:szCs w:val="22"/>
            <w:u w:val="single"/>
            <w14:ligatures w14:val="none"/>
          </w:rPr>
          <w:t>https://doi.org/10.1191/1478088706qp063oa</w:t>
        </w:r>
      </w:hyperlink>
      <w:r w:rsidRPr="00FE5A1C">
        <w:rPr>
          <w:rFonts w:ascii="Arial" w:hAnsi="Arial" w:cs="Arial"/>
          <w:sz w:val="22"/>
          <w:szCs w:val="22"/>
          <w:lang w:eastAsia="zh-CN"/>
        </w:rPr>
        <w:t>.</w:t>
      </w:r>
    </w:p>
    <w:p w14:paraId="3C971DE6"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Cerf, M.E. (2013) ‘Beta cell dysfunction and insulin resistance’, </w:t>
      </w:r>
      <w:r w:rsidRPr="00FE5A1C">
        <w:rPr>
          <w:rFonts w:ascii="Arial" w:hAnsi="Arial" w:cs="Arial"/>
          <w:i/>
          <w:kern w:val="0"/>
          <w:sz w:val="22"/>
          <w:szCs w:val="22"/>
          <w14:ligatures w14:val="none"/>
        </w:rPr>
        <w:t>Frontiers in Endocrinology</w:t>
      </w:r>
      <w:r w:rsidRPr="00FE5A1C">
        <w:rPr>
          <w:rFonts w:ascii="Arial" w:hAnsi="Arial" w:cs="Arial"/>
          <w:kern w:val="0"/>
          <w:sz w:val="22"/>
          <w:szCs w:val="22"/>
          <w14:ligatures w14:val="none"/>
        </w:rPr>
        <w:t xml:space="preserve">, 4, pp. 1–12. Available at: </w:t>
      </w:r>
      <w:hyperlink r:id="rId21" w:history="1">
        <w:r w:rsidRPr="00FE5A1C">
          <w:rPr>
            <w:rFonts w:ascii="Arial" w:hAnsi="Arial" w:cs="Arial"/>
            <w:color w:val="0000FF"/>
            <w:kern w:val="0"/>
            <w:sz w:val="22"/>
            <w:szCs w:val="22"/>
            <w:u w:val="single"/>
            <w14:ligatures w14:val="none"/>
          </w:rPr>
          <w:t>https://doi.org/10.3389/fendo.2013.00037</w:t>
        </w:r>
      </w:hyperlink>
      <w:r w:rsidRPr="00FE5A1C">
        <w:rPr>
          <w:rFonts w:ascii="Arial" w:hAnsi="Arial" w:cs="Arial"/>
          <w:sz w:val="22"/>
          <w:szCs w:val="22"/>
          <w:lang w:eastAsia="zh-CN"/>
        </w:rPr>
        <w:t>.</w:t>
      </w:r>
    </w:p>
    <w:p w14:paraId="0C62E5B6"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Chatterjee, S., </w:t>
      </w:r>
      <w:proofErr w:type="spellStart"/>
      <w:r w:rsidRPr="00FE5A1C">
        <w:rPr>
          <w:rFonts w:ascii="Arial" w:hAnsi="Arial" w:cs="Arial"/>
          <w:kern w:val="0"/>
          <w:sz w:val="22"/>
          <w:szCs w:val="22"/>
          <w14:ligatures w14:val="none"/>
        </w:rPr>
        <w:t>Khunti</w:t>
      </w:r>
      <w:proofErr w:type="spellEnd"/>
      <w:r w:rsidRPr="00FE5A1C">
        <w:rPr>
          <w:rFonts w:ascii="Arial" w:hAnsi="Arial" w:cs="Arial"/>
          <w:kern w:val="0"/>
          <w:sz w:val="22"/>
          <w:szCs w:val="22"/>
          <w14:ligatures w14:val="none"/>
        </w:rPr>
        <w:t xml:space="preserve">, K. and Davies, M.J. (2017) ‘Type 2 diabetes’, </w:t>
      </w:r>
      <w:r w:rsidRPr="00FE5A1C">
        <w:rPr>
          <w:rFonts w:ascii="Arial" w:hAnsi="Arial" w:cs="Arial"/>
          <w:i/>
          <w:kern w:val="0"/>
          <w:sz w:val="22"/>
          <w:szCs w:val="22"/>
          <w14:ligatures w14:val="none"/>
        </w:rPr>
        <w:t>The Lancet</w:t>
      </w:r>
      <w:r w:rsidRPr="00FE5A1C">
        <w:rPr>
          <w:rFonts w:ascii="Arial" w:hAnsi="Arial" w:cs="Arial"/>
          <w:kern w:val="0"/>
          <w:sz w:val="22"/>
          <w:szCs w:val="22"/>
          <w14:ligatures w14:val="none"/>
        </w:rPr>
        <w:t xml:space="preserve">, 389(10085), pp. </w:t>
      </w:r>
      <w:hyperlink r:id="rId22" w:history="1">
        <w:r w:rsidRPr="00FE5A1C">
          <w:rPr>
            <w:rFonts w:ascii="Arial" w:hAnsi="Arial" w:cs="Arial"/>
            <w:color w:val="0000FF"/>
            <w:kern w:val="0"/>
            <w:sz w:val="22"/>
            <w:szCs w:val="22"/>
            <w:u w:val="single"/>
            <w14:ligatures w14:val="none"/>
          </w:rPr>
          <w:t>2239–2251</w:t>
        </w:r>
      </w:hyperlink>
      <w:r w:rsidRPr="00FE5A1C">
        <w:rPr>
          <w:rFonts w:ascii="Arial" w:hAnsi="Arial" w:cs="Arial"/>
          <w:kern w:val="0"/>
          <w:sz w:val="22"/>
          <w:szCs w:val="22"/>
          <w14:ligatures w14:val="none"/>
        </w:rPr>
        <w:t xml:space="preserve">. Available at: </w:t>
      </w:r>
      <w:hyperlink r:id="rId23" w:history="1">
        <w:r w:rsidRPr="00FE5A1C">
          <w:rPr>
            <w:rFonts w:ascii="Arial" w:hAnsi="Arial" w:cs="Arial"/>
            <w:color w:val="0000FF"/>
            <w:kern w:val="0"/>
            <w:sz w:val="22"/>
            <w:szCs w:val="22"/>
            <w:u w:val="single"/>
            <w14:ligatures w14:val="none"/>
          </w:rPr>
          <w:t>https://doi.org/10.1016/S0140-6736(17)30058-2</w:t>
        </w:r>
      </w:hyperlink>
      <w:r w:rsidRPr="00FE5A1C">
        <w:rPr>
          <w:rFonts w:ascii="Arial" w:hAnsi="Arial" w:cs="Arial"/>
          <w:sz w:val="22"/>
          <w:szCs w:val="22"/>
          <w:lang w:eastAsia="zh-CN"/>
        </w:rPr>
        <w:t>.</w:t>
      </w:r>
    </w:p>
    <w:p w14:paraId="491332D6"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Cho, N.H., Shaw, J.E., </w:t>
      </w:r>
      <w:proofErr w:type="spellStart"/>
      <w:r w:rsidRPr="00FE5A1C">
        <w:rPr>
          <w:rFonts w:ascii="Arial" w:hAnsi="Arial" w:cs="Arial"/>
          <w:kern w:val="0"/>
          <w:sz w:val="22"/>
          <w:szCs w:val="22"/>
          <w14:ligatures w14:val="none"/>
        </w:rPr>
        <w:t>Karuranga</w:t>
      </w:r>
      <w:proofErr w:type="spellEnd"/>
      <w:r w:rsidRPr="00FE5A1C">
        <w:rPr>
          <w:rFonts w:ascii="Arial" w:hAnsi="Arial" w:cs="Arial"/>
          <w:kern w:val="0"/>
          <w:sz w:val="22"/>
          <w:szCs w:val="22"/>
          <w14:ligatures w14:val="none"/>
        </w:rPr>
        <w:t xml:space="preserve">, S., Huang, Y., Fernandes, J.D.R., Ohlrogge, A.W. and Malanda, B. (2018) ‘IDF Diabetes Atlas: global estimates of diabetes prevalence’, </w:t>
      </w:r>
      <w:r w:rsidRPr="00FE5A1C">
        <w:rPr>
          <w:rFonts w:ascii="Arial" w:hAnsi="Arial" w:cs="Arial"/>
          <w:i/>
          <w:kern w:val="0"/>
          <w:sz w:val="22"/>
          <w:szCs w:val="22"/>
          <w14:ligatures w14:val="none"/>
        </w:rPr>
        <w:t>Diabetes Research and Clinical Practice</w:t>
      </w:r>
      <w:r w:rsidRPr="00FE5A1C">
        <w:rPr>
          <w:rFonts w:ascii="Arial" w:hAnsi="Arial" w:cs="Arial"/>
          <w:kern w:val="0"/>
          <w:sz w:val="22"/>
          <w:szCs w:val="22"/>
          <w14:ligatures w14:val="none"/>
        </w:rPr>
        <w:t xml:space="preserve">, 138, pp. 271–281. Available at: </w:t>
      </w:r>
      <w:hyperlink r:id="rId24" w:history="1">
        <w:r w:rsidRPr="00FE5A1C">
          <w:rPr>
            <w:rFonts w:ascii="Arial" w:hAnsi="Arial" w:cs="Arial"/>
            <w:color w:val="0000FF"/>
            <w:kern w:val="0"/>
            <w:sz w:val="22"/>
            <w:szCs w:val="22"/>
            <w:u w:val="single"/>
            <w14:ligatures w14:val="none"/>
          </w:rPr>
          <w:t>https://doi.org/10.1016/j.diabres.2018.02.023</w:t>
        </w:r>
      </w:hyperlink>
      <w:r w:rsidRPr="00FE5A1C">
        <w:rPr>
          <w:rFonts w:ascii="Arial" w:hAnsi="Arial" w:cs="Arial"/>
          <w:sz w:val="22"/>
          <w:szCs w:val="22"/>
          <w:lang w:eastAsia="zh-CN"/>
        </w:rPr>
        <w:t>.</w:t>
      </w:r>
    </w:p>
    <w:p w14:paraId="00920CAB"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Congdon, P. (2006) ‘Estimating diabetes prevalence by small area in England’, </w:t>
      </w:r>
      <w:r w:rsidRPr="00FE5A1C">
        <w:rPr>
          <w:rFonts w:ascii="Arial" w:hAnsi="Arial" w:cs="Arial"/>
          <w:i/>
          <w:kern w:val="0"/>
          <w:sz w:val="22"/>
          <w:szCs w:val="22"/>
          <w14:ligatures w14:val="none"/>
        </w:rPr>
        <w:t>Journal of Public Health</w:t>
      </w:r>
      <w:r w:rsidRPr="00FE5A1C">
        <w:rPr>
          <w:rFonts w:ascii="Arial" w:hAnsi="Arial" w:cs="Arial"/>
          <w:kern w:val="0"/>
          <w:sz w:val="22"/>
          <w:szCs w:val="22"/>
          <w14:ligatures w14:val="none"/>
        </w:rPr>
        <w:t xml:space="preserve">, 28(1), pp. 71–81. Available at: </w:t>
      </w:r>
      <w:hyperlink r:id="rId25" w:history="1">
        <w:r w:rsidRPr="00FE5A1C">
          <w:rPr>
            <w:rFonts w:ascii="Arial" w:hAnsi="Arial" w:cs="Arial"/>
            <w:color w:val="0000FF"/>
            <w:kern w:val="0"/>
            <w:sz w:val="22"/>
            <w:szCs w:val="22"/>
            <w:u w:val="single"/>
            <w14:ligatures w14:val="none"/>
          </w:rPr>
          <w:t>https://doi.org/10.1093/pubmed/fdi066</w:t>
        </w:r>
      </w:hyperlink>
      <w:r w:rsidRPr="00FE5A1C">
        <w:rPr>
          <w:rFonts w:ascii="Arial" w:hAnsi="Arial" w:cs="Arial"/>
          <w:sz w:val="22"/>
          <w:szCs w:val="22"/>
          <w:lang w:eastAsia="zh-CN"/>
        </w:rPr>
        <w:t>.</w:t>
      </w:r>
    </w:p>
    <w:p w14:paraId="7DFCB630"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Davies, M.J., D’Alessio, D.A., Fradkin, J., Kernan, W.N., Mathieu, C., Mingrone, G., Rossing, P., </w:t>
      </w:r>
      <w:proofErr w:type="spellStart"/>
      <w:r w:rsidRPr="00FE5A1C">
        <w:rPr>
          <w:rFonts w:ascii="Arial" w:hAnsi="Arial" w:cs="Arial"/>
          <w:kern w:val="0"/>
          <w:sz w:val="22"/>
          <w:szCs w:val="22"/>
          <w14:ligatures w14:val="none"/>
        </w:rPr>
        <w:t>Tsapas</w:t>
      </w:r>
      <w:proofErr w:type="spellEnd"/>
      <w:r w:rsidRPr="00FE5A1C">
        <w:rPr>
          <w:rFonts w:ascii="Arial" w:hAnsi="Arial" w:cs="Arial"/>
          <w:kern w:val="0"/>
          <w:sz w:val="22"/>
          <w:szCs w:val="22"/>
          <w14:ligatures w14:val="none"/>
        </w:rPr>
        <w:t xml:space="preserve">, A., Wexler, D.J. and Buse, J.B. (2018) ‘Management of hyperglycaemia in type 2 diabetes’, </w:t>
      </w:r>
      <w:proofErr w:type="spellStart"/>
      <w:r w:rsidRPr="00FE5A1C">
        <w:rPr>
          <w:rFonts w:ascii="Arial" w:hAnsi="Arial" w:cs="Arial"/>
          <w:i/>
          <w:kern w:val="0"/>
          <w:sz w:val="22"/>
          <w:szCs w:val="22"/>
          <w14:ligatures w14:val="none"/>
        </w:rPr>
        <w:t>Diabetologia</w:t>
      </w:r>
      <w:proofErr w:type="spellEnd"/>
      <w:r w:rsidRPr="00FE5A1C">
        <w:rPr>
          <w:rFonts w:ascii="Arial" w:hAnsi="Arial" w:cs="Arial"/>
          <w:kern w:val="0"/>
          <w:sz w:val="22"/>
          <w:szCs w:val="22"/>
          <w14:ligatures w14:val="none"/>
        </w:rPr>
        <w:t xml:space="preserve">, 61(12), pp. </w:t>
      </w:r>
      <w:hyperlink r:id="rId26" w:history="1">
        <w:r w:rsidRPr="00FE5A1C">
          <w:rPr>
            <w:rFonts w:ascii="Arial" w:hAnsi="Arial" w:cs="Arial"/>
            <w:color w:val="0000FF"/>
            <w:kern w:val="0"/>
            <w:sz w:val="22"/>
            <w:szCs w:val="22"/>
            <w:u w:val="single"/>
            <w14:ligatures w14:val="none"/>
          </w:rPr>
          <w:t>2461–2498</w:t>
        </w:r>
      </w:hyperlink>
      <w:r w:rsidRPr="00FE5A1C">
        <w:rPr>
          <w:rFonts w:ascii="Arial" w:hAnsi="Arial" w:cs="Arial"/>
          <w:kern w:val="0"/>
          <w:sz w:val="22"/>
          <w:szCs w:val="22"/>
          <w14:ligatures w14:val="none"/>
        </w:rPr>
        <w:t xml:space="preserve">. Available at: </w:t>
      </w:r>
      <w:hyperlink r:id="rId27" w:history="1">
        <w:r w:rsidRPr="00FE5A1C">
          <w:rPr>
            <w:rFonts w:ascii="Arial" w:hAnsi="Arial" w:cs="Arial"/>
            <w:color w:val="0000FF"/>
            <w:kern w:val="0"/>
            <w:sz w:val="22"/>
            <w:szCs w:val="22"/>
            <w:u w:val="single"/>
            <w14:ligatures w14:val="none"/>
          </w:rPr>
          <w:t>https://doi.org/10.1007/s00125-018-4729-5</w:t>
        </w:r>
      </w:hyperlink>
      <w:r w:rsidRPr="00FE5A1C">
        <w:rPr>
          <w:rFonts w:ascii="Arial" w:hAnsi="Arial" w:cs="Arial"/>
          <w:sz w:val="22"/>
          <w:szCs w:val="22"/>
          <w:lang w:eastAsia="zh-CN"/>
        </w:rPr>
        <w:t>.</w:t>
      </w:r>
    </w:p>
    <w:p w14:paraId="62E646DF"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DeFronzo, R.A. (2009) ‘From the triumvirate to the ominous octet: a new paradigm for the treatment of type 2 diabetes mellitus’, </w:t>
      </w:r>
      <w:r w:rsidRPr="00FE5A1C">
        <w:rPr>
          <w:rFonts w:ascii="Arial" w:hAnsi="Arial" w:cs="Arial"/>
          <w:i/>
          <w:kern w:val="0"/>
          <w:sz w:val="22"/>
          <w:szCs w:val="22"/>
          <w14:ligatures w14:val="none"/>
        </w:rPr>
        <w:t>Diabetes</w:t>
      </w:r>
      <w:r w:rsidRPr="00FE5A1C">
        <w:rPr>
          <w:rFonts w:ascii="Arial" w:hAnsi="Arial" w:cs="Arial"/>
          <w:kern w:val="0"/>
          <w:sz w:val="22"/>
          <w:szCs w:val="22"/>
          <w14:ligatures w14:val="none"/>
        </w:rPr>
        <w:t xml:space="preserve">, 58(4), pp. 773–795. Available at: </w:t>
      </w:r>
      <w:hyperlink r:id="rId28" w:history="1">
        <w:r w:rsidRPr="00FE5A1C">
          <w:rPr>
            <w:rFonts w:ascii="Arial" w:hAnsi="Arial" w:cs="Arial"/>
            <w:color w:val="0000FF"/>
            <w:kern w:val="0"/>
            <w:sz w:val="22"/>
            <w:szCs w:val="22"/>
            <w:u w:val="single"/>
            <w14:ligatures w14:val="none"/>
          </w:rPr>
          <w:t>https://doi.org/10.2337/db09-9028</w:t>
        </w:r>
      </w:hyperlink>
      <w:r w:rsidRPr="00FE5A1C">
        <w:rPr>
          <w:rFonts w:ascii="Arial" w:hAnsi="Arial" w:cs="Arial"/>
          <w:sz w:val="22"/>
          <w:szCs w:val="22"/>
          <w:lang w:eastAsia="zh-CN"/>
        </w:rPr>
        <w:t>.</w:t>
      </w:r>
    </w:p>
    <w:p w14:paraId="3739D2EC"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DeFronzo, R.A., </w:t>
      </w:r>
      <w:proofErr w:type="spellStart"/>
      <w:r w:rsidRPr="00FE5A1C">
        <w:rPr>
          <w:rFonts w:ascii="Arial" w:hAnsi="Arial" w:cs="Arial"/>
          <w:kern w:val="0"/>
          <w:sz w:val="22"/>
          <w:szCs w:val="22"/>
          <w14:ligatures w14:val="none"/>
        </w:rPr>
        <w:t>Ferrannini</w:t>
      </w:r>
      <w:proofErr w:type="spellEnd"/>
      <w:r w:rsidRPr="00FE5A1C">
        <w:rPr>
          <w:rFonts w:ascii="Arial" w:hAnsi="Arial" w:cs="Arial"/>
          <w:kern w:val="0"/>
          <w:sz w:val="22"/>
          <w:szCs w:val="22"/>
          <w14:ligatures w14:val="none"/>
        </w:rPr>
        <w:t xml:space="preserve">, E., Groop, L., Henry, R.R., Herman, W.H., Holst, J.J., Hu, F.B., Kahn, C.R., Raz, I. and Shulman, G.I. (2015) ‘Type 2 diabetes mellitus’, </w:t>
      </w:r>
      <w:r w:rsidRPr="00FE5A1C">
        <w:rPr>
          <w:rFonts w:ascii="Arial" w:hAnsi="Arial" w:cs="Arial"/>
          <w:i/>
          <w:kern w:val="0"/>
          <w:sz w:val="22"/>
          <w:szCs w:val="22"/>
          <w14:ligatures w14:val="none"/>
        </w:rPr>
        <w:t>Nature Reviews Disease Primers</w:t>
      </w:r>
      <w:r w:rsidRPr="00FE5A1C">
        <w:rPr>
          <w:rFonts w:ascii="Arial" w:hAnsi="Arial" w:cs="Arial"/>
          <w:kern w:val="0"/>
          <w:sz w:val="22"/>
          <w:szCs w:val="22"/>
          <w14:ligatures w14:val="none"/>
        </w:rPr>
        <w:t xml:space="preserve">, 1, 15019. Available at: </w:t>
      </w:r>
      <w:hyperlink r:id="rId29" w:history="1">
        <w:r w:rsidRPr="00FE5A1C">
          <w:rPr>
            <w:rFonts w:ascii="Arial" w:hAnsi="Arial" w:cs="Arial"/>
            <w:color w:val="0000FF"/>
            <w:kern w:val="0"/>
            <w:sz w:val="22"/>
            <w:szCs w:val="22"/>
            <w:u w:val="single"/>
            <w14:ligatures w14:val="none"/>
          </w:rPr>
          <w:t>https://doi.org/10.1038/nrdp.2015.19</w:t>
        </w:r>
      </w:hyperlink>
      <w:r w:rsidRPr="00FE5A1C">
        <w:rPr>
          <w:rFonts w:ascii="Arial" w:hAnsi="Arial" w:cs="Arial"/>
          <w:sz w:val="22"/>
          <w:szCs w:val="22"/>
          <w:lang w:eastAsia="zh-CN"/>
        </w:rPr>
        <w:t>.</w:t>
      </w:r>
    </w:p>
    <w:p w14:paraId="405D6F84"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Diabetes UK (2023) </w:t>
      </w:r>
      <w:r w:rsidRPr="00FE5A1C">
        <w:rPr>
          <w:rFonts w:ascii="Arial" w:hAnsi="Arial" w:cs="Arial"/>
          <w:i/>
          <w:kern w:val="0"/>
          <w:sz w:val="22"/>
          <w:szCs w:val="22"/>
          <w14:ligatures w14:val="none"/>
        </w:rPr>
        <w:t>Diabetes statistics</w:t>
      </w:r>
      <w:r w:rsidRPr="00FE5A1C">
        <w:rPr>
          <w:rFonts w:ascii="Arial" w:hAnsi="Arial" w:cs="Arial"/>
          <w:kern w:val="0"/>
          <w:sz w:val="22"/>
          <w:szCs w:val="22"/>
          <w14:ligatures w14:val="none"/>
        </w:rPr>
        <w:t xml:space="preserve">. Available at: </w:t>
      </w:r>
      <w:hyperlink r:id="rId30" w:history="1">
        <w:r w:rsidRPr="00FE5A1C">
          <w:rPr>
            <w:rFonts w:ascii="Arial" w:hAnsi="Arial" w:cs="Arial"/>
            <w:color w:val="0000FF"/>
            <w:kern w:val="0"/>
            <w:sz w:val="22"/>
            <w:szCs w:val="22"/>
            <w:u w:val="single"/>
            <w14:ligatures w14:val="none"/>
          </w:rPr>
          <w:t>https://www.diabetes.org.uk</w:t>
        </w:r>
      </w:hyperlink>
      <w:r w:rsidRPr="00FE5A1C">
        <w:rPr>
          <w:rFonts w:ascii="Arial" w:hAnsi="Arial" w:cs="Arial"/>
          <w:kern w:val="0"/>
          <w:sz w:val="22"/>
          <w:szCs w:val="22"/>
          <w14:ligatures w14:val="none"/>
        </w:rPr>
        <w:t xml:space="preserve"> (Accessed: 24 June 2026).</w:t>
      </w:r>
    </w:p>
    <w:p w14:paraId="5B8BF53E"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Emerging Risk Factors Collaboration (2010) ‘Diabetes mellitus, fasting blood glucose concentration and risk of vascular disease’, </w:t>
      </w:r>
      <w:r w:rsidRPr="00FE5A1C">
        <w:rPr>
          <w:rFonts w:ascii="Arial" w:hAnsi="Arial" w:cs="Arial"/>
          <w:i/>
          <w:kern w:val="0"/>
          <w:sz w:val="22"/>
          <w:szCs w:val="22"/>
          <w14:ligatures w14:val="none"/>
        </w:rPr>
        <w:t>The Lancet</w:t>
      </w:r>
      <w:r w:rsidRPr="00FE5A1C">
        <w:rPr>
          <w:rFonts w:ascii="Arial" w:hAnsi="Arial" w:cs="Arial"/>
          <w:kern w:val="0"/>
          <w:sz w:val="22"/>
          <w:szCs w:val="22"/>
          <w14:ligatures w14:val="none"/>
        </w:rPr>
        <w:t xml:space="preserve">, 375(9733), pp. </w:t>
      </w:r>
      <w:hyperlink r:id="rId31" w:history="1">
        <w:r w:rsidRPr="00FE5A1C">
          <w:rPr>
            <w:rFonts w:ascii="Arial" w:hAnsi="Arial" w:cs="Arial"/>
            <w:color w:val="0000FF"/>
            <w:kern w:val="0"/>
            <w:sz w:val="22"/>
            <w:szCs w:val="22"/>
            <w:u w:val="single"/>
            <w14:ligatures w14:val="none"/>
          </w:rPr>
          <w:t>2215–2222</w:t>
        </w:r>
      </w:hyperlink>
      <w:r w:rsidRPr="00FE5A1C">
        <w:rPr>
          <w:rFonts w:ascii="Arial" w:hAnsi="Arial" w:cs="Arial"/>
          <w:kern w:val="0"/>
          <w:sz w:val="22"/>
          <w:szCs w:val="22"/>
          <w14:ligatures w14:val="none"/>
        </w:rPr>
        <w:t xml:space="preserve">. Available at: </w:t>
      </w:r>
      <w:hyperlink r:id="rId32" w:history="1">
        <w:r w:rsidRPr="00FE5A1C">
          <w:rPr>
            <w:rFonts w:ascii="Arial" w:hAnsi="Arial" w:cs="Arial"/>
            <w:color w:val="0000FF"/>
            <w:kern w:val="0"/>
            <w:sz w:val="22"/>
            <w:szCs w:val="22"/>
            <w:u w:val="single"/>
            <w14:ligatures w14:val="none"/>
          </w:rPr>
          <w:t>https://doi.org/10.1016/S0140-6736(10)60484-9</w:t>
        </w:r>
      </w:hyperlink>
      <w:r w:rsidRPr="00FE5A1C">
        <w:rPr>
          <w:rFonts w:ascii="Arial" w:hAnsi="Arial" w:cs="Arial"/>
          <w:sz w:val="22"/>
          <w:szCs w:val="22"/>
          <w:lang w:eastAsia="zh-CN"/>
        </w:rPr>
        <w:t>.</w:t>
      </w:r>
    </w:p>
    <w:p w14:paraId="234C20A5"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Engel, G.L. (1977) ‘The need for a new medical model: a challenge for biomedicine’, </w:t>
      </w:r>
      <w:r w:rsidRPr="00FE5A1C">
        <w:rPr>
          <w:rFonts w:ascii="Arial" w:hAnsi="Arial" w:cs="Arial"/>
          <w:i/>
          <w:kern w:val="0"/>
          <w:sz w:val="22"/>
          <w:szCs w:val="22"/>
          <w14:ligatures w14:val="none"/>
        </w:rPr>
        <w:t>Science</w:t>
      </w:r>
      <w:r w:rsidRPr="00FE5A1C">
        <w:rPr>
          <w:rFonts w:ascii="Arial" w:hAnsi="Arial" w:cs="Arial"/>
          <w:kern w:val="0"/>
          <w:sz w:val="22"/>
          <w:szCs w:val="22"/>
          <w14:ligatures w14:val="none"/>
        </w:rPr>
        <w:t xml:space="preserve">, 196(4286), pp. 129–136. Available at: </w:t>
      </w:r>
      <w:hyperlink r:id="rId33" w:history="1">
        <w:r w:rsidRPr="00FE5A1C">
          <w:rPr>
            <w:rFonts w:ascii="Arial" w:hAnsi="Arial" w:cs="Arial"/>
            <w:color w:val="0000FF"/>
            <w:kern w:val="0"/>
            <w:sz w:val="22"/>
            <w:szCs w:val="22"/>
            <w:u w:val="single"/>
            <w14:ligatures w14:val="none"/>
          </w:rPr>
          <w:t>https://doi.org/10.1126/science.847460</w:t>
        </w:r>
      </w:hyperlink>
      <w:r w:rsidRPr="00FE5A1C">
        <w:rPr>
          <w:rFonts w:ascii="Arial" w:hAnsi="Arial" w:cs="Arial"/>
          <w:sz w:val="22"/>
          <w:szCs w:val="22"/>
          <w:lang w:eastAsia="zh-CN"/>
        </w:rPr>
        <w:t>.</w:t>
      </w:r>
    </w:p>
    <w:p w14:paraId="3A8D1A9B"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proofErr w:type="spellStart"/>
      <w:r w:rsidRPr="00FE5A1C">
        <w:rPr>
          <w:rFonts w:ascii="Arial" w:hAnsi="Arial" w:cs="Arial"/>
          <w:kern w:val="0"/>
          <w:sz w:val="22"/>
          <w:szCs w:val="22"/>
          <w14:ligatures w14:val="none"/>
        </w:rPr>
        <w:t>Forouhi</w:t>
      </w:r>
      <w:proofErr w:type="spellEnd"/>
      <w:r w:rsidRPr="00FE5A1C">
        <w:rPr>
          <w:rFonts w:ascii="Arial" w:hAnsi="Arial" w:cs="Arial"/>
          <w:kern w:val="0"/>
          <w:sz w:val="22"/>
          <w:szCs w:val="22"/>
          <w14:ligatures w14:val="none"/>
        </w:rPr>
        <w:t xml:space="preserve">, N.G. and Wareham, N.J. (2014) ‘Epidemiology of diabetes’, </w:t>
      </w:r>
      <w:r w:rsidRPr="00FE5A1C">
        <w:rPr>
          <w:rFonts w:ascii="Arial" w:hAnsi="Arial" w:cs="Arial"/>
          <w:i/>
          <w:kern w:val="0"/>
          <w:sz w:val="22"/>
          <w:szCs w:val="22"/>
          <w14:ligatures w14:val="none"/>
        </w:rPr>
        <w:t>Medicine</w:t>
      </w:r>
      <w:r w:rsidRPr="00FE5A1C">
        <w:rPr>
          <w:rFonts w:ascii="Arial" w:hAnsi="Arial" w:cs="Arial"/>
          <w:kern w:val="0"/>
          <w:sz w:val="22"/>
          <w:szCs w:val="22"/>
          <w14:ligatures w14:val="none"/>
        </w:rPr>
        <w:t>, 42(12), pp. 698–702.</w:t>
      </w:r>
    </w:p>
    <w:p w14:paraId="52427CC8"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Frasca, D., Blomberg, B.B., Paganelli, R. and Weksler, M.E. (2021) ‘Inflammaging and metabolic disease’, </w:t>
      </w:r>
      <w:r w:rsidRPr="00FE5A1C">
        <w:rPr>
          <w:rFonts w:ascii="Arial" w:hAnsi="Arial" w:cs="Arial"/>
          <w:i/>
          <w:kern w:val="0"/>
          <w:sz w:val="22"/>
          <w:szCs w:val="22"/>
          <w14:ligatures w14:val="none"/>
        </w:rPr>
        <w:t>Frontiers in Aging</w:t>
      </w:r>
      <w:r w:rsidRPr="00FE5A1C">
        <w:rPr>
          <w:rFonts w:ascii="Arial" w:hAnsi="Arial" w:cs="Arial"/>
          <w:kern w:val="0"/>
          <w:sz w:val="22"/>
          <w:szCs w:val="22"/>
          <w14:ligatures w14:val="none"/>
        </w:rPr>
        <w:t xml:space="preserve">, 2. Available at: </w:t>
      </w:r>
      <w:hyperlink r:id="rId34" w:history="1">
        <w:r w:rsidRPr="00FE5A1C">
          <w:rPr>
            <w:rFonts w:ascii="Arial" w:hAnsi="Arial" w:cs="Arial"/>
            <w:color w:val="0000FF"/>
            <w:kern w:val="0"/>
            <w:sz w:val="22"/>
            <w:szCs w:val="22"/>
            <w:u w:val="single"/>
            <w14:ligatures w14:val="none"/>
          </w:rPr>
          <w:t>https://doi.org/10.3389/fragi.2021.685512</w:t>
        </w:r>
      </w:hyperlink>
      <w:r w:rsidRPr="00FE5A1C">
        <w:rPr>
          <w:rFonts w:ascii="Arial" w:hAnsi="Arial" w:cs="Arial"/>
          <w:sz w:val="22"/>
          <w:szCs w:val="22"/>
          <w:lang w:eastAsia="zh-CN"/>
        </w:rPr>
        <w:t>.</w:t>
      </w:r>
    </w:p>
    <w:p w14:paraId="5BB9E1A4"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Funnell, M.M. and Anderson, R.M. (2004) ‘Empowerment and self-management of diabetes’, </w:t>
      </w:r>
      <w:r w:rsidRPr="00FE5A1C">
        <w:rPr>
          <w:rFonts w:ascii="Arial" w:hAnsi="Arial" w:cs="Arial"/>
          <w:i/>
          <w:kern w:val="0"/>
          <w:sz w:val="22"/>
          <w:szCs w:val="22"/>
          <w14:ligatures w14:val="none"/>
        </w:rPr>
        <w:t>Clinical Diabetes</w:t>
      </w:r>
      <w:r w:rsidRPr="00FE5A1C">
        <w:rPr>
          <w:rFonts w:ascii="Arial" w:hAnsi="Arial" w:cs="Arial"/>
          <w:kern w:val="0"/>
          <w:sz w:val="22"/>
          <w:szCs w:val="22"/>
          <w14:ligatures w14:val="none"/>
        </w:rPr>
        <w:t>, 22(3), pp. 123–127.</w:t>
      </w:r>
    </w:p>
    <w:p w14:paraId="05123A61"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Galicia-Garcia, U., Benito-Vicente, A., </w:t>
      </w:r>
      <w:proofErr w:type="spellStart"/>
      <w:r w:rsidRPr="00FE5A1C">
        <w:rPr>
          <w:rFonts w:ascii="Arial" w:hAnsi="Arial" w:cs="Arial"/>
          <w:kern w:val="0"/>
          <w:sz w:val="22"/>
          <w:szCs w:val="22"/>
          <w14:ligatures w14:val="none"/>
        </w:rPr>
        <w:t>Jebari</w:t>
      </w:r>
      <w:proofErr w:type="spellEnd"/>
      <w:r w:rsidRPr="00FE5A1C">
        <w:rPr>
          <w:rFonts w:ascii="Arial" w:hAnsi="Arial" w:cs="Arial"/>
          <w:kern w:val="0"/>
          <w:sz w:val="22"/>
          <w:szCs w:val="22"/>
          <w14:ligatures w14:val="none"/>
        </w:rPr>
        <w:t>, S., Larrea-</w:t>
      </w:r>
      <w:proofErr w:type="spellStart"/>
      <w:r w:rsidRPr="00FE5A1C">
        <w:rPr>
          <w:rFonts w:ascii="Arial" w:hAnsi="Arial" w:cs="Arial"/>
          <w:kern w:val="0"/>
          <w:sz w:val="22"/>
          <w:szCs w:val="22"/>
          <w14:ligatures w14:val="none"/>
        </w:rPr>
        <w:t>Sebal</w:t>
      </w:r>
      <w:proofErr w:type="spellEnd"/>
      <w:r w:rsidRPr="00FE5A1C">
        <w:rPr>
          <w:rFonts w:ascii="Arial" w:hAnsi="Arial" w:cs="Arial"/>
          <w:kern w:val="0"/>
          <w:sz w:val="22"/>
          <w:szCs w:val="22"/>
          <w14:ligatures w14:val="none"/>
        </w:rPr>
        <w:t xml:space="preserve">, A., Siddiqi, H., Uribe, K.B., Ostolaza, H. and Martín, C. (2020) ‘Pathophysiology of type 2 diabetes mellitus’, </w:t>
      </w:r>
      <w:r w:rsidRPr="00FE5A1C">
        <w:rPr>
          <w:rFonts w:ascii="Arial" w:hAnsi="Arial" w:cs="Arial"/>
          <w:i/>
          <w:kern w:val="0"/>
          <w:sz w:val="22"/>
          <w:szCs w:val="22"/>
          <w14:ligatures w14:val="none"/>
        </w:rPr>
        <w:t>International Journal of Molecular Sciences</w:t>
      </w:r>
      <w:r w:rsidRPr="00FE5A1C">
        <w:rPr>
          <w:rFonts w:ascii="Arial" w:hAnsi="Arial" w:cs="Arial"/>
          <w:kern w:val="0"/>
          <w:sz w:val="22"/>
          <w:szCs w:val="22"/>
          <w14:ligatures w14:val="none"/>
        </w:rPr>
        <w:t xml:space="preserve">, 21(17), p. 6275. Available at: </w:t>
      </w:r>
      <w:hyperlink r:id="rId35" w:history="1">
        <w:r w:rsidRPr="00FE5A1C">
          <w:rPr>
            <w:rFonts w:ascii="Arial" w:hAnsi="Arial" w:cs="Arial"/>
            <w:color w:val="0000FF"/>
            <w:kern w:val="0"/>
            <w:sz w:val="22"/>
            <w:szCs w:val="22"/>
            <w:u w:val="single"/>
            <w14:ligatures w14:val="none"/>
          </w:rPr>
          <w:t>https://doi.org/10.3390/ijms21176275</w:t>
        </w:r>
      </w:hyperlink>
      <w:r w:rsidRPr="00FE5A1C">
        <w:rPr>
          <w:rFonts w:ascii="Arial" w:hAnsi="Arial" w:cs="Arial"/>
          <w:sz w:val="22"/>
          <w:szCs w:val="22"/>
          <w:lang w:eastAsia="zh-CN"/>
        </w:rPr>
        <w:t>.</w:t>
      </w:r>
    </w:p>
    <w:p w14:paraId="27566100"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Gregg, E.W., Cheng, Y.J., Srinivasan, M., Lin, J., Geiss, L.S., Albright, A.L. and Imperatore, G. (2012) ‘Trends in death rates among adults with and without diabetes’, </w:t>
      </w:r>
      <w:r w:rsidRPr="00FE5A1C">
        <w:rPr>
          <w:rFonts w:ascii="Arial" w:hAnsi="Arial" w:cs="Arial"/>
          <w:i/>
          <w:kern w:val="0"/>
          <w:sz w:val="22"/>
          <w:szCs w:val="22"/>
          <w14:ligatures w14:val="none"/>
        </w:rPr>
        <w:t>Diabetes Care</w:t>
      </w:r>
      <w:r w:rsidRPr="00FE5A1C">
        <w:rPr>
          <w:rFonts w:ascii="Arial" w:hAnsi="Arial" w:cs="Arial"/>
          <w:kern w:val="0"/>
          <w:sz w:val="22"/>
          <w:szCs w:val="22"/>
          <w14:ligatures w14:val="none"/>
        </w:rPr>
        <w:t xml:space="preserve">, 35(6), pp. 1252–1257. Available at: </w:t>
      </w:r>
      <w:hyperlink r:id="rId36" w:history="1">
        <w:r w:rsidRPr="00FE5A1C">
          <w:rPr>
            <w:rFonts w:ascii="Arial" w:hAnsi="Arial" w:cs="Arial"/>
            <w:color w:val="0000FF"/>
            <w:kern w:val="0"/>
            <w:sz w:val="22"/>
            <w:szCs w:val="22"/>
            <w:u w:val="single"/>
            <w14:ligatures w14:val="none"/>
          </w:rPr>
          <w:t>https://doi.org/10.2337/dc11-1162</w:t>
        </w:r>
      </w:hyperlink>
      <w:r w:rsidRPr="00FE5A1C">
        <w:rPr>
          <w:rFonts w:ascii="Arial" w:hAnsi="Arial" w:cs="Arial"/>
          <w:sz w:val="22"/>
          <w:szCs w:val="22"/>
          <w:lang w:eastAsia="zh-CN"/>
        </w:rPr>
        <w:t>.</w:t>
      </w:r>
    </w:p>
    <w:p w14:paraId="37D3F499"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Halim, M. and Halim, A. (2019) ‘The effects of inflammation, ageing and oxidative stress on the pathogenesis of type 2 diabetes’, </w:t>
      </w:r>
      <w:r w:rsidRPr="00FE5A1C">
        <w:rPr>
          <w:rFonts w:ascii="Arial" w:hAnsi="Arial" w:cs="Arial"/>
          <w:i/>
          <w:kern w:val="0"/>
          <w:sz w:val="22"/>
          <w:szCs w:val="22"/>
          <w14:ligatures w14:val="none"/>
        </w:rPr>
        <w:t>Diabetes and Metabolic Syndrome: Clinical Research and Reviews</w:t>
      </w:r>
      <w:r w:rsidRPr="00FE5A1C">
        <w:rPr>
          <w:rFonts w:ascii="Arial" w:hAnsi="Arial" w:cs="Arial"/>
          <w:kern w:val="0"/>
          <w:sz w:val="22"/>
          <w:szCs w:val="22"/>
          <w14:ligatures w14:val="none"/>
        </w:rPr>
        <w:t xml:space="preserve">, 13(2), pp. 1165–1172. Available at: </w:t>
      </w:r>
      <w:hyperlink r:id="rId37" w:history="1">
        <w:r w:rsidRPr="00FE5A1C">
          <w:rPr>
            <w:rFonts w:ascii="Arial" w:hAnsi="Arial" w:cs="Arial"/>
            <w:color w:val="0000FF"/>
            <w:kern w:val="0"/>
            <w:sz w:val="22"/>
            <w:szCs w:val="22"/>
            <w:u w:val="single"/>
            <w14:ligatures w14:val="none"/>
          </w:rPr>
          <w:t>https://doi.org/10.1016/j.dsx.2019.01.040</w:t>
        </w:r>
      </w:hyperlink>
      <w:r w:rsidRPr="00FE5A1C">
        <w:rPr>
          <w:rFonts w:ascii="Arial" w:hAnsi="Arial" w:cs="Arial"/>
          <w:sz w:val="22"/>
          <w:szCs w:val="22"/>
          <w:lang w:eastAsia="zh-CN"/>
        </w:rPr>
        <w:t>.</w:t>
      </w:r>
    </w:p>
    <w:p w14:paraId="595B62E1"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Holman, R.R., Paul, S.K., Bethel, M.A., Matthews, D.R. and Neil, H.A.W. (2008) ‘10-year follow-up of intensive glucose control in type 2 diabetes’, </w:t>
      </w:r>
      <w:r w:rsidRPr="00FE5A1C">
        <w:rPr>
          <w:rFonts w:ascii="Arial" w:hAnsi="Arial" w:cs="Arial"/>
          <w:i/>
          <w:kern w:val="0"/>
          <w:sz w:val="22"/>
          <w:szCs w:val="22"/>
          <w14:ligatures w14:val="none"/>
        </w:rPr>
        <w:t>New England Journal of Medicine</w:t>
      </w:r>
      <w:r w:rsidRPr="00FE5A1C">
        <w:rPr>
          <w:rFonts w:ascii="Arial" w:hAnsi="Arial" w:cs="Arial"/>
          <w:kern w:val="0"/>
          <w:sz w:val="22"/>
          <w:szCs w:val="22"/>
          <w14:ligatures w14:val="none"/>
        </w:rPr>
        <w:t xml:space="preserve">, 359(15), pp. 1577–1589. Available at: </w:t>
      </w:r>
      <w:hyperlink r:id="rId38" w:history="1">
        <w:r w:rsidRPr="00FE5A1C">
          <w:rPr>
            <w:rFonts w:ascii="Arial" w:hAnsi="Arial" w:cs="Arial"/>
            <w:color w:val="0000FF"/>
            <w:kern w:val="0"/>
            <w:sz w:val="22"/>
            <w:szCs w:val="22"/>
            <w:u w:val="single"/>
            <w14:ligatures w14:val="none"/>
          </w:rPr>
          <w:t>https://doi.org/10.1056/NEJMoa0806470</w:t>
        </w:r>
      </w:hyperlink>
      <w:r w:rsidRPr="00FE5A1C">
        <w:rPr>
          <w:rFonts w:ascii="Arial" w:hAnsi="Arial" w:cs="Arial"/>
          <w:sz w:val="22"/>
          <w:szCs w:val="22"/>
          <w:lang w:eastAsia="zh-CN"/>
        </w:rPr>
        <w:t>.</w:t>
      </w:r>
    </w:p>
    <w:p w14:paraId="21ED2EA7"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International Diabetes Federation (2021) </w:t>
      </w:r>
      <w:r w:rsidRPr="00FE5A1C">
        <w:rPr>
          <w:rFonts w:ascii="Arial" w:hAnsi="Arial" w:cs="Arial"/>
          <w:i/>
          <w:kern w:val="0"/>
          <w:sz w:val="22"/>
          <w:szCs w:val="22"/>
          <w14:ligatures w14:val="none"/>
        </w:rPr>
        <w:t>IDF Diabetes Atlas</w:t>
      </w:r>
      <w:r w:rsidRPr="00FE5A1C">
        <w:rPr>
          <w:rFonts w:ascii="Arial" w:hAnsi="Arial" w:cs="Arial"/>
          <w:kern w:val="0"/>
          <w:sz w:val="22"/>
          <w:szCs w:val="22"/>
          <w14:ligatures w14:val="none"/>
        </w:rPr>
        <w:t xml:space="preserve">. 10th </w:t>
      </w:r>
      <w:proofErr w:type="spellStart"/>
      <w:r w:rsidRPr="00FE5A1C">
        <w:rPr>
          <w:rFonts w:ascii="Arial" w:hAnsi="Arial" w:cs="Arial"/>
          <w:kern w:val="0"/>
          <w:sz w:val="22"/>
          <w:szCs w:val="22"/>
          <w14:ligatures w14:val="none"/>
        </w:rPr>
        <w:t>edn</w:t>
      </w:r>
      <w:proofErr w:type="spellEnd"/>
      <w:r w:rsidRPr="00FE5A1C">
        <w:rPr>
          <w:rFonts w:ascii="Arial" w:hAnsi="Arial" w:cs="Arial"/>
          <w:kern w:val="0"/>
          <w:sz w:val="22"/>
          <w:szCs w:val="22"/>
          <w14:ligatures w14:val="none"/>
        </w:rPr>
        <w:t xml:space="preserve">. Brussels: International Diabetes Federation. Available at: </w:t>
      </w:r>
      <w:hyperlink r:id="rId39" w:history="1">
        <w:r w:rsidRPr="00FE5A1C">
          <w:rPr>
            <w:rFonts w:ascii="Arial" w:hAnsi="Arial" w:cs="Arial"/>
            <w:color w:val="0000FF"/>
            <w:kern w:val="0"/>
            <w:sz w:val="22"/>
            <w:szCs w:val="22"/>
            <w:u w:val="single"/>
            <w14:ligatures w14:val="none"/>
          </w:rPr>
          <w:t>https://diabetesatlas.org</w:t>
        </w:r>
      </w:hyperlink>
      <w:r w:rsidRPr="00FE5A1C">
        <w:rPr>
          <w:rFonts w:ascii="Arial" w:hAnsi="Arial" w:cs="Arial"/>
          <w:kern w:val="0"/>
          <w:sz w:val="22"/>
          <w:szCs w:val="22"/>
          <w14:ligatures w14:val="none"/>
        </w:rPr>
        <w:t xml:space="preserve"> (Accessed: 24 June 2026).</w:t>
      </w:r>
    </w:p>
    <w:p w14:paraId="23237923"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Kalyani, R.R., Golden, S.H. and Cefalu, W.T. (2017) ‘Diabetes and ageing: unique considerations and goals of care’, </w:t>
      </w:r>
      <w:r w:rsidRPr="00FE5A1C">
        <w:rPr>
          <w:rFonts w:ascii="Arial" w:hAnsi="Arial" w:cs="Arial"/>
          <w:i/>
          <w:kern w:val="0"/>
          <w:sz w:val="22"/>
          <w:szCs w:val="22"/>
          <w14:ligatures w14:val="none"/>
        </w:rPr>
        <w:t>Diabetes Care</w:t>
      </w:r>
      <w:r w:rsidRPr="00FE5A1C">
        <w:rPr>
          <w:rFonts w:ascii="Arial" w:hAnsi="Arial" w:cs="Arial"/>
          <w:kern w:val="0"/>
          <w:sz w:val="22"/>
          <w:szCs w:val="22"/>
          <w14:ligatures w14:val="none"/>
        </w:rPr>
        <w:t xml:space="preserve">, 40(4), pp. 440–443. Available at: </w:t>
      </w:r>
      <w:hyperlink r:id="rId40" w:history="1">
        <w:r w:rsidRPr="00FE5A1C">
          <w:rPr>
            <w:rFonts w:ascii="Arial" w:hAnsi="Arial" w:cs="Arial"/>
            <w:color w:val="0000FF"/>
            <w:kern w:val="0"/>
            <w:sz w:val="22"/>
            <w:szCs w:val="22"/>
            <w:u w:val="single"/>
            <w14:ligatures w14:val="none"/>
          </w:rPr>
          <w:t>https://doi.org/10.2337/dci17-0005</w:t>
        </w:r>
      </w:hyperlink>
      <w:r w:rsidRPr="00FE5A1C">
        <w:rPr>
          <w:rFonts w:ascii="Arial" w:hAnsi="Arial" w:cs="Arial"/>
          <w:sz w:val="22"/>
          <w:szCs w:val="22"/>
          <w:lang w:eastAsia="zh-CN"/>
        </w:rPr>
        <w:t>.</w:t>
      </w:r>
    </w:p>
    <w:p w14:paraId="22EAFD99"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Marmot, M. (2010) </w:t>
      </w:r>
      <w:r w:rsidRPr="00FE5A1C">
        <w:rPr>
          <w:rFonts w:ascii="Arial" w:hAnsi="Arial" w:cs="Arial"/>
          <w:i/>
          <w:kern w:val="0"/>
          <w:sz w:val="22"/>
          <w:szCs w:val="22"/>
          <w14:ligatures w14:val="none"/>
        </w:rPr>
        <w:t>Fair Society, Healthy Lives</w:t>
      </w:r>
      <w:r w:rsidRPr="00FE5A1C">
        <w:rPr>
          <w:rFonts w:ascii="Arial" w:hAnsi="Arial" w:cs="Arial"/>
          <w:kern w:val="0"/>
          <w:sz w:val="22"/>
          <w:szCs w:val="22"/>
          <w14:ligatures w14:val="none"/>
        </w:rPr>
        <w:t>. London: UCL Institute of Health Equity.</w:t>
      </w:r>
    </w:p>
    <w:p w14:paraId="2C0F8DCE"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lang w:val="fr-FR"/>
          <w14:ligatures w14:val="none"/>
        </w:rPr>
        <w:t xml:space="preserve">NHS Digital (2022) </w:t>
      </w:r>
      <w:r w:rsidRPr="00FE5A1C">
        <w:rPr>
          <w:rFonts w:ascii="Arial" w:hAnsi="Arial" w:cs="Arial"/>
          <w:i/>
          <w:kern w:val="0"/>
          <w:sz w:val="22"/>
          <w:szCs w:val="22"/>
          <w:lang w:val="fr-FR"/>
          <w14:ligatures w14:val="none"/>
        </w:rPr>
        <w:t xml:space="preserve">National </w:t>
      </w:r>
      <w:proofErr w:type="spellStart"/>
      <w:r w:rsidRPr="00FE5A1C">
        <w:rPr>
          <w:rFonts w:ascii="Arial" w:hAnsi="Arial" w:cs="Arial"/>
          <w:i/>
          <w:kern w:val="0"/>
          <w:sz w:val="22"/>
          <w:szCs w:val="22"/>
          <w:lang w:val="fr-FR"/>
          <w14:ligatures w14:val="none"/>
        </w:rPr>
        <w:t>Diabetes</w:t>
      </w:r>
      <w:proofErr w:type="spellEnd"/>
      <w:r w:rsidRPr="00FE5A1C">
        <w:rPr>
          <w:rFonts w:ascii="Arial" w:hAnsi="Arial" w:cs="Arial"/>
          <w:i/>
          <w:kern w:val="0"/>
          <w:sz w:val="22"/>
          <w:szCs w:val="22"/>
          <w:lang w:val="fr-FR"/>
          <w14:ligatures w14:val="none"/>
        </w:rPr>
        <w:t xml:space="preserve"> Audit</w:t>
      </w:r>
      <w:r w:rsidRPr="00FE5A1C">
        <w:rPr>
          <w:rFonts w:ascii="Arial" w:hAnsi="Arial" w:cs="Arial"/>
          <w:kern w:val="0"/>
          <w:sz w:val="22"/>
          <w:szCs w:val="22"/>
          <w:lang w:val="fr-FR"/>
          <w14:ligatures w14:val="none"/>
        </w:rPr>
        <w:t xml:space="preserve">. London : NHS Digital. </w:t>
      </w:r>
      <w:r w:rsidRPr="00FE5A1C">
        <w:rPr>
          <w:rFonts w:ascii="Arial" w:hAnsi="Arial" w:cs="Arial"/>
          <w:kern w:val="0"/>
          <w:sz w:val="22"/>
          <w:szCs w:val="22"/>
          <w14:ligatures w14:val="none"/>
        </w:rPr>
        <w:t xml:space="preserve">Available at: </w:t>
      </w:r>
      <w:hyperlink r:id="rId41" w:history="1">
        <w:r w:rsidRPr="00FE5A1C">
          <w:rPr>
            <w:rFonts w:ascii="Arial" w:hAnsi="Arial" w:cs="Arial"/>
            <w:color w:val="0000FF"/>
            <w:kern w:val="0"/>
            <w:sz w:val="22"/>
            <w:szCs w:val="22"/>
            <w:u w:val="single"/>
            <w14:ligatures w14:val="none"/>
          </w:rPr>
          <w:t>https://digital.nhs.uk</w:t>
        </w:r>
      </w:hyperlink>
      <w:r w:rsidRPr="00FE5A1C">
        <w:rPr>
          <w:rFonts w:ascii="Arial" w:hAnsi="Arial" w:cs="Arial"/>
          <w:kern w:val="0"/>
          <w:sz w:val="22"/>
          <w:szCs w:val="22"/>
          <w14:ligatures w14:val="none"/>
        </w:rPr>
        <w:t xml:space="preserve"> (Accessed: 24 June 2026).</w:t>
      </w:r>
    </w:p>
    <w:p w14:paraId="6BBFECA7"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NHS England (2019) </w:t>
      </w:r>
      <w:r w:rsidRPr="00FE5A1C">
        <w:rPr>
          <w:rFonts w:ascii="Arial" w:hAnsi="Arial" w:cs="Arial"/>
          <w:i/>
          <w:kern w:val="0"/>
          <w:sz w:val="22"/>
          <w:szCs w:val="22"/>
          <w14:ligatures w14:val="none"/>
        </w:rPr>
        <w:t>The NHS Long Term Plan</w:t>
      </w:r>
      <w:r w:rsidRPr="00FE5A1C">
        <w:rPr>
          <w:rFonts w:ascii="Arial" w:hAnsi="Arial" w:cs="Arial"/>
          <w:kern w:val="0"/>
          <w:sz w:val="22"/>
          <w:szCs w:val="22"/>
          <w14:ligatures w14:val="none"/>
        </w:rPr>
        <w:t xml:space="preserve">. Available at: </w:t>
      </w:r>
      <w:hyperlink r:id="rId42" w:history="1">
        <w:r w:rsidRPr="00FE5A1C">
          <w:rPr>
            <w:rFonts w:ascii="Arial" w:hAnsi="Arial" w:cs="Arial"/>
            <w:color w:val="0000FF"/>
            <w:kern w:val="0"/>
            <w:sz w:val="22"/>
            <w:szCs w:val="22"/>
            <w:u w:val="single"/>
            <w14:ligatures w14:val="none"/>
          </w:rPr>
          <w:t>https://www.longtermplan.nhs.uk</w:t>
        </w:r>
      </w:hyperlink>
      <w:r w:rsidRPr="00FE5A1C">
        <w:rPr>
          <w:rFonts w:ascii="Arial" w:hAnsi="Arial" w:cs="Arial"/>
          <w:kern w:val="0"/>
          <w:sz w:val="22"/>
          <w:szCs w:val="22"/>
          <w14:ligatures w14:val="none"/>
        </w:rPr>
        <w:t xml:space="preserve"> (Accessed: 24 June 2026).</w:t>
      </w:r>
    </w:p>
    <w:p w14:paraId="3CE6B42F"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National Institute for Health and Care Excellence (NICE) (2022) </w:t>
      </w:r>
      <w:r w:rsidRPr="00FE5A1C">
        <w:rPr>
          <w:rFonts w:ascii="Arial" w:hAnsi="Arial" w:cs="Arial"/>
          <w:i/>
          <w:kern w:val="0"/>
          <w:sz w:val="22"/>
          <w:szCs w:val="22"/>
          <w14:ligatures w14:val="none"/>
        </w:rPr>
        <w:t>Type 2 diabetes in adults: management (NG28)</w:t>
      </w:r>
      <w:r w:rsidRPr="00FE5A1C">
        <w:rPr>
          <w:rFonts w:ascii="Arial" w:hAnsi="Arial" w:cs="Arial"/>
          <w:kern w:val="0"/>
          <w:sz w:val="22"/>
          <w:szCs w:val="22"/>
          <w14:ligatures w14:val="none"/>
        </w:rPr>
        <w:t xml:space="preserve">. Available at: </w:t>
      </w:r>
      <w:hyperlink r:id="rId43" w:history="1">
        <w:r w:rsidRPr="00FE5A1C">
          <w:rPr>
            <w:rFonts w:ascii="Arial" w:hAnsi="Arial" w:cs="Arial"/>
            <w:color w:val="0000FF"/>
            <w:kern w:val="0"/>
            <w:sz w:val="22"/>
            <w:szCs w:val="22"/>
            <w:u w:val="single"/>
            <w14:ligatures w14:val="none"/>
          </w:rPr>
          <w:t>https://www.nice.org.uk/guidance/ng28</w:t>
        </w:r>
      </w:hyperlink>
      <w:r w:rsidRPr="00FE5A1C">
        <w:rPr>
          <w:rFonts w:ascii="Arial" w:hAnsi="Arial" w:cs="Arial"/>
          <w:kern w:val="0"/>
          <w:sz w:val="22"/>
          <w:szCs w:val="22"/>
          <w14:ligatures w14:val="none"/>
        </w:rPr>
        <w:t xml:space="preserve"> (Accessed: 24 June 2026).</w:t>
      </w:r>
    </w:p>
    <w:p w14:paraId="799B501A"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Page, M.J., McKenzie, J.E., Bossuyt, P.M., </w:t>
      </w:r>
      <w:proofErr w:type="spellStart"/>
      <w:r w:rsidRPr="00FE5A1C">
        <w:rPr>
          <w:rFonts w:ascii="Arial" w:hAnsi="Arial" w:cs="Arial"/>
          <w:kern w:val="0"/>
          <w:sz w:val="22"/>
          <w:szCs w:val="22"/>
          <w14:ligatures w14:val="none"/>
        </w:rPr>
        <w:t>Boutron</w:t>
      </w:r>
      <w:proofErr w:type="spellEnd"/>
      <w:r w:rsidRPr="00FE5A1C">
        <w:rPr>
          <w:rFonts w:ascii="Arial" w:hAnsi="Arial" w:cs="Arial"/>
          <w:kern w:val="0"/>
          <w:sz w:val="22"/>
          <w:szCs w:val="22"/>
          <w14:ligatures w14:val="none"/>
        </w:rPr>
        <w:t xml:space="preserve">, I., Hoffmann, T.C., Mulrow, C.D., </w:t>
      </w:r>
      <w:proofErr w:type="spellStart"/>
      <w:r w:rsidRPr="00FE5A1C">
        <w:rPr>
          <w:rFonts w:ascii="Arial" w:hAnsi="Arial" w:cs="Arial"/>
          <w:kern w:val="0"/>
          <w:sz w:val="22"/>
          <w:szCs w:val="22"/>
          <w14:ligatures w14:val="none"/>
        </w:rPr>
        <w:t>Shamseer</w:t>
      </w:r>
      <w:proofErr w:type="spellEnd"/>
      <w:r w:rsidRPr="00FE5A1C">
        <w:rPr>
          <w:rFonts w:ascii="Arial" w:hAnsi="Arial" w:cs="Arial"/>
          <w:kern w:val="0"/>
          <w:sz w:val="22"/>
          <w:szCs w:val="22"/>
          <w14:ligatures w14:val="none"/>
        </w:rPr>
        <w:t xml:space="preserve">, L., Tetzlaff, J.M. and Moher, D. (2021) ‘The PRISMA 2020 statement: an updated guideline for reporting systematic reviews’, </w:t>
      </w:r>
      <w:r w:rsidRPr="00FE5A1C">
        <w:rPr>
          <w:rFonts w:ascii="Arial" w:hAnsi="Arial" w:cs="Arial"/>
          <w:i/>
          <w:kern w:val="0"/>
          <w:sz w:val="22"/>
          <w:szCs w:val="22"/>
          <w14:ligatures w14:val="none"/>
        </w:rPr>
        <w:t>BMJ</w:t>
      </w:r>
      <w:r w:rsidRPr="00FE5A1C">
        <w:rPr>
          <w:rFonts w:ascii="Arial" w:hAnsi="Arial" w:cs="Arial"/>
          <w:kern w:val="0"/>
          <w:sz w:val="22"/>
          <w:szCs w:val="22"/>
          <w14:ligatures w14:val="none"/>
        </w:rPr>
        <w:t xml:space="preserve">, 372, n71. Available at: </w:t>
      </w:r>
      <w:hyperlink r:id="rId44" w:history="1">
        <w:r w:rsidRPr="00FE5A1C">
          <w:rPr>
            <w:rFonts w:ascii="Arial" w:hAnsi="Arial" w:cs="Arial"/>
            <w:color w:val="0000FF"/>
            <w:kern w:val="0"/>
            <w:sz w:val="22"/>
            <w:szCs w:val="22"/>
            <w:u w:val="single"/>
            <w14:ligatures w14:val="none"/>
          </w:rPr>
          <w:t>https://doi.org/10.1136/bmj.n71</w:t>
        </w:r>
      </w:hyperlink>
      <w:r w:rsidRPr="00FE5A1C">
        <w:rPr>
          <w:rFonts w:ascii="Arial" w:hAnsi="Arial" w:cs="Arial"/>
          <w:sz w:val="22"/>
          <w:szCs w:val="22"/>
          <w:lang w:eastAsia="zh-CN"/>
        </w:rPr>
        <w:t>.</w:t>
      </w:r>
    </w:p>
    <w:p w14:paraId="565CFE43"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Polonsky, K.S. (2012) ‘The past 200 years in diabetes’, </w:t>
      </w:r>
      <w:r w:rsidRPr="00FE5A1C">
        <w:rPr>
          <w:rFonts w:ascii="Arial" w:hAnsi="Arial" w:cs="Arial"/>
          <w:i/>
          <w:kern w:val="0"/>
          <w:sz w:val="22"/>
          <w:szCs w:val="22"/>
          <w14:ligatures w14:val="none"/>
        </w:rPr>
        <w:t>New England Journal of Medicine</w:t>
      </w:r>
      <w:r w:rsidRPr="00FE5A1C">
        <w:rPr>
          <w:rFonts w:ascii="Arial" w:hAnsi="Arial" w:cs="Arial"/>
          <w:kern w:val="0"/>
          <w:sz w:val="22"/>
          <w:szCs w:val="22"/>
          <w14:ligatures w14:val="none"/>
        </w:rPr>
        <w:t xml:space="preserve">, 367(14), pp. 1332–1340. Available at: </w:t>
      </w:r>
      <w:hyperlink r:id="rId45" w:history="1">
        <w:r w:rsidRPr="00FE5A1C">
          <w:rPr>
            <w:rFonts w:ascii="Arial" w:hAnsi="Arial" w:cs="Arial"/>
            <w:color w:val="0000FF"/>
            <w:kern w:val="0"/>
            <w:sz w:val="22"/>
            <w:szCs w:val="22"/>
            <w:u w:val="single"/>
            <w14:ligatures w14:val="none"/>
          </w:rPr>
          <w:t>https://doi.org/10.1056/NEJMra1110560</w:t>
        </w:r>
      </w:hyperlink>
      <w:r w:rsidRPr="00FE5A1C">
        <w:rPr>
          <w:rFonts w:ascii="Arial" w:hAnsi="Arial" w:cs="Arial"/>
          <w:sz w:val="22"/>
          <w:szCs w:val="22"/>
          <w:lang w:eastAsia="zh-CN"/>
        </w:rPr>
        <w:t>.</w:t>
      </w:r>
    </w:p>
    <w:p w14:paraId="4893441B"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Pop-</w:t>
      </w:r>
      <w:proofErr w:type="spellStart"/>
      <w:r w:rsidRPr="00FE5A1C">
        <w:rPr>
          <w:rFonts w:ascii="Arial" w:hAnsi="Arial" w:cs="Arial"/>
          <w:kern w:val="0"/>
          <w:sz w:val="22"/>
          <w:szCs w:val="22"/>
          <w14:ligatures w14:val="none"/>
        </w:rPr>
        <w:t>Busui</w:t>
      </w:r>
      <w:proofErr w:type="spellEnd"/>
      <w:r w:rsidRPr="00FE5A1C">
        <w:rPr>
          <w:rFonts w:ascii="Arial" w:hAnsi="Arial" w:cs="Arial"/>
          <w:kern w:val="0"/>
          <w:sz w:val="22"/>
          <w:szCs w:val="22"/>
          <w14:ligatures w14:val="none"/>
        </w:rPr>
        <w:t xml:space="preserve">, R., Boulton, A.J.M., Feldman, E.L., Bril, V., Freeman, R., Malik, R.A., Sosenko, J.M. and Ziegler, D. (2017) ‘Diabetic neuropathy: a position statement by the American Diabetes Association’, </w:t>
      </w:r>
      <w:r w:rsidRPr="00FE5A1C">
        <w:rPr>
          <w:rFonts w:ascii="Arial" w:hAnsi="Arial" w:cs="Arial"/>
          <w:i/>
          <w:kern w:val="0"/>
          <w:sz w:val="22"/>
          <w:szCs w:val="22"/>
          <w14:ligatures w14:val="none"/>
        </w:rPr>
        <w:t>Diabetes Care</w:t>
      </w:r>
      <w:r w:rsidRPr="00FE5A1C">
        <w:rPr>
          <w:rFonts w:ascii="Arial" w:hAnsi="Arial" w:cs="Arial"/>
          <w:kern w:val="0"/>
          <w:sz w:val="22"/>
          <w:szCs w:val="22"/>
          <w14:ligatures w14:val="none"/>
        </w:rPr>
        <w:t xml:space="preserve">, 40(1), pp. 136–154. Available at: </w:t>
      </w:r>
      <w:hyperlink r:id="rId46" w:history="1">
        <w:r w:rsidRPr="00FE5A1C">
          <w:rPr>
            <w:rFonts w:ascii="Arial" w:hAnsi="Arial" w:cs="Arial"/>
            <w:color w:val="0000FF"/>
            <w:kern w:val="0"/>
            <w:sz w:val="22"/>
            <w:szCs w:val="22"/>
            <w:u w:val="single"/>
            <w14:ligatures w14:val="none"/>
          </w:rPr>
          <w:t>https://doi.org/10.2337/dc16-2042</w:t>
        </w:r>
      </w:hyperlink>
      <w:r w:rsidRPr="00FE5A1C">
        <w:rPr>
          <w:rFonts w:ascii="Arial" w:hAnsi="Arial" w:cs="Arial"/>
          <w:sz w:val="22"/>
          <w:szCs w:val="22"/>
          <w:lang w:eastAsia="zh-CN"/>
        </w:rPr>
        <w:t>.</w:t>
      </w:r>
    </w:p>
    <w:p w14:paraId="54A88BA3"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Public Health England (2023) </w:t>
      </w:r>
      <w:r w:rsidRPr="00FE5A1C">
        <w:rPr>
          <w:rFonts w:ascii="Arial" w:hAnsi="Arial" w:cs="Arial"/>
          <w:i/>
          <w:kern w:val="0"/>
          <w:sz w:val="22"/>
          <w:szCs w:val="22"/>
          <w14:ligatures w14:val="none"/>
        </w:rPr>
        <w:t>Diabetes prevalence and deprivation indicators</w:t>
      </w:r>
      <w:r w:rsidRPr="00FE5A1C">
        <w:rPr>
          <w:rFonts w:ascii="Arial" w:hAnsi="Arial" w:cs="Arial"/>
          <w:kern w:val="0"/>
          <w:sz w:val="22"/>
          <w:szCs w:val="22"/>
          <w14:ligatures w14:val="none"/>
        </w:rPr>
        <w:t xml:space="preserve">. Available at: </w:t>
      </w:r>
      <w:hyperlink r:id="rId47" w:history="1">
        <w:r w:rsidRPr="00FE5A1C">
          <w:rPr>
            <w:rFonts w:ascii="Arial" w:hAnsi="Arial" w:cs="Arial"/>
            <w:color w:val="0000FF"/>
            <w:kern w:val="0"/>
            <w:sz w:val="22"/>
            <w:szCs w:val="22"/>
            <w:u w:val="single"/>
            <w14:ligatures w14:val="none"/>
          </w:rPr>
          <w:t>https://fingertips.phe.org.uk</w:t>
        </w:r>
      </w:hyperlink>
      <w:r w:rsidRPr="00FE5A1C">
        <w:rPr>
          <w:rFonts w:ascii="Arial" w:hAnsi="Arial" w:cs="Arial"/>
          <w:kern w:val="0"/>
          <w:sz w:val="22"/>
          <w:szCs w:val="22"/>
          <w14:ligatures w14:val="none"/>
        </w:rPr>
        <w:t xml:space="preserve"> (Accessed: 24 June 2026).</w:t>
      </w:r>
    </w:p>
    <w:p w14:paraId="6101BF29"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proofErr w:type="spellStart"/>
      <w:r w:rsidRPr="00FE5A1C">
        <w:rPr>
          <w:rFonts w:ascii="Arial" w:hAnsi="Arial" w:cs="Arial"/>
          <w:kern w:val="0"/>
          <w:sz w:val="22"/>
          <w:szCs w:val="22"/>
          <w14:ligatures w14:val="none"/>
        </w:rPr>
        <w:t>Rawshani</w:t>
      </w:r>
      <w:proofErr w:type="spellEnd"/>
      <w:r w:rsidRPr="00FE5A1C">
        <w:rPr>
          <w:rFonts w:ascii="Arial" w:hAnsi="Arial" w:cs="Arial"/>
          <w:kern w:val="0"/>
          <w:sz w:val="22"/>
          <w:szCs w:val="22"/>
          <w14:ligatures w14:val="none"/>
        </w:rPr>
        <w:t xml:space="preserve">, A., Franzén, S., Eliasson, B., Svensson, A.M., Miftaraj, M., McGuire, D.K., Sattar, N. and </w:t>
      </w:r>
      <w:proofErr w:type="spellStart"/>
      <w:r w:rsidRPr="00FE5A1C">
        <w:rPr>
          <w:rFonts w:ascii="Arial" w:hAnsi="Arial" w:cs="Arial"/>
          <w:kern w:val="0"/>
          <w:sz w:val="22"/>
          <w:szCs w:val="22"/>
          <w14:ligatures w14:val="none"/>
        </w:rPr>
        <w:t>Gudbjörnsdottir</w:t>
      </w:r>
      <w:proofErr w:type="spellEnd"/>
      <w:r w:rsidRPr="00FE5A1C">
        <w:rPr>
          <w:rFonts w:ascii="Arial" w:hAnsi="Arial" w:cs="Arial"/>
          <w:kern w:val="0"/>
          <w:sz w:val="22"/>
          <w:szCs w:val="22"/>
          <w14:ligatures w14:val="none"/>
        </w:rPr>
        <w:t xml:space="preserve">, S. (2018) ‘Risk factors, mortality and cardiovascular outcomes in patients with type 2 diabetes’, </w:t>
      </w:r>
      <w:r w:rsidRPr="00FE5A1C">
        <w:rPr>
          <w:rFonts w:ascii="Arial" w:hAnsi="Arial" w:cs="Arial"/>
          <w:i/>
          <w:kern w:val="0"/>
          <w:sz w:val="22"/>
          <w:szCs w:val="22"/>
          <w14:ligatures w14:val="none"/>
        </w:rPr>
        <w:t>New England Journal of Medicine</w:t>
      </w:r>
      <w:r w:rsidRPr="00FE5A1C">
        <w:rPr>
          <w:rFonts w:ascii="Arial" w:hAnsi="Arial" w:cs="Arial"/>
          <w:kern w:val="0"/>
          <w:sz w:val="22"/>
          <w:szCs w:val="22"/>
          <w14:ligatures w14:val="none"/>
        </w:rPr>
        <w:t xml:space="preserve">, 379(7), pp. 633–644. Available at: </w:t>
      </w:r>
      <w:hyperlink r:id="rId48" w:history="1">
        <w:r w:rsidRPr="00FE5A1C">
          <w:rPr>
            <w:rFonts w:ascii="Arial" w:hAnsi="Arial" w:cs="Arial"/>
            <w:color w:val="0000FF"/>
            <w:kern w:val="0"/>
            <w:sz w:val="22"/>
            <w:szCs w:val="22"/>
            <w:u w:val="single"/>
            <w14:ligatures w14:val="none"/>
          </w:rPr>
          <w:t>https://doi.org/10.1056/NEJMoa1800256</w:t>
        </w:r>
      </w:hyperlink>
      <w:r w:rsidRPr="00FE5A1C">
        <w:rPr>
          <w:rFonts w:ascii="Arial" w:hAnsi="Arial" w:cs="Arial"/>
          <w:sz w:val="22"/>
          <w:szCs w:val="22"/>
          <w:lang w:eastAsia="zh-CN"/>
        </w:rPr>
        <w:t>.</w:t>
      </w:r>
    </w:p>
    <w:p w14:paraId="1B0F64A9"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Reed, J., Bain, S. and </w:t>
      </w:r>
      <w:proofErr w:type="spellStart"/>
      <w:r w:rsidRPr="00FE5A1C">
        <w:rPr>
          <w:rFonts w:ascii="Arial" w:hAnsi="Arial" w:cs="Arial"/>
          <w:kern w:val="0"/>
          <w:sz w:val="22"/>
          <w:szCs w:val="22"/>
          <w14:ligatures w14:val="none"/>
        </w:rPr>
        <w:t>Kanamarlapudi</w:t>
      </w:r>
      <w:proofErr w:type="spellEnd"/>
      <w:r w:rsidRPr="00FE5A1C">
        <w:rPr>
          <w:rFonts w:ascii="Arial" w:hAnsi="Arial" w:cs="Arial"/>
          <w:kern w:val="0"/>
          <w:sz w:val="22"/>
          <w:szCs w:val="22"/>
          <w14:ligatures w14:val="none"/>
        </w:rPr>
        <w:t xml:space="preserve">, V. (2021) ‘Current trends in type 2 diabetes epidemiology and pathogenesis’, </w:t>
      </w:r>
      <w:r w:rsidRPr="00FE5A1C">
        <w:rPr>
          <w:rFonts w:ascii="Arial" w:hAnsi="Arial" w:cs="Arial"/>
          <w:i/>
          <w:kern w:val="0"/>
          <w:sz w:val="22"/>
          <w:szCs w:val="22"/>
          <w14:ligatures w14:val="none"/>
        </w:rPr>
        <w:t>Diabetes, Metabolic Syndrome and Obesity</w:t>
      </w:r>
      <w:r w:rsidRPr="00FE5A1C">
        <w:rPr>
          <w:rFonts w:ascii="Arial" w:hAnsi="Arial" w:cs="Arial"/>
          <w:kern w:val="0"/>
          <w:sz w:val="22"/>
          <w:szCs w:val="22"/>
          <w14:ligatures w14:val="none"/>
        </w:rPr>
        <w:t xml:space="preserve">, 14, pp. </w:t>
      </w:r>
      <w:hyperlink r:id="rId49" w:history="1">
        <w:r w:rsidRPr="00FE5A1C">
          <w:rPr>
            <w:rFonts w:ascii="Arial" w:hAnsi="Arial" w:cs="Arial"/>
            <w:color w:val="0000FF"/>
            <w:kern w:val="0"/>
            <w:sz w:val="22"/>
            <w:szCs w:val="22"/>
            <w:u w:val="single"/>
            <w14:ligatures w14:val="none"/>
          </w:rPr>
          <w:t>3567–3602</w:t>
        </w:r>
      </w:hyperlink>
      <w:r w:rsidRPr="00FE5A1C">
        <w:rPr>
          <w:rFonts w:ascii="Arial" w:hAnsi="Arial" w:cs="Arial"/>
          <w:kern w:val="0"/>
          <w:sz w:val="22"/>
          <w:szCs w:val="22"/>
          <w14:ligatures w14:val="none"/>
        </w:rPr>
        <w:t xml:space="preserve">. Available at: </w:t>
      </w:r>
      <w:hyperlink r:id="rId50" w:history="1">
        <w:r w:rsidRPr="00FE5A1C">
          <w:rPr>
            <w:rFonts w:ascii="Arial" w:hAnsi="Arial" w:cs="Arial"/>
            <w:color w:val="0000FF"/>
            <w:kern w:val="0"/>
            <w:sz w:val="22"/>
            <w:szCs w:val="22"/>
            <w:u w:val="single"/>
            <w14:ligatures w14:val="none"/>
          </w:rPr>
          <w:t>https://doi.org/10.2147/DMSO.S319857</w:t>
        </w:r>
      </w:hyperlink>
      <w:r w:rsidRPr="00FE5A1C">
        <w:rPr>
          <w:rFonts w:ascii="Arial" w:hAnsi="Arial" w:cs="Arial"/>
          <w:sz w:val="22"/>
          <w:szCs w:val="22"/>
          <w:lang w:eastAsia="zh-CN"/>
        </w:rPr>
        <w:t>.</w:t>
      </w:r>
    </w:p>
    <w:p w14:paraId="389555ED"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Saeedi, P., Petersohn, I., </w:t>
      </w:r>
      <w:proofErr w:type="spellStart"/>
      <w:r w:rsidRPr="00FE5A1C">
        <w:rPr>
          <w:rFonts w:ascii="Arial" w:hAnsi="Arial" w:cs="Arial"/>
          <w:kern w:val="0"/>
          <w:sz w:val="22"/>
          <w:szCs w:val="22"/>
          <w14:ligatures w14:val="none"/>
        </w:rPr>
        <w:t>Salpea</w:t>
      </w:r>
      <w:proofErr w:type="spellEnd"/>
      <w:r w:rsidRPr="00FE5A1C">
        <w:rPr>
          <w:rFonts w:ascii="Arial" w:hAnsi="Arial" w:cs="Arial"/>
          <w:kern w:val="0"/>
          <w:sz w:val="22"/>
          <w:szCs w:val="22"/>
          <w14:ligatures w14:val="none"/>
        </w:rPr>
        <w:t xml:space="preserve">, P., Malanda, B., </w:t>
      </w:r>
      <w:proofErr w:type="spellStart"/>
      <w:r w:rsidRPr="00FE5A1C">
        <w:rPr>
          <w:rFonts w:ascii="Arial" w:hAnsi="Arial" w:cs="Arial"/>
          <w:kern w:val="0"/>
          <w:sz w:val="22"/>
          <w:szCs w:val="22"/>
          <w14:ligatures w14:val="none"/>
        </w:rPr>
        <w:t>Karuranga</w:t>
      </w:r>
      <w:proofErr w:type="spellEnd"/>
      <w:r w:rsidRPr="00FE5A1C">
        <w:rPr>
          <w:rFonts w:ascii="Arial" w:hAnsi="Arial" w:cs="Arial"/>
          <w:kern w:val="0"/>
          <w:sz w:val="22"/>
          <w:szCs w:val="22"/>
          <w14:ligatures w14:val="none"/>
        </w:rPr>
        <w:t xml:space="preserve">, S. and Unwin, N. (2019) ‘Global and regional diabetes prevalence estimates’, </w:t>
      </w:r>
      <w:r w:rsidRPr="00FE5A1C">
        <w:rPr>
          <w:rFonts w:ascii="Arial" w:hAnsi="Arial" w:cs="Arial"/>
          <w:i/>
          <w:kern w:val="0"/>
          <w:sz w:val="22"/>
          <w:szCs w:val="22"/>
          <w14:ligatures w14:val="none"/>
        </w:rPr>
        <w:t>Diabetes Research and Clinical Practice</w:t>
      </w:r>
      <w:r w:rsidRPr="00FE5A1C">
        <w:rPr>
          <w:rFonts w:ascii="Arial" w:hAnsi="Arial" w:cs="Arial"/>
          <w:kern w:val="0"/>
          <w:sz w:val="22"/>
          <w:szCs w:val="22"/>
          <w14:ligatures w14:val="none"/>
        </w:rPr>
        <w:t xml:space="preserve">, 157, 107843. Available at: </w:t>
      </w:r>
      <w:hyperlink r:id="rId51" w:history="1">
        <w:r w:rsidRPr="00FE5A1C">
          <w:rPr>
            <w:rFonts w:ascii="Arial" w:hAnsi="Arial" w:cs="Arial"/>
            <w:color w:val="0000FF"/>
            <w:kern w:val="0"/>
            <w:sz w:val="22"/>
            <w:szCs w:val="22"/>
            <w:u w:val="single"/>
            <w14:ligatures w14:val="none"/>
          </w:rPr>
          <w:t>https://doi.org/10.1016/j.diabres.2019.107843</w:t>
        </w:r>
      </w:hyperlink>
      <w:r w:rsidRPr="00FE5A1C">
        <w:rPr>
          <w:rFonts w:ascii="Arial" w:hAnsi="Arial" w:cs="Arial"/>
          <w:sz w:val="22"/>
          <w:szCs w:val="22"/>
          <w:lang w:eastAsia="zh-CN"/>
        </w:rPr>
        <w:t>.</w:t>
      </w:r>
    </w:p>
    <w:p w14:paraId="540E3738"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Saini, V. (2010) ‘Molecular mechanisms of insulin resistance in type 2 diabetes mellitus’, </w:t>
      </w:r>
      <w:r w:rsidRPr="00FE5A1C">
        <w:rPr>
          <w:rFonts w:ascii="Arial" w:hAnsi="Arial" w:cs="Arial"/>
          <w:i/>
          <w:kern w:val="0"/>
          <w:sz w:val="22"/>
          <w:szCs w:val="22"/>
          <w14:ligatures w14:val="none"/>
        </w:rPr>
        <w:t>World Journal of Diabetes</w:t>
      </w:r>
      <w:r w:rsidRPr="00FE5A1C">
        <w:rPr>
          <w:rFonts w:ascii="Arial" w:hAnsi="Arial" w:cs="Arial"/>
          <w:kern w:val="0"/>
          <w:sz w:val="22"/>
          <w:szCs w:val="22"/>
          <w14:ligatures w14:val="none"/>
        </w:rPr>
        <w:t xml:space="preserve">, 1(3), pp. 68–75. Available at: </w:t>
      </w:r>
      <w:hyperlink r:id="rId52" w:history="1">
        <w:r w:rsidRPr="00FE5A1C">
          <w:rPr>
            <w:rFonts w:ascii="Arial" w:hAnsi="Arial" w:cs="Arial"/>
            <w:color w:val="0000FF"/>
            <w:kern w:val="0"/>
            <w:sz w:val="22"/>
            <w:szCs w:val="22"/>
            <w:u w:val="single"/>
            <w14:ligatures w14:val="none"/>
          </w:rPr>
          <w:t>https://doi.org/10.4239/wjd.v1.i3.68</w:t>
        </w:r>
      </w:hyperlink>
      <w:r w:rsidRPr="00FE5A1C">
        <w:rPr>
          <w:rFonts w:ascii="Arial" w:hAnsi="Arial" w:cs="Arial"/>
          <w:sz w:val="22"/>
          <w:szCs w:val="22"/>
          <w:lang w:eastAsia="zh-CN"/>
        </w:rPr>
        <w:t>.</w:t>
      </w:r>
    </w:p>
    <w:p w14:paraId="40693C2E"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Sinclair, A.J., Dunning, T. and Rodriguez-Mañas, L. (2012) ‘Diabetes mellitus in older people’, </w:t>
      </w:r>
      <w:r w:rsidRPr="00FE5A1C">
        <w:rPr>
          <w:rFonts w:ascii="Arial" w:hAnsi="Arial" w:cs="Arial"/>
          <w:i/>
          <w:kern w:val="0"/>
          <w:sz w:val="22"/>
          <w:szCs w:val="22"/>
          <w14:ligatures w14:val="none"/>
        </w:rPr>
        <w:t>The Lancet</w:t>
      </w:r>
      <w:r w:rsidRPr="00FE5A1C">
        <w:rPr>
          <w:rFonts w:ascii="Arial" w:hAnsi="Arial" w:cs="Arial"/>
          <w:kern w:val="0"/>
          <w:sz w:val="22"/>
          <w:szCs w:val="22"/>
          <w14:ligatures w14:val="none"/>
        </w:rPr>
        <w:t xml:space="preserve">, 379(9823), pp. 1537–1545. Available at: </w:t>
      </w:r>
      <w:hyperlink r:id="rId53" w:history="1">
        <w:r w:rsidRPr="00FE5A1C">
          <w:rPr>
            <w:rFonts w:ascii="Arial" w:hAnsi="Arial" w:cs="Arial"/>
            <w:color w:val="0000FF"/>
            <w:kern w:val="0"/>
            <w:sz w:val="22"/>
            <w:szCs w:val="22"/>
            <w:u w:val="single"/>
            <w14:ligatures w14:val="none"/>
          </w:rPr>
          <w:t>https://doi.org/10.1016/S0140-6736(12)60227-4</w:t>
        </w:r>
      </w:hyperlink>
      <w:r w:rsidRPr="00FE5A1C">
        <w:rPr>
          <w:rFonts w:ascii="Arial" w:hAnsi="Arial" w:cs="Arial"/>
          <w:sz w:val="22"/>
          <w:szCs w:val="22"/>
          <w:lang w:eastAsia="zh-CN"/>
        </w:rPr>
        <w:t>.</w:t>
      </w:r>
    </w:p>
    <w:p w14:paraId="20368C93"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Sinclair, A., Saeedi, P., </w:t>
      </w:r>
      <w:proofErr w:type="spellStart"/>
      <w:r w:rsidRPr="00FE5A1C">
        <w:rPr>
          <w:rFonts w:ascii="Arial" w:hAnsi="Arial" w:cs="Arial"/>
          <w:kern w:val="0"/>
          <w:sz w:val="22"/>
          <w:szCs w:val="22"/>
          <w14:ligatures w14:val="none"/>
        </w:rPr>
        <w:t>Kaundal</w:t>
      </w:r>
      <w:proofErr w:type="spellEnd"/>
      <w:r w:rsidRPr="00FE5A1C">
        <w:rPr>
          <w:rFonts w:ascii="Arial" w:hAnsi="Arial" w:cs="Arial"/>
          <w:kern w:val="0"/>
          <w:sz w:val="22"/>
          <w:szCs w:val="22"/>
          <w14:ligatures w14:val="none"/>
        </w:rPr>
        <w:t xml:space="preserve">, A. and </w:t>
      </w:r>
      <w:proofErr w:type="spellStart"/>
      <w:r w:rsidRPr="00FE5A1C">
        <w:rPr>
          <w:rFonts w:ascii="Arial" w:hAnsi="Arial" w:cs="Arial"/>
          <w:kern w:val="0"/>
          <w:sz w:val="22"/>
          <w:szCs w:val="22"/>
          <w14:ligatures w14:val="none"/>
        </w:rPr>
        <w:t>Karuranga</w:t>
      </w:r>
      <w:proofErr w:type="spellEnd"/>
      <w:r w:rsidRPr="00FE5A1C">
        <w:rPr>
          <w:rFonts w:ascii="Arial" w:hAnsi="Arial" w:cs="Arial"/>
          <w:kern w:val="0"/>
          <w:sz w:val="22"/>
          <w:szCs w:val="22"/>
          <w14:ligatures w14:val="none"/>
        </w:rPr>
        <w:t xml:space="preserve">, S. (2020) ‘Diabetes and global ageing among 65–99-year-old adults’, </w:t>
      </w:r>
      <w:r w:rsidRPr="00FE5A1C">
        <w:rPr>
          <w:rFonts w:ascii="Arial" w:hAnsi="Arial" w:cs="Arial"/>
          <w:i/>
          <w:kern w:val="0"/>
          <w:sz w:val="22"/>
          <w:szCs w:val="22"/>
          <w14:ligatures w14:val="none"/>
        </w:rPr>
        <w:t>Diabetes Research and Clinical Practice</w:t>
      </w:r>
      <w:r w:rsidRPr="00FE5A1C">
        <w:rPr>
          <w:rFonts w:ascii="Arial" w:hAnsi="Arial" w:cs="Arial"/>
          <w:kern w:val="0"/>
          <w:sz w:val="22"/>
          <w:szCs w:val="22"/>
          <w14:ligatures w14:val="none"/>
        </w:rPr>
        <w:t xml:space="preserve">, 162, 108078. Available at: </w:t>
      </w:r>
      <w:hyperlink r:id="rId54" w:history="1">
        <w:r w:rsidRPr="00FE5A1C">
          <w:rPr>
            <w:rFonts w:ascii="Arial" w:hAnsi="Arial" w:cs="Arial"/>
            <w:color w:val="0000FF"/>
            <w:kern w:val="0"/>
            <w:sz w:val="22"/>
            <w:szCs w:val="22"/>
            <w:u w:val="single"/>
            <w14:ligatures w14:val="none"/>
          </w:rPr>
          <w:t>https://doi.org/10.1016/j.diabres.2020.108078</w:t>
        </w:r>
      </w:hyperlink>
      <w:r w:rsidRPr="00FE5A1C">
        <w:rPr>
          <w:rFonts w:ascii="Arial" w:hAnsi="Arial" w:cs="Arial"/>
          <w:sz w:val="22"/>
          <w:szCs w:val="22"/>
          <w:lang w:eastAsia="zh-CN"/>
        </w:rPr>
        <w:t>.</w:t>
      </w:r>
    </w:p>
    <w:p w14:paraId="67BBB167"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Skyler, J.S., Bakris, G.L., Bonifacio, E., Darsow, T., Eckel, R.H. and Groop, L. (2017) ‘Differentiation of diabetes by pathophysiology’, </w:t>
      </w:r>
      <w:r w:rsidRPr="00FE5A1C">
        <w:rPr>
          <w:rFonts w:ascii="Arial" w:hAnsi="Arial" w:cs="Arial"/>
          <w:i/>
          <w:kern w:val="0"/>
          <w:sz w:val="22"/>
          <w:szCs w:val="22"/>
          <w14:ligatures w14:val="none"/>
        </w:rPr>
        <w:t>Diabetes</w:t>
      </w:r>
      <w:r w:rsidRPr="00FE5A1C">
        <w:rPr>
          <w:rFonts w:ascii="Arial" w:hAnsi="Arial" w:cs="Arial"/>
          <w:kern w:val="0"/>
          <w:sz w:val="22"/>
          <w:szCs w:val="22"/>
          <w14:ligatures w14:val="none"/>
        </w:rPr>
        <w:t xml:space="preserve">, 66(2), pp. 241–255. Available at: </w:t>
      </w:r>
      <w:hyperlink r:id="rId55" w:history="1">
        <w:r w:rsidRPr="00FE5A1C">
          <w:rPr>
            <w:rFonts w:ascii="Arial" w:hAnsi="Arial" w:cs="Arial"/>
            <w:color w:val="0000FF"/>
            <w:kern w:val="0"/>
            <w:sz w:val="22"/>
            <w:szCs w:val="22"/>
            <w:u w:val="single"/>
            <w14:ligatures w14:val="none"/>
          </w:rPr>
          <w:t>https://doi.org/10.2337/db16-0806</w:t>
        </w:r>
      </w:hyperlink>
      <w:r w:rsidRPr="00FE5A1C">
        <w:rPr>
          <w:rFonts w:ascii="Arial" w:hAnsi="Arial" w:cs="Arial"/>
          <w:sz w:val="22"/>
          <w:szCs w:val="22"/>
          <w:lang w:eastAsia="zh-CN"/>
        </w:rPr>
        <w:t>.</w:t>
      </w:r>
    </w:p>
    <w:p w14:paraId="269199A1"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Snyder, H. (2019) ‘Literature review as a research methodology: an overview and guidelines’, </w:t>
      </w:r>
      <w:r w:rsidRPr="00FE5A1C">
        <w:rPr>
          <w:rFonts w:ascii="Arial" w:hAnsi="Arial" w:cs="Arial"/>
          <w:i/>
          <w:kern w:val="0"/>
          <w:sz w:val="22"/>
          <w:szCs w:val="22"/>
          <w14:ligatures w14:val="none"/>
        </w:rPr>
        <w:t>Journal of Business Research</w:t>
      </w:r>
      <w:r w:rsidRPr="00FE5A1C">
        <w:rPr>
          <w:rFonts w:ascii="Arial" w:hAnsi="Arial" w:cs="Arial"/>
          <w:kern w:val="0"/>
          <w:sz w:val="22"/>
          <w:szCs w:val="22"/>
          <w14:ligatures w14:val="none"/>
        </w:rPr>
        <w:t xml:space="preserve">, 104, pp. 333–339. Available at: </w:t>
      </w:r>
      <w:hyperlink r:id="rId56" w:history="1">
        <w:r w:rsidRPr="00FE5A1C">
          <w:rPr>
            <w:rFonts w:ascii="Arial" w:hAnsi="Arial" w:cs="Arial"/>
            <w:color w:val="0000FF"/>
            <w:kern w:val="0"/>
            <w:sz w:val="22"/>
            <w:szCs w:val="22"/>
            <w:u w:val="single"/>
            <w14:ligatures w14:val="none"/>
          </w:rPr>
          <w:t>https://doi.org/10.1016/j.jbusres.2019.07.039</w:t>
        </w:r>
      </w:hyperlink>
      <w:r w:rsidRPr="00FE5A1C">
        <w:rPr>
          <w:rFonts w:ascii="Arial" w:hAnsi="Arial" w:cs="Arial"/>
          <w:sz w:val="22"/>
          <w:szCs w:val="22"/>
          <w:lang w:eastAsia="zh-CN"/>
        </w:rPr>
        <w:t>.</w:t>
      </w:r>
    </w:p>
    <w:p w14:paraId="3ABF8DD4"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UK Prospective Diabetes Study (UKPDS) Group (1998) ‘Intensive blood-glucose control with </w:t>
      </w:r>
      <w:proofErr w:type="spellStart"/>
      <w:r w:rsidRPr="00FE5A1C">
        <w:rPr>
          <w:rFonts w:ascii="Arial" w:hAnsi="Arial" w:cs="Arial"/>
          <w:kern w:val="0"/>
          <w:sz w:val="22"/>
          <w:szCs w:val="22"/>
          <w14:ligatures w14:val="none"/>
        </w:rPr>
        <w:t>sulphonylureas</w:t>
      </w:r>
      <w:proofErr w:type="spellEnd"/>
      <w:r w:rsidRPr="00FE5A1C">
        <w:rPr>
          <w:rFonts w:ascii="Arial" w:hAnsi="Arial" w:cs="Arial"/>
          <w:kern w:val="0"/>
          <w:sz w:val="22"/>
          <w:szCs w:val="22"/>
          <w14:ligatures w14:val="none"/>
        </w:rPr>
        <w:t xml:space="preserve"> or insulin compared with conventional treatment and risk of complications in patients with type 2 diabetes’, </w:t>
      </w:r>
      <w:r w:rsidRPr="00FE5A1C">
        <w:rPr>
          <w:rFonts w:ascii="Arial" w:hAnsi="Arial" w:cs="Arial"/>
          <w:i/>
          <w:kern w:val="0"/>
          <w:sz w:val="22"/>
          <w:szCs w:val="22"/>
          <w14:ligatures w14:val="none"/>
        </w:rPr>
        <w:t>The Lancet</w:t>
      </w:r>
      <w:r w:rsidRPr="00FE5A1C">
        <w:rPr>
          <w:rFonts w:ascii="Arial" w:hAnsi="Arial" w:cs="Arial"/>
          <w:kern w:val="0"/>
          <w:sz w:val="22"/>
          <w:szCs w:val="22"/>
          <w14:ligatures w14:val="none"/>
        </w:rPr>
        <w:t xml:space="preserve">, 352(9131), pp. 837–853. Available at: </w:t>
      </w:r>
      <w:hyperlink r:id="rId57" w:history="1">
        <w:r w:rsidRPr="00FE5A1C">
          <w:rPr>
            <w:rFonts w:ascii="Arial" w:hAnsi="Arial" w:cs="Arial"/>
            <w:color w:val="0000FF"/>
            <w:kern w:val="0"/>
            <w:sz w:val="22"/>
            <w:szCs w:val="22"/>
            <w:u w:val="single"/>
            <w14:ligatures w14:val="none"/>
          </w:rPr>
          <w:t>https://doi.org/10.1016/S0140-6736(98)07019-6</w:t>
        </w:r>
      </w:hyperlink>
      <w:r w:rsidRPr="00FE5A1C">
        <w:rPr>
          <w:rFonts w:ascii="Arial" w:hAnsi="Arial" w:cs="Arial"/>
          <w:sz w:val="22"/>
          <w:szCs w:val="22"/>
          <w:lang w:eastAsia="zh-CN"/>
        </w:rPr>
        <w:t>.</w:t>
      </w:r>
    </w:p>
    <w:p w14:paraId="61B0DDC6"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World Health Organization (2024) </w:t>
      </w:r>
      <w:r w:rsidRPr="00FE5A1C">
        <w:rPr>
          <w:rFonts w:ascii="Arial" w:hAnsi="Arial" w:cs="Arial"/>
          <w:i/>
          <w:kern w:val="0"/>
          <w:sz w:val="22"/>
          <w:szCs w:val="22"/>
          <w14:ligatures w14:val="none"/>
        </w:rPr>
        <w:t>Diabetes fact sheet</w:t>
      </w:r>
      <w:r w:rsidRPr="00FE5A1C">
        <w:rPr>
          <w:rFonts w:ascii="Arial" w:hAnsi="Arial" w:cs="Arial"/>
          <w:kern w:val="0"/>
          <w:sz w:val="22"/>
          <w:szCs w:val="22"/>
          <w14:ligatures w14:val="none"/>
        </w:rPr>
        <w:t xml:space="preserve">. Available at: </w:t>
      </w:r>
      <w:hyperlink r:id="rId58" w:history="1">
        <w:r w:rsidRPr="00FE5A1C">
          <w:rPr>
            <w:rFonts w:ascii="Arial" w:hAnsi="Arial" w:cs="Arial"/>
            <w:color w:val="0000FF"/>
            <w:kern w:val="0"/>
            <w:sz w:val="22"/>
            <w:szCs w:val="22"/>
            <w:u w:val="single"/>
            <w14:ligatures w14:val="none"/>
          </w:rPr>
          <w:t>https://www.who.int</w:t>
        </w:r>
      </w:hyperlink>
      <w:r w:rsidRPr="00FE5A1C">
        <w:rPr>
          <w:rFonts w:ascii="Arial" w:hAnsi="Arial" w:cs="Arial"/>
          <w:kern w:val="0"/>
          <w:sz w:val="22"/>
          <w:szCs w:val="22"/>
          <w14:ligatures w14:val="none"/>
        </w:rPr>
        <w:t xml:space="preserve"> (Accessed: 24 June 2026).</w:t>
      </w:r>
    </w:p>
    <w:p w14:paraId="5938D403" w14:textId="77777777" w:rsidR="00FE5A1C" w:rsidRPr="00FE5A1C" w:rsidRDefault="00FE5A1C" w:rsidP="00FE5A1C">
      <w:pPr>
        <w:spacing w:before="100" w:beforeAutospacing="1" w:after="100" w:afterAutospacing="1" w:line="240" w:lineRule="auto"/>
        <w:rPr>
          <w:rFonts w:ascii="Times New Roman" w:eastAsia="Times New Roman" w:hAnsi="Times New Roman" w:cs="Times New Roman"/>
          <w:kern w:val="0"/>
          <w14:ligatures w14:val="none"/>
        </w:rPr>
      </w:pPr>
      <w:r w:rsidRPr="00FE5A1C">
        <w:rPr>
          <w:rFonts w:ascii="Times New Roman" w:eastAsia="Times New Roman" w:hAnsi="Times New Roman" w:cs="Times New Roman"/>
          <w:kern w:val="0"/>
          <w14:ligatures w14:val="none"/>
        </w:rPr>
        <w:t>World Health Organization (WHO). Social determinants framework (general concept supporting model).</w:t>
      </w:r>
    </w:p>
    <w:p w14:paraId="742A642F"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p>
    <w:p w14:paraId="19524AE6" w14:textId="77777777" w:rsidR="00FE5A1C" w:rsidRPr="00FE5A1C" w:rsidRDefault="00FE5A1C" w:rsidP="00FE5A1C">
      <w:pPr>
        <w:spacing w:before="100" w:beforeAutospacing="1" w:after="100" w:afterAutospacing="1" w:line="360" w:lineRule="auto"/>
        <w:rPr>
          <w:rFonts w:ascii="Arial" w:hAnsi="Arial" w:cs="Arial"/>
          <w:kern w:val="0"/>
          <w:sz w:val="22"/>
          <w:szCs w:val="22"/>
          <w14:ligatures w14:val="none"/>
        </w:rPr>
      </w:pPr>
      <w:r w:rsidRPr="00FE5A1C">
        <w:rPr>
          <w:rFonts w:ascii="Arial" w:hAnsi="Arial" w:cs="Arial"/>
          <w:kern w:val="0"/>
          <w:sz w:val="22"/>
          <w:szCs w:val="22"/>
          <w14:ligatures w14:val="none"/>
        </w:rPr>
        <w:t xml:space="preserve">Zheng, Y., Ley, S.H. and Hu, F.B. (2018) ‘Global aetiology and epidemiology of type 2 diabetes mellitus and its complications’, </w:t>
      </w:r>
      <w:r w:rsidRPr="00FE5A1C">
        <w:rPr>
          <w:rFonts w:ascii="Arial" w:hAnsi="Arial" w:cs="Arial"/>
          <w:i/>
          <w:kern w:val="0"/>
          <w:sz w:val="22"/>
          <w:szCs w:val="22"/>
          <w14:ligatures w14:val="none"/>
        </w:rPr>
        <w:t>Nature Reviews Endocrinology</w:t>
      </w:r>
      <w:r w:rsidRPr="00FE5A1C">
        <w:rPr>
          <w:rFonts w:ascii="Arial" w:hAnsi="Arial" w:cs="Arial"/>
          <w:kern w:val="0"/>
          <w:sz w:val="22"/>
          <w:szCs w:val="22"/>
          <w14:ligatures w14:val="none"/>
        </w:rPr>
        <w:t xml:space="preserve">, 14(2), pp. 88–98. Available at: </w:t>
      </w:r>
      <w:hyperlink r:id="rId59" w:history="1">
        <w:r w:rsidRPr="00FE5A1C">
          <w:rPr>
            <w:rFonts w:ascii="Arial" w:hAnsi="Arial" w:cs="Arial"/>
            <w:color w:val="0000FF"/>
            <w:kern w:val="0"/>
            <w:sz w:val="22"/>
            <w:szCs w:val="22"/>
            <w:u w:val="single"/>
            <w14:ligatures w14:val="none"/>
          </w:rPr>
          <w:t>https://doi.org/10.1038/nrendo.2017.151</w:t>
        </w:r>
      </w:hyperlink>
      <w:r w:rsidRPr="00FE5A1C">
        <w:rPr>
          <w:rFonts w:ascii="Arial" w:hAnsi="Arial" w:cs="Arial"/>
          <w:sz w:val="22"/>
          <w:szCs w:val="22"/>
          <w:lang w:eastAsia="zh-CN"/>
        </w:rPr>
        <w:t>.</w:t>
      </w:r>
    </w:p>
    <w:p w14:paraId="4C5E97AD" w14:textId="77777777" w:rsidR="00677147"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307196D1" w14:textId="77777777" w:rsidR="00677147"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530C8959" w14:textId="77777777" w:rsidR="00677147"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0237FBBB" w14:textId="77777777" w:rsidR="00677147"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5C980AB2" w14:textId="77777777" w:rsidR="00677147"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41243763" w14:textId="77777777" w:rsidR="00677147"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79DCE269" w14:textId="77777777" w:rsidR="00677147"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18E1F8B0" w14:textId="77777777" w:rsidR="00677147" w:rsidRPr="00D6248B" w:rsidRDefault="00677147" w:rsidP="00D6248B">
      <w:pPr>
        <w:widowControl w:val="0"/>
        <w:autoSpaceDE w:val="0"/>
        <w:autoSpaceDN w:val="0"/>
        <w:spacing w:after="0" w:line="360" w:lineRule="auto"/>
        <w:ind w:left="220"/>
        <w:outlineLvl w:val="0"/>
        <w:rPr>
          <w:rFonts w:ascii="Arial" w:eastAsia="Calibri Light" w:hAnsi="Arial" w:cs="Arial"/>
          <w:b/>
          <w:kern w:val="0"/>
          <w:sz w:val="22"/>
          <w:szCs w:val="22"/>
          <w:lang w:bidi="en-GB"/>
          <w14:ligatures w14:val="none"/>
        </w:rPr>
      </w:pPr>
    </w:p>
    <w:p w14:paraId="65762DCA" w14:textId="77777777" w:rsidR="00D6248B" w:rsidRPr="00D6248B" w:rsidRDefault="00D6248B" w:rsidP="00D6248B">
      <w:pPr>
        <w:spacing w:line="360" w:lineRule="auto"/>
        <w:jc w:val="both"/>
        <w:rPr>
          <w:rFonts w:ascii="Arial" w:hAnsi="Arial" w:cs="Arial"/>
          <w:sz w:val="22"/>
          <w:szCs w:val="22"/>
          <w:lang w:eastAsia="zh-CN"/>
        </w:rPr>
      </w:pPr>
    </w:p>
    <w:p w14:paraId="0F6097A1" w14:textId="77777777" w:rsidR="00677147" w:rsidRPr="00677147" w:rsidRDefault="00677147" w:rsidP="00677147">
      <w:pPr>
        <w:keepNext/>
        <w:keepLines/>
        <w:spacing w:before="40" w:after="0" w:line="360" w:lineRule="auto"/>
        <w:jc w:val="both"/>
        <w:outlineLvl w:val="1"/>
        <w:rPr>
          <w:rFonts w:ascii="Arial" w:eastAsiaTheme="majorEastAsia" w:hAnsi="Arial" w:cs="Arial"/>
          <w:b/>
          <w:bCs/>
          <w:color w:val="0F4761" w:themeColor="accent1" w:themeShade="BF"/>
          <w:sz w:val="36"/>
          <w:szCs w:val="36"/>
          <w:lang w:eastAsia="zh-CN"/>
        </w:rPr>
      </w:pPr>
      <w:r w:rsidRPr="00677147">
        <w:rPr>
          <w:rFonts w:ascii="Arial" w:eastAsiaTheme="majorEastAsia" w:hAnsi="Arial" w:cs="Arial"/>
          <w:b/>
          <w:bCs/>
          <w:color w:val="0F4761" w:themeColor="accent1" w:themeShade="BF"/>
          <w:sz w:val="36"/>
          <w:szCs w:val="36"/>
          <w:lang w:eastAsia="zh-CN"/>
        </w:rPr>
        <w:t>6.2 Appendix A-Source Tracking Table</w:t>
      </w:r>
    </w:p>
    <w:tbl>
      <w:tblPr>
        <w:tblStyle w:val="TableGrid"/>
        <w:tblpPr w:leftFromText="180" w:rightFromText="180" w:vertAnchor="text" w:horzAnchor="margin" w:tblpXSpec="center" w:tblpY="-7421"/>
        <w:tblW w:w="6060" w:type="pct"/>
        <w:tblLook w:val="04A0" w:firstRow="1" w:lastRow="0" w:firstColumn="1" w:lastColumn="0" w:noHBand="0" w:noVBand="1"/>
      </w:tblPr>
      <w:tblGrid>
        <w:gridCol w:w="1702"/>
        <w:gridCol w:w="1862"/>
        <w:gridCol w:w="2404"/>
        <w:gridCol w:w="2275"/>
        <w:gridCol w:w="2684"/>
      </w:tblGrid>
      <w:tr w:rsidR="00677147" w:rsidRPr="00677147" w14:paraId="01620CA8" w14:textId="77777777" w:rsidTr="00CC67CB">
        <w:trPr>
          <w:trHeight w:val="2117"/>
        </w:trPr>
        <w:tc>
          <w:tcPr>
            <w:tcW w:w="779" w:type="pct"/>
            <w:shd w:val="clear" w:color="auto" w:fill="83CAEB" w:themeFill="accent1" w:themeFillTint="66"/>
          </w:tcPr>
          <w:p w14:paraId="07A5A647" w14:textId="77777777" w:rsidR="00677147" w:rsidRPr="00677147" w:rsidRDefault="00677147" w:rsidP="00677147">
            <w:pPr>
              <w:jc w:val="both"/>
              <w:rPr>
                <w:rFonts w:ascii="Arial" w:hAnsi="Arial" w:cs="Arial"/>
                <w:b/>
                <w:bCs/>
                <w:lang w:val="en-US"/>
              </w:rPr>
            </w:pPr>
          </w:p>
          <w:p w14:paraId="78E89A67" w14:textId="77777777" w:rsidR="00677147" w:rsidRPr="00677147" w:rsidRDefault="00677147" w:rsidP="00677147">
            <w:pPr>
              <w:jc w:val="center"/>
              <w:rPr>
                <w:rFonts w:ascii="Arial" w:hAnsi="Arial" w:cs="Arial"/>
                <w:b/>
                <w:bCs/>
                <w:lang w:val="en-US"/>
              </w:rPr>
            </w:pPr>
          </w:p>
        </w:tc>
        <w:tc>
          <w:tcPr>
            <w:tcW w:w="852" w:type="pct"/>
            <w:shd w:val="clear" w:color="auto" w:fill="83CAEB" w:themeFill="accent1" w:themeFillTint="66"/>
            <w:vAlign w:val="center"/>
          </w:tcPr>
          <w:p w14:paraId="0E784C7E" w14:textId="77777777" w:rsidR="00677147" w:rsidRPr="00677147" w:rsidRDefault="00677147" w:rsidP="00677147">
            <w:pPr>
              <w:jc w:val="center"/>
              <w:rPr>
                <w:rFonts w:ascii="Arial" w:hAnsi="Arial" w:cs="Arial"/>
                <w:b/>
                <w:bCs/>
                <w:lang w:val="en-US"/>
              </w:rPr>
            </w:pPr>
            <w:r w:rsidRPr="00677147">
              <w:rPr>
                <w:rFonts w:ascii="Arial" w:hAnsi="Arial" w:cs="Arial"/>
                <w:b/>
                <w:bCs/>
                <w:lang w:val="en-US"/>
              </w:rPr>
              <w:t>Author &amp; Year</w:t>
            </w:r>
          </w:p>
        </w:tc>
        <w:tc>
          <w:tcPr>
            <w:tcW w:w="1100" w:type="pct"/>
            <w:shd w:val="clear" w:color="auto" w:fill="83CAEB" w:themeFill="accent1" w:themeFillTint="66"/>
            <w:vAlign w:val="center"/>
          </w:tcPr>
          <w:p w14:paraId="381B46FB" w14:textId="77777777" w:rsidR="00677147" w:rsidRPr="00677147" w:rsidRDefault="00677147" w:rsidP="00677147">
            <w:pPr>
              <w:jc w:val="center"/>
              <w:rPr>
                <w:rFonts w:ascii="Arial" w:hAnsi="Arial" w:cs="Arial"/>
                <w:b/>
                <w:bCs/>
                <w:lang w:val="en-US"/>
              </w:rPr>
            </w:pPr>
            <w:r w:rsidRPr="00677147">
              <w:rPr>
                <w:rFonts w:ascii="Arial" w:hAnsi="Arial" w:cs="Arial"/>
                <w:b/>
                <w:bCs/>
                <w:lang w:val="en-US"/>
              </w:rPr>
              <w:t>Article Title</w:t>
            </w:r>
          </w:p>
        </w:tc>
        <w:tc>
          <w:tcPr>
            <w:tcW w:w="1041" w:type="pct"/>
            <w:shd w:val="clear" w:color="auto" w:fill="83CAEB" w:themeFill="accent1" w:themeFillTint="66"/>
            <w:vAlign w:val="center"/>
          </w:tcPr>
          <w:p w14:paraId="097ED06C" w14:textId="77777777" w:rsidR="00677147" w:rsidRPr="00677147" w:rsidRDefault="00677147" w:rsidP="00677147">
            <w:pPr>
              <w:jc w:val="center"/>
              <w:rPr>
                <w:rFonts w:ascii="Arial" w:hAnsi="Arial" w:cs="Arial"/>
                <w:b/>
                <w:bCs/>
                <w:lang w:val="en-US"/>
              </w:rPr>
            </w:pPr>
            <w:r w:rsidRPr="00677147">
              <w:rPr>
                <w:rFonts w:ascii="Arial" w:hAnsi="Arial" w:cs="Arial"/>
                <w:b/>
                <w:bCs/>
                <w:lang w:val="en-US"/>
              </w:rPr>
              <w:t>Article Summary</w:t>
            </w:r>
          </w:p>
        </w:tc>
        <w:tc>
          <w:tcPr>
            <w:tcW w:w="1228" w:type="pct"/>
            <w:shd w:val="clear" w:color="auto" w:fill="83CAEB" w:themeFill="accent1" w:themeFillTint="66"/>
            <w:vAlign w:val="center"/>
          </w:tcPr>
          <w:p w14:paraId="610E6C6A" w14:textId="77777777" w:rsidR="00677147" w:rsidRPr="00677147" w:rsidRDefault="00677147" w:rsidP="00677147">
            <w:pPr>
              <w:jc w:val="center"/>
              <w:rPr>
                <w:rFonts w:ascii="Arial" w:hAnsi="Arial" w:cs="Arial"/>
                <w:b/>
                <w:bCs/>
                <w:lang w:val="en-US"/>
              </w:rPr>
            </w:pPr>
            <w:r w:rsidRPr="00677147">
              <w:rPr>
                <w:rFonts w:ascii="Arial" w:hAnsi="Arial" w:cs="Arial"/>
                <w:b/>
                <w:bCs/>
                <w:lang w:val="en-US"/>
              </w:rPr>
              <w:t>Keywords / Codes</w:t>
            </w:r>
          </w:p>
        </w:tc>
      </w:tr>
      <w:tr w:rsidR="00677147" w:rsidRPr="00677147" w14:paraId="097295DA" w14:textId="77777777" w:rsidTr="00CC67CB">
        <w:trPr>
          <w:trHeight w:val="2646"/>
        </w:trPr>
        <w:tc>
          <w:tcPr>
            <w:tcW w:w="779" w:type="pct"/>
            <w:vAlign w:val="center"/>
          </w:tcPr>
          <w:p w14:paraId="298C3CF5"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b/>
                <w:bCs/>
                <w:lang w:val="en-US"/>
              </w:rPr>
              <w:t>Article 1</w:t>
            </w:r>
          </w:p>
        </w:tc>
        <w:tc>
          <w:tcPr>
            <w:tcW w:w="852" w:type="pct"/>
            <w:vAlign w:val="center"/>
          </w:tcPr>
          <w:p w14:paraId="040B5821"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DeFronzo (2009)</w:t>
            </w:r>
          </w:p>
        </w:tc>
        <w:tc>
          <w:tcPr>
            <w:tcW w:w="1100" w:type="pct"/>
            <w:vAlign w:val="center"/>
          </w:tcPr>
          <w:p w14:paraId="42408FCA"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From the Triumvirate to the Ominous Octet</w:t>
            </w:r>
          </w:p>
        </w:tc>
        <w:tc>
          <w:tcPr>
            <w:tcW w:w="1041" w:type="pct"/>
            <w:vAlign w:val="center"/>
          </w:tcPr>
          <w:p w14:paraId="41D91781"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Explains eight physiological defects contributing to T2DM and hyperglycemia</w:t>
            </w:r>
          </w:p>
        </w:tc>
        <w:tc>
          <w:tcPr>
            <w:tcW w:w="1228" w:type="pct"/>
            <w:vAlign w:val="center"/>
          </w:tcPr>
          <w:p w14:paraId="40678D4D" w14:textId="77777777" w:rsidR="00677147" w:rsidRPr="00677147" w:rsidRDefault="00677147" w:rsidP="00677147">
            <w:pPr>
              <w:spacing w:line="360" w:lineRule="auto"/>
              <w:rPr>
                <w:rFonts w:ascii="Arial" w:hAnsi="Arial" w:cs="Arial"/>
                <w:b/>
                <w:bCs/>
                <w:lang w:val="en-US"/>
              </w:rPr>
            </w:pPr>
          </w:p>
          <w:p w14:paraId="5FA489DA"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 xml:space="preserve">Insulin resistance, beta-cell </w:t>
            </w:r>
          </w:p>
          <w:p w14:paraId="464969F4"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dysfunction, hyperglycemia, pathophysiology</w:t>
            </w:r>
          </w:p>
        </w:tc>
      </w:tr>
      <w:tr w:rsidR="00677147" w:rsidRPr="00677147" w14:paraId="4FCF4118" w14:textId="77777777" w:rsidTr="00CC67CB">
        <w:trPr>
          <w:trHeight w:val="873"/>
        </w:trPr>
        <w:tc>
          <w:tcPr>
            <w:tcW w:w="779" w:type="pct"/>
            <w:vAlign w:val="center"/>
          </w:tcPr>
          <w:p w14:paraId="0BEB885E"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b/>
                <w:bCs/>
                <w:lang w:val="en-US"/>
              </w:rPr>
              <w:t>CRAAP Notes</w:t>
            </w:r>
          </w:p>
        </w:tc>
        <w:tc>
          <w:tcPr>
            <w:tcW w:w="2993" w:type="pct"/>
            <w:gridSpan w:val="3"/>
            <w:vAlign w:val="center"/>
          </w:tcPr>
          <w:p w14:paraId="65DB2C27"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Current: </w:t>
            </w:r>
            <w:r w:rsidRPr="00677147">
              <w:rPr>
                <w:rFonts w:ascii="Arial" w:hAnsi="Arial" w:cs="Arial"/>
              </w:rPr>
              <w:t>Foundational paper, still widely cited</w:t>
            </w:r>
          </w:p>
          <w:p w14:paraId="2439C23D"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Relevant: </w:t>
            </w:r>
            <w:r w:rsidRPr="00677147">
              <w:rPr>
                <w:rFonts w:ascii="Arial" w:hAnsi="Arial" w:cs="Arial"/>
              </w:rPr>
              <w:t>Directly addresses T2DM mechanisms.</w:t>
            </w:r>
          </w:p>
          <w:p w14:paraId="56DD717B"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Authority: </w:t>
            </w:r>
            <w:r w:rsidRPr="00677147">
              <w:rPr>
                <w:rFonts w:ascii="Arial" w:hAnsi="Arial" w:cs="Arial"/>
              </w:rPr>
              <w:t>Leading diabetes researcher.</w:t>
            </w:r>
          </w:p>
          <w:p w14:paraId="085754ED"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Accuracy: </w:t>
            </w:r>
            <w:r w:rsidRPr="00677147">
              <w:rPr>
                <w:rFonts w:ascii="Arial" w:hAnsi="Arial" w:cs="Arial"/>
              </w:rPr>
              <w:t>Published in Diabetes.</w:t>
            </w:r>
          </w:p>
          <w:p w14:paraId="1961C864"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Purpose:</w:t>
            </w:r>
            <w:r w:rsidRPr="00677147">
              <w:rPr>
                <w:rFonts w:ascii="Arial" w:hAnsi="Arial" w:cs="Arial"/>
                <w:lang w:val="en-US"/>
              </w:rPr>
              <w:t xml:space="preserve"> </w:t>
            </w:r>
            <w:r w:rsidRPr="00677147">
              <w:rPr>
                <w:rFonts w:ascii="Arial" w:hAnsi="Arial" w:cs="Arial"/>
              </w:rPr>
              <w:t>Educational/scientific.</w:t>
            </w:r>
          </w:p>
          <w:p w14:paraId="575151F5" w14:textId="77777777" w:rsidR="00677147" w:rsidRPr="00677147" w:rsidRDefault="00677147" w:rsidP="00677147">
            <w:pPr>
              <w:spacing w:line="360" w:lineRule="auto"/>
              <w:ind w:left="248"/>
              <w:contextualSpacing/>
              <w:rPr>
                <w:rFonts w:ascii="Arial" w:hAnsi="Arial" w:cs="Arial"/>
                <w:lang w:val="en-US"/>
              </w:rPr>
            </w:pPr>
          </w:p>
          <w:p w14:paraId="65C21598" w14:textId="77777777" w:rsidR="00677147" w:rsidRPr="00677147" w:rsidRDefault="00677147" w:rsidP="00677147">
            <w:pPr>
              <w:spacing w:line="360" w:lineRule="auto"/>
              <w:ind w:left="248"/>
              <w:contextualSpacing/>
              <w:rPr>
                <w:rFonts w:ascii="Arial" w:hAnsi="Arial" w:cs="Arial"/>
                <w:lang w:val="en-US"/>
              </w:rPr>
            </w:pPr>
          </w:p>
        </w:tc>
        <w:tc>
          <w:tcPr>
            <w:tcW w:w="1228" w:type="pct"/>
            <w:vAlign w:val="center"/>
          </w:tcPr>
          <w:p w14:paraId="61C35024" w14:textId="77777777" w:rsidR="00677147" w:rsidRPr="00677147" w:rsidRDefault="00677147" w:rsidP="00677147">
            <w:pPr>
              <w:spacing w:line="360" w:lineRule="auto"/>
              <w:jc w:val="center"/>
              <w:rPr>
                <w:rFonts w:ascii="Arial" w:hAnsi="Arial" w:cs="Arial"/>
                <w:lang w:val="en-US"/>
              </w:rPr>
            </w:pPr>
            <w:r w:rsidRPr="00677147">
              <w:rPr>
                <w:rFonts w:ascii="Arial" w:hAnsi="Arial" w:cs="Arial"/>
                <w:lang w:val="en-US"/>
              </w:rPr>
              <w:t>CRAAP Score</w:t>
            </w:r>
          </w:p>
          <w:p w14:paraId="1CE672CF"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lang w:val="en-US"/>
              </w:rPr>
              <w:t>5/5</w:t>
            </w:r>
          </w:p>
        </w:tc>
      </w:tr>
      <w:tr w:rsidR="00677147" w:rsidRPr="00677147" w14:paraId="67FDA760" w14:textId="77777777" w:rsidTr="00CC67CB">
        <w:trPr>
          <w:trHeight w:val="873"/>
        </w:trPr>
        <w:tc>
          <w:tcPr>
            <w:tcW w:w="779" w:type="pct"/>
            <w:vAlign w:val="center"/>
          </w:tcPr>
          <w:p w14:paraId="5D012403"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b/>
                <w:bCs/>
                <w:lang w:val="en-US"/>
              </w:rPr>
              <w:t>Article 2</w:t>
            </w:r>
          </w:p>
        </w:tc>
        <w:tc>
          <w:tcPr>
            <w:tcW w:w="852" w:type="pct"/>
            <w:vAlign w:val="center"/>
          </w:tcPr>
          <w:p w14:paraId="0FCF6F52"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Ballari (Bellary) et al., (2021)</w:t>
            </w:r>
          </w:p>
        </w:tc>
        <w:tc>
          <w:tcPr>
            <w:tcW w:w="1100" w:type="pct"/>
            <w:vAlign w:val="center"/>
          </w:tcPr>
          <w:p w14:paraId="23EE434E"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Type 2 Diabetes Mellitus in Older Adults</w:t>
            </w:r>
          </w:p>
        </w:tc>
        <w:tc>
          <w:tcPr>
            <w:tcW w:w="1041" w:type="pct"/>
            <w:vAlign w:val="center"/>
          </w:tcPr>
          <w:p w14:paraId="0698C8C1"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Reviews diabetes management and physiological changes in ageing populations.</w:t>
            </w:r>
          </w:p>
        </w:tc>
        <w:tc>
          <w:tcPr>
            <w:tcW w:w="1228" w:type="pct"/>
            <w:vAlign w:val="center"/>
          </w:tcPr>
          <w:p w14:paraId="2E5A372E" w14:textId="77777777" w:rsidR="00677147" w:rsidRPr="00677147" w:rsidRDefault="00677147" w:rsidP="00677147">
            <w:pPr>
              <w:spacing w:line="360" w:lineRule="auto"/>
              <w:rPr>
                <w:rFonts w:ascii="Arial" w:hAnsi="Arial" w:cs="Arial"/>
              </w:rPr>
            </w:pPr>
            <w:r w:rsidRPr="00677147">
              <w:rPr>
                <w:rFonts w:ascii="Arial" w:hAnsi="Arial" w:cs="Arial"/>
              </w:rPr>
              <w:t>Older adults, ageing, diabetes management, complications</w:t>
            </w:r>
          </w:p>
          <w:p w14:paraId="5603B9D9" w14:textId="77777777" w:rsidR="00677147" w:rsidRPr="00677147" w:rsidRDefault="00677147" w:rsidP="00677147">
            <w:pPr>
              <w:spacing w:line="360" w:lineRule="auto"/>
              <w:rPr>
                <w:rFonts w:ascii="Arial" w:hAnsi="Arial" w:cs="Arial"/>
                <w:b/>
                <w:bCs/>
              </w:rPr>
            </w:pPr>
          </w:p>
        </w:tc>
      </w:tr>
      <w:tr w:rsidR="00677147" w:rsidRPr="00677147" w14:paraId="1D175986" w14:textId="77777777" w:rsidTr="00CC67CB">
        <w:trPr>
          <w:trHeight w:val="873"/>
        </w:trPr>
        <w:tc>
          <w:tcPr>
            <w:tcW w:w="779" w:type="pct"/>
            <w:vAlign w:val="center"/>
          </w:tcPr>
          <w:p w14:paraId="090AFD26"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b/>
                <w:bCs/>
                <w:lang w:val="en-US"/>
              </w:rPr>
              <w:t>CRAAP Notes</w:t>
            </w:r>
          </w:p>
        </w:tc>
        <w:tc>
          <w:tcPr>
            <w:tcW w:w="2993" w:type="pct"/>
            <w:gridSpan w:val="3"/>
            <w:vAlign w:val="center"/>
          </w:tcPr>
          <w:p w14:paraId="059E442B"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lang w:val="en-US"/>
              </w:rPr>
              <w:t xml:space="preserve">Current: </w:t>
            </w:r>
            <w:r w:rsidRPr="00677147">
              <w:rPr>
                <w:rFonts w:ascii="Arial" w:hAnsi="Arial" w:cs="Arial"/>
              </w:rPr>
              <w:t>Recent review.</w:t>
            </w:r>
          </w:p>
          <w:p w14:paraId="23A9E34A"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Relevant: </w:t>
            </w:r>
            <w:r w:rsidRPr="00677147">
              <w:rPr>
                <w:rFonts w:ascii="Arial" w:hAnsi="Arial" w:cs="Arial"/>
              </w:rPr>
              <w:t>Focuses on older adults.</w:t>
            </w:r>
          </w:p>
          <w:p w14:paraId="4781542A"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Authority: </w:t>
            </w:r>
            <w:r w:rsidRPr="00677147">
              <w:rPr>
                <w:rFonts w:ascii="Arial" w:hAnsi="Arial" w:cs="Arial"/>
              </w:rPr>
              <w:t>Published in Nature Reviews Endocrinology.</w:t>
            </w:r>
          </w:p>
          <w:p w14:paraId="4786B7A2"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Accuracy: </w:t>
            </w:r>
            <w:r w:rsidRPr="00677147">
              <w:rPr>
                <w:rFonts w:ascii="Arial" w:hAnsi="Arial" w:cs="Arial"/>
              </w:rPr>
              <w:t>Evidence-based review.</w:t>
            </w:r>
          </w:p>
          <w:p w14:paraId="163F9CAB"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Purpose:</w:t>
            </w:r>
            <w:r w:rsidRPr="00677147">
              <w:rPr>
                <w:rFonts w:ascii="Arial" w:hAnsi="Arial" w:cs="Arial"/>
              </w:rPr>
              <w:t>Inform clinical practice.</w:t>
            </w:r>
          </w:p>
          <w:p w14:paraId="216A054B" w14:textId="77777777" w:rsidR="00677147" w:rsidRPr="00677147" w:rsidRDefault="00677147" w:rsidP="00677147">
            <w:pPr>
              <w:spacing w:line="360" w:lineRule="auto"/>
              <w:ind w:left="248"/>
              <w:contextualSpacing/>
              <w:rPr>
                <w:rFonts w:ascii="Arial" w:hAnsi="Arial" w:cs="Arial"/>
                <w:lang w:val="en-US"/>
              </w:rPr>
            </w:pPr>
          </w:p>
          <w:p w14:paraId="7B59D86C" w14:textId="77777777" w:rsidR="00677147" w:rsidRPr="00677147" w:rsidRDefault="00677147" w:rsidP="00677147">
            <w:pPr>
              <w:spacing w:line="360" w:lineRule="auto"/>
              <w:ind w:left="248"/>
              <w:contextualSpacing/>
              <w:rPr>
                <w:rFonts w:ascii="Arial" w:hAnsi="Arial" w:cs="Arial"/>
                <w:lang w:val="en-US"/>
              </w:rPr>
            </w:pPr>
          </w:p>
        </w:tc>
        <w:tc>
          <w:tcPr>
            <w:tcW w:w="1228" w:type="pct"/>
            <w:vAlign w:val="center"/>
          </w:tcPr>
          <w:p w14:paraId="40D0A0B2" w14:textId="77777777" w:rsidR="00677147" w:rsidRPr="00677147" w:rsidRDefault="00677147" w:rsidP="00677147">
            <w:pPr>
              <w:spacing w:line="360" w:lineRule="auto"/>
              <w:jc w:val="center"/>
              <w:rPr>
                <w:rFonts w:ascii="Arial" w:hAnsi="Arial" w:cs="Arial"/>
                <w:lang w:val="en-US"/>
              </w:rPr>
            </w:pPr>
            <w:r w:rsidRPr="00677147">
              <w:rPr>
                <w:rFonts w:ascii="Arial" w:hAnsi="Arial" w:cs="Arial"/>
                <w:lang w:val="en-US"/>
              </w:rPr>
              <w:t>CRAAP Score</w:t>
            </w:r>
          </w:p>
          <w:p w14:paraId="1EB19113"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lang w:val="en-US"/>
              </w:rPr>
              <w:t>5/5</w:t>
            </w:r>
          </w:p>
        </w:tc>
      </w:tr>
      <w:tr w:rsidR="00677147" w:rsidRPr="00677147" w14:paraId="6A51995F" w14:textId="77777777" w:rsidTr="00CC67CB">
        <w:trPr>
          <w:trHeight w:val="873"/>
        </w:trPr>
        <w:tc>
          <w:tcPr>
            <w:tcW w:w="779" w:type="pct"/>
            <w:vAlign w:val="center"/>
          </w:tcPr>
          <w:p w14:paraId="23D2386E"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b/>
                <w:bCs/>
                <w:lang w:val="en-US"/>
              </w:rPr>
              <w:t>Article 3</w:t>
            </w:r>
          </w:p>
        </w:tc>
        <w:tc>
          <w:tcPr>
            <w:tcW w:w="852" w:type="pct"/>
            <w:vAlign w:val="center"/>
          </w:tcPr>
          <w:p w14:paraId="52CBAA21"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Galicia-Garcia et al., (2020)</w:t>
            </w:r>
          </w:p>
        </w:tc>
        <w:tc>
          <w:tcPr>
            <w:tcW w:w="1100" w:type="pct"/>
            <w:vAlign w:val="center"/>
          </w:tcPr>
          <w:p w14:paraId="6A4A897B"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Pathophysiology of Type 2 Diabetes Mellitus</w:t>
            </w:r>
          </w:p>
        </w:tc>
        <w:tc>
          <w:tcPr>
            <w:tcW w:w="1041" w:type="pct"/>
            <w:vAlign w:val="center"/>
          </w:tcPr>
          <w:p w14:paraId="48891730"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Examines of molecular and physiological mechanisms underlying T2DM.</w:t>
            </w:r>
          </w:p>
        </w:tc>
        <w:tc>
          <w:tcPr>
            <w:tcW w:w="1228" w:type="pct"/>
            <w:vAlign w:val="center"/>
          </w:tcPr>
          <w:p w14:paraId="4E4B6EAB" w14:textId="77777777" w:rsidR="00677147" w:rsidRPr="00677147" w:rsidRDefault="00677147" w:rsidP="00677147">
            <w:pPr>
              <w:spacing w:line="360" w:lineRule="auto"/>
              <w:rPr>
                <w:rFonts w:ascii="Arial" w:hAnsi="Arial" w:cs="Arial"/>
                <w:lang w:val="en-US"/>
              </w:rPr>
            </w:pPr>
          </w:p>
          <w:p w14:paraId="3EE174FB" w14:textId="77777777" w:rsidR="00677147" w:rsidRPr="00677147" w:rsidRDefault="00677147" w:rsidP="00677147">
            <w:pPr>
              <w:spacing w:line="360" w:lineRule="auto"/>
              <w:rPr>
                <w:rFonts w:ascii="Arial" w:hAnsi="Arial" w:cs="Arial"/>
                <w:lang w:val="en-US"/>
              </w:rPr>
            </w:pPr>
            <w:r w:rsidRPr="00677147">
              <w:rPr>
                <w:rFonts w:ascii="Arial" w:hAnsi="Arial" w:cs="Arial"/>
                <w:lang w:val="en-US"/>
              </w:rPr>
              <w:t>Insulin resistance, inflammation, obesity</w:t>
            </w:r>
          </w:p>
        </w:tc>
      </w:tr>
      <w:tr w:rsidR="00677147" w:rsidRPr="00677147" w14:paraId="004D9066" w14:textId="77777777" w:rsidTr="00CC67CB">
        <w:trPr>
          <w:trHeight w:val="873"/>
        </w:trPr>
        <w:tc>
          <w:tcPr>
            <w:tcW w:w="779" w:type="pct"/>
            <w:vAlign w:val="center"/>
          </w:tcPr>
          <w:p w14:paraId="5775C9B2" w14:textId="77777777" w:rsidR="00677147" w:rsidRPr="00677147" w:rsidRDefault="00677147" w:rsidP="00677147">
            <w:pPr>
              <w:spacing w:line="360" w:lineRule="auto"/>
              <w:jc w:val="center"/>
              <w:rPr>
                <w:rFonts w:ascii="Arial" w:hAnsi="Arial" w:cs="Arial"/>
                <w:b/>
                <w:bCs/>
                <w:lang w:val="en-US"/>
              </w:rPr>
            </w:pPr>
            <w:r w:rsidRPr="00677147">
              <w:rPr>
                <w:rFonts w:ascii="Arial" w:hAnsi="Arial" w:cs="Arial"/>
                <w:b/>
                <w:bCs/>
                <w:lang w:val="en-US"/>
              </w:rPr>
              <w:t>CRAAP Notes</w:t>
            </w:r>
          </w:p>
        </w:tc>
        <w:tc>
          <w:tcPr>
            <w:tcW w:w="2993" w:type="pct"/>
            <w:gridSpan w:val="3"/>
            <w:vAlign w:val="center"/>
          </w:tcPr>
          <w:p w14:paraId="5CC798FD"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Current: </w:t>
            </w:r>
            <w:r w:rsidRPr="00677147">
              <w:rPr>
                <w:rFonts w:ascii="Arial" w:hAnsi="Arial" w:cs="Arial"/>
              </w:rPr>
              <w:t>Within inclusion period.</w:t>
            </w:r>
          </w:p>
          <w:p w14:paraId="70450E41"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Relevant: </w:t>
            </w:r>
            <w:r w:rsidRPr="00677147">
              <w:rPr>
                <w:rFonts w:ascii="Arial" w:hAnsi="Arial" w:cs="Arial"/>
              </w:rPr>
              <w:t>Directly examines pathophysiology.</w:t>
            </w:r>
          </w:p>
          <w:p w14:paraId="2440C67B"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Authority: </w:t>
            </w:r>
            <w:r w:rsidRPr="00677147">
              <w:rPr>
                <w:rFonts w:ascii="Arial" w:hAnsi="Arial" w:cs="Arial"/>
              </w:rPr>
              <w:t>Peer-reviewed journal.</w:t>
            </w:r>
          </w:p>
          <w:p w14:paraId="640B21B1"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 xml:space="preserve">Accuracy: </w:t>
            </w:r>
            <w:r w:rsidRPr="00677147">
              <w:rPr>
                <w:rFonts w:ascii="Arial" w:hAnsi="Arial" w:cs="Arial"/>
              </w:rPr>
              <w:t>Comprehensive review.</w:t>
            </w:r>
          </w:p>
          <w:p w14:paraId="1A18684F"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b/>
                <w:bCs/>
                <w:lang w:val="en-US"/>
              </w:rPr>
              <w:t>Purpose:</w:t>
            </w:r>
            <w:r w:rsidRPr="00677147">
              <w:rPr>
                <w:rFonts w:ascii="Arial" w:hAnsi="Arial" w:cs="Arial"/>
              </w:rPr>
              <w:t>Academic research.</w:t>
            </w:r>
          </w:p>
          <w:p w14:paraId="35664C7B" w14:textId="77777777" w:rsidR="00677147" w:rsidRPr="00677147" w:rsidRDefault="00677147" w:rsidP="00677147">
            <w:pPr>
              <w:spacing w:line="360" w:lineRule="auto"/>
              <w:ind w:left="248"/>
              <w:contextualSpacing/>
              <w:rPr>
                <w:rFonts w:ascii="Arial" w:hAnsi="Arial" w:cs="Arial"/>
                <w:lang w:val="en-US"/>
              </w:rPr>
            </w:pPr>
          </w:p>
          <w:p w14:paraId="3090E3D9" w14:textId="77777777" w:rsidR="00677147" w:rsidRPr="00677147" w:rsidRDefault="00677147" w:rsidP="00677147">
            <w:pPr>
              <w:spacing w:line="360" w:lineRule="auto"/>
              <w:ind w:left="248"/>
              <w:contextualSpacing/>
              <w:rPr>
                <w:rFonts w:ascii="Arial" w:hAnsi="Arial" w:cs="Arial"/>
                <w:lang w:val="en-US"/>
              </w:rPr>
            </w:pPr>
          </w:p>
        </w:tc>
        <w:tc>
          <w:tcPr>
            <w:tcW w:w="1228" w:type="pct"/>
            <w:vAlign w:val="center"/>
          </w:tcPr>
          <w:p w14:paraId="4181DB84" w14:textId="77777777" w:rsidR="00677147" w:rsidRPr="00677147" w:rsidRDefault="00677147" w:rsidP="00677147">
            <w:pPr>
              <w:spacing w:line="360" w:lineRule="auto"/>
              <w:jc w:val="center"/>
              <w:rPr>
                <w:rFonts w:ascii="Arial" w:hAnsi="Arial" w:cs="Arial"/>
                <w:lang w:val="en-US"/>
              </w:rPr>
            </w:pPr>
            <w:r w:rsidRPr="00677147">
              <w:rPr>
                <w:rFonts w:ascii="Arial" w:hAnsi="Arial" w:cs="Arial"/>
                <w:lang w:val="en-US"/>
              </w:rPr>
              <w:t>CRAAP Score</w:t>
            </w:r>
          </w:p>
          <w:p w14:paraId="2DCF2F12" w14:textId="77777777" w:rsidR="00677147" w:rsidRPr="00677147" w:rsidRDefault="00677147" w:rsidP="00677147">
            <w:pPr>
              <w:spacing w:line="360" w:lineRule="auto"/>
              <w:jc w:val="center"/>
              <w:rPr>
                <w:rFonts w:ascii="Arial" w:hAnsi="Arial" w:cs="Arial"/>
                <w:lang w:val="en-US"/>
              </w:rPr>
            </w:pPr>
            <w:r w:rsidRPr="00677147">
              <w:rPr>
                <w:rFonts w:ascii="Arial" w:hAnsi="Arial" w:cs="Arial"/>
                <w:lang w:val="en-US"/>
              </w:rPr>
              <w:t>589/5</w:t>
            </w:r>
          </w:p>
        </w:tc>
      </w:tr>
    </w:tbl>
    <w:p w14:paraId="3AA937C7" w14:textId="77777777" w:rsidR="00677147" w:rsidRPr="00677147" w:rsidRDefault="00677147" w:rsidP="00677147">
      <w:pPr>
        <w:spacing w:line="360" w:lineRule="auto"/>
        <w:jc w:val="both"/>
        <w:rPr>
          <w:rFonts w:ascii="Arial" w:hAnsi="Arial" w:cs="Arial"/>
          <w:sz w:val="22"/>
          <w:szCs w:val="22"/>
          <w:lang w:eastAsia="zh-CN"/>
        </w:rPr>
      </w:pPr>
    </w:p>
    <w:p w14:paraId="08CD92E8" w14:textId="77777777" w:rsidR="00677147" w:rsidRPr="00677147" w:rsidRDefault="00677147" w:rsidP="00677147">
      <w:pPr>
        <w:spacing w:line="360" w:lineRule="auto"/>
        <w:jc w:val="both"/>
        <w:rPr>
          <w:rFonts w:ascii="Arial" w:hAnsi="Arial" w:cs="Arial"/>
          <w:sz w:val="22"/>
          <w:szCs w:val="22"/>
          <w:lang w:eastAsia="zh-CN"/>
        </w:rPr>
      </w:pPr>
    </w:p>
    <w:p w14:paraId="51898654" w14:textId="77777777" w:rsidR="00677147" w:rsidRPr="00677147" w:rsidRDefault="00677147" w:rsidP="00677147">
      <w:pPr>
        <w:spacing w:line="360" w:lineRule="auto"/>
        <w:jc w:val="both"/>
        <w:rPr>
          <w:rFonts w:ascii="Arial" w:hAnsi="Arial" w:cs="Arial"/>
          <w:sz w:val="22"/>
          <w:szCs w:val="22"/>
          <w:lang w:eastAsia="zh-CN"/>
        </w:rPr>
      </w:pPr>
    </w:p>
    <w:p w14:paraId="23F31943" w14:textId="77777777" w:rsidR="00677147" w:rsidRPr="00677147" w:rsidRDefault="00677147" w:rsidP="00677147">
      <w:pPr>
        <w:spacing w:line="360" w:lineRule="auto"/>
        <w:jc w:val="both"/>
        <w:rPr>
          <w:rFonts w:ascii="Arial" w:hAnsi="Arial" w:cs="Arial"/>
          <w:sz w:val="22"/>
          <w:szCs w:val="22"/>
          <w:lang w:eastAsia="zh-CN"/>
        </w:rPr>
      </w:pPr>
    </w:p>
    <w:p w14:paraId="401CE386" w14:textId="77777777" w:rsidR="00677147" w:rsidRPr="00677147" w:rsidRDefault="00677147" w:rsidP="00677147">
      <w:pPr>
        <w:spacing w:line="360" w:lineRule="auto"/>
        <w:jc w:val="both"/>
        <w:rPr>
          <w:rFonts w:ascii="Arial" w:hAnsi="Arial" w:cs="Arial"/>
          <w:sz w:val="22"/>
          <w:szCs w:val="22"/>
          <w:lang w:eastAsia="zh-CN"/>
        </w:rPr>
      </w:pPr>
    </w:p>
    <w:p w14:paraId="2F5170C2" w14:textId="77777777" w:rsidR="00677147" w:rsidRPr="00677147" w:rsidRDefault="00677147" w:rsidP="00677147">
      <w:pPr>
        <w:spacing w:line="360" w:lineRule="auto"/>
        <w:jc w:val="both"/>
        <w:rPr>
          <w:rFonts w:ascii="Arial" w:hAnsi="Arial" w:cs="Arial"/>
          <w:sz w:val="22"/>
          <w:szCs w:val="22"/>
          <w:lang w:eastAsia="zh-CN"/>
        </w:rPr>
      </w:pPr>
    </w:p>
    <w:p w14:paraId="625F9D96" w14:textId="77777777" w:rsidR="00677147" w:rsidRPr="00677147" w:rsidRDefault="00677147" w:rsidP="00677147">
      <w:pPr>
        <w:spacing w:line="360" w:lineRule="auto"/>
        <w:jc w:val="both"/>
        <w:rPr>
          <w:rFonts w:ascii="Arial" w:hAnsi="Arial" w:cs="Arial"/>
          <w:sz w:val="22"/>
          <w:szCs w:val="22"/>
          <w:lang w:eastAsia="zh-CN"/>
        </w:rPr>
      </w:pPr>
    </w:p>
    <w:p w14:paraId="092D7EE7" w14:textId="77777777" w:rsidR="00677147" w:rsidRPr="00677147" w:rsidRDefault="00677147" w:rsidP="00677147">
      <w:pPr>
        <w:spacing w:line="360" w:lineRule="auto"/>
        <w:jc w:val="both"/>
        <w:rPr>
          <w:rFonts w:ascii="Arial" w:hAnsi="Arial" w:cs="Arial"/>
          <w:sz w:val="22"/>
          <w:szCs w:val="22"/>
          <w:lang w:eastAsia="zh-CN"/>
        </w:rPr>
      </w:pPr>
    </w:p>
    <w:p w14:paraId="316A1D9D" w14:textId="77777777" w:rsidR="00677147" w:rsidRPr="00677147" w:rsidRDefault="00677147" w:rsidP="00677147">
      <w:pPr>
        <w:spacing w:line="360" w:lineRule="auto"/>
        <w:jc w:val="both"/>
        <w:rPr>
          <w:rFonts w:ascii="Arial" w:hAnsi="Arial" w:cs="Arial"/>
          <w:sz w:val="22"/>
          <w:szCs w:val="22"/>
          <w:lang w:eastAsia="zh-CN"/>
        </w:rPr>
      </w:pPr>
    </w:p>
    <w:p w14:paraId="4EFEE4A1" w14:textId="77777777" w:rsidR="00677147" w:rsidRPr="00677147" w:rsidRDefault="00677147" w:rsidP="00677147">
      <w:pPr>
        <w:spacing w:line="360" w:lineRule="auto"/>
        <w:jc w:val="both"/>
        <w:rPr>
          <w:rFonts w:ascii="Arial" w:hAnsi="Arial" w:cs="Arial"/>
          <w:sz w:val="22"/>
          <w:szCs w:val="22"/>
          <w:lang w:eastAsia="zh-CN"/>
        </w:rPr>
      </w:pPr>
    </w:p>
    <w:p w14:paraId="2395D11A" w14:textId="77777777" w:rsidR="00677147" w:rsidRPr="00677147" w:rsidRDefault="00677147" w:rsidP="00677147">
      <w:pPr>
        <w:spacing w:line="360" w:lineRule="auto"/>
        <w:jc w:val="both"/>
        <w:rPr>
          <w:rFonts w:ascii="Arial" w:hAnsi="Arial" w:cs="Arial"/>
          <w:sz w:val="22"/>
          <w:szCs w:val="22"/>
          <w:lang w:eastAsia="zh-CN"/>
        </w:rPr>
      </w:pPr>
    </w:p>
    <w:p w14:paraId="45839967" w14:textId="77777777" w:rsidR="00677147" w:rsidRPr="00677147" w:rsidRDefault="00677147" w:rsidP="00677147">
      <w:pPr>
        <w:spacing w:line="360" w:lineRule="auto"/>
        <w:jc w:val="both"/>
        <w:rPr>
          <w:rFonts w:ascii="Arial" w:hAnsi="Arial" w:cs="Arial"/>
          <w:sz w:val="22"/>
          <w:szCs w:val="22"/>
          <w:lang w:eastAsia="zh-CN"/>
        </w:rPr>
      </w:pPr>
    </w:p>
    <w:p w14:paraId="64A0DEC8" w14:textId="77777777" w:rsidR="00677147" w:rsidRPr="00677147" w:rsidRDefault="00677147" w:rsidP="00677147">
      <w:pPr>
        <w:spacing w:line="360" w:lineRule="auto"/>
        <w:jc w:val="both"/>
        <w:rPr>
          <w:rFonts w:ascii="Arial" w:hAnsi="Arial" w:cs="Arial"/>
          <w:sz w:val="22"/>
          <w:szCs w:val="22"/>
          <w:lang w:eastAsia="zh-CN"/>
        </w:rPr>
      </w:pPr>
    </w:p>
    <w:p w14:paraId="0A8F7ABF" w14:textId="77777777" w:rsidR="00677147" w:rsidRPr="00677147" w:rsidRDefault="00677147" w:rsidP="00677147">
      <w:pPr>
        <w:spacing w:line="360" w:lineRule="auto"/>
        <w:jc w:val="both"/>
        <w:rPr>
          <w:rFonts w:ascii="Arial" w:hAnsi="Arial" w:cs="Arial"/>
          <w:sz w:val="22"/>
          <w:szCs w:val="22"/>
          <w:lang w:eastAsia="zh-CN"/>
        </w:rPr>
      </w:pPr>
    </w:p>
    <w:p w14:paraId="3D64ADEE" w14:textId="77777777" w:rsidR="00677147" w:rsidRPr="00677147" w:rsidRDefault="00677147" w:rsidP="00677147">
      <w:pPr>
        <w:spacing w:line="360" w:lineRule="auto"/>
        <w:jc w:val="both"/>
        <w:rPr>
          <w:rFonts w:ascii="Arial" w:hAnsi="Arial" w:cs="Arial"/>
          <w:sz w:val="22"/>
          <w:szCs w:val="22"/>
          <w:lang w:eastAsia="zh-CN"/>
        </w:rPr>
      </w:pPr>
    </w:p>
    <w:p w14:paraId="5A71544F" w14:textId="77777777" w:rsidR="00677147" w:rsidRPr="00677147" w:rsidRDefault="00677147" w:rsidP="00677147">
      <w:pPr>
        <w:keepNext/>
        <w:keepLines/>
        <w:spacing w:before="40" w:after="0" w:line="360" w:lineRule="auto"/>
        <w:jc w:val="both"/>
        <w:outlineLvl w:val="1"/>
        <w:rPr>
          <w:rFonts w:ascii="Arial" w:eastAsiaTheme="majorEastAsia" w:hAnsi="Arial" w:cs="Arial"/>
          <w:b/>
          <w:bCs/>
          <w:color w:val="0F4761" w:themeColor="accent1" w:themeShade="BF"/>
          <w:sz w:val="32"/>
          <w:szCs w:val="32"/>
          <w:lang w:eastAsia="zh-CN"/>
        </w:rPr>
      </w:pPr>
      <w:r w:rsidRPr="00677147">
        <w:rPr>
          <w:rFonts w:ascii="Arial" w:eastAsiaTheme="majorEastAsia" w:hAnsi="Arial" w:cs="Arial"/>
          <w:b/>
          <w:bCs/>
          <w:color w:val="0F4761" w:themeColor="accent1" w:themeShade="BF"/>
          <w:sz w:val="32"/>
          <w:szCs w:val="32"/>
          <w:lang w:eastAsia="zh-CN"/>
        </w:rPr>
        <w:t>Appendix B-Result Summary Table</w:t>
      </w:r>
    </w:p>
    <w:p w14:paraId="48BC342A" w14:textId="77777777" w:rsidR="00677147" w:rsidRPr="00677147" w:rsidRDefault="00677147" w:rsidP="00677147">
      <w:pPr>
        <w:spacing w:line="360" w:lineRule="auto"/>
        <w:jc w:val="both"/>
        <w:rPr>
          <w:rFonts w:ascii="Arial" w:hAnsi="Arial" w:cs="Arial"/>
          <w:sz w:val="22"/>
          <w:szCs w:val="22"/>
          <w:lang w:eastAsia="zh-CN"/>
        </w:rPr>
      </w:pPr>
    </w:p>
    <w:tbl>
      <w:tblPr>
        <w:tblStyle w:val="TableGrid"/>
        <w:tblpPr w:leftFromText="180" w:rightFromText="180" w:vertAnchor="text" w:horzAnchor="margin" w:tblpX="-1287" w:tblpY="252"/>
        <w:tblW w:w="10910" w:type="dxa"/>
        <w:tblLayout w:type="fixed"/>
        <w:tblLook w:val="04A0" w:firstRow="1" w:lastRow="0" w:firstColumn="1" w:lastColumn="0" w:noHBand="0" w:noVBand="1"/>
      </w:tblPr>
      <w:tblGrid>
        <w:gridCol w:w="1194"/>
        <w:gridCol w:w="1353"/>
        <w:gridCol w:w="1276"/>
        <w:gridCol w:w="1417"/>
        <w:gridCol w:w="1276"/>
        <w:gridCol w:w="1701"/>
        <w:gridCol w:w="1134"/>
        <w:gridCol w:w="1559"/>
      </w:tblGrid>
      <w:tr w:rsidR="00677147" w:rsidRPr="00677147" w14:paraId="51F25AF3" w14:textId="77777777" w:rsidTr="00CC67CB">
        <w:trPr>
          <w:trHeight w:val="1569"/>
        </w:trPr>
        <w:tc>
          <w:tcPr>
            <w:tcW w:w="1194" w:type="dxa"/>
          </w:tcPr>
          <w:p w14:paraId="772A0473" w14:textId="77777777" w:rsidR="00677147" w:rsidRPr="00677147" w:rsidRDefault="00677147" w:rsidP="00677147">
            <w:pPr>
              <w:spacing w:line="360" w:lineRule="auto"/>
              <w:jc w:val="center"/>
              <w:rPr>
                <w:rFonts w:ascii="Arial" w:hAnsi="Arial" w:cs="Arial"/>
                <w:b/>
                <w:bCs/>
              </w:rPr>
            </w:pPr>
            <w:r w:rsidRPr="00677147">
              <w:rPr>
                <w:rFonts w:ascii="Arial" w:hAnsi="Arial" w:cs="Arial"/>
                <w:b/>
                <w:bCs/>
              </w:rPr>
              <w:t>Author &amp; Year</w:t>
            </w:r>
          </w:p>
        </w:tc>
        <w:tc>
          <w:tcPr>
            <w:tcW w:w="1353" w:type="dxa"/>
          </w:tcPr>
          <w:p w14:paraId="21F99DC6" w14:textId="77777777" w:rsidR="00677147" w:rsidRPr="00677147" w:rsidRDefault="00677147" w:rsidP="00677147">
            <w:pPr>
              <w:spacing w:line="360" w:lineRule="auto"/>
              <w:jc w:val="center"/>
              <w:rPr>
                <w:rFonts w:ascii="Arial" w:hAnsi="Arial" w:cs="Arial"/>
                <w:b/>
                <w:bCs/>
              </w:rPr>
            </w:pPr>
            <w:r w:rsidRPr="00677147">
              <w:rPr>
                <w:rFonts w:ascii="Arial" w:hAnsi="Arial" w:cs="Arial"/>
                <w:b/>
                <w:bCs/>
              </w:rPr>
              <w:t>Article Title</w:t>
            </w:r>
          </w:p>
        </w:tc>
        <w:tc>
          <w:tcPr>
            <w:tcW w:w="1276" w:type="dxa"/>
          </w:tcPr>
          <w:p w14:paraId="00268149" w14:textId="77777777" w:rsidR="00677147" w:rsidRPr="00677147" w:rsidRDefault="00677147" w:rsidP="00677147">
            <w:pPr>
              <w:spacing w:line="360" w:lineRule="auto"/>
              <w:jc w:val="center"/>
              <w:rPr>
                <w:rFonts w:ascii="Arial" w:hAnsi="Arial" w:cs="Arial"/>
                <w:b/>
                <w:bCs/>
              </w:rPr>
            </w:pPr>
            <w:r w:rsidRPr="00677147">
              <w:rPr>
                <w:rFonts w:ascii="Arial" w:hAnsi="Arial" w:cs="Arial"/>
                <w:b/>
                <w:bCs/>
              </w:rPr>
              <w:t>Type of Study</w:t>
            </w:r>
          </w:p>
        </w:tc>
        <w:tc>
          <w:tcPr>
            <w:tcW w:w="1417" w:type="dxa"/>
          </w:tcPr>
          <w:p w14:paraId="603A8484" w14:textId="77777777" w:rsidR="00677147" w:rsidRPr="00677147" w:rsidRDefault="00677147" w:rsidP="00677147">
            <w:pPr>
              <w:spacing w:line="360" w:lineRule="auto"/>
              <w:jc w:val="center"/>
              <w:rPr>
                <w:rFonts w:ascii="Arial" w:hAnsi="Arial" w:cs="Arial"/>
                <w:b/>
                <w:bCs/>
              </w:rPr>
            </w:pPr>
            <w:r w:rsidRPr="00677147">
              <w:rPr>
                <w:rFonts w:ascii="Arial" w:hAnsi="Arial" w:cs="Arial"/>
                <w:b/>
                <w:bCs/>
              </w:rPr>
              <w:t>Research Method &amp; Sample Size</w:t>
            </w:r>
          </w:p>
        </w:tc>
        <w:tc>
          <w:tcPr>
            <w:tcW w:w="1276" w:type="dxa"/>
          </w:tcPr>
          <w:p w14:paraId="3FFAA23B" w14:textId="77777777" w:rsidR="00677147" w:rsidRPr="00677147" w:rsidRDefault="00677147" w:rsidP="00677147">
            <w:pPr>
              <w:spacing w:line="360" w:lineRule="auto"/>
              <w:jc w:val="center"/>
              <w:rPr>
                <w:rFonts w:ascii="Arial" w:hAnsi="Arial" w:cs="Arial"/>
                <w:b/>
                <w:bCs/>
              </w:rPr>
            </w:pPr>
            <w:r w:rsidRPr="00677147">
              <w:rPr>
                <w:rFonts w:ascii="Arial" w:hAnsi="Arial" w:cs="Arial"/>
                <w:b/>
                <w:bCs/>
              </w:rPr>
              <w:t>Strengths &amp; Limitations</w:t>
            </w:r>
          </w:p>
        </w:tc>
        <w:tc>
          <w:tcPr>
            <w:tcW w:w="1701" w:type="dxa"/>
          </w:tcPr>
          <w:p w14:paraId="0D2E9757" w14:textId="77777777" w:rsidR="00677147" w:rsidRPr="00677147" w:rsidRDefault="00677147" w:rsidP="00677147">
            <w:pPr>
              <w:spacing w:line="360" w:lineRule="auto"/>
              <w:jc w:val="center"/>
              <w:rPr>
                <w:rFonts w:ascii="Arial" w:hAnsi="Arial" w:cs="Arial"/>
                <w:b/>
                <w:bCs/>
              </w:rPr>
            </w:pPr>
            <w:r w:rsidRPr="00677147">
              <w:rPr>
                <w:rFonts w:ascii="Arial" w:hAnsi="Arial" w:cs="Arial"/>
                <w:b/>
                <w:bCs/>
              </w:rPr>
              <w:t>Main Findings</w:t>
            </w:r>
          </w:p>
        </w:tc>
        <w:tc>
          <w:tcPr>
            <w:tcW w:w="1134" w:type="dxa"/>
          </w:tcPr>
          <w:p w14:paraId="4F709948" w14:textId="77777777" w:rsidR="00677147" w:rsidRPr="00677147" w:rsidRDefault="00677147" w:rsidP="00677147">
            <w:pPr>
              <w:spacing w:line="360" w:lineRule="auto"/>
              <w:jc w:val="center"/>
              <w:rPr>
                <w:rFonts w:ascii="Arial" w:hAnsi="Arial" w:cs="Arial"/>
                <w:b/>
                <w:bCs/>
              </w:rPr>
            </w:pPr>
            <w:r w:rsidRPr="00677147">
              <w:rPr>
                <w:rFonts w:ascii="Arial" w:hAnsi="Arial" w:cs="Arial"/>
                <w:b/>
                <w:bCs/>
              </w:rPr>
              <w:t>Keywords &amp; Codes</w:t>
            </w:r>
          </w:p>
        </w:tc>
        <w:tc>
          <w:tcPr>
            <w:tcW w:w="1559" w:type="dxa"/>
          </w:tcPr>
          <w:p w14:paraId="2DB52D3C" w14:textId="77777777" w:rsidR="00677147" w:rsidRPr="00677147" w:rsidRDefault="00677147" w:rsidP="00677147">
            <w:pPr>
              <w:spacing w:line="360" w:lineRule="auto"/>
              <w:jc w:val="both"/>
              <w:rPr>
                <w:rFonts w:ascii="Arial" w:hAnsi="Arial" w:cs="Arial"/>
                <w:b/>
                <w:bCs/>
              </w:rPr>
            </w:pPr>
            <w:r w:rsidRPr="00677147">
              <w:rPr>
                <w:rFonts w:ascii="Arial" w:hAnsi="Arial" w:cs="Arial"/>
                <w:b/>
                <w:bCs/>
              </w:rPr>
              <w:t>Notes and Comments</w:t>
            </w:r>
          </w:p>
          <w:p w14:paraId="1A95149E" w14:textId="77777777" w:rsidR="00677147" w:rsidRPr="00677147" w:rsidRDefault="00677147" w:rsidP="00677147">
            <w:pPr>
              <w:spacing w:line="360" w:lineRule="auto"/>
              <w:jc w:val="both"/>
              <w:rPr>
                <w:rFonts w:ascii="Arial" w:hAnsi="Arial" w:cs="Arial"/>
                <w:b/>
                <w:bCs/>
              </w:rPr>
            </w:pPr>
          </w:p>
          <w:p w14:paraId="64449F41" w14:textId="77777777" w:rsidR="00677147" w:rsidRPr="00677147" w:rsidRDefault="00677147" w:rsidP="00677147">
            <w:pPr>
              <w:spacing w:line="360" w:lineRule="auto"/>
              <w:jc w:val="both"/>
              <w:rPr>
                <w:rFonts w:ascii="Arial" w:hAnsi="Arial" w:cs="Arial"/>
                <w:b/>
                <w:bCs/>
              </w:rPr>
            </w:pPr>
          </w:p>
          <w:p w14:paraId="379E60BF" w14:textId="77777777" w:rsidR="00677147" w:rsidRPr="00677147" w:rsidRDefault="00677147" w:rsidP="00677147">
            <w:pPr>
              <w:spacing w:line="360" w:lineRule="auto"/>
              <w:jc w:val="both"/>
              <w:rPr>
                <w:rFonts w:ascii="Arial" w:hAnsi="Arial" w:cs="Arial"/>
                <w:b/>
                <w:bCs/>
              </w:rPr>
            </w:pPr>
          </w:p>
        </w:tc>
      </w:tr>
      <w:tr w:rsidR="00677147" w:rsidRPr="00677147" w14:paraId="79C907C4" w14:textId="77777777" w:rsidTr="00CC67CB">
        <w:trPr>
          <w:trHeight w:val="671"/>
        </w:trPr>
        <w:tc>
          <w:tcPr>
            <w:tcW w:w="1194" w:type="dxa"/>
          </w:tcPr>
          <w:p w14:paraId="5997F4C4" w14:textId="77777777" w:rsidR="00677147" w:rsidRPr="00677147" w:rsidRDefault="00677147" w:rsidP="00677147">
            <w:pPr>
              <w:spacing w:before="69" w:beforeAutospacing="1" w:after="69" w:afterAutospacing="1" w:line="360" w:lineRule="auto"/>
              <w:rPr>
                <w:rFonts w:ascii="Arial" w:hAnsi="Arial" w:cs="Arial"/>
              </w:rPr>
            </w:pPr>
            <w:r w:rsidRPr="00677147">
              <w:rPr>
                <w:rFonts w:ascii="Arial" w:hAnsi="Arial" w:cs="Arial"/>
              </w:rPr>
              <w:t>DeFronzo (2009)</w:t>
            </w:r>
          </w:p>
          <w:p w14:paraId="3595F0E6" w14:textId="77777777" w:rsidR="00677147" w:rsidRPr="00677147" w:rsidRDefault="00677147" w:rsidP="00677147">
            <w:pPr>
              <w:spacing w:line="360" w:lineRule="auto"/>
              <w:jc w:val="both"/>
              <w:rPr>
                <w:rFonts w:ascii="Arial" w:hAnsi="Arial" w:cs="Arial"/>
              </w:rPr>
            </w:pPr>
          </w:p>
        </w:tc>
        <w:tc>
          <w:tcPr>
            <w:tcW w:w="1353" w:type="dxa"/>
          </w:tcPr>
          <w:p w14:paraId="54477E65" w14:textId="77777777" w:rsidR="00677147" w:rsidRPr="00677147" w:rsidRDefault="00677147" w:rsidP="00677147">
            <w:pPr>
              <w:spacing w:line="360" w:lineRule="auto"/>
              <w:jc w:val="both"/>
              <w:rPr>
                <w:rFonts w:ascii="Arial" w:hAnsi="Arial" w:cs="Arial"/>
              </w:rPr>
            </w:pPr>
            <w:r w:rsidRPr="00677147">
              <w:rPr>
                <w:rFonts w:ascii="Arial" w:hAnsi="Arial" w:cs="Arial"/>
              </w:rPr>
              <w:t>Ominous Octet</w:t>
            </w:r>
          </w:p>
        </w:tc>
        <w:tc>
          <w:tcPr>
            <w:tcW w:w="1276" w:type="dxa"/>
          </w:tcPr>
          <w:p w14:paraId="55C8D689" w14:textId="77777777" w:rsidR="00677147" w:rsidRPr="00677147" w:rsidRDefault="00677147" w:rsidP="00677147">
            <w:pPr>
              <w:spacing w:line="360" w:lineRule="auto"/>
              <w:jc w:val="both"/>
              <w:rPr>
                <w:rFonts w:ascii="Arial" w:hAnsi="Arial" w:cs="Arial"/>
              </w:rPr>
            </w:pPr>
            <w:r w:rsidRPr="00677147">
              <w:rPr>
                <w:rFonts w:ascii="Arial" w:hAnsi="Arial" w:cs="Arial"/>
              </w:rPr>
              <w:t>Conceptual Review</w:t>
            </w:r>
          </w:p>
        </w:tc>
        <w:tc>
          <w:tcPr>
            <w:tcW w:w="1417" w:type="dxa"/>
          </w:tcPr>
          <w:p w14:paraId="14DB2A8D" w14:textId="77777777" w:rsidR="00677147" w:rsidRPr="00677147" w:rsidRDefault="00677147" w:rsidP="00677147">
            <w:pPr>
              <w:spacing w:line="360" w:lineRule="auto"/>
              <w:jc w:val="both"/>
              <w:rPr>
                <w:rFonts w:ascii="Arial" w:hAnsi="Arial" w:cs="Arial"/>
              </w:rPr>
            </w:pPr>
            <w:r w:rsidRPr="00677147">
              <w:rPr>
                <w:rFonts w:ascii="Arial" w:hAnsi="Arial" w:cs="Arial"/>
              </w:rPr>
              <w:t>Literature review</w:t>
            </w:r>
          </w:p>
        </w:tc>
        <w:tc>
          <w:tcPr>
            <w:tcW w:w="1276" w:type="dxa"/>
          </w:tcPr>
          <w:p w14:paraId="36FC2277" w14:textId="77777777" w:rsidR="00677147" w:rsidRPr="00677147" w:rsidRDefault="00677147" w:rsidP="00677147">
            <w:pPr>
              <w:spacing w:line="360" w:lineRule="auto"/>
              <w:jc w:val="both"/>
              <w:rPr>
                <w:rFonts w:ascii="Arial" w:hAnsi="Arial" w:cs="Arial"/>
              </w:rPr>
            </w:pPr>
            <w:r w:rsidRPr="00677147">
              <w:rPr>
                <w:rFonts w:ascii="Arial" w:hAnsi="Arial" w:cs="Arial"/>
              </w:rPr>
              <w:t>Comprehensive; not empirical</w:t>
            </w:r>
          </w:p>
        </w:tc>
        <w:tc>
          <w:tcPr>
            <w:tcW w:w="1701" w:type="dxa"/>
          </w:tcPr>
          <w:p w14:paraId="01C2EE66" w14:textId="77777777" w:rsidR="00677147" w:rsidRPr="00677147" w:rsidRDefault="00677147" w:rsidP="00677147">
            <w:pPr>
              <w:spacing w:line="360" w:lineRule="auto"/>
              <w:jc w:val="both"/>
              <w:rPr>
                <w:rFonts w:ascii="Arial" w:hAnsi="Arial" w:cs="Arial"/>
              </w:rPr>
            </w:pPr>
            <w:r w:rsidRPr="00677147">
              <w:rPr>
                <w:rFonts w:ascii="Arial" w:hAnsi="Arial" w:cs="Arial"/>
              </w:rPr>
              <w:t>Eight mechanisms drive T2DM</w:t>
            </w:r>
          </w:p>
        </w:tc>
        <w:tc>
          <w:tcPr>
            <w:tcW w:w="1134" w:type="dxa"/>
          </w:tcPr>
          <w:p w14:paraId="2E407741" w14:textId="77777777" w:rsidR="00677147" w:rsidRPr="00677147" w:rsidRDefault="00677147" w:rsidP="00677147">
            <w:pPr>
              <w:spacing w:line="360" w:lineRule="auto"/>
              <w:jc w:val="both"/>
              <w:rPr>
                <w:rFonts w:ascii="Arial" w:hAnsi="Arial" w:cs="Arial"/>
              </w:rPr>
            </w:pPr>
            <w:r w:rsidRPr="00677147">
              <w:rPr>
                <w:rFonts w:ascii="Arial" w:hAnsi="Arial" w:cs="Arial"/>
              </w:rPr>
              <w:t>Support Objective 2</w:t>
            </w:r>
          </w:p>
        </w:tc>
        <w:tc>
          <w:tcPr>
            <w:tcW w:w="1559" w:type="dxa"/>
          </w:tcPr>
          <w:p w14:paraId="7A2BB4EE" w14:textId="77777777" w:rsidR="00677147" w:rsidRPr="00677147" w:rsidRDefault="00677147" w:rsidP="00677147">
            <w:pPr>
              <w:spacing w:line="360" w:lineRule="auto"/>
              <w:jc w:val="both"/>
              <w:rPr>
                <w:rFonts w:ascii="Arial" w:hAnsi="Arial" w:cs="Arial"/>
              </w:rPr>
            </w:pPr>
          </w:p>
        </w:tc>
      </w:tr>
      <w:tr w:rsidR="00677147" w:rsidRPr="00677147" w14:paraId="013C84AC" w14:textId="77777777" w:rsidTr="00CC67CB">
        <w:trPr>
          <w:trHeight w:val="639"/>
        </w:trPr>
        <w:tc>
          <w:tcPr>
            <w:tcW w:w="1194" w:type="dxa"/>
          </w:tcPr>
          <w:p w14:paraId="303BED67" w14:textId="77777777" w:rsidR="00677147" w:rsidRPr="00677147" w:rsidRDefault="00677147" w:rsidP="00677147">
            <w:pPr>
              <w:spacing w:line="360" w:lineRule="auto"/>
              <w:jc w:val="both"/>
              <w:rPr>
                <w:rFonts w:ascii="Arial" w:hAnsi="Arial" w:cs="Arial"/>
              </w:rPr>
            </w:pPr>
            <w:r w:rsidRPr="00677147">
              <w:rPr>
                <w:rFonts w:ascii="Arial" w:hAnsi="Arial" w:cs="Arial"/>
              </w:rPr>
              <w:t>Bellari et al., (2021)</w:t>
            </w:r>
          </w:p>
        </w:tc>
        <w:tc>
          <w:tcPr>
            <w:tcW w:w="1353" w:type="dxa"/>
          </w:tcPr>
          <w:p w14:paraId="060F645C" w14:textId="77777777" w:rsidR="00677147" w:rsidRPr="00677147" w:rsidRDefault="00677147" w:rsidP="00677147">
            <w:pPr>
              <w:spacing w:line="360" w:lineRule="auto"/>
              <w:jc w:val="both"/>
              <w:rPr>
                <w:rFonts w:ascii="Arial" w:hAnsi="Arial" w:cs="Arial"/>
              </w:rPr>
            </w:pPr>
            <w:r w:rsidRPr="00677147">
              <w:rPr>
                <w:rFonts w:ascii="Arial" w:hAnsi="Arial" w:cs="Arial"/>
              </w:rPr>
              <w:t>T2DM in Older Adults</w:t>
            </w:r>
          </w:p>
        </w:tc>
        <w:tc>
          <w:tcPr>
            <w:tcW w:w="1276" w:type="dxa"/>
          </w:tcPr>
          <w:p w14:paraId="1789CC08" w14:textId="77777777" w:rsidR="00677147" w:rsidRPr="00677147" w:rsidRDefault="00677147" w:rsidP="00677147">
            <w:pPr>
              <w:spacing w:line="360" w:lineRule="auto"/>
              <w:jc w:val="both"/>
              <w:rPr>
                <w:rFonts w:ascii="Arial" w:hAnsi="Arial" w:cs="Arial"/>
              </w:rPr>
            </w:pPr>
            <w:r w:rsidRPr="00677147">
              <w:rPr>
                <w:rFonts w:ascii="Arial" w:hAnsi="Arial" w:cs="Arial"/>
              </w:rPr>
              <w:t>Narrative Review</w:t>
            </w:r>
          </w:p>
        </w:tc>
        <w:tc>
          <w:tcPr>
            <w:tcW w:w="1417" w:type="dxa"/>
          </w:tcPr>
          <w:p w14:paraId="1C6501A3" w14:textId="77777777" w:rsidR="00677147" w:rsidRPr="00677147" w:rsidRDefault="00677147" w:rsidP="00677147">
            <w:pPr>
              <w:spacing w:line="360" w:lineRule="auto"/>
              <w:jc w:val="both"/>
              <w:rPr>
                <w:rFonts w:ascii="Arial" w:hAnsi="Arial" w:cs="Arial"/>
              </w:rPr>
            </w:pPr>
            <w:r w:rsidRPr="00677147">
              <w:rPr>
                <w:rFonts w:ascii="Arial" w:hAnsi="Arial" w:cs="Arial"/>
              </w:rPr>
              <w:t xml:space="preserve">Multiple studies reviewed </w:t>
            </w:r>
          </w:p>
        </w:tc>
        <w:tc>
          <w:tcPr>
            <w:tcW w:w="1276" w:type="dxa"/>
          </w:tcPr>
          <w:p w14:paraId="69FC7C90" w14:textId="77777777" w:rsidR="00677147" w:rsidRPr="00677147" w:rsidRDefault="00677147" w:rsidP="00677147">
            <w:pPr>
              <w:spacing w:line="360" w:lineRule="auto"/>
              <w:jc w:val="both"/>
              <w:rPr>
                <w:rFonts w:ascii="Arial" w:hAnsi="Arial" w:cs="Arial"/>
              </w:rPr>
            </w:pPr>
            <w:r w:rsidRPr="00677147">
              <w:rPr>
                <w:rFonts w:ascii="Arial" w:hAnsi="Arial" w:cs="Arial"/>
              </w:rPr>
              <w:t>Strong synthesis; not primary data</w:t>
            </w:r>
          </w:p>
        </w:tc>
        <w:tc>
          <w:tcPr>
            <w:tcW w:w="1701" w:type="dxa"/>
          </w:tcPr>
          <w:p w14:paraId="1643A2EA" w14:textId="77777777" w:rsidR="00677147" w:rsidRPr="00677147" w:rsidRDefault="00677147" w:rsidP="00677147">
            <w:pPr>
              <w:spacing w:line="360" w:lineRule="auto"/>
              <w:jc w:val="both"/>
              <w:rPr>
                <w:rFonts w:ascii="Arial" w:hAnsi="Arial" w:cs="Arial"/>
              </w:rPr>
            </w:pPr>
            <w:r w:rsidRPr="00677147">
              <w:rPr>
                <w:rFonts w:ascii="Arial" w:hAnsi="Arial" w:cs="Arial"/>
              </w:rPr>
              <w:t>Ageing increases complications</w:t>
            </w:r>
          </w:p>
        </w:tc>
        <w:tc>
          <w:tcPr>
            <w:tcW w:w="1134" w:type="dxa"/>
          </w:tcPr>
          <w:p w14:paraId="3BCDB57D" w14:textId="77777777" w:rsidR="00677147" w:rsidRPr="00677147" w:rsidRDefault="00677147" w:rsidP="00677147">
            <w:pPr>
              <w:spacing w:line="360" w:lineRule="auto"/>
              <w:jc w:val="both"/>
              <w:rPr>
                <w:rFonts w:ascii="Arial" w:hAnsi="Arial" w:cs="Arial"/>
              </w:rPr>
            </w:pPr>
            <w:r w:rsidRPr="00677147">
              <w:rPr>
                <w:rFonts w:ascii="Arial" w:hAnsi="Arial" w:cs="Arial"/>
              </w:rPr>
              <w:t>Older adults</w:t>
            </w:r>
          </w:p>
        </w:tc>
        <w:tc>
          <w:tcPr>
            <w:tcW w:w="1559" w:type="dxa"/>
          </w:tcPr>
          <w:p w14:paraId="5DB84504" w14:textId="77777777" w:rsidR="00677147" w:rsidRPr="00677147" w:rsidRDefault="00677147" w:rsidP="00677147">
            <w:pPr>
              <w:spacing w:line="360" w:lineRule="auto"/>
              <w:jc w:val="both"/>
              <w:rPr>
                <w:rFonts w:ascii="Arial" w:hAnsi="Arial" w:cs="Arial"/>
              </w:rPr>
            </w:pPr>
            <w:r w:rsidRPr="00677147">
              <w:rPr>
                <w:rFonts w:ascii="Arial" w:hAnsi="Arial" w:cs="Arial"/>
              </w:rPr>
              <w:t>Supports Objectives 1&amp; 3</w:t>
            </w:r>
          </w:p>
        </w:tc>
      </w:tr>
      <w:tr w:rsidR="00677147" w:rsidRPr="00677147" w14:paraId="761FCCD5" w14:textId="77777777" w:rsidTr="00CC67CB">
        <w:trPr>
          <w:trHeight w:val="639"/>
        </w:trPr>
        <w:tc>
          <w:tcPr>
            <w:tcW w:w="1194" w:type="dxa"/>
          </w:tcPr>
          <w:p w14:paraId="09BA6246" w14:textId="77777777" w:rsidR="00677147" w:rsidRPr="00677147" w:rsidRDefault="00677147" w:rsidP="00677147">
            <w:pPr>
              <w:spacing w:line="360" w:lineRule="auto"/>
              <w:jc w:val="both"/>
              <w:rPr>
                <w:rFonts w:ascii="Arial" w:hAnsi="Arial" w:cs="Arial"/>
              </w:rPr>
            </w:pPr>
            <w:r w:rsidRPr="00677147">
              <w:rPr>
                <w:rFonts w:ascii="Arial" w:hAnsi="Arial" w:cs="Arial"/>
              </w:rPr>
              <w:t>Galicia-Garcia et al., (2020)</w:t>
            </w:r>
          </w:p>
        </w:tc>
        <w:tc>
          <w:tcPr>
            <w:tcW w:w="1353" w:type="dxa"/>
          </w:tcPr>
          <w:p w14:paraId="4E58DC37" w14:textId="77777777" w:rsidR="00677147" w:rsidRPr="00677147" w:rsidRDefault="00677147" w:rsidP="00677147">
            <w:pPr>
              <w:spacing w:line="360" w:lineRule="auto"/>
              <w:jc w:val="both"/>
              <w:rPr>
                <w:rFonts w:ascii="Arial" w:hAnsi="Arial" w:cs="Arial"/>
              </w:rPr>
            </w:pPr>
            <w:r w:rsidRPr="00677147">
              <w:rPr>
                <w:rFonts w:ascii="Arial" w:hAnsi="Arial" w:cs="Arial"/>
              </w:rPr>
              <w:t>Pathophysiology of T2DM</w:t>
            </w:r>
          </w:p>
        </w:tc>
        <w:tc>
          <w:tcPr>
            <w:tcW w:w="1276" w:type="dxa"/>
          </w:tcPr>
          <w:p w14:paraId="42050595" w14:textId="77777777" w:rsidR="00677147" w:rsidRPr="00677147" w:rsidRDefault="00677147" w:rsidP="00677147">
            <w:pPr>
              <w:spacing w:line="360" w:lineRule="auto"/>
              <w:jc w:val="both"/>
              <w:rPr>
                <w:rFonts w:ascii="Arial" w:hAnsi="Arial" w:cs="Arial"/>
              </w:rPr>
            </w:pPr>
            <w:r w:rsidRPr="00677147">
              <w:rPr>
                <w:rFonts w:ascii="Arial" w:hAnsi="Arial" w:cs="Arial"/>
              </w:rPr>
              <w:t>Review</w:t>
            </w:r>
          </w:p>
        </w:tc>
        <w:tc>
          <w:tcPr>
            <w:tcW w:w="1417" w:type="dxa"/>
          </w:tcPr>
          <w:p w14:paraId="55B3EDF5" w14:textId="77777777" w:rsidR="00677147" w:rsidRPr="00677147" w:rsidRDefault="00677147" w:rsidP="00677147">
            <w:pPr>
              <w:spacing w:line="360" w:lineRule="auto"/>
              <w:jc w:val="both"/>
              <w:rPr>
                <w:rFonts w:ascii="Arial" w:hAnsi="Arial" w:cs="Arial"/>
              </w:rPr>
            </w:pPr>
            <w:r w:rsidRPr="00677147">
              <w:rPr>
                <w:rFonts w:ascii="Arial" w:hAnsi="Arial" w:cs="Arial"/>
              </w:rPr>
              <w:t>Literature synthesis</w:t>
            </w:r>
          </w:p>
        </w:tc>
        <w:tc>
          <w:tcPr>
            <w:tcW w:w="1276" w:type="dxa"/>
          </w:tcPr>
          <w:p w14:paraId="72BCBF1F" w14:textId="77777777" w:rsidR="00677147" w:rsidRPr="00677147" w:rsidRDefault="00677147" w:rsidP="00677147">
            <w:pPr>
              <w:spacing w:line="360" w:lineRule="auto"/>
              <w:jc w:val="both"/>
              <w:rPr>
                <w:rFonts w:ascii="Arial" w:hAnsi="Arial" w:cs="Arial"/>
              </w:rPr>
            </w:pPr>
            <w:r w:rsidRPr="00677147">
              <w:rPr>
                <w:rFonts w:ascii="Arial" w:hAnsi="Arial" w:cs="Arial"/>
              </w:rPr>
              <w:t>Detailed mechanisms</w:t>
            </w:r>
          </w:p>
        </w:tc>
        <w:tc>
          <w:tcPr>
            <w:tcW w:w="1701" w:type="dxa"/>
          </w:tcPr>
          <w:p w14:paraId="4DFCF069" w14:textId="77777777" w:rsidR="00677147" w:rsidRPr="00677147" w:rsidRDefault="00677147" w:rsidP="00677147">
            <w:pPr>
              <w:spacing w:line="360" w:lineRule="auto"/>
              <w:jc w:val="both"/>
              <w:rPr>
                <w:rFonts w:ascii="Arial" w:hAnsi="Arial" w:cs="Arial"/>
              </w:rPr>
            </w:pPr>
            <w:r w:rsidRPr="00677147">
              <w:rPr>
                <w:rFonts w:ascii="Arial" w:hAnsi="Arial" w:cs="Arial"/>
              </w:rPr>
              <w:t>Obesity and inflammation contribute to insulin resistance</w:t>
            </w:r>
          </w:p>
        </w:tc>
        <w:tc>
          <w:tcPr>
            <w:tcW w:w="1134" w:type="dxa"/>
          </w:tcPr>
          <w:p w14:paraId="7B9FD86A" w14:textId="77777777" w:rsidR="00677147" w:rsidRPr="00677147" w:rsidRDefault="00677147" w:rsidP="00677147">
            <w:pPr>
              <w:spacing w:line="360" w:lineRule="auto"/>
              <w:jc w:val="both"/>
              <w:rPr>
                <w:rFonts w:ascii="Arial" w:hAnsi="Arial" w:cs="Arial"/>
              </w:rPr>
            </w:pPr>
            <w:r w:rsidRPr="00677147">
              <w:rPr>
                <w:rFonts w:ascii="Arial" w:hAnsi="Arial" w:cs="Arial"/>
              </w:rPr>
              <w:t>Insulin resistance</w:t>
            </w:r>
          </w:p>
        </w:tc>
        <w:tc>
          <w:tcPr>
            <w:tcW w:w="1559" w:type="dxa"/>
          </w:tcPr>
          <w:p w14:paraId="3E3E4668" w14:textId="77777777" w:rsidR="00677147" w:rsidRPr="00677147" w:rsidRDefault="00677147" w:rsidP="00677147">
            <w:pPr>
              <w:spacing w:line="360" w:lineRule="auto"/>
              <w:jc w:val="both"/>
              <w:rPr>
                <w:rFonts w:ascii="Arial" w:hAnsi="Arial" w:cs="Arial"/>
              </w:rPr>
            </w:pPr>
            <w:r w:rsidRPr="00677147">
              <w:rPr>
                <w:rFonts w:ascii="Arial" w:hAnsi="Arial" w:cs="Arial"/>
              </w:rPr>
              <w:t>Theme 1</w:t>
            </w:r>
          </w:p>
        </w:tc>
      </w:tr>
      <w:tr w:rsidR="00677147" w:rsidRPr="00677147" w14:paraId="731B5217" w14:textId="77777777" w:rsidTr="00CC67CB">
        <w:trPr>
          <w:trHeight w:val="639"/>
        </w:trPr>
        <w:tc>
          <w:tcPr>
            <w:tcW w:w="1194" w:type="dxa"/>
          </w:tcPr>
          <w:p w14:paraId="3D020B67" w14:textId="77777777" w:rsidR="00677147" w:rsidRPr="00677147" w:rsidRDefault="00677147" w:rsidP="00677147">
            <w:pPr>
              <w:spacing w:line="360" w:lineRule="auto"/>
              <w:jc w:val="both"/>
              <w:rPr>
                <w:rFonts w:ascii="Arial" w:hAnsi="Arial" w:cs="Arial"/>
              </w:rPr>
            </w:pPr>
            <w:proofErr w:type="spellStart"/>
            <w:r w:rsidRPr="00677147">
              <w:rPr>
                <w:rFonts w:ascii="Arial" w:hAnsi="Arial" w:cs="Arial"/>
              </w:rPr>
              <w:t>Biessels</w:t>
            </w:r>
            <w:proofErr w:type="spellEnd"/>
            <w:r w:rsidRPr="00677147">
              <w:rPr>
                <w:rFonts w:ascii="Arial" w:hAnsi="Arial" w:cs="Arial"/>
              </w:rPr>
              <w:t xml:space="preserve"> &amp; </w:t>
            </w:r>
            <w:proofErr w:type="spellStart"/>
            <w:r w:rsidRPr="00677147">
              <w:rPr>
                <w:rFonts w:ascii="Arial" w:hAnsi="Arial" w:cs="Arial"/>
              </w:rPr>
              <w:t>Despa</w:t>
            </w:r>
            <w:proofErr w:type="spellEnd"/>
            <w:r w:rsidRPr="00677147">
              <w:rPr>
                <w:rFonts w:ascii="Arial" w:hAnsi="Arial" w:cs="Arial"/>
              </w:rPr>
              <w:t xml:space="preserve"> (2018)</w:t>
            </w:r>
          </w:p>
        </w:tc>
        <w:tc>
          <w:tcPr>
            <w:tcW w:w="1353" w:type="dxa"/>
          </w:tcPr>
          <w:p w14:paraId="127C4A35" w14:textId="77777777" w:rsidR="00677147" w:rsidRPr="00677147" w:rsidRDefault="00677147" w:rsidP="00677147">
            <w:pPr>
              <w:spacing w:line="360" w:lineRule="auto"/>
              <w:jc w:val="both"/>
              <w:rPr>
                <w:rFonts w:ascii="Arial" w:hAnsi="Arial" w:cs="Arial"/>
              </w:rPr>
            </w:pPr>
            <w:r w:rsidRPr="00677147">
              <w:rPr>
                <w:rFonts w:ascii="Arial" w:hAnsi="Arial" w:cs="Arial"/>
              </w:rPr>
              <w:t>Cognitive Decline and Dementia</w:t>
            </w:r>
          </w:p>
        </w:tc>
        <w:tc>
          <w:tcPr>
            <w:tcW w:w="1276" w:type="dxa"/>
          </w:tcPr>
          <w:p w14:paraId="45379A49" w14:textId="77777777" w:rsidR="00677147" w:rsidRPr="00677147" w:rsidRDefault="00677147" w:rsidP="00677147">
            <w:pPr>
              <w:spacing w:line="360" w:lineRule="auto"/>
              <w:jc w:val="both"/>
              <w:rPr>
                <w:rFonts w:ascii="Arial" w:hAnsi="Arial" w:cs="Arial"/>
              </w:rPr>
            </w:pPr>
            <w:r w:rsidRPr="00677147">
              <w:rPr>
                <w:rFonts w:ascii="Arial" w:hAnsi="Arial" w:cs="Arial"/>
              </w:rPr>
              <w:t>Review</w:t>
            </w:r>
          </w:p>
        </w:tc>
        <w:tc>
          <w:tcPr>
            <w:tcW w:w="1417" w:type="dxa"/>
          </w:tcPr>
          <w:p w14:paraId="0126C3DB" w14:textId="77777777" w:rsidR="00677147" w:rsidRPr="00677147" w:rsidRDefault="00677147" w:rsidP="00677147">
            <w:pPr>
              <w:spacing w:line="360" w:lineRule="auto"/>
              <w:jc w:val="both"/>
              <w:rPr>
                <w:rFonts w:ascii="Arial" w:hAnsi="Arial" w:cs="Arial"/>
              </w:rPr>
            </w:pPr>
            <w:r w:rsidRPr="00677147">
              <w:rPr>
                <w:rFonts w:ascii="Arial" w:hAnsi="Arial" w:cs="Arial"/>
              </w:rPr>
              <w:t>Clinical evidence reviews</w:t>
            </w:r>
          </w:p>
        </w:tc>
        <w:tc>
          <w:tcPr>
            <w:tcW w:w="1276" w:type="dxa"/>
          </w:tcPr>
          <w:p w14:paraId="47345A29" w14:textId="77777777" w:rsidR="00677147" w:rsidRPr="00677147" w:rsidRDefault="00677147" w:rsidP="00677147">
            <w:pPr>
              <w:spacing w:line="360" w:lineRule="auto"/>
              <w:jc w:val="both"/>
              <w:rPr>
                <w:rFonts w:ascii="Arial" w:hAnsi="Arial" w:cs="Arial"/>
              </w:rPr>
            </w:pPr>
            <w:r w:rsidRPr="00677147">
              <w:rPr>
                <w:rFonts w:ascii="Arial" w:hAnsi="Arial" w:cs="Arial"/>
              </w:rPr>
              <w:t>Focus on neurological outcomes</w:t>
            </w:r>
          </w:p>
        </w:tc>
        <w:tc>
          <w:tcPr>
            <w:tcW w:w="1701" w:type="dxa"/>
          </w:tcPr>
          <w:p w14:paraId="3E73BA2D" w14:textId="77777777" w:rsidR="00677147" w:rsidRPr="00677147" w:rsidRDefault="00677147" w:rsidP="00677147">
            <w:pPr>
              <w:spacing w:line="360" w:lineRule="auto"/>
              <w:jc w:val="both"/>
              <w:rPr>
                <w:rFonts w:ascii="Arial" w:hAnsi="Arial" w:cs="Arial"/>
              </w:rPr>
            </w:pPr>
            <w:r w:rsidRPr="00677147">
              <w:rPr>
                <w:rFonts w:ascii="Arial" w:hAnsi="Arial" w:cs="Arial"/>
              </w:rPr>
              <w:t>Diabetes increases dementia risk</w:t>
            </w:r>
          </w:p>
        </w:tc>
        <w:tc>
          <w:tcPr>
            <w:tcW w:w="1134" w:type="dxa"/>
          </w:tcPr>
          <w:p w14:paraId="78BA2922" w14:textId="77777777" w:rsidR="00677147" w:rsidRPr="00677147" w:rsidRDefault="00677147" w:rsidP="00677147">
            <w:pPr>
              <w:spacing w:line="360" w:lineRule="auto"/>
              <w:jc w:val="both"/>
              <w:rPr>
                <w:rFonts w:ascii="Arial" w:hAnsi="Arial" w:cs="Arial"/>
              </w:rPr>
            </w:pPr>
            <w:r w:rsidRPr="00677147">
              <w:rPr>
                <w:rFonts w:ascii="Arial" w:hAnsi="Arial" w:cs="Arial"/>
              </w:rPr>
              <w:t>Cognitive decline</w:t>
            </w:r>
          </w:p>
        </w:tc>
        <w:tc>
          <w:tcPr>
            <w:tcW w:w="1559" w:type="dxa"/>
          </w:tcPr>
          <w:p w14:paraId="18C906EC" w14:textId="77777777" w:rsidR="00677147" w:rsidRPr="00677147" w:rsidRDefault="00677147" w:rsidP="00677147">
            <w:pPr>
              <w:spacing w:line="360" w:lineRule="auto"/>
              <w:jc w:val="both"/>
              <w:rPr>
                <w:rFonts w:ascii="Arial" w:hAnsi="Arial" w:cs="Arial"/>
              </w:rPr>
            </w:pPr>
            <w:r w:rsidRPr="00677147">
              <w:rPr>
                <w:rFonts w:ascii="Arial" w:hAnsi="Arial" w:cs="Arial"/>
              </w:rPr>
              <w:t>Theme 2</w:t>
            </w:r>
          </w:p>
        </w:tc>
      </w:tr>
      <w:tr w:rsidR="00677147" w:rsidRPr="00677147" w14:paraId="7D3849FF" w14:textId="77777777" w:rsidTr="00CC67CB">
        <w:trPr>
          <w:trHeight w:val="639"/>
        </w:trPr>
        <w:tc>
          <w:tcPr>
            <w:tcW w:w="1194" w:type="dxa"/>
          </w:tcPr>
          <w:p w14:paraId="7A292BB2" w14:textId="77777777" w:rsidR="00677147" w:rsidRPr="00677147" w:rsidRDefault="00677147" w:rsidP="00677147">
            <w:pPr>
              <w:spacing w:line="360" w:lineRule="auto"/>
              <w:jc w:val="both"/>
              <w:rPr>
                <w:rFonts w:ascii="Arial" w:hAnsi="Arial" w:cs="Arial"/>
              </w:rPr>
            </w:pPr>
            <w:r w:rsidRPr="00677147">
              <w:rPr>
                <w:rFonts w:ascii="Arial" w:hAnsi="Arial" w:cs="Arial"/>
              </w:rPr>
              <w:t>Au-Yeung et al., (2024)</w:t>
            </w:r>
          </w:p>
        </w:tc>
        <w:tc>
          <w:tcPr>
            <w:tcW w:w="1353" w:type="dxa"/>
          </w:tcPr>
          <w:p w14:paraId="187E48B9" w14:textId="77777777" w:rsidR="00677147" w:rsidRPr="00677147" w:rsidRDefault="00677147" w:rsidP="00677147">
            <w:pPr>
              <w:spacing w:line="360" w:lineRule="auto"/>
              <w:jc w:val="both"/>
              <w:rPr>
                <w:rFonts w:ascii="Arial" w:hAnsi="Arial" w:cs="Arial"/>
              </w:rPr>
            </w:pPr>
            <w:r w:rsidRPr="00677147">
              <w:rPr>
                <w:rFonts w:ascii="Arial" w:hAnsi="Arial" w:cs="Arial"/>
              </w:rPr>
              <w:t>Birmingham inequalities Study</w:t>
            </w:r>
          </w:p>
        </w:tc>
        <w:tc>
          <w:tcPr>
            <w:tcW w:w="1276" w:type="dxa"/>
          </w:tcPr>
          <w:p w14:paraId="3FB89AD4" w14:textId="77777777" w:rsidR="00677147" w:rsidRPr="00677147" w:rsidRDefault="00677147" w:rsidP="00677147">
            <w:pPr>
              <w:spacing w:line="360" w:lineRule="auto"/>
              <w:jc w:val="both"/>
              <w:rPr>
                <w:rFonts w:ascii="Arial" w:hAnsi="Arial" w:cs="Arial"/>
              </w:rPr>
            </w:pPr>
            <w:r w:rsidRPr="00677147">
              <w:rPr>
                <w:rFonts w:ascii="Arial" w:hAnsi="Arial" w:cs="Arial"/>
              </w:rPr>
              <w:t>Cross-sectional Study</w:t>
            </w:r>
          </w:p>
        </w:tc>
        <w:tc>
          <w:tcPr>
            <w:tcW w:w="1417" w:type="dxa"/>
          </w:tcPr>
          <w:p w14:paraId="281884A5" w14:textId="77777777" w:rsidR="00677147" w:rsidRPr="00677147" w:rsidRDefault="00677147" w:rsidP="00677147">
            <w:pPr>
              <w:spacing w:line="360" w:lineRule="auto"/>
              <w:jc w:val="both"/>
              <w:rPr>
                <w:rFonts w:ascii="Arial" w:hAnsi="Arial" w:cs="Arial"/>
              </w:rPr>
            </w:pPr>
            <w:r w:rsidRPr="00677147">
              <w:rPr>
                <w:rFonts w:ascii="Arial" w:hAnsi="Arial" w:cs="Arial"/>
              </w:rPr>
              <w:t>NHS Health Check data</w:t>
            </w:r>
          </w:p>
        </w:tc>
        <w:tc>
          <w:tcPr>
            <w:tcW w:w="1276" w:type="dxa"/>
          </w:tcPr>
          <w:p w14:paraId="4FA5684F" w14:textId="77777777" w:rsidR="00677147" w:rsidRPr="00677147" w:rsidRDefault="00677147" w:rsidP="00677147">
            <w:pPr>
              <w:spacing w:line="360" w:lineRule="auto"/>
              <w:jc w:val="both"/>
              <w:rPr>
                <w:rFonts w:ascii="Arial" w:hAnsi="Arial" w:cs="Arial"/>
              </w:rPr>
            </w:pPr>
            <w:r w:rsidRPr="00677147">
              <w:rPr>
                <w:rFonts w:ascii="Arial" w:hAnsi="Arial" w:cs="Arial"/>
              </w:rPr>
              <w:t>Local relevance; observational design</w:t>
            </w:r>
          </w:p>
        </w:tc>
        <w:tc>
          <w:tcPr>
            <w:tcW w:w="1701" w:type="dxa"/>
          </w:tcPr>
          <w:p w14:paraId="179F8BA6" w14:textId="77777777" w:rsidR="00677147" w:rsidRPr="00677147" w:rsidRDefault="00677147" w:rsidP="00677147">
            <w:pPr>
              <w:spacing w:line="360" w:lineRule="auto"/>
              <w:jc w:val="both"/>
              <w:rPr>
                <w:rFonts w:ascii="Arial" w:hAnsi="Arial" w:cs="Arial"/>
              </w:rPr>
            </w:pPr>
            <w:r w:rsidRPr="00677147">
              <w:rPr>
                <w:rFonts w:ascii="Arial" w:hAnsi="Arial" w:cs="Arial"/>
              </w:rPr>
              <w:t>Diabetes increases dementia risk</w:t>
            </w:r>
          </w:p>
        </w:tc>
        <w:tc>
          <w:tcPr>
            <w:tcW w:w="1134" w:type="dxa"/>
          </w:tcPr>
          <w:p w14:paraId="5EBD16D3" w14:textId="77777777" w:rsidR="00677147" w:rsidRPr="00677147" w:rsidRDefault="00677147" w:rsidP="00677147">
            <w:pPr>
              <w:spacing w:line="360" w:lineRule="auto"/>
              <w:jc w:val="both"/>
              <w:rPr>
                <w:rFonts w:ascii="Arial" w:hAnsi="Arial" w:cs="Arial"/>
              </w:rPr>
            </w:pPr>
            <w:r w:rsidRPr="00677147">
              <w:rPr>
                <w:rFonts w:ascii="Arial" w:hAnsi="Arial" w:cs="Arial"/>
              </w:rPr>
              <w:t>Birmingham, Inequalities</w:t>
            </w:r>
          </w:p>
        </w:tc>
        <w:tc>
          <w:tcPr>
            <w:tcW w:w="1559" w:type="dxa"/>
          </w:tcPr>
          <w:p w14:paraId="17218D59" w14:textId="77777777" w:rsidR="00677147" w:rsidRPr="00677147" w:rsidRDefault="00677147" w:rsidP="00677147">
            <w:pPr>
              <w:spacing w:line="360" w:lineRule="auto"/>
              <w:jc w:val="both"/>
              <w:rPr>
                <w:rFonts w:ascii="Arial" w:hAnsi="Arial" w:cs="Arial"/>
              </w:rPr>
            </w:pPr>
            <w:r w:rsidRPr="00677147">
              <w:rPr>
                <w:rFonts w:ascii="Arial" w:hAnsi="Arial" w:cs="Arial"/>
              </w:rPr>
              <w:t>Objective 4</w:t>
            </w:r>
          </w:p>
        </w:tc>
      </w:tr>
      <w:tr w:rsidR="00677147" w:rsidRPr="00677147" w14:paraId="014E8C74" w14:textId="77777777" w:rsidTr="00CC67CB">
        <w:trPr>
          <w:trHeight w:val="639"/>
        </w:trPr>
        <w:tc>
          <w:tcPr>
            <w:tcW w:w="1194" w:type="dxa"/>
          </w:tcPr>
          <w:p w14:paraId="737BC474" w14:textId="77777777" w:rsidR="00677147" w:rsidRPr="00677147" w:rsidRDefault="00677147" w:rsidP="00677147">
            <w:pPr>
              <w:spacing w:line="360" w:lineRule="auto"/>
              <w:jc w:val="both"/>
              <w:rPr>
                <w:rFonts w:ascii="Arial" w:hAnsi="Arial" w:cs="Arial"/>
              </w:rPr>
            </w:pPr>
            <w:proofErr w:type="spellStart"/>
            <w:r w:rsidRPr="00677147">
              <w:rPr>
                <w:rFonts w:ascii="Arial" w:hAnsi="Arial" w:cs="Arial"/>
              </w:rPr>
              <w:t>Rawshani</w:t>
            </w:r>
            <w:proofErr w:type="spellEnd"/>
            <w:r w:rsidRPr="00677147">
              <w:rPr>
                <w:rFonts w:ascii="Arial" w:hAnsi="Arial" w:cs="Arial"/>
              </w:rPr>
              <w:t xml:space="preserve"> et al., (2018)</w:t>
            </w:r>
          </w:p>
        </w:tc>
        <w:tc>
          <w:tcPr>
            <w:tcW w:w="1353" w:type="dxa"/>
          </w:tcPr>
          <w:p w14:paraId="6E2C89E7" w14:textId="77777777" w:rsidR="00677147" w:rsidRPr="00677147" w:rsidRDefault="00677147" w:rsidP="00677147">
            <w:pPr>
              <w:spacing w:line="360" w:lineRule="auto"/>
              <w:jc w:val="both"/>
              <w:rPr>
                <w:rFonts w:ascii="Arial" w:hAnsi="Arial" w:cs="Arial"/>
              </w:rPr>
            </w:pPr>
            <w:r w:rsidRPr="00677147">
              <w:rPr>
                <w:rFonts w:ascii="Arial" w:hAnsi="Arial" w:cs="Arial"/>
              </w:rPr>
              <w:t>Mortality and CVD outcomes</w:t>
            </w:r>
          </w:p>
        </w:tc>
        <w:tc>
          <w:tcPr>
            <w:tcW w:w="1276" w:type="dxa"/>
          </w:tcPr>
          <w:p w14:paraId="3DB3552F" w14:textId="77777777" w:rsidR="00677147" w:rsidRPr="00677147" w:rsidRDefault="00677147" w:rsidP="00677147">
            <w:pPr>
              <w:spacing w:line="360" w:lineRule="auto"/>
              <w:jc w:val="both"/>
              <w:rPr>
                <w:rFonts w:ascii="Arial" w:hAnsi="Arial" w:cs="Arial"/>
              </w:rPr>
            </w:pPr>
            <w:r w:rsidRPr="00677147">
              <w:rPr>
                <w:rFonts w:ascii="Arial" w:hAnsi="Arial" w:cs="Arial"/>
              </w:rPr>
              <w:t>Cohort Study</w:t>
            </w:r>
          </w:p>
        </w:tc>
        <w:tc>
          <w:tcPr>
            <w:tcW w:w="1417" w:type="dxa"/>
          </w:tcPr>
          <w:p w14:paraId="23D7C611" w14:textId="77777777" w:rsidR="00677147" w:rsidRPr="00677147" w:rsidRDefault="00677147" w:rsidP="00677147">
            <w:pPr>
              <w:spacing w:line="360" w:lineRule="auto"/>
              <w:jc w:val="both"/>
              <w:rPr>
                <w:rFonts w:ascii="Arial" w:hAnsi="Arial" w:cs="Arial"/>
              </w:rPr>
            </w:pPr>
            <w:r w:rsidRPr="00677147">
              <w:rPr>
                <w:rFonts w:ascii="Arial" w:hAnsi="Arial" w:cs="Arial"/>
              </w:rPr>
              <w:t>Large national cohort (270,000)</w:t>
            </w:r>
          </w:p>
        </w:tc>
        <w:tc>
          <w:tcPr>
            <w:tcW w:w="1276" w:type="dxa"/>
          </w:tcPr>
          <w:p w14:paraId="27D6336C" w14:textId="77777777" w:rsidR="00677147" w:rsidRPr="00677147" w:rsidRDefault="00677147" w:rsidP="00677147">
            <w:pPr>
              <w:spacing w:line="360" w:lineRule="auto"/>
              <w:jc w:val="both"/>
              <w:rPr>
                <w:rFonts w:ascii="Arial" w:hAnsi="Arial" w:cs="Arial"/>
              </w:rPr>
            </w:pPr>
            <w:r w:rsidRPr="00677147">
              <w:rPr>
                <w:rFonts w:ascii="Arial" w:hAnsi="Arial" w:cs="Arial"/>
              </w:rPr>
              <w:t xml:space="preserve">Strong sample size </w:t>
            </w:r>
          </w:p>
        </w:tc>
        <w:tc>
          <w:tcPr>
            <w:tcW w:w="1701" w:type="dxa"/>
          </w:tcPr>
          <w:p w14:paraId="5F7F8761" w14:textId="77777777" w:rsidR="00677147" w:rsidRPr="00677147" w:rsidRDefault="00677147" w:rsidP="00677147">
            <w:pPr>
              <w:spacing w:line="360" w:lineRule="auto"/>
              <w:jc w:val="both"/>
              <w:rPr>
                <w:rFonts w:ascii="Arial" w:hAnsi="Arial" w:cs="Arial"/>
              </w:rPr>
            </w:pPr>
            <w:r w:rsidRPr="00677147">
              <w:rPr>
                <w:rFonts w:ascii="Arial" w:hAnsi="Arial" w:cs="Arial"/>
              </w:rPr>
              <w:t xml:space="preserve">Ethnicity and deprivation increase risk </w:t>
            </w:r>
          </w:p>
        </w:tc>
        <w:tc>
          <w:tcPr>
            <w:tcW w:w="1134" w:type="dxa"/>
          </w:tcPr>
          <w:p w14:paraId="3A798994" w14:textId="77777777" w:rsidR="00677147" w:rsidRPr="00677147" w:rsidRDefault="00677147" w:rsidP="00677147">
            <w:pPr>
              <w:spacing w:line="360" w:lineRule="auto"/>
              <w:jc w:val="both"/>
              <w:rPr>
                <w:rFonts w:ascii="Arial" w:hAnsi="Arial" w:cs="Arial"/>
              </w:rPr>
            </w:pPr>
            <w:r w:rsidRPr="00677147">
              <w:rPr>
                <w:rFonts w:ascii="Arial" w:hAnsi="Arial" w:cs="Arial"/>
              </w:rPr>
              <w:t>Cardiovascular disease</w:t>
            </w:r>
          </w:p>
        </w:tc>
        <w:tc>
          <w:tcPr>
            <w:tcW w:w="1559" w:type="dxa"/>
          </w:tcPr>
          <w:p w14:paraId="639FB779" w14:textId="77777777" w:rsidR="00677147" w:rsidRPr="00677147" w:rsidRDefault="00677147" w:rsidP="00677147">
            <w:pPr>
              <w:spacing w:line="360" w:lineRule="auto"/>
              <w:jc w:val="both"/>
              <w:rPr>
                <w:rFonts w:ascii="Arial" w:hAnsi="Arial" w:cs="Arial"/>
              </w:rPr>
            </w:pPr>
            <w:r w:rsidRPr="00677147">
              <w:rPr>
                <w:rFonts w:ascii="Arial" w:hAnsi="Arial" w:cs="Arial"/>
              </w:rPr>
              <w:t>Theme 2</w:t>
            </w:r>
          </w:p>
        </w:tc>
      </w:tr>
      <w:tr w:rsidR="00677147" w:rsidRPr="00677147" w14:paraId="12442364" w14:textId="77777777" w:rsidTr="00CC67CB">
        <w:trPr>
          <w:trHeight w:val="639"/>
        </w:trPr>
        <w:tc>
          <w:tcPr>
            <w:tcW w:w="1194" w:type="dxa"/>
          </w:tcPr>
          <w:p w14:paraId="3D6EFC68" w14:textId="77777777" w:rsidR="00677147" w:rsidRPr="00677147" w:rsidRDefault="00677147" w:rsidP="00677147">
            <w:pPr>
              <w:spacing w:line="360" w:lineRule="auto"/>
              <w:jc w:val="both"/>
              <w:rPr>
                <w:rFonts w:ascii="Arial" w:hAnsi="Arial" w:cs="Arial"/>
              </w:rPr>
            </w:pPr>
            <w:r w:rsidRPr="00677147">
              <w:rPr>
                <w:rFonts w:ascii="Arial" w:hAnsi="Arial" w:cs="Arial"/>
              </w:rPr>
              <w:t>Read et al., (2021)</w:t>
            </w:r>
          </w:p>
        </w:tc>
        <w:tc>
          <w:tcPr>
            <w:tcW w:w="1353" w:type="dxa"/>
          </w:tcPr>
          <w:p w14:paraId="65D5F972" w14:textId="77777777" w:rsidR="00677147" w:rsidRPr="00677147" w:rsidRDefault="00677147" w:rsidP="00677147">
            <w:pPr>
              <w:spacing w:line="360" w:lineRule="auto"/>
              <w:jc w:val="both"/>
              <w:rPr>
                <w:rFonts w:ascii="Arial" w:hAnsi="Arial" w:cs="Arial"/>
              </w:rPr>
            </w:pPr>
            <w:r w:rsidRPr="00677147">
              <w:rPr>
                <w:rFonts w:ascii="Arial" w:hAnsi="Arial" w:cs="Arial"/>
              </w:rPr>
              <w:t>Epidemiology and Pathogenesis</w:t>
            </w:r>
          </w:p>
        </w:tc>
        <w:tc>
          <w:tcPr>
            <w:tcW w:w="1276" w:type="dxa"/>
          </w:tcPr>
          <w:p w14:paraId="5CCF83A6" w14:textId="77777777" w:rsidR="00677147" w:rsidRPr="00677147" w:rsidRDefault="00677147" w:rsidP="00677147">
            <w:pPr>
              <w:spacing w:line="360" w:lineRule="auto"/>
              <w:jc w:val="both"/>
              <w:rPr>
                <w:rFonts w:ascii="Arial" w:hAnsi="Arial" w:cs="Arial"/>
              </w:rPr>
            </w:pPr>
            <w:r w:rsidRPr="00677147">
              <w:rPr>
                <w:rFonts w:ascii="Arial" w:hAnsi="Arial" w:cs="Arial"/>
              </w:rPr>
              <w:t>Review</w:t>
            </w:r>
          </w:p>
        </w:tc>
        <w:tc>
          <w:tcPr>
            <w:tcW w:w="1417" w:type="dxa"/>
          </w:tcPr>
          <w:p w14:paraId="1FFA4D1A" w14:textId="77777777" w:rsidR="00677147" w:rsidRPr="00677147" w:rsidRDefault="00677147" w:rsidP="00677147">
            <w:pPr>
              <w:spacing w:line="360" w:lineRule="auto"/>
              <w:jc w:val="both"/>
              <w:rPr>
                <w:rFonts w:ascii="Arial" w:hAnsi="Arial" w:cs="Arial"/>
              </w:rPr>
            </w:pPr>
            <w:r w:rsidRPr="00677147">
              <w:rPr>
                <w:rFonts w:ascii="Arial" w:hAnsi="Arial" w:cs="Arial"/>
              </w:rPr>
              <w:t>Literature review</w:t>
            </w:r>
          </w:p>
        </w:tc>
        <w:tc>
          <w:tcPr>
            <w:tcW w:w="1276" w:type="dxa"/>
          </w:tcPr>
          <w:p w14:paraId="606C9118" w14:textId="77777777" w:rsidR="00677147" w:rsidRPr="00677147" w:rsidRDefault="00677147" w:rsidP="00677147">
            <w:pPr>
              <w:spacing w:line="360" w:lineRule="auto"/>
              <w:jc w:val="both"/>
              <w:rPr>
                <w:rFonts w:ascii="Arial" w:hAnsi="Arial" w:cs="Arial"/>
              </w:rPr>
            </w:pPr>
            <w:r w:rsidRPr="00677147">
              <w:rPr>
                <w:rFonts w:ascii="Arial" w:hAnsi="Arial" w:cs="Arial"/>
              </w:rPr>
              <w:t>Comprehensive coverage</w:t>
            </w:r>
          </w:p>
        </w:tc>
        <w:tc>
          <w:tcPr>
            <w:tcW w:w="1701" w:type="dxa"/>
          </w:tcPr>
          <w:p w14:paraId="40073DD4" w14:textId="77777777" w:rsidR="00677147" w:rsidRPr="00677147" w:rsidRDefault="00677147" w:rsidP="00677147">
            <w:pPr>
              <w:spacing w:line="360" w:lineRule="auto"/>
              <w:jc w:val="both"/>
              <w:rPr>
                <w:rFonts w:ascii="Arial" w:hAnsi="Arial" w:cs="Arial"/>
              </w:rPr>
            </w:pPr>
            <w:r w:rsidRPr="00677147">
              <w:rPr>
                <w:rFonts w:ascii="Arial" w:hAnsi="Arial" w:cs="Arial"/>
              </w:rPr>
              <w:t>Multifactorial causes of T2DM</w:t>
            </w:r>
          </w:p>
        </w:tc>
        <w:tc>
          <w:tcPr>
            <w:tcW w:w="1134" w:type="dxa"/>
          </w:tcPr>
          <w:p w14:paraId="70DBCE5F" w14:textId="77777777" w:rsidR="00677147" w:rsidRPr="00677147" w:rsidRDefault="00677147" w:rsidP="00677147">
            <w:pPr>
              <w:spacing w:line="360" w:lineRule="auto"/>
              <w:jc w:val="both"/>
              <w:rPr>
                <w:rFonts w:ascii="Arial" w:hAnsi="Arial" w:cs="Arial"/>
              </w:rPr>
            </w:pPr>
            <w:r w:rsidRPr="00677147">
              <w:rPr>
                <w:rFonts w:ascii="Arial" w:hAnsi="Arial" w:cs="Arial"/>
              </w:rPr>
              <w:t>Epidemiology</w:t>
            </w:r>
          </w:p>
        </w:tc>
        <w:tc>
          <w:tcPr>
            <w:tcW w:w="1559" w:type="dxa"/>
          </w:tcPr>
          <w:p w14:paraId="3B8902FB" w14:textId="77777777" w:rsidR="00677147" w:rsidRPr="00677147" w:rsidRDefault="00677147" w:rsidP="00677147">
            <w:pPr>
              <w:spacing w:line="360" w:lineRule="auto"/>
              <w:jc w:val="both"/>
              <w:rPr>
                <w:rFonts w:ascii="Arial" w:hAnsi="Arial" w:cs="Arial"/>
              </w:rPr>
            </w:pPr>
            <w:r w:rsidRPr="00677147">
              <w:rPr>
                <w:rFonts w:ascii="Arial" w:hAnsi="Arial" w:cs="Arial"/>
              </w:rPr>
              <w:t>Theme 1</w:t>
            </w:r>
          </w:p>
        </w:tc>
      </w:tr>
      <w:tr w:rsidR="00677147" w:rsidRPr="00677147" w14:paraId="4E047615" w14:textId="77777777" w:rsidTr="00CC67CB">
        <w:trPr>
          <w:trHeight w:val="639"/>
        </w:trPr>
        <w:tc>
          <w:tcPr>
            <w:tcW w:w="1194" w:type="dxa"/>
          </w:tcPr>
          <w:p w14:paraId="5B0E5C63" w14:textId="77777777" w:rsidR="00677147" w:rsidRPr="00677147" w:rsidRDefault="00677147" w:rsidP="00677147">
            <w:pPr>
              <w:spacing w:line="360" w:lineRule="auto"/>
              <w:jc w:val="both"/>
              <w:rPr>
                <w:rFonts w:ascii="Arial" w:hAnsi="Arial" w:cs="Arial"/>
              </w:rPr>
            </w:pPr>
            <w:r w:rsidRPr="00677147">
              <w:rPr>
                <w:rFonts w:ascii="Arial" w:hAnsi="Arial" w:cs="Arial"/>
              </w:rPr>
              <w:t>Frasca et al., (2021)</w:t>
            </w:r>
          </w:p>
        </w:tc>
        <w:tc>
          <w:tcPr>
            <w:tcW w:w="1353" w:type="dxa"/>
          </w:tcPr>
          <w:p w14:paraId="50FB307C" w14:textId="77777777" w:rsidR="00677147" w:rsidRPr="00677147" w:rsidRDefault="00677147" w:rsidP="00677147">
            <w:pPr>
              <w:spacing w:line="360" w:lineRule="auto"/>
              <w:jc w:val="both"/>
              <w:rPr>
                <w:rFonts w:ascii="Arial" w:hAnsi="Arial" w:cs="Arial"/>
              </w:rPr>
            </w:pPr>
            <w:r w:rsidRPr="00677147">
              <w:rPr>
                <w:rFonts w:ascii="Arial" w:hAnsi="Arial" w:cs="Arial"/>
              </w:rPr>
              <w:t>Inflammaging and Metabolic Disease</w:t>
            </w:r>
          </w:p>
        </w:tc>
        <w:tc>
          <w:tcPr>
            <w:tcW w:w="1276" w:type="dxa"/>
          </w:tcPr>
          <w:p w14:paraId="4F7FDBD0" w14:textId="77777777" w:rsidR="00677147" w:rsidRPr="00677147" w:rsidRDefault="00677147" w:rsidP="00677147">
            <w:pPr>
              <w:spacing w:line="360" w:lineRule="auto"/>
              <w:jc w:val="both"/>
              <w:rPr>
                <w:rFonts w:ascii="Arial" w:hAnsi="Arial" w:cs="Arial"/>
              </w:rPr>
            </w:pPr>
            <w:r w:rsidRPr="00677147">
              <w:rPr>
                <w:rFonts w:ascii="Arial" w:hAnsi="Arial" w:cs="Arial"/>
              </w:rPr>
              <w:t>Review</w:t>
            </w:r>
          </w:p>
        </w:tc>
        <w:tc>
          <w:tcPr>
            <w:tcW w:w="1417" w:type="dxa"/>
          </w:tcPr>
          <w:p w14:paraId="7720A170" w14:textId="77777777" w:rsidR="00677147" w:rsidRPr="00677147" w:rsidRDefault="00677147" w:rsidP="00677147">
            <w:pPr>
              <w:spacing w:line="360" w:lineRule="auto"/>
              <w:jc w:val="both"/>
              <w:rPr>
                <w:rFonts w:ascii="Arial" w:hAnsi="Arial" w:cs="Arial"/>
              </w:rPr>
            </w:pPr>
            <w:r w:rsidRPr="00677147">
              <w:rPr>
                <w:rFonts w:ascii="Arial" w:hAnsi="Arial" w:cs="Arial"/>
              </w:rPr>
              <w:t>Literature synthesis</w:t>
            </w:r>
          </w:p>
        </w:tc>
        <w:tc>
          <w:tcPr>
            <w:tcW w:w="1276" w:type="dxa"/>
          </w:tcPr>
          <w:p w14:paraId="39DE2E96" w14:textId="77777777" w:rsidR="00677147" w:rsidRPr="00677147" w:rsidRDefault="00677147" w:rsidP="00677147">
            <w:pPr>
              <w:spacing w:line="360" w:lineRule="auto"/>
              <w:jc w:val="both"/>
              <w:rPr>
                <w:rFonts w:ascii="Arial" w:hAnsi="Arial" w:cs="Arial"/>
              </w:rPr>
            </w:pPr>
            <w:proofErr w:type="spellStart"/>
            <w:r w:rsidRPr="00677147">
              <w:rPr>
                <w:rFonts w:ascii="Arial" w:hAnsi="Arial" w:cs="Arial"/>
              </w:rPr>
              <w:t>Emerding</w:t>
            </w:r>
            <w:proofErr w:type="spellEnd"/>
            <w:r w:rsidRPr="00677147">
              <w:rPr>
                <w:rFonts w:ascii="Arial" w:hAnsi="Arial" w:cs="Arial"/>
              </w:rPr>
              <w:t xml:space="preserve"> area</w:t>
            </w:r>
          </w:p>
        </w:tc>
        <w:tc>
          <w:tcPr>
            <w:tcW w:w="1701" w:type="dxa"/>
          </w:tcPr>
          <w:p w14:paraId="1BAE15B9" w14:textId="77777777" w:rsidR="00677147" w:rsidRPr="00677147" w:rsidRDefault="00677147" w:rsidP="00677147">
            <w:pPr>
              <w:spacing w:line="360" w:lineRule="auto"/>
              <w:jc w:val="both"/>
              <w:rPr>
                <w:rFonts w:ascii="Arial" w:hAnsi="Arial" w:cs="Arial"/>
              </w:rPr>
            </w:pPr>
            <w:r w:rsidRPr="00677147">
              <w:rPr>
                <w:rFonts w:ascii="Arial" w:hAnsi="Arial" w:cs="Arial"/>
              </w:rPr>
              <w:t>Chronic inflammation worsens insulin resistance</w:t>
            </w:r>
          </w:p>
        </w:tc>
        <w:tc>
          <w:tcPr>
            <w:tcW w:w="1134" w:type="dxa"/>
          </w:tcPr>
          <w:p w14:paraId="00841CE6" w14:textId="77777777" w:rsidR="00677147" w:rsidRPr="00677147" w:rsidRDefault="00677147" w:rsidP="00677147">
            <w:pPr>
              <w:spacing w:line="360" w:lineRule="auto"/>
              <w:jc w:val="both"/>
              <w:rPr>
                <w:rFonts w:ascii="Arial" w:hAnsi="Arial" w:cs="Arial"/>
              </w:rPr>
            </w:pPr>
            <w:r w:rsidRPr="00677147">
              <w:rPr>
                <w:rFonts w:ascii="Arial" w:hAnsi="Arial" w:cs="Arial"/>
              </w:rPr>
              <w:t>Inflammaging</w:t>
            </w:r>
          </w:p>
        </w:tc>
        <w:tc>
          <w:tcPr>
            <w:tcW w:w="1559" w:type="dxa"/>
          </w:tcPr>
          <w:p w14:paraId="675549FE" w14:textId="77777777" w:rsidR="00677147" w:rsidRPr="00677147" w:rsidRDefault="00677147" w:rsidP="00677147">
            <w:pPr>
              <w:spacing w:line="360" w:lineRule="auto"/>
              <w:jc w:val="both"/>
              <w:rPr>
                <w:rFonts w:ascii="Arial" w:hAnsi="Arial" w:cs="Arial"/>
              </w:rPr>
            </w:pPr>
            <w:r w:rsidRPr="00677147">
              <w:rPr>
                <w:rFonts w:ascii="Arial" w:hAnsi="Arial" w:cs="Arial"/>
              </w:rPr>
              <w:t>Objective 1</w:t>
            </w:r>
          </w:p>
        </w:tc>
      </w:tr>
      <w:tr w:rsidR="00677147" w:rsidRPr="00677147" w14:paraId="7DE5D701" w14:textId="77777777" w:rsidTr="00CC67CB">
        <w:trPr>
          <w:trHeight w:val="639"/>
        </w:trPr>
        <w:tc>
          <w:tcPr>
            <w:tcW w:w="1194" w:type="dxa"/>
          </w:tcPr>
          <w:p w14:paraId="1C32DCA5" w14:textId="77777777" w:rsidR="00677147" w:rsidRPr="00677147" w:rsidRDefault="00677147" w:rsidP="00677147">
            <w:pPr>
              <w:spacing w:line="360" w:lineRule="auto"/>
              <w:jc w:val="both"/>
              <w:rPr>
                <w:rFonts w:ascii="Arial" w:hAnsi="Arial" w:cs="Arial"/>
              </w:rPr>
            </w:pPr>
            <w:r w:rsidRPr="00677147">
              <w:rPr>
                <w:rFonts w:ascii="Arial" w:hAnsi="Arial" w:cs="Arial"/>
              </w:rPr>
              <w:t>Sinclair et al., (2012)</w:t>
            </w:r>
          </w:p>
        </w:tc>
        <w:tc>
          <w:tcPr>
            <w:tcW w:w="1353" w:type="dxa"/>
          </w:tcPr>
          <w:p w14:paraId="664777B0" w14:textId="77777777" w:rsidR="00677147" w:rsidRPr="00677147" w:rsidRDefault="00677147" w:rsidP="00677147">
            <w:pPr>
              <w:spacing w:line="360" w:lineRule="auto"/>
              <w:jc w:val="both"/>
              <w:rPr>
                <w:rFonts w:ascii="Arial" w:hAnsi="Arial" w:cs="Arial"/>
              </w:rPr>
            </w:pPr>
            <w:r w:rsidRPr="00677147">
              <w:rPr>
                <w:rFonts w:ascii="Arial" w:hAnsi="Arial" w:cs="Arial"/>
              </w:rPr>
              <w:t xml:space="preserve">Diabetes in Older people </w:t>
            </w:r>
          </w:p>
        </w:tc>
        <w:tc>
          <w:tcPr>
            <w:tcW w:w="1276" w:type="dxa"/>
          </w:tcPr>
          <w:p w14:paraId="5EC77B4B" w14:textId="77777777" w:rsidR="00677147" w:rsidRPr="00677147" w:rsidRDefault="00677147" w:rsidP="00677147">
            <w:pPr>
              <w:spacing w:line="360" w:lineRule="auto"/>
              <w:jc w:val="both"/>
              <w:rPr>
                <w:rFonts w:ascii="Arial" w:hAnsi="Arial" w:cs="Arial"/>
              </w:rPr>
            </w:pPr>
            <w:r w:rsidRPr="00677147">
              <w:rPr>
                <w:rFonts w:ascii="Arial" w:hAnsi="Arial" w:cs="Arial"/>
              </w:rPr>
              <w:t>Review</w:t>
            </w:r>
          </w:p>
        </w:tc>
        <w:tc>
          <w:tcPr>
            <w:tcW w:w="1417" w:type="dxa"/>
          </w:tcPr>
          <w:p w14:paraId="25D1DCB7" w14:textId="77777777" w:rsidR="00677147" w:rsidRPr="00677147" w:rsidRDefault="00677147" w:rsidP="00677147">
            <w:pPr>
              <w:spacing w:line="360" w:lineRule="auto"/>
              <w:jc w:val="both"/>
              <w:rPr>
                <w:rFonts w:ascii="Arial" w:hAnsi="Arial" w:cs="Arial"/>
              </w:rPr>
            </w:pPr>
            <w:r w:rsidRPr="00677147">
              <w:rPr>
                <w:rFonts w:ascii="Arial" w:hAnsi="Arial" w:cs="Arial"/>
              </w:rPr>
              <w:t>Clinical evidence reviews</w:t>
            </w:r>
          </w:p>
        </w:tc>
        <w:tc>
          <w:tcPr>
            <w:tcW w:w="1276" w:type="dxa"/>
          </w:tcPr>
          <w:p w14:paraId="7F0D249B" w14:textId="77777777" w:rsidR="00677147" w:rsidRPr="00677147" w:rsidRDefault="00677147" w:rsidP="00677147">
            <w:pPr>
              <w:spacing w:line="360" w:lineRule="auto"/>
              <w:jc w:val="both"/>
              <w:rPr>
                <w:rFonts w:ascii="Arial" w:hAnsi="Arial" w:cs="Arial"/>
              </w:rPr>
            </w:pPr>
            <w:r w:rsidRPr="00677147">
              <w:rPr>
                <w:rFonts w:ascii="Arial" w:hAnsi="Arial" w:cs="Arial"/>
              </w:rPr>
              <w:t xml:space="preserve">Older but influential </w:t>
            </w:r>
          </w:p>
        </w:tc>
        <w:tc>
          <w:tcPr>
            <w:tcW w:w="1701" w:type="dxa"/>
          </w:tcPr>
          <w:p w14:paraId="36423D21" w14:textId="77777777" w:rsidR="00677147" w:rsidRPr="00677147" w:rsidRDefault="00677147" w:rsidP="00677147">
            <w:pPr>
              <w:spacing w:line="360" w:lineRule="auto"/>
              <w:jc w:val="both"/>
              <w:rPr>
                <w:rFonts w:ascii="Arial" w:hAnsi="Arial" w:cs="Arial"/>
              </w:rPr>
            </w:pPr>
            <w:r w:rsidRPr="00677147">
              <w:rPr>
                <w:rFonts w:ascii="Arial" w:hAnsi="Arial" w:cs="Arial"/>
              </w:rPr>
              <w:t>Need for personalised</w:t>
            </w:r>
          </w:p>
        </w:tc>
        <w:tc>
          <w:tcPr>
            <w:tcW w:w="1134" w:type="dxa"/>
          </w:tcPr>
          <w:p w14:paraId="262FE758" w14:textId="77777777" w:rsidR="00677147" w:rsidRPr="00677147" w:rsidRDefault="00677147" w:rsidP="00677147">
            <w:pPr>
              <w:spacing w:line="360" w:lineRule="auto"/>
              <w:jc w:val="both"/>
              <w:rPr>
                <w:rFonts w:ascii="Arial" w:hAnsi="Arial" w:cs="Arial"/>
              </w:rPr>
            </w:pPr>
            <w:r w:rsidRPr="00677147">
              <w:rPr>
                <w:rFonts w:ascii="Arial" w:hAnsi="Arial" w:cs="Arial"/>
              </w:rPr>
              <w:t>Frailty</w:t>
            </w:r>
          </w:p>
        </w:tc>
        <w:tc>
          <w:tcPr>
            <w:tcW w:w="1559" w:type="dxa"/>
          </w:tcPr>
          <w:p w14:paraId="16CAD1F8" w14:textId="77777777" w:rsidR="00677147" w:rsidRPr="00677147" w:rsidRDefault="00677147" w:rsidP="00677147">
            <w:pPr>
              <w:spacing w:line="360" w:lineRule="auto"/>
              <w:jc w:val="both"/>
              <w:rPr>
                <w:rFonts w:ascii="Arial" w:hAnsi="Arial" w:cs="Arial"/>
              </w:rPr>
            </w:pPr>
            <w:r w:rsidRPr="00677147">
              <w:rPr>
                <w:rFonts w:ascii="Arial" w:hAnsi="Arial" w:cs="Arial"/>
              </w:rPr>
              <w:t>Objective 3</w:t>
            </w:r>
          </w:p>
        </w:tc>
      </w:tr>
      <w:tr w:rsidR="00677147" w:rsidRPr="00677147" w14:paraId="6F4A9DB6" w14:textId="77777777" w:rsidTr="00CC67CB">
        <w:trPr>
          <w:trHeight w:val="2138"/>
        </w:trPr>
        <w:tc>
          <w:tcPr>
            <w:tcW w:w="1194" w:type="dxa"/>
          </w:tcPr>
          <w:p w14:paraId="75763F3D" w14:textId="77777777" w:rsidR="00677147" w:rsidRPr="00677147" w:rsidRDefault="00677147" w:rsidP="00677147">
            <w:pPr>
              <w:spacing w:line="360" w:lineRule="auto"/>
              <w:jc w:val="both"/>
              <w:rPr>
                <w:rFonts w:ascii="Arial" w:hAnsi="Arial" w:cs="Arial"/>
              </w:rPr>
            </w:pPr>
            <w:r w:rsidRPr="00677147">
              <w:rPr>
                <w:rFonts w:ascii="Arial" w:hAnsi="Arial" w:cs="Arial"/>
              </w:rPr>
              <w:t>UKPDS (1998)</w:t>
            </w:r>
          </w:p>
        </w:tc>
        <w:tc>
          <w:tcPr>
            <w:tcW w:w="1353" w:type="dxa"/>
          </w:tcPr>
          <w:p w14:paraId="54650D5B" w14:textId="77777777" w:rsidR="00677147" w:rsidRPr="00677147" w:rsidRDefault="00677147" w:rsidP="00677147">
            <w:pPr>
              <w:spacing w:line="360" w:lineRule="auto"/>
              <w:jc w:val="both"/>
              <w:rPr>
                <w:rFonts w:ascii="Arial" w:hAnsi="Arial" w:cs="Arial"/>
              </w:rPr>
            </w:pPr>
            <w:r w:rsidRPr="00677147">
              <w:rPr>
                <w:rFonts w:ascii="Arial" w:hAnsi="Arial" w:cs="Arial"/>
              </w:rPr>
              <w:t>Intensive Glucose Control</w:t>
            </w:r>
          </w:p>
        </w:tc>
        <w:tc>
          <w:tcPr>
            <w:tcW w:w="1276" w:type="dxa"/>
          </w:tcPr>
          <w:p w14:paraId="43BE4230" w14:textId="77777777" w:rsidR="00677147" w:rsidRPr="00677147" w:rsidRDefault="00677147" w:rsidP="00677147">
            <w:pPr>
              <w:spacing w:line="360" w:lineRule="auto"/>
              <w:jc w:val="both"/>
              <w:rPr>
                <w:rFonts w:ascii="Arial" w:hAnsi="Arial" w:cs="Arial"/>
              </w:rPr>
            </w:pPr>
            <w:r w:rsidRPr="00677147">
              <w:rPr>
                <w:rFonts w:ascii="Arial" w:hAnsi="Arial" w:cs="Arial"/>
              </w:rPr>
              <w:t>Randomised Controlled Trial</w:t>
            </w:r>
          </w:p>
        </w:tc>
        <w:tc>
          <w:tcPr>
            <w:tcW w:w="1417" w:type="dxa"/>
          </w:tcPr>
          <w:p w14:paraId="74FDF504" w14:textId="77777777" w:rsidR="00677147" w:rsidRPr="00677147" w:rsidRDefault="00677147" w:rsidP="00677147">
            <w:pPr>
              <w:spacing w:line="360" w:lineRule="auto"/>
              <w:jc w:val="both"/>
              <w:rPr>
                <w:rFonts w:ascii="Arial" w:hAnsi="Arial" w:cs="Arial"/>
              </w:rPr>
            </w:pPr>
            <w:r w:rsidRPr="00677147">
              <w:rPr>
                <w:rFonts w:ascii="Arial" w:hAnsi="Arial" w:cs="Arial"/>
              </w:rPr>
              <w:t>5,000+ participants</w:t>
            </w:r>
          </w:p>
        </w:tc>
        <w:tc>
          <w:tcPr>
            <w:tcW w:w="1276" w:type="dxa"/>
          </w:tcPr>
          <w:p w14:paraId="4DAD8287" w14:textId="77777777" w:rsidR="00677147" w:rsidRPr="00677147" w:rsidRDefault="00677147" w:rsidP="00677147">
            <w:pPr>
              <w:spacing w:line="360" w:lineRule="auto"/>
              <w:jc w:val="both"/>
              <w:rPr>
                <w:rFonts w:ascii="Arial" w:hAnsi="Arial" w:cs="Arial"/>
              </w:rPr>
            </w:pPr>
            <w:r w:rsidRPr="00677147">
              <w:rPr>
                <w:rFonts w:ascii="Arial" w:hAnsi="Arial" w:cs="Arial"/>
              </w:rPr>
              <w:t>Landmark evidence; older study</w:t>
            </w:r>
          </w:p>
        </w:tc>
        <w:tc>
          <w:tcPr>
            <w:tcW w:w="1701" w:type="dxa"/>
          </w:tcPr>
          <w:p w14:paraId="14755A6D" w14:textId="77777777" w:rsidR="00677147" w:rsidRPr="00677147" w:rsidRDefault="00677147" w:rsidP="00677147">
            <w:pPr>
              <w:spacing w:line="360" w:lineRule="auto"/>
              <w:jc w:val="both"/>
              <w:rPr>
                <w:rFonts w:ascii="Arial" w:hAnsi="Arial" w:cs="Arial"/>
              </w:rPr>
            </w:pPr>
            <w:r w:rsidRPr="00677147">
              <w:rPr>
                <w:rFonts w:ascii="Arial" w:hAnsi="Arial" w:cs="Arial"/>
              </w:rPr>
              <w:t>Improved glucose control reduces complications</w:t>
            </w:r>
          </w:p>
        </w:tc>
        <w:tc>
          <w:tcPr>
            <w:tcW w:w="1134" w:type="dxa"/>
          </w:tcPr>
          <w:p w14:paraId="751AB1DB" w14:textId="77777777" w:rsidR="00677147" w:rsidRPr="00677147" w:rsidRDefault="00677147" w:rsidP="00677147">
            <w:pPr>
              <w:spacing w:line="360" w:lineRule="auto"/>
              <w:jc w:val="both"/>
              <w:rPr>
                <w:rFonts w:ascii="Arial" w:hAnsi="Arial" w:cs="Arial"/>
              </w:rPr>
            </w:pPr>
            <w:r w:rsidRPr="00677147">
              <w:rPr>
                <w:rFonts w:ascii="Arial" w:hAnsi="Arial" w:cs="Arial"/>
              </w:rPr>
              <w:t>HbA1c</w:t>
            </w:r>
          </w:p>
        </w:tc>
        <w:tc>
          <w:tcPr>
            <w:tcW w:w="1559" w:type="dxa"/>
          </w:tcPr>
          <w:p w14:paraId="1C26097C" w14:textId="77777777" w:rsidR="00677147" w:rsidRPr="00677147" w:rsidRDefault="00677147" w:rsidP="00677147">
            <w:pPr>
              <w:spacing w:line="360" w:lineRule="auto"/>
              <w:jc w:val="both"/>
              <w:rPr>
                <w:rFonts w:ascii="Arial" w:hAnsi="Arial" w:cs="Arial"/>
              </w:rPr>
            </w:pPr>
            <w:r w:rsidRPr="00677147">
              <w:rPr>
                <w:rFonts w:ascii="Arial" w:hAnsi="Arial" w:cs="Arial"/>
              </w:rPr>
              <w:t>Foundation study</w:t>
            </w:r>
          </w:p>
          <w:p w14:paraId="7A469550" w14:textId="77777777" w:rsidR="00677147" w:rsidRPr="00677147" w:rsidRDefault="00677147" w:rsidP="00677147">
            <w:pPr>
              <w:spacing w:line="360" w:lineRule="auto"/>
              <w:jc w:val="both"/>
              <w:rPr>
                <w:rFonts w:ascii="Arial" w:hAnsi="Arial" w:cs="Arial"/>
              </w:rPr>
            </w:pPr>
          </w:p>
          <w:p w14:paraId="00DB11E8" w14:textId="77777777" w:rsidR="00677147" w:rsidRPr="00677147" w:rsidRDefault="00677147" w:rsidP="00677147">
            <w:pPr>
              <w:spacing w:line="360" w:lineRule="auto"/>
              <w:jc w:val="both"/>
              <w:rPr>
                <w:rFonts w:ascii="Arial" w:hAnsi="Arial" w:cs="Arial"/>
              </w:rPr>
            </w:pPr>
          </w:p>
        </w:tc>
      </w:tr>
    </w:tbl>
    <w:p w14:paraId="1C91444F" w14:textId="77777777" w:rsidR="00677147" w:rsidRPr="00677147" w:rsidRDefault="00677147" w:rsidP="00677147">
      <w:pPr>
        <w:spacing w:line="360" w:lineRule="auto"/>
        <w:jc w:val="both"/>
        <w:rPr>
          <w:rFonts w:ascii="Arial" w:hAnsi="Arial" w:cs="Arial"/>
          <w:sz w:val="22"/>
          <w:szCs w:val="22"/>
          <w:lang w:eastAsia="zh-CN"/>
        </w:rPr>
      </w:pPr>
    </w:p>
    <w:p w14:paraId="0BF64D04" w14:textId="77777777" w:rsidR="00677147" w:rsidRPr="00677147" w:rsidRDefault="00677147" w:rsidP="00677147">
      <w:pPr>
        <w:spacing w:line="360" w:lineRule="auto"/>
        <w:jc w:val="both"/>
        <w:rPr>
          <w:rFonts w:ascii="Arial" w:hAnsi="Arial" w:cs="Arial"/>
          <w:sz w:val="22"/>
          <w:szCs w:val="22"/>
          <w:lang w:eastAsia="zh-CN"/>
        </w:rPr>
      </w:pPr>
    </w:p>
    <w:p w14:paraId="02F53C6B" w14:textId="77777777" w:rsidR="00677147" w:rsidRPr="00677147" w:rsidRDefault="00677147" w:rsidP="00677147">
      <w:pPr>
        <w:spacing w:line="360" w:lineRule="auto"/>
        <w:jc w:val="both"/>
        <w:rPr>
          <w:rFonts w:ascii="Arial" w:hAnsi="Arial" w:cs="Arial"/>
          <w:sz w:val="22"/>
          <w:szCs w:val="22"/>
          <w:lang w:eastAsia="zh-CN"/>
        </w:rPr>
      </w:pPr>
    </w:p>
    <w:p w14:paraId="151B7D8F" w14:textId="77777777" w:rsidR="00677147" w:rsidRPr="00677147" w:rsidRDefault="00677147" w:rsidP="00677147">
      <w:pPr>
        <w:spacing w:line="360" w:lineRule="auto"/>
        <w:jc w:val="both"/>
        <w:rPr>
          <w:rFonts w:ascii="Arial" w:hAnsi="Arial" w:cs="Arial"/>
          <w:sz w:val="22"/>
          <w:szCs w:val="22"/>
          <w:lang w:eastAsia="zh-CN"/>
        </w:rPr>
      </w:pPr>
    </w:p>
    <w:p w14:paraId="5AACA2A1" w14:textId="77777777" w:rsidR="00677147" w:rsidRPr="00677147" w:rsidRDefault="00677147" w:rsidP="00677147">
      <w:pPr>
        <w:spacing w:line="360" w:lineRule="auto"/>
        <w:jc w:val="both"/>
        <w:rPr>
          <w:rFonts w:ascii="Arial" w:hAnsi="Arial" w:cs="Arial"/>
          <w:sz w:val="22"/>
          <w:szCs w:val="22"/>
          <w:lang w:eastAsia="zh-CN"/>
        </w:rPr>
      </w:pPr>
    </w:p>
    <w:p w14:paraId="2BE7D680" w14:textId="77777777" w:rsidR="00677147" w:rsidRPr="00677147" w:rsidRDefault="00677147" w:rsidP="00677147">
      <w:pPr>
        <w:spacing w:line="360" w:lineRule="auto"/>
        <w:jc w:val="both"/>
        <w:rPr>
          <w:rFonts w:ascii="Arial" w:hAnsi="Arial" w:cs="Arial"/>
          <w:sz w:val="22"/>
          <w:szCs w:val="22"/>
          <w:lang w:eastAsia="zh-CN"/>
        </w:rPr>
      </w:pPr>
    </w:p>
    <w:p w14:paraId="781CC86F" w14:textId="77777777" w:rsidR="00677147" w:rsidRPr="00677147" w:rsidRDefault="00677147" w:rsidP="00677147">
      <w:pPr>
        <w:spacing w:line="360" w:lineRule="auto"/>
        <w:jc w:val="both"/>
        <w:rPr>
          <w:rFonts w:ascii="Arial" w:hAnsi="Arial" w:cs="Arial"/>
          <w:sz w:val="22"/>
          <w:szCs w:val="22"/>
          <w:lang w:eastAsia="zh-CN"/>
        </w:rPr>
      </w:pPr>
    </w:p>
    <w:p w14:paraId="034245A9" w14:textId="77777777" w:rsidR="00677147" w:rsidRPr="00677147" w:rsidRDefault="00677147" w:rsidP="00677147">
      <w:pPr>
        <w:spacing w:line="360" w:lineRule="auto"/>
        <w:jc w:val="both"/>
        <w:rPr>
          <w:rFonts w:ascii="Arial" w:hAnsi="Arial" w:cs="Arial"/>
          <w:sz w:val="22"/>
          <w:szCs w:val="22"/>
          <w:lang w:eastAsia="zh-CN"/>
        </w:rPr>
      </w:pPr>
    </w:p>
    <w:p w14:paraId="20771720" w14:textId="77777777" w:rsidR="00677147" w:rsidRPr="00677147" w:rsidRDefault="00677147" w:rsidP="00677147">
      <w:pPr>
        <w:spacing w:line="360" w:lineRule="auto"/>
        <w:jc w:val="both"/>
        <w:rPr>
          <w:rFonts w:ascii="Arial" w:hAnsi="Arial" w:cs="Arial"/>
          <w:sz w:val="22"/>
          <w:szCs w:val="22"/>
          <w:lang w:eastAsia="zh-CN"/>
        </w:rPr>
      </w:pPr>
    </w:p>
    <w:p w14:paraId="13BED8FB" w14:textId="77777777" w:rsidR="00677147" w:rsidRPr="00677147" w:rsidRDefault="00677147" w:rsidP="00677147">
      <w:pPr>
        <w:spacing w:line="360" w:lineRule="auto"/>
        <w:jc w:val="both"/>
        <w:rPr>
          <w:rFonts w:ascii="Arial" w:hAnsi="Arial" w:cs="Arial"/>
          <w:sz w:val="22"/>
          <w:szCs w:val="22"/>
          <w:lang w:eastAsia="zh-CN"/>
        </w:rPr>
      </w:pPr>
    </w:p>
    <w:p w14:paraId="1B96E210" w14:textId="77777777" w:rsidR="00677147" w:rsidRPr="00677147" w:rsidRDefault="00677147" w:rsidP="00677147">
      <w:pPr>
        <w:spacing w:line="360" w:lineRule="auto"/>
        <w:jc w:val="both"/>
        <w:rPr>
          <w:rFonts w:ascii="Arial" w:hAnsi="Arial" w:cs="Arial"/>
          <w:sz w:val="22"/>
          <w:szCs w:val="22"/>
          <w:lang w:eastAsia="zh-CN"/>
        </w:rPr>
      </w:pPr>
    </w:p>
    <w:p w14:paraId="066B413B" w14:textId="77777777" w:rsidR="00677147" w:rsidRPr="00677147" w:rsidRDefault="00677147" w:rsidP="00677147">
      <w:pPr>
        <w:spacing w:line="360" w:lineRule="auto"/>
        <w:jc w:val="both"/>
        <w:rPr>
          <w:rFonts w:ascii="Arial" w:hAnsi="Arial" w:cs="Arial"/>
          <w:sz w:val="22"/>
          <w:szCs w:val="22"/>
          <w:lang w:eastAsia="zh-CN"/>
        </w:rPr>
      </w:pPr>
    </w:p>
    <w:p w14:paraId="5BB21780" w14:textId="77777777" w:rsidR="00677147" w:rsidRPr="00677147" w:rsidRDefault="00677147" w:rsidP="00677147">
      <w:pPr>
        <w:spacing w:line="360" w:lineRule="auto"/>
        <w:jc w:val="both"/>
        <w:rPr>
          <w:rFonts w:ascii="Arial" w:hAnsi="Arial" w:cs="Arial"/>
          <w:sz w:val="22"/>
          <w:szCs w:val="22"/>
          <w:lang w:eastAsia="zh-CN"/>
        </w:rPr>
      </w:pPr>
    </w:p>
    <w:tbl>
      <w:tblPr>
        <w:tblpPr w:leftFromText="180" w:rightFromText="180" w:vertAnchor="text" w:horzAnchor="page" w:tblpX="135" w:tblpY="19"/>
        <w:tblW w:w="8816" w:type="pct"/>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1835"/>
        <w:gridCol w:w="3544"/>
        <w:gridCol w:w="2977"/>
        <w:gridCol w:w="1559"/>
        <w:gridCol w:w="1701"/>
        <w:gridCol w:w="4270"/>
      </w:tblGrid>
      <w:tr w:rsidR="00677147" w:rsidRPr="00677147" w14:paraId="7DF2DC2B" w14:textId="77777777" w:rsidTr="00CC67CB">
        <w:trPr>
          <w:gridAfter w:val="1"/>
          <w:wAfter w:w="4270" w:type="dxa"/>
          <w:trHeight w:val="858"/>
          <w:tblHeader/>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3C63A3" w14:textId="77777777" w:rsidR="00677147" w:rsidRPr="00677147" w:rsidRDefault="00677147" w:rsidP="00677147">
            <w:pPr>
              <w:spacing w:before="100" w:beforeAutospacing="1" w:after="100" w:afterAutospacing="1" w:line="240" w:lineRule="auto"/>
              <w:jc w:val="center"/>
              <w:rPr>
                <w:rFonts w:ascii="Times New Roman" w:hAnsi="Times New Roman" w:cs="Times New Roman"/>
                <w:b/>
                <w:bCs/>
                <w:kern w:val="0"/>
                <w14:ligatures w14:val="none"/>
              </w:rPr>
            </w:pPr>
            <w:r w:rsidRPr="00677147">
              <w:rPr>
                <w:rFonts w:ascii="Times New Roman" w:hAnsi="Times New Roman" w:cs="Times New Roman"/>
                <w:b/>
                <w:bCs/>
                <w:kern w:val="0"/>
                <w14:ligatures w14:val="none"/>
              </w:rPr>
              <w:t>Database</w:t>
            </w: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C751C2" w14:textId="77777777" w:rsidR="00677147" w:rsidRPr="00677147" w:rsidRDefault="00677147" w:rsidP="00677147">
            <w:pPr>
              <w:spacing w:before="100" w:beforeAutospacing="1" w:after="100" w:afterAutospacing="1" w:line="240" w:lineRule="auto"/>
              <w:jc w:val="center"/>
              <w:rPr>
                <w:rFonts w:ascii="Times New Roman" w:hAnsi="Times New Roman" w:cs="Times New Roman"/>
                <w:b/>
                <w:bCs/>
                <w:kern w:val="0"/>
                <w14:ligatures w14:val="none"/>
              </w:rPr>
            </w:pPr>
            <w:r w:rsidRPr="00677147">
              <w:rPr>
                <w:rFonts w:ascii="Times New Roman" w:hAnsi="Times New Roman" w:cs="Times New Roman"/>
                <w:b/>
                <w:bCs/>
                <w:kern w:val="0"/>
                <w14:ligatures w14:val="none"/>
              </w:rPr>
              <w:t>Search Terms Used</w:t>
            </w: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986EBF" w14:textId="77777777" w:rsidR="00677147" w:rsidRPr="00677147" w:rsidRDefault="00677147" w:rsidP="00677147">
            <w:pPr>
              <w:spacing w:before="100" w:beforeAutospacing="1" w:after="100" w:afterAutospacing="1" w:line="240" w:lineRule="auto"/>
              <w:jc w:val="center"/>
              <w:rPr>
                <w:rFonts w:ascii="Times New Roman" w:hAnsi="Times New Roman" w:cs="Times New Roman"/>
                <w:b/>
                <w:bCs/>
                <w:kern w:val="0"/>
                <w14:ligatures w14:val="none"/>
              </w:rPr>
            </w:pPr>
            <w:r w:rsidRPr="00677147">
              <w:rPr>
                <w:rFonts w:ascii="Times New Roman" w:hAnsi="Times New Roman" w:cs="Times New Roman"/>
                <w:b/>
                <w:bCs/>
                <w:kern w:val="0"/>
                <w14:ligatures w14:val="none"/>
              </w:rPr>
              <w:t>Filters Applied</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DD651C" w14:textId="77777777" w:rsidR="00677147" w:rsidRPr="00677147" w:rsidRDefault="00677147" w:rsidP="00677147">
            <w:pPr>
              <w:spacing w:before="100" w:beforeAutospacing="1" w:after="100" w:afterAutospacing="1" w:line="240" w:lineRule="auto"/>
              <w:jc w:val="both"/>
              <w:rPr>
                <w:rFonts w:ascii="Times New Roman" w:hAnsi="Times New Roman" w:cs="Times New Roman"/>
                <w:b/>
                <w:bCs/>
                <w:kern w:val="0"/>
                <w14:ligatures w14:val="none"/>
              </w:rPr>
            </w:pPr>
            <w:r w:rsidRPr="00677147">
              <w:rPr>
                <w:rFonts w:ascii="Times New Roman" w:hAnsi="Times New Roman" w:cs="Times New Roman"/>
                <w:b/>
                <w:bCs/>
                <w:kern w:val="0"/>
                <w14:ligatures w14:val="none"/>
              </w:rPr>
              <w:t>Results Retrieved</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7CC733" w14:textId="77777777" w:rsidR="00677147" w:rsidRPr="00677147" w:rsidRDefault="00677147" w:rsidP="00677147">
            <w:pPr>
              <w:spacing w:before="100" w:beforeAutospacing="1" w:after="100" w:afterAutospacing="1" w:line="240" w:lineRule="auto"/>
              <w:jc w:val="center"/>
              <w:rPr>
                <w:rFonts w:ascii="Times New Roman" w:hAnsi="Times New Roman" w:cs="Times New Roman"/>
                <w:b/>
                <w:bCs/>
                <w:kern w:val="0"/>
                <w14:ligatures w14:val="none"/>
              </w:rPr>
            </w:pPr>
            <w:r w:rsidRPr="00677147">
              <w:rPr>
                <w:rFonts w:ascii="Times New Roman" w:hAnsi="Times New Roman" w:cs="Times New Roman"/>
                <w:b/>
                <w:bCs/>
                <w:kern w:val="0"/>
                <w14:ligatures w14:val="none"/>
              </w:rPr>
              <w:t>Results Included</w:t>
            </w:r>
          </w:p>
        </w:tc>
      </w:tr>
      <w:tr w:rsidR="00677147" w:rsidRPr="00677147" w14:paraId="75F4508F" w14:textId="77777777" w:rsidTr="00CC67CB">
        <w:trPr>
          <w:gridAfter w:val="1"/>
          <w:wAfter w:w="4270" w:type="dxa"/>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F56C5B"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PubMed</w:t>
            </w: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4AE05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“Type 2 Diabetes Mellitus” AND “older adults”</w:t>
            </w: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8C1D34"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English, Peer Reviewed, 2014–2024</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4919F3"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324</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7552BE"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18</w:t>
            </w:r>
          </w:p>
        </w:tc>
      </w:tr>
      <w:tr w:rsidR="00677147" w:rsidRPr="00677147" w14:paraId="2FE36EAE" w14:textId="77777777" w:rsidTr="00CC67CB">
        <w:trPr>
          <w:gridAfter w:val="1"/>
          <w:wAfter w:w="4270" w:type="dxa"/>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C382CC"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PubMed</w:t>
            </w: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7DA7E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“Insulin resistance” AND ageing</w:t>
            </w: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9EE99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English, Peer Reviewed, 2014–2024</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7400D3"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176</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50769E"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10</w:t>
            </w:r>
          </w:p>
        </w:tc>
      </w:tr>
      <w:tr w:rsidR="00677147" w:rsidRPr="00677147" w14:paraId="64310EAA" w14:textId="77777777" w:rsidTr="00CC67CB">
        <w:trPr>
          <w:gridAfter w:val="1"/>
          <w:wAfter w:w="4270" w:type="dxa"/>
          <w:trHeight w:val="751"/>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19D689"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CINAHL</w:t>
            </w: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4830FE"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“T2DM” AND “long-term complications”</w:t>
            </w: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8C5757"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English, Full Text, 2014–2024</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FF80FD"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145</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0468B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8</w:t>
            </w:r>
          </w:p>
        </w:tc>
      </w:tr>
      <w:tr w:rsidR="00677147" w:rsidRPr="00677147" w14:paraId="7861FF3E" w14:textId="77777777" w:rsidTr="00CC67CB">
        <w:trPr>
          <w:gridAfter w:val="1"/>
          <w:wAfter w:w="4270" w:type="dxa"/>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0C6AB8"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ScienceDirect</w:t>
            </w: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67025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“Type 2 Diabetes” AND cardiovascular disease</w:t>
            </w: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D09F5E"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Research Articles, 2014–2024</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7E86A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298</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FFB224"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12</w:t>
            </w:r>
          </w:p>
        </w:tc>
      </w:tr>
      <w:tr w:rsidR="00677147" w:rsidRPr="00677147" w14:paraId="55EA5F5E" w14:textId="77777777" w:rsidTr="00CC67CB">
        <w:trPr>
          <w:gridAfter w:val="1"/>
          <w:wAfter w:w="4270" w:type="dxa"/>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89EA94"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Google Scholar</w:t>
            </w: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F90FBF"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“Older adults” AND “Type 2 Diabetes” AND UK</w:t>
            </w: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DE066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2014–2024</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A7719C"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2,1506</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BE3455"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15</w:t>
            </w:r>
          </w:p>
        </w:tc>
      </w:tr>
      <w:tr w:rsidR="00677147" w:rsidRPr="00677147" w14:paraId="7414A025" w14:textId="77777777" w:rsidTr="00CC67CB">
        <w:trPr>
          <w:gridAfter w:val="1"/>
          <w:wAfter w:w="4270" w:type="dxa"/>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5985B9"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UWTSD Online Library</w:t>
            </w: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6BDC4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“Diabetes management” AND elderly</w:t>
            </w: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ED7F7B" w14:textId="77777777" w:rsidR="00677147" w:rsidRPr="00677147" w:rsidRDefault="00677147" w:rsidP="00677147">
            <w:pPr>
              <w:spacing w:after="0" w:line="360" w:lineRule="auto"/>
              <w:rPr>
                <w:rFonts w:ascii="Arial" w:hAnsi="Arial" w:cs="Arial"/>
                <w:kern w:val="0"/>
                <w:sz w:val="22"/>
                <w:szCs w:val="22"/>
                <w14:ligatures w14:val="none"/>
              </w:rPr>
            </w:pPr>
            <w:r w:rsidRPr="00677147">
              <w:rPr>
                <w:rFonts w:ascii="Arial" w:hAnsi="Arial" w:cs="Arial"/>
                <w:kern w:val="0"/>
                <w:sz w:val="22"/>
                <w:szCs w:val="22"/>
                <w14:ligatures w14:val="none"/>
              </w:rPr>
              <w:t>Peer Reviewed, English</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4071AA" w14:textId="77777777" w:rsidR="00677147" w:rsidRPr="00677147" w:rsidRDefault="00677147" w:rsidP="00677147">
            <w:pPr>
              <w:spacing w:after="0" w:line="360" w:lineRule="auto"/>
              <w:rPr>
                <w:rFonts w:ascii="Arial" w:eastAsia="Times New Roman" w:hAnsi="Arial" w:cs="Arial"/>
                <w:kern w:val="0"/>
                <w:sz w:val="22"/>
                <w:szCs w:val="22"/>
                <w14:ligatures w14:val="none"/>
              </w:rPr>
            </w:pPr>
            <w:r w:rsidRPr="00677147">
              <w:rPr>
                <w:rFonts w:ascii="Arial" w:eastAsia="Times New Roman" w:hAnsi="Arial" w:cs="Arial"/>
                <w:kern w:val="0"/>
                <w:sz w:val="22"/>
                <w:szCs w:val="22"/>
                <w14:ligatures w14:val="none"/>
              </w:rPr>
              <w:t>89</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557ABE" w14:textId="77777777" w:rsidR="00677147" w:rsidRPr="00677147" w:rsidRDefault="00677147" w:rsidP="00677147">
            <w:pPr>
              <w:spacing w:after="0" w:line="360" w:lineRule="auto"/>
              <w:rPr>
                <w:rFonts w:ascii="Arial" w:eastAsia="Times New Roman" w:hAnsi="Arial" w:cs="Arial"/>
                <w:kern w:val="0"/>
                <w:sz w:val="22"/>
                <w:szCs w:val="22"/>
                <w14:ligatures w14:val="none"/>
              </w:rPr>
            </w:pPr>
            <w:r w:rsidRPr="00677147">
              <w:rPr>
                <w:rFonts w:ascii="Arial" w:eastAsia="Times New Roman" w:hAnsi="Arial" w:cs="Arial"/>
                <w:kern w:val="0"/>
                <w:sz w:val="22"/>
                <w:szCs w:val="22"/>
                <w14:ligatures w14:val="none"/>
              </w:rPr>
              <w:t>6</w:t>
            </w:r>
          </w:p>
          <w:p w14:paraId="6B52D21E" w14:textId="77777777" w:rsidR="00677147" w:rsidRPr="00677147" w:rsidRDefault="00677147" w:rsidP="00677147">
            <w:pPr>
              <w:spacing w:after="0" w:line="360" w:lineRule="auto"/>
              <w:rPr>
                <w:rFonts w:ascii="Arial" w:eastAsia="Times New Roman" w:hAnsi="Arial" w:cs="Arial"/>
                <w:kern w:val="0"/>
                <w:sz w:val="22"/>
                <w:szCs w:val="22"/>
                <w14:ligatures w14:val="none"/>
              </w:rPr>
            </w:pPr>
          </w:p>
          <w:p w14:paraId="6353B5EB" w14:textId="77777777" w:rsidR="00677147" w:rsidRPr="00677147" w:rsidRDefault="00677147" w:rsidP="00677147">
            <w:pPr>
              <w:spacing w:after="0" w:line="360" w:lineRule="auto"/>
              <w:rPr>
                <w:rFonts w:ascii="Arial" w:eastAsia="Times New Roman" w:hAnsi="Arial" w:cs="Arial"/>
                <w:kern w:val="0"/>
                <w:sz w:val="22"/>
                <w:szCs w:val="22"/>
                <w14:ligatures w14:val="none"/>
              </w:rPr>
            </w:pPr>
          </w:p>
          <w:p w14:paraId="1D76DD4D" w14:textId="77777777" w:rsidR="00677147" w:rsidRPr="00677147" w:rsidRDefault="00677147" w:rsidP="00677147">
            <w:pPr>
              <w:spacing w:after="0" w:line="360" w:lineRule="auto"/>
              <w:rPr>
                <w:rFonts w:ascii="Arial" w:eastAsia="Times New Roman" w:hAnsi="Arial" w:cs="Arial"/>
                <w:kern w:val="0"/>
                <w:sz w:val="22"/>
                <w:szCs w:val="22"/>
                <w14:ligatures w14:val="none"/>
              </w:rPr>
            </w:pPr>
          </w:p>
        </w:tc>
      </w:tr>
      <w:tr w:rsidR="00677147" w:rsidRPr="00677147" w14:paraId="3403A55F" w14:textId="77777777" w:rsidTr="00CC67CB">
        <w:trPr>
          <w:trHeight w:val="20"/>
        </w:trPr>
        <w:tc>
          <w:tcPr>
            <w:tcW w:w="183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650AF17"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p>
        </w:tc>
        <w:tc>
          <w:tcPr>
            <w:tcW w:w="354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7059E4BD"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p>
        </w:tc>
        <w:tc>
          <w:tcPr>
            <w:tcW w:w="297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3A90944" w14:textId="77777777" w:rsidR="00677147" w:rsidRPr="00677147" w:rsidRDefault="00677147" w:rsidP="00677147">
            <w:pPr>
              <w:spacing w:after="0" w:line="360" w:lineRule="auto"/>
              <w:rPr>
                <w:rFonts w:ascii="Arial" w:hAnsi="Arial" w:cs="Arial"/>
                <w:kern w:val="0"/>
                <w:sz w:val="22"/>
                <w:szCs w:val="22"/>
                <w14:ligatures w14:val="none"/>
              </w:rPr>
            </w:pP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6D5510A" w14:textId="77777777" w:rsidR="00677147" w:rsidRPr="00677147" w:rsidRDefault="00677147" w:rsidP="00677147">
            <w:pPr>
              <w:spacing w:after="0" w:line="360" w:lineRule="auto"/>
              <w:rPr>
                <w:rFonts w:ascii="Arial" w:eastAsia="Times New Roman" w:hAnsi="Arial" w:cs="Arial"/>
                <w:kern w:val="0"/>
                <w:sz w:val="22"/>
                <w:szCs w:val="22"/>
                <w14:ligatures w14:val="none"/>
              </w:rPr>
            </w:pP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0092D696" w14:textId="77777777" w:rsidR="00677147" w:rsidRPr="00677147" w:rsidRDefault="00677147" w:rsidP="00677147">
            <w:pPr>
              <w:spacing w:after="0" w:line="360" w:lineRule="auto"/>
              <w:rPr>
                <w:rFonts w:ascii="Arial" w:eastAsia="Times New Roman" w:hAnsi="Arial" w:cs="Arial"/>
                <w:kern w:val="0"/>
                <w:sz w:val="22"/>
                <w:szCs w:val="22"/>
                <w14:ligatures w14:val="none"/>
              </w:rPr>
            </w:pPr>
          </w:p>
        </w:tc>
        <w:tc>
          <w:tcPr>
            <w:tcW w:w="4270" w:type="dxa"/>
            <w:vAlign w:val="center"/>
          </w:tcPr>
          <w:p w14:paraId="1C3EE5D4" w14:textId="77777777" w:rsidR="00677147" w:rsidRPr="00677147" w:rsidRDefault="00677147" w:rsidP="00677147">
            <w:pPr>
              <w:spacing w:line="360" w:lineRule="auto"/>
              <w:rPr>
                <w:rFonts w:ascii="Arial" w:eastAsia="Times New Roman" w:hAnsi="Arial" w:cs="Arial"/>
                <w:kern w:val="0"/>
                <w:sz w:val="22"/>
                <w:szCs w:val="22"/>
                <w14:ligatures w14:val="none"/>
              </w:rPr>
            </w:pPr>
          </w:p>
        </w:tc>
      </w:tr>
    </w:tbl>
    <w:p w14:paraId="0AEC0B10"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22"/>
          <w:szCs w:val="22"/>
        </w:rPr>
      </w:pPr>
    </w:p>
    <w:p w14:paraId="1C7122F8"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22"/>
          <w:szCs w:val="22"/>
        </w:rPr>
      </w:pPr>
    </w:p>
    <w:p w14:paraId="3B573E20"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32"/>
          <w:szCs w:val="32"/>
          <w:lang w:eastAsia="zh-CN"/>
        </w:rPr>
      </w:pPr>
      <w:r w:rsidRPr="00677147">
        <w:rPr>
          <w:rFonts w:ascii="Arial" w:eastAsiaTheme="majorEastAsia" w:hAnsi="Arial" w:cs="Arial"/>
          <w:b/>
          <w:color w:val="0F4761" w:themeColor="accent1" w:themeShade="BF"/>
          <w:sz w:val="32"/>
          <w:szCs w:val="32"/>
          <w:lang w:eastAsia="zh-CN"/>
        </w:rPr>
        <w:t>Appendix A: Literature Search Log</w:t>
      </w:r>
    </w:p>
    <w:p w14:paraId="1CF73266"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22"/>
          <w:szCs w:val="22"/>
          <w:lang w:eastAsia="zh-CN"/>
        </w:rPr>
      </w:pPr>
    </w:p>
    <w:p w14:paraId="525529FA"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Total Articles Identified: 3,182</w:t>
      </w:r>
    </w:p>
    <w:p w14:paraId="28383B22"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Articles After Screening: 69</w:t>
      </w:r>
    </w:p>
    <w:p w14:paraId="10413CA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Articles Included in Final Review: 42</w:t>
      </w:r>
    </w:p>
    <w:p w14:paraId="31BFA596" w14:textId="77777777" w:rsidR="00677147" w:rsidRPr="00677147" w:rsidRDefault="00677147" w:rsidP="00677147">
      <w:pPr>
        <w:keepNext/>
        <w:keepLines/>
        <w:spacing w:before="40" w:after="0" w:line="360" w:lineRule="auto"/>
        <w:jc w:val="both"/>
        <w:outlineLvl w:val="1"/>
        <w:rPr>
          <w:rFonts w:ascii="Arial" w:eastAsiaTheme="majorEastAsia" w:hAnsi="Arial" w:cs="Arial"/>
          <w:b/>
          <w:bCs/>
          <w:color w:val="0F4761" w:themeColor="accent1" w:themeShade="BF"/>
          <w:sz w:val="22"/>
          <w:szCs w:val="22"/>
        </w:rPr>
      </w:pPr>
    </w:p>
    <w:p w14:paraId="20402EB5" w14:textId="77777777" w:rsidR="00677147" w:rsidRPr="00677147" w:rsidRDefault="00677147" w:rsidP="00677147">
      <w:pPr>
        <w:spacing w:line="360" w:lineRule="auto"/>
        <w:jc w:val="both"/>
        <w:rPr>
          <w:rFonts w:ascii="Aptos" w:hAnsi="Aptos"/>
          <w:sz w:val="22"/>
          <w:szCs w:val="22"/>
        </w:rPr>
      </w:pPr>
    </w:p>
    <w:p w14:paraId="594C869B" w14:textId="77777777" w:rsidR="00677147" w:rsidRPr="00677147" w:rsidRDefault="00677147" w:rsidP="00677147">
      <w:pPr>
        <w:keepNext/>
        <w:keepLines/>
        <w:spacing w:before="40" w:after="0" w:line="360" w:lineRule="auto"/>
        <w:jc w:val="both"/>
        <w:outlineLvl w:val="1"/>
        <w:rPr>
          <w:rFonts w:ascii="Arial" w:eastAsiaTheme="majorEastAsia" w:hAnsi="Arial" w:cs="Arial"/>
          <w:b/>
          <w:bCs/>
          <w:color w:val="0F4761" w:themeColor="accent1" w:themeShade="BF"/>
          <w:sz w:val="22"/>
          <w:szCs w:val="22"/>
        </w:rPr>
      </w:pPr>
    </w:p>
    <w:p w14:paraId="67D4D2A1"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32"/>
          <w:szCs w:val="32"/>
          <w:lang w:eastAsia="zh-CN"/>
        </w:rPr>
      </w:pPr>
      <w:r w:rsidRPr="00677147">
        <w:rPr>
          <w:rFonts w:ascii="Arial" w:eastAsiaTheme="majorEastAsia" w:hAnsi="Arial" w:cs="Arial"/>
          <w:b/>
          <w:color w:val="0F4761" w:themeColor="accent1" w:themeShade="BF"/>
          <w:sz w:val="32"/>
          <w:szCs w:val="32"/>
          <w:lang w:eastAsia="zh-CN"/>
        </w:rPr>
        <w:t>Appendix B – Inclusion and Exclusion Criteria</w:t>
      </w:r>
    </w:p>
    <w:p w14:paraId="6AA16106" w14:textId="77777777" w:rsidR="00677147" w:rsidRPr="00677147" w:rsidRDefault="00677147" w:rsidP="00677147">
      <w:pPr>
        <w:spacing w:line="360" w:lineRule="auto"/>
        <w:jc w:val="both"/>
        <w:rPr>
          <w:rFonts w:ascii="Arial" w:hAnsi="Arial" w:cs="Arial"/>
          <w:sz w:val="22"/>
          <w:szCs w:val="22"/>
          <w:lang w:eastAsia="zh-CN"/>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189"/>
        <w:gridCol w:w="4821"/>
      </w:tblGrid>
      <w:tr w:rsidR="00677147" w:rsidRPr="00677147" w14:paraId="191D2EE7" w14:textId="77777777" w:rsidTr="00CC67CB">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140AA8" w14:textId="77777777" w:rsidR="00677147" w:rsidRPr="00677147" w:rsidRDefault="00677147" w:rsidP="00677147">
            <w:pPr>
              <w:spacing w:before="100" w:beforeAutospacing="1" w:after="100" w:afterAutospacing="1" w:line="360" w:lineRule="auto"/>
              <w:jc w:val="center"/>
              <w:rPr>
                <w:rFonts w:ascii="Arial" w:hAnsi="Arial" w:cs="Arial"/>
                <w:b/>
                <w:kern w:val="0"/>
                <w:sz w:val="22"/>
                <w:szCs w:val="22"/>
                <w14:ligatures w14:val="none"/>
              </w:rPr>
            </w:pPr>
            <w:r w:rsidRPr="00677147">
              <w:rPr>
                <w:rFonts w:ascii="Arial" w:hAnsi="Arial" w:cs="Arial"/>
                <w:b/>
                <w:kern w:val="0"/>
                <w:sz w:val="22"/>
                <w:szCs w:val="22"/>
                <w14:ligatures w14:val="none"/>
              </w:rPr>
              <w:t>Inclusion Criteria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E9A2F4" w14:textId="77777777" w:rsidR="00677147" w:rsidRPr="00677147" w:rsidRDefault="00677147" w:rsidP="00677147">
            <w:pPr>
              <w:spacing w:before="100" w:beforeAutospacing="1" w:after="100" w:afterAutospacing="1" w:line="360" w:lineRule="auto"/>
              <w:jc w:val="center"/>
              <w:rPr>
                <w:rFonts w:ascii="Arial" w:hAnsi="Arial" w:cs="Arial"/>
                <w:b/>
                <w:kern w:val="0"/>
                <w:sz w:val="22"/>
                <w:szCs w:val="22"/>
                <w14:ligatures w14:val="none"/>
              </w:rPr>
            </w:pPr>
            <w:r w:rsidRPr="00677147">
              <w:rPr>
                <w:rFonts w:ascii="Arial" w:hAnsi="Arial" w:cs="Arial"/>
                <w:b/>
                <w:kern w:val="0"/>
                <w:sz w:val="22"/>
                <w:szCs w:val="22"/>
                <w14:ligatures w14:val="none"/>
              </w:rPr>
              <w:t>Exclusion Criteria</w:t>
            </w:r>
          </w:p>
        </w:tc>
      </w:tr>
      <w:tr w:rsidR="00677147" w:rsidRPr="00677147" w14:paraId="30C66F9B"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9D199B"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Peer-reviewed journal articles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EBFFF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Non-peer-reviewed sources</w:t>
            </w:r>
          </w:p>
        </w:tc>
      </w:tr>
      <w:tr w:rsidR="00677147" w:rsidRPr="00677147" w14:paraId="07E17BC7"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B469D8"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Published between 2014–2024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4D69D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Publications before 2014 (unless seminal studies)</w:t>
            </w:r>
          </w:p>
        </w:tc>
      </w:tr>
      <w:tr w:rsidR="00677147" w:rsidRPr="00677147" w14:paraId="199B2DB6"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5636B7" w14:textId="77777777" w:rsidR="00677147" w:rsidRPr="00677147" w:rsidRDefault="00677147" w:rsidP="00677147">
            <w:pPr>
              <w:spacing w:before="100" w:beforeAutospacing="1" w:after="100" w:afterAutospacing="1" w:line="360" w:lineRule="auto"/>
              <w:rPr>
                <w:rFonts w:ascii="Arial" w:hAnsi="Arial" w:cs="Arial"/>
                <w:kern w:val="0"/>
                <w:sz w:val="22"/>
                <w:szCs w:val="22"/>
                <w:lang w:val="fr-FR"/>
                <w14:ligatures w14:val="none"/>
              </w:rPr>
            </w:pPr>
            <w:r w:rsidRPr="00677147">
              <w:rPr>
                <w:rFonts w:ascii="Arial" w:hAnsi="Arial" w:cs="Arial"/>
                <w:kern w:val="0"/>
                <w:sz w:val="22"/>
                <w:szCs w:val="22"/>
                <w:lang w:val="fr-FR"/>
                <w14:ligatures w14:val="none"/>
              </w:rPr>
              <w:t xml:space="preserve">Focus on Type 2 </w:t>
            </w:r>
            <w:proofErr w:type="spellStart"/>
            <w:r w:rsidRPr="00677147">
              <w:rPr>
                <w:rFonts w:ascii="Arial" w:hAnsi="Arial" w:cs="Arial"/>
                <w:kern w:val="0"/>
                <w:sz w:val="22"/>
                <w:szCs w:val="22"/>
                <w:lang w:val="fr-FR"/>
                <w14:ligatures w14:val="none"/>
              </w:rPr>
              <w:t>Diabetes</w:t>
            </w:r>
            <w:proofErr w:type="spellEnd"/>
            <w:r w:rsidRPr="00677147">
              <w:rPr>
                <w:rFonts w:ascii="Arial" w:hAnsi="Arial" w:cs="Arial"/>
                <w:kern w:val="0"/>
                <w:sz w:val="22"/>
                <w:szCs w:val="22"/>
                <w:lang w:val="fr-FR"/>
                <w14:ligatures w14:val="none"/>
              </w:rPr>
              <w:t xml:space="preserve"> </w:t>
            </w:r>
            <w:proofErr w:type="spellStart"/>
            <w:r w:rsidRPr="00677147">
              <w:rPr>
                <w:rFonts w:ascii="Arial" w:hAnsi="Arial" w:cs="Arial"/>
                <w:kern w:val="0"/>
                <w:sz w:val="22"/>
                <w:szCs w:val="22"/>
                <w:lang w:val="fr-FR"/>
                <w14:ligatures w14:val="none"/>
              </w:rPr>
              <w:t>Mellitus</w:t>
            </w:r>
            <w:proofErr w:type="spellEnd"/>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7DF7E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Studies focused solely on Type 1 Diabetes</w:t>
            </w:r>
          </w:p>
        </w:tc>
      </w:tr>
      <w:tr w:rsidR="00677147" w:rsidRPr="00677147" w14:paraId="69344706"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3550B8"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Adults aged 60 years and over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66862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Paediatric populations</w:t>
            </w:r>
          </w:p>
        </w:tc>
      </w:tr>
      <w:tr w:rsidR="00677147" w:rsidRPr="00677147" w14:paraId="0100D345"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95A36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Studies examining physiological mechanisms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A9467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Studies unrelated to pathophysiology or complications</w:t>
            </w:r>
          </w:p>
        </w:tc>
      </w:tr>
      <w:tr w:rsidR="00677147" w:rsidRPr="00677147" w14:paraId="571E50BA"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B5AC9A"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Studies examining long-term complications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AB3BB5"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Studies focused solely on drug trials</w:t>
            </w:r>
          </w:p>
        </w:tc>
      </w:tr>
      <w:tr w:rsidR="00677147" w:rsidRPr="00677147" w14:paraId="4653ADEC"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0BDA15"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English language publications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BA2613"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Non-English publications</w:t>
            </w:r>
          </w:p>
        </w:tc>
      </w:tr>
      <w:tr w:rsidR="00677147" w:rsidRPr="00677147" w14:paraId="3BBE1994"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441CB7"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UK-based or comparable Western populations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0E542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Studies with limited relevance to older adults</w:t>
            </w:r>
          </w:p>
        </w:tc>
      </w:tr>
    </w:tbl>
    <w:p w14:paraId="06E82753" w14:textId="77777777" w:rsidR="00677147" w:rsidRPr="00677147" w:rsidRDefault="00677147" w:rsidP="00677147">
      <w:pPr>
        <w:spacing w:line="360" w:lineRule="auto"/>
        <w:jc w:val="both"/>
        <w:rPr>
          <w:rFonts w:ascii="Arial" w:hAnsi="Arial" w:cs="Arial"/>
          <w:sz w:val="22"/>
          <w:szCs w:val="22"/>
          <w:lang w:eastAsia="zh-CN"/>
        </w:rPr>
      </w:pPr>
    </w:p>
    <w:p w14:paraId="1339457D" w14:textId="77777777" w:rsidR="00677147" w:rsidRPr="00677147" w:rsidRDefault="00677147" w:rsidP="00677147">
      <w:pPr>
        <w:spacing w:line="360" w:lineRule="auto"/>
        <w:jc w:val="both"/>
        <w:rPr>
          <w:rFonts w:ascii="Arial" w:hAnsi="Arial" w:cs="Arial"/>
          <w:sz w:val="22"/>
          <w:szCs w:val="22"/>
          <w:lang w:eastAsia="zh-CN"/>
        </w:rPr>
      </w:pPr>
    </w:p>
    <w:p w14:paraId="172B97F1" w14:textId="77777777" w:rsidR="00677147" w:rsidRPr="00677147" w:rsidRDefault="00677147" w:rsidP="00677147">
      <w:pPr>
        <w:spacing w:before="100" w:beforeAutospacing="1" w:after="100" w:afterAutospacing="1" w:line="360" w:lineRule="auto"/>
        <w:rPr>
          <w:rFonts w:ascii="Arial" w:hAnsi="Arial" w:cs="Arial"/>
          <w:b/>
          <w:kern w:val="0"/>
          <w:sz w:val="22"/>
          <w:szCs w:val="22"/>
          <w14:ligatures w14:val="none"/>
        </w:rPr>
      </w:pPr>
      <w:r w:rsidRPr="00677147">
        <w:rPr>
          <w:rFonts w:ascii="Arial" w:hAnsi="Arial" w:cs="Arial"/>
          <w:b/>
          <w:kern w:val="0"/>
          <w:sz w:val="22"/>
          <w:szCs w:val="22"/>
          <w14:ligatures w14:val="none"/>
        </w:rPr>
        <w:t>Justification:</w:t>
      </w:r>
    </w:p>
    <w:p w14:paraId="7E70AF9F"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 xml:space="preserve">These criteria ensured that the literature remained relevant, current, academically rigorous, and directly aligned with the research aim and </w:t>
      </w:r>
      <w:bookmarkStart w:id="52" w:name="_Int_vdtnLz6d"/>
      <w:r w:rsidRPr="00677147">
        <w:rPr>
          <w:rFonts w:ascii="Arial" w:hAnsi="Arial" w:cs="Arial"/>
          <w:kern w:val="0"/>
          <w:sz w:val="22"/>
          <w:szCs w:val="22"/>
          <w14:ligatures w14:val="none"/>
        </w:rPr>
        <w:t>objectives</w:t>
      </w:r>
      <w:bookmarkEnd w:id="52"/>
      <w:r w:rsidRPr="00677147">
        <w:rPr>
          <w:rFonts w:ascii="Arial" w:hAnsi="Arial" w:cs="Arial"/>
          <w:kern w:val="0"/>
          <w:sz w:val="22"/>
          <w:szCs w:val="22"/>
          <w14:ligatures w14:val="none"/>
        </w:rPr>
        <w:t xml:space="preserve">. Seminal studies such as DeFronzo (2009) and UKPDS (1998) were </w:t>
      </w:r>
      <w:bookmarkStart w:id="53" w:name="_Int_YdBTO0RI"/>
      <w:r w:rsidRPr="00677147">
        <w:rPr>
          <w:rFonts w:ascii="Arial" w:hAnsi="Arial" w:cs="Arial"/>
          <w:kern w:val="0"/>
          <w:sz w:val="22"/>
          <w:szCs w:val="22"/>
          <w14:ligatures w14:val="none"/>
        </w:rPr>
        <w:t>retained</w:t>
      </w:r>
      <w:bookmarkEnd w:id="53"/>
      <w:r w:rsidRPr="00677147">
        <w:rPr>
          <w:rFonts w:ascii="Arial" w:hAnsi="Arial" w:cs="Arial"/>
          <w:kern w:val="0"/>
          <w:sz w:val="22"/>
          <w:szCs w:val="22"/>
          <w14:ligatures w14:val="none"/>
        </w:rPr>
        <w:t xml:space="preserve"> due to their foundational importance within diabetes research.</w:t>
      </w:r>
    </w:p>
    <w:p w14:paraId="440E5402"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22"/>
          <w:szCs w:val="22"/>
        </w:rPr>
      </w:pPr>
    </w:p>
    <w:p w14:paraId="74B9A41E"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32"/>
          <w:szCs w:val="32"/>
          <w:lang w:eastAsia="zh-CN"/>
        </w:rPr>
      </w:pPr>
      <w:r w:rsidRPr="00677147">
        <w:rPr>
          <w:rFonts w:ascii="Arial" w:eastAsiaTheme="majorEastAsia" w:hAnsi="Arial" w:cs="Arial"/>
          <w:b/>
          <w:color w:val="0F4761" w:themeColor="accent1" w:themeShade="BF"/>
          <w:sz w:val="32"/>
          <w:szCs w:val="32"/>
          <w:lang w:eastAsia="zh-CN"/>
        </w:rPr>
        <w:t>Appendix C – Thematic Coding Framework</w:t>
      </w:r>
    </w:p>
    <w:p w14:paraId="10DA1979"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p w14:paraId="1A0FF321"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190"/>
        <w:gridCol w:w="2788"/>
        <w:gridCol w:w="4032"/>
      </w:tblGrid>
      <w:tr w:rsidR="00677147" w:rsidRPr="00677147" w14:paraId="3CE9D2FE" w14:textId="77777777" w:rsidTr="00CC67CB">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EEE6FE" w14:textId="77777777" w:rsidR="00677147" w:rsidRPr="00677147" w:rsidRDefault="00677147" w:rsidP="00677147">
            <w:pPr>
              <w:spacing w:before="100" w:beforeAutospacing="1" w:after="100" w:afterAutospacing="1" w:line="360" w:lineRule="auto"/>
              <w:jc w:val="center"/>
              <w:rPr>
                <w:rFonts w:ascii="Arial" w:hAnsi="Arial" w:cs="Arial"/>
                <w:b/>
                <w:kern w:val="0"/>
                <w:sz w:val="22"/>
                <w:szCs w:val="22"/>
                <w14:ligatures w14:val="none"/>
              </w:rPr>
            </w:pPr>
            <w:r w:rsidRPr="00677147">
              <w:rPr>
                <w:rFonts w:ascii="Arial" w:hAnsi="Arial" w:cs="Arial"/>
                <w:b/>
                <w:kern w:val="0"/>
                <w:sz w:val="22"/>
                <w:szCs w:val="22"/>
                <w14:ligatures w14:val="none"/>
              </w:rPr>
              <w:t>Initial Codes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208C59" w14:textId="77777777" w:rsidR="00677147" w:rsidRPr="00677147" w:rsidRDefault="00677147" w:rsidP="00677147">
            <w:pPr>
              <w:spacing w:before="100" w:beforeAutospacing="1" w:after="100" w:afterAutospacing="1" w:line="360" w:lineRule="auto"/>
              <w:jc w:val="center"/>
              <w:rPr>
                <w:rFonts w:ascii="Arial" w:hAnsi="Arial" w:cs="Arial"/>
                <w:b/>
                <w:kern w:val="0"/>
                <w:sz w:val="22"/>
                <w:szCs w:val="22"/>
                <w14:ligatures w14:val="none"/>
              </w:rPr>
            </w:pPr>
            <w:r w:rsidRPr="00677147">
              <w:rPr>
                <w:rFonts w:ascii="Arial" w:hAnsi="Arial" w:cs="Arial"/>
                <w:b/>
                <w:kern w:val="0"/>
                <w:sz w:val="22"/>
                <w:szCs w:val="22"/>
                <w14:ligatures w14:val="none"/>
              </w:rPr>
              <w:t>Categories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B4DF5D" w14:textId="77777777" w:rsidR="00677147" w:rsidRPr="00677147" w:rsidRDefault="00677147" w:rsidP="00677147">
            <w:pPr>
              <w:spacing w:before="100" w:beforeAutospacing="1" w:after="100" w:afterAutospacing="1" w:line="360" w:lineRule="auto"/>
              <w:jc w:val="center"/>
              <w:rPr>
                <w:rFonts w:ascii="Arial" w:hAnsi="Arial" w:cs="Arial"/>
                <w:b/>
                <w:kern w:val="0"/>
                <w:sz w:val="22"/>
                <w:szCs w:val="22"/>
                <w14:ligatures w14:val="none"/>
              </w:rPr>
            </w:pPr>
            <w:r w:rsidRPr="00677147">
              <w:rPr>
                <w:rFonts w:ascii="Arial" w:hAnsi="Arial" w:cs="Arial"/>
                <w:b/>
                <w:kern w:val="0"/>
                <w:sz w:val="22"/>
                <w:szCs w:val="22"/>
                <w14:ligatures w14:val="none"/>
              </w:rPr>
              <w:t>Final Theme</w:t>
            </w:r>
          </w:p>
        </w:tc>
      </w:tr>
      <w:tr w:rsidR="00677147" w:rsidRPr="00677147" w14:paraId="03F03FB1"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503CCD"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Insulin resistance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397F35"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Metabolic dysfunction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D1DBF5"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1: Physiological Mechanisms of T2DM</w:t>
            </w:r>
          </w:p>
        </w:tc>
      </w:tr>
      <w:tr w:rsidR="00677147" w:rsidRPr="00677147" w14:paraId="1C33C1DE"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C81C2E"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Beta-cell dysfunction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EDD10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Pancreatic dysfunction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77C0FE"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1: Physiological Mechanisms of T2DM</w:t>
            </w:r>
          </w:p>
        </w:tc>
      </w:tr>
      <w:tr w:rsidR="00677147" w:rsidRPr="00677147" w14:paraId="2F3E8B59"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A12337"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Chronic inflammation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D0A5FC"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Age-related metabolic changes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7C867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1: Physiological Mechanisms of T2DM</w:t>
            </w:r>
          </w:p>
        </w:tc>
      </w:tr>
      <w:tr w:rsidR="00677147" w:rsidRPr="00677147" w14:paraId="142EC694"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749733"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Hyperglycaemia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D9260A"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Disease progression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953569"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1: Physiological Mechanisms of T2DM</w:t>
            </w:r>
          </w:p>
        </w:tc>
      </w:tr>
      <w:tr w:rsidR="00677147" w:rsidRPr="00677147" w14:paraId="44F8F89F"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84CF8A"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Cardiovascular disease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1ACEAE"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Long-term complications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77B21F"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2: Long-Term Health Impacts</w:t>
            </w:r>
          </w:p>
        </w:tc>
      </w:tr>
      <w:tr w:rsidR="00677147" w:rsidRPr="00677147" w14:paraId="4D78FF9E"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66CFCC"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Neuropathy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3E7C08"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Long-term complications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291E38"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2: Long-Term Health Impacts</w:t>
            </w:r>
          </w:p>
        </w:tc>
      </w:tr>
      <w:tr w:rsidR="00677147" w:rsidRPr="00677147" w14:paraId="008F3601"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F32FDC"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Nephropathy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7FCE22"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Long-term complications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13C592"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2: Long-Term Health Impacts</w:t>
            </w:r>
          </w:p>
        </w:tc>
      </w:tr>
      <w:tr w:rsidR="00677147" w:rsidRPr="00677147" w14:paraId="33BC5CD4"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176E2D"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Frailty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EA757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Functional decline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A90F4A"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2: Long-Term Health Impacts</w:t>
            </w:r>
          </w:p>
        </w:tc>
      </w:tr>
      <w:tr w:rsidR="00677147" w:rsidRPr="00677147" w14:paraId="7313C1C8"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420DC7"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Patient education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17602F"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Self-management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D1E38F"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3: Management and Support Strategies</w:t>
            </w:r>
          </w:p>
        </w:tc>
      </w:tr>
      <w:tr w:rsidR="00677147" w:rsidRPr="00677147" w14:paraId="3C97FE5F"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FE17E1"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Lifestyle intervention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E7071A"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Prevention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084DA8"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3: Management and Support Strategies</w:t>
            </w:r>
          </w:p>
        </w:tc>
      </w:tr>
      <w:tr w:rsidR="00677147" w:rsidRPr="00677147" w14:paraId="0F2E1961"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06624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Integrated care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F4D02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Service delivery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E22EE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Theme 3: Management and Support Strategies</w:t>
            </w:r>
          </w:p>
        </w:tc>
      </w:tr>
      <w:tr w:rsidR="00677147" w:rsidRPr="00677147" w14:paraId="57CEC395"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906052"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Personalised treatment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CC31F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Patient-centred care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A47951" w14:textId="77777777" w:rsidR="00677147" w:rsidRPr="00677147" w:rsidRDefault="00677147" w:rsidP="00677147">
            <w:pPr>
              <w:spacing w:after="0" w:line="360" w:lineRule="auto"/>
              <w:rPr>
                <w:rFonts w:ascii="Arial" w:hAnsi="Arial" w:cs="Arial"/>
                <w:kern w:val="0"/>
                <w:sz w:val="22"/>
                <w:szCs w:val="22"/>
                <w14:ligatures w14:val="none"/>
              </w:rPr>
            </w:pPr>
            <w:r w:rsidRPr="00677147">
              <w:rPr>
                <w:rFonts w:ascii="Arial" w:hAnsi="Arial" w:cs="Arial"/>
                <w:kern w:val="0"/>
                <w:sz w:val="22"/>
                <w:szCs w:val="22"/>
                <w14:ligatures w14:val="none"/>
              </w:rPr>
              <w:t>Theme 3: Management and Support Strategies</w:t>
            </w:r>
          </w:p>
        </w:tc>
      </w:tr>
    </w:tbl>
    <w:p w14:paraId="32321CF2"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22"/>
          <w:szCs w:val="22"/>
        </w:rPr>
      </w:pPr>
    </w:p>
    <w:p w14:paraId="478D4662"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sz w:val="32"/>
          <w:szCs w:val="32"/>
        </w:rPr>
      </w:pPr>
      <w:r w:rsidRPr="00677147">
        <w:rPr>
          <w:rFonts w:ascii="Arial" w:eastAsiaTheme="majorEastAsia" w:hAnsi="Arial" w:cs="Arial"/>
          <w:b/>
          <w:color w:val="0F4761" w:themeColor="accent1" w:themeShade="BF"/>
          <w:sz w:val="32"/>
          <w:szCs w:val="32"/>
        </w:rPr>
        <w:t xml:space="preserve">Appendix D – CRAAP Test </w:t>
      </w:r>
    </w:p>
    <w:p w14:paraId="11D1E89C" w14:textId="77777777" w:rsidR="00677147" w:rsidRPr="00677147" w:rsidRDefault="00677147" w:rsidP="00677147">
      <w:pPr>
        <w:keepNext/>
        <w:keepLines/>
        <w:spacing w:before="40" w:after="0" w:line="360" w:lineRule="auto"/>
        <w:jc w:val="both"/>
        <w:outlineLvl w:val="1"/>
        <w:rPr>
          <w:rFonts w:ascii="Arial" w:eastAsiaTheme="majorEastAsia" w:hAnsi="Arial" w:cs="Arial"/>
          <w:b/>
          <w:color w:val="0F4761" w:themeColor="accent1" w:themeShade="BF"/>
          <w:kern w:val="0"/>
          <w:sz w:val="32"/>
          <w:szCs w:val="32"/>
          <w14:ligatures w14:val="none"/>
        </w:rPr>
      </w:pPr>
      <w:r w:rsidRPr="00677147">
        <w:rPr>
          <w:rFonts w:ascii="Arial" w:eastAsiaTheme="majorEastAsia" w:hAnsi="Arial" w:cs="Arial"/>
          <w:b/>
          <w:color w:val="0F4761" w:themeColor="accent1" w:themeShade="BF"/>
          <w:kern w:val="0"/>
          <w:sz w:val="32"/>
          <w:szCs w:val="32"/>
          <w14:ligatures w14:val="none"/>
        </w:rPr>
        <w:t>Article Assessed:</w:t>
      </w:r>
    </w:p>
    <w:p w14:paraId="3CD55554"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proofErr w:type="spellStart"/>
      <w:r w:rsidRPr="00677147">
        <w:rPr>
          <w:rFonts w:ascii="Arial" w:hAnsi="Arial" w:cs="Arial"/>
          <w:kern w:val="0"/>
          <w:sz w:val="22"/>
          <w:szCs w:val="22"/>
          <w14:ligatures w14:val="none"/>
        </w:rPr>
        <w:t>Rawshani</w:t>
      </w:r>
      <w:proofErr w:type="spellEnd"/>
      <w:r w:rsidRPr="00677147">
        <w:rPr>
          <w:rFonts w:ascii="Arial" w:hAnsi="Arial" w:cs="Arial"/>
          <w:kern w:val="0"/>
          <w:sz w:val="22"/>
          <w:szCs w:val="22"/>
          <w14:ligatures w14:val="none"/>
        </w:rPr>
        <w:t>, A. et al. (2018) ‘Risk factors, mortality, and cardiovascular outcomes in patients with type 2 diabetes’, New England Journal of Medicine, 379(7), pp. 633–644.</w:t>
      </w:r>
    </w:p>
    <w:p w14:paraId="5F375B3E"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p w14:paraId="69B450A8"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738"/>
        <w:gridCol w:w="7272"/>
      </w:tblGrid>
      <w:tr w:rsidR="00677147" w:rsidRPr="00677147" w14:paraId="6A0863B2" w14:textId="77777777" w:rsidTr="00CC67CB">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8735E4" w14:textId="77777777" w:rsidR="00677147" w:rsidRPr="00677147" w:rsidRDefault="00677147" w:rsidP="00677147">
            <w:pPr>
              <w:spacing w:before="100" w:beforeAutospacing="1" w:after="100" w:afterAutospacing="1" w:line="360" w:lineRule="auto"/>
              <w:jc w:val="center"/>
              <w:rPr>
                <w:rFonts w:ascii="Arial" w:hAnsi="Arial" w:cs="Arial"/>
                <w:b/>
                <w:kern w:val="0"/>
                <w:sz w:val="22"/>
                <w:szCs w:val="22"/>
                <w14:ligatures w14:val="none"/>
              </w:rPr>
            </w:pPr>
            <w:r w:rsidRPr="00677147">
              <w:rPr>
                <w:rFonts w:ascii="Arial" w:hAnsi="Arial" w:cs="Arial"/>
                <w:b/>
                <w:kern w:val="0"/>
                <w:sz w:val="22"/>
                <w:szCs w:val="22"/>
                <w14:ligatures w14:val="none"/>
              </w:rPr>
              <w:t>CRAAP Element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2B4524" w14:textId="77777777" w:rsidR="00677147" w:rsidRPr="00677147" w:rsidRDefault="00677147" w:rsidP="00677147">
            <w:pPr>
              <w:spacing w:before="100" w:beforeAutospacing="1" w:after="100" w:afterAutospacing="1" w:line="360" w:lineRule="auto"/>
              <w:jc w:val="center"/>
              <w:rPr>
                <w:rFonts w:ascii="Arial" w:hAnsi="Arial" w:cs="Arial"/>
                <w:b/>
                <w:kern w:val="0"/>
                <w:sz w:val="22"/>
                <w:szCs w:val="22"/>
                <w14:ligatures w14:val="none"/>
              </w:rPr>
            </w:pPr>
            <w:r w:rsidRPr="00677147">
              <w:rPr>
                <w:rFonts w:ascii="Arial" w:hAnsi="Arial" w:cs="Arial"/>
                <w:b/>
                <w:kern w:val="0"/>
                <w:sz w:val="22"/>
                <w:szCs w:val="22"/>
                <w14:ligatures w14:val="none"/>
              </w:rPr>
              <w:t>Assessment</w:t>
            </w:r>
          </w:p>
        </w:tc>
      </w:tr>
      <w:tr w:rsidR="00677147" w:rsidRPr="00677147" w14:paraId="1E70829D"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E599F9"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Currency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50DE65"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 xml:space="preserve">Published in 2018 and </w:t>
            </w:r>
            <w:bookmarkStart w:id="54" w:name="_Int_5unBJQhZ"/>
            <w:r w:rsidRPr="00677147">
              <w:rPr>
                <w:rFonts w:ascii="Arial" w:hAnsi="Arial" w:cs="Arial"/>
                <w:kern w:val="0"/>
                <w:sz w:val="22"/>
                <w:szCs w:val="22"/>
                <w14:ligatures w14:val="none"/>
              </w:rPr>
              <w:t>remains</w:t>
            </w:r>
            <w:bookmarkEnd w:id="54"/>
            <w:r w:rsidRPr="00677147">
              <w:rPr>
                <w:rFonts w:ascii="Arial" w:hAnsi="Arial" w:cs="Arial"/>
                <w:kern w:val="0"/>
                <w:sz w:val="22"/>
                <w:szCs w:val="22"/>
                <w14:ligatures w14:val="none"/>
              </w:rPr>
              <w:t xml:space="preserve"> highly relevant to current diabetes research</w:t>
            </w:r>
          </w:p>
        </w:tc>
      </w:tr>
      <w:tr w:rsidR="00677147" w:rsidRPr="00677147" w14:paraId="467531E1"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4F842B"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Relevance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8E5C3B"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Directly examines long-term outcomes and mortality associated with T2DM</w:t>
            </w:r>
          </w:p>
        </w:tc>
      </w:tr>
      <w:tr w:rsidR="00677147" w:rsidRPr="00677147" w14:paraId="2901A5BB"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07548A"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Authority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42F6C4"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Published in the New England Journal of Medicine, a high-impact peer-reviewed journal</w:t>
            </w:r>
          </w:p>
        </w:tc>
      </w:tr>
      <w:tr w:rsidR="00677147" w:rsidRPr="00677147" w14:paraId="69B42E8E"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3FB952"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Accuracy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B55616"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 xml:space="preserve">Large population sample, robust </w:t>
            </w:r>
            <w:bookmarkStart w:id="55" w:name="_Int_4XjocZ2e"/>
            <w:r w:rsidRPr="00677147">
              <w:rPr>
                <w:rFonts w:ascii="Arial" w:hAnsi="Arial" w:cs="Arial"/>
                <w:kern w:val="0"/>
                <w:sz w:val="22"/>
                <w:szCs w:val="22"/>
                <w14:ligatures w14:val="none"/>
              </w:rPr>
              <w:t>methodology</w:t>
            </w:r>
            <w:bookmarkEnd w:id="55"/>
            <w:r w:rsidRPr="00677147">
              <w:rPr>
                <w:rFonts w:ascii="Arial" w:hAnsi="Arial" w:cs="Arial"/>
                <w:kern w:val="0"/>
                <w:sz w:val="22"/>
                <w:szCs w:val="22"/>
                <w14:ligatures w14:val="none"/>
              </w:rPr>
              <w:t>, statistically significant findings</w:t>
            </w:r>
          </w:p>
        </w:tc>
      </w:tr>
      <w:tr w:rsidR="00677147" w:rsidRPr="00677147" w14:paraId="704DD697" w14:textId="77777777" w:rsidTr="00CC67C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6AF000"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Purpose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8617D9"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Inform clinical practice and improve understanding of diabetes outcomes</w:t>
            </w:r>
          </w:p>
        </w:tc>
      </w:tr>
    </w:tbl>
    <w:p w14:paraId="752E5B3C"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p w14:paraId="0E6EFAB8"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p w14:paraId="52952A4D" w14:textId="77777777" w:rsidR="00677147" w:rsidRPr="00677147" w:rsidRDefault="00677147" w:rsidP="00677147">
      <w:pPr>
        <w:spacing w:before="100" w:beforeAutospacing="1" w:after="100" w:afterAutospacing="1" w:line="360" w:lineRule="auto"/>
        <w:rPr>
          <w:rFonts w:ascii="Arial" w:hAnsi="Arial" w:cs="Arial"/>
          <w:kern w:val="0"/>
          <w:sz w:val="22"/>
          <w:szCs w:val="22"/>
          <w14:ligatures w14:val="none"/>
        </w:rPr>
      </w:pPr>
      <w:r w:rsidRPr="00677147">
        <w:rPr>
          <w:rFonts w:ascii="Arial" w:hAnsi="Arial" w:cs="Arial"/>
          <w:kern w:val="0"/>
          <w:sz w:val="22"/>
          <w:szCs w:val="22"/>
          <w14:ligatures w14:val="none"/>
        </w:rPr>
        <w:t xml:space="preserve">Decision: Included within final literature review due to high academic quality and direct relevance to the research </w:t>
      </w:r>
      <w:bookmarkStart w:id="56" w:name="_Int_uzZsCgyY"/>
      <w:r w:rsidRPr="00677147">
        <w:rPr>
          <w:rFonts w:ascii="Arial" w:hAnsi="Arial" w:cs="Arial"/>
          <w:kern w:val="0"/>
          <w:sz w:val="22"/>
          <w:szCs w:val="22"/>
          <w14:ligatures w14:val="none"/>
        </w:rPr>
        <w:t>objectives</w:t>
      </w:r>
      <w:bookmarkEnd w:id="56"/>
      <w:r w:rsidRPr="00677147">
        <w:rPr>
          <w:rFonts w:ascii="Arial" w:hAnsi="Arial" w:cs="Arial"/>
          <w:kern w:val="0"/>
          <w:sz w:val="22"/>
          <w:szCs w:val="22"/>
          <w14:ligatures w14:val="none"/>
        </w:rPr>
        <w:t>.</w:t>
      </w:r>
    </w:p>
    <w:p w14:paraId="3F84B46C"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p w14:paraId="610A7504" w14:textId="77777777" w:rsidR="00677147" w:rsidRPr="00677147" w:rsidRDefault="00677147" w:rsidP="00677147">
      <w:pPr>
        <w:widowControl w:val="0"/>
        <w:autoSpaceDE w:val="0"/>
        <w:autoSpaceDN w:val="0"/>
        <w:spacing w:after="0" w:line="360" w:lineRule="auto"/>
        <w:outlineLvl w:val="0"/>
        <w:rPr>
          <w:rFonts w:ascii="Arial" w:eastAsia="Calibri Light" w:hAnsi="Arial" w:cs="Arial"/>
          <w:b/>
          <w:bCs/>
          <w:kern w:val="0"/>
          <w:sz w:val="22"/>
          <w:szCs w:val="22"/>
          <w:lang w:bidi="en-GB"/>
          <w14:ligatures w14:val="none"/>
        </w:rPr>
      </w:pPr>
    </w:p>
    <w:p w14:paraId="6937F5DD" w14:textId="77777777" w:rsidR="00677147" w:rsidRPr="00677147" w:rsidRDefault="00677147" w:rsidP="00677147">
      <w:pPr>
        <w:keepNext/>
        <w:keepLines/>
        <w:spacing w:before="480" w:after="0" w:line="360" w:lineRule="auto"/>
        <w:jc w:val="center"/>
        <w:outlineLvl w:val="0"/>
        <w:rPr>
          <w:rFonts w:ascii="Arial" w:eastAsiaTheme="majorEastAsia" w:hAnsi="Arial" w:cs="Arial"/>
          <w:b/>
          <w:bCs/>
          <w:color w:val="0F4761" w:themeColor="accent1" w:themeShade="BF"/>
          <w:kern w:val="0"/>
          <w:sz w:val="22"/>
          <w:szCs w:val="22"/>
          <w:lang w:val="en-US" w:eastAsia="en-US"/>
          <w14:ligatures w14:val="none"/>
        </w:rPr>
      </w:pPr>
      <w:r w:rsidRPr="00677147">
        <w:rPr>
          <w:rFonts w:ascii="Arial" w:eastAsiaTheme="majorEastAsia" w:hAnsi="Arial" w:cs="Arial"/>
          <w:b/>
          <w:bCs/>
          <w:color w:val="0F4761" w:themeColor="accent1" w:themeShade="BF"/>
          <w:kern w:val="0"/>
          <w:sz w:val="22"/>
          <w:szCs w:val="22"/>
          <w:lang w:val="en-US" w:eastAsia="en-US"/>
          <w14:ligatures w14:val="none"/>
        </w:rPr>
        <w:br/>
      </w:r>
    </w:p>
    <w:p w14:paraId="22E01034" w14:textId="77777777" w:rsidR="00677147" w:rsidRPr="00677147" w:rsidRDefault="00677147" w:rsidP="00677147">
      <w:pPr>
        <w:spacing w:after="200" w:line="360" w:lineRule="auto"/>
        <w:rPr>
          <w:rFonts w:ascii="Arial" w:hAnsi="Arial" w:cs="Arial"/>
          <w:kern w:val="0"/>
          <w:sz w:val="22"/>
          <w:szCs w:val="22"/>
          <w:lang w:val="en-US" w:eastAsia="en-US"/>
          <w14:ligatures w14:val="none"/>
        </w:rPr>
      </w:pPr>
    </w:p>
    <w:p w14:paraId="08DA6A78" w14:textId="77777777" w:rsidR="00677147" w:rsidRPr="00677147" w:rsidRDefault="00677147" w:rsidP="00677147">
      <w:pPr>
        <w:spacing w:line="360" w:lineRule="auto"/>
        <w:jc w:val="both"/>
        <w:rPr>
          <w:rFonts w:ascii="Arial" w:hAnsi="Arial" w:cs="Arial"/>
          <w:sz w:val="22"/>
          <w:szCs w:val="22"/>
          <w:lang w:eastAsia="zh-CN"/>
        </w:rPr>
      </w:pPr>
    </w:p>
    <w:p w14:paraId="01C79D51" w14:textId="77777777" w:rsidR="00D6248B" w:rsidRPr="00D6248B" w:rsidRDefault="00D6248B" w:rsidP="00D6248B">
      <w:pPr>
        <w:spacing w:line="360" w:lineRule="auto"/>
        <w:jc w:val="both"/>
        <w:rPr>
          <w:rFonts w:ascii="Arial" w:hAnsi="Arial" w:cs="Arial"/>
          <w:sz w:val="22"/>
          <w:szCs w:val="22"/>
          <w:lang w:eastAsia="zh-CN"/>
        </w:rPr>
      </w:pPr>
    </w:p>
    <w:p w14:paraId="61EAD45C" w14:textId="77777777" w:rsidR="00D6248B" w:rsidRPr="00D6248B" w:rsidRDefault="00D6248B" w:rsidP="00D6248B">
      <w:pPr>
        <w:spacing w:line="360" w:lineRule="auto"/>
        <w:jc w:val="both"/>
        <w:rPr>
          <w:rFonts w:ascii="Arial" w:hAnsi="Arial" w:cs="Arial"/>
          <w:sz w:val="22"/>
          <w:szCs w:val="22"/>
          <w:lang w:eastAsia="zh-CN"/>
        </w:rPr>
      </w:pPr>
    </w:p>
    <w:p w14:paraId="08E1C683" w14:textId="77777777" w:rsidR="00D6248B" w:rsidRPr="00D6248B" w:rsidRDefault="00D6248B" w:rsidP="00D6248B">
      <w:pPr>
        <w:spacing w:line="360" w:lineRule="auto"/>
        <w:jc w:val="both"/>
        <w:rPr>
          <w:rFonts w:ascii="Arial" w:hAnsi="Arial" w:cs="Arial"/>
          <w:sz w:val="22"/>
          <w:szCs w:val="22"/>
          <w:lang w:eastAsia="zh-CN"/>
        </w:rPr>
      </w:pPr>
    </w:p>
    <w:p w14:paraId="58894816" w14:textId="77777777" w:rsidR="00D6248B" w:rsidRPr="00D6248B" w:rsidRDefault="00D6248B" w:rsidP="00D6248B">
      <w:pPr>
        <w:spacing w:line="360" w:lineRule="auto"/>
        <w:jc w:val="both"/>
        <w:rPr>
          <w:rFonts w:ascii="Arial" w:hAnsi="Arial" w:cs="Arial"/>
          <w:sz w:val="22"/>
          <w:szCs w:val="22"/>
          <w:lang w:eastAsia="zh-CN"/>
        </w:rPr>
      </w:pPr>
    </w:p>
    <w:p w14:paraId="259F4C2F" w14:textId="77777777" w:rsidR="00D6248B" w:rsidRPr="00D6248B" w:rsidRDefault="00D6248B" w:rsidP="00D6248B">
      <w:pPr>
        <w:spacing w:line="360" w:lineRule="auto"/>
        <w:jc w:val="both"/>
        <w:rPr>
          <w:rFonts w:ascii="Arial" w:hAnsi="Arial" w:cs="Arial"/>
          <w:sz w:val="22"/>
          <w:szCs w:val="22"/>
          <w:lang w:eastAsia="zh-CN"/>
        </w:rPr>
      </w:pPr>
    </w:p>
    <w:p w14:paraId="6B3A78E5" w14:textId="77777777" w:rsidR="00D6248B" w:rsidRPr="00D6248B" w:rsidRDefault="00D6248B" w:rsidP="00D6248B">
      <w:pPr>
        <w:spacing w:line="360" w:lineRule="auto"/>
        <w:jc w:val="both"/>
        <w:rPr>
          <w:rFonts w:ascii="Arial" w:hAnsi="Arial" w:cs="Arial"/>
          <w:sz w:val="22"/>
          <w:szCs w:val="22"/>
          <w:lang w:eastAsia="zh-CN"/>
        </w:rPr>
      </w:pPr>
    </w:p>
    <w:p w14:paraId="3D3CD085" w14:textId="77777777" w:rsidR="00D6248B" w:rsidRPr="00D6248B" w:rsidRDefault="00D6248B" w:rsidP="00D6248B">
      <w:pPr>
        <w:spacing w:line="360" w:lineRule="auto"/>
        <w:jc w:val="both"/>
        <w:rPr>
          <w:rFonts w:ascii="Arial" w:hAnsi="Arial" w:cs="Arial"/>
          <w:sz w:val="22"/>
          <w:szCs w:val="22"/>
          <w:lang w:eastAsia="zh-CN"/>
        </w:rPr>
      </w:pPr>
    </w:p>
    <w:p w14:paraId="6118445F" w14:textId="77777777" w:rsidR="00D6248B" w:rsidRPr="00D6248B" w:rsidRDefault="00D6248B" w:rsidP="00D6248B">
      <w:pPr>
        <w:spacing w:line="360" w:lineRule="auto"/>
        <w:jc w:val="both"/>
        <w:rPr>
          <w:rFonts w:ascii="Arial" w:hAnsi="Arial" w:cs="Arial"/>
          <w:sz w:val="22"/>
          <w:szCs w:val="22"/>
          <w:lang w:eastAsia="zh-CN"/>
        </w:rPr>
      </w:pPr>
    </w:p>
    <w:p w14:paraId="7B03EA58" w14:textId="77777777" w:rsidR="00D6248B" w:rsidRPr="00D6248B" w:rsidRDefault="00D6248B" w:rsidP="00D6248B">
      <w:pPr>
        <w:spacing w:line="360" w:lineRule="auto"/>
        <w:jc w:val="both"/>
        <w:rPr>
          <w:rFonts w:ascii="Arial" w:hAnsi="Arial" w:cs="Arial"/>
          <w:sz w:val="22"/>
          <w:szCs w:val="22"/>
          <w:lang w:eastAsia="zh-CN"/>
        </w:rPr>
      </w:pPr>
    </w:p>
    <w:p w14:paraId="60421925" w14:textId="77777777" w:rsidR="00D6248B" w:rsidRPr="00D6248B" w:rsidRDefault="00D6248B" w:rsidP="00D6248B">
      <w:pPr>
        <w:spacing w:line="360" w:lineRule="auto"/>
        <w:jc w:val="both"/>
        <w:rPr>
          <w:rFonts w:ascii="Arial" w:hAnsi="Arial" w:cs="Arial"/>
          <w:sz w:val="22"/>
          <w:szCs w:val="22"/>
          <w:lang w:eastAsia="zh-CN"/>
        </w:rPr>
      </w:pPr>
    </w:p>
    <w:p w14:paraId="62CB7EED" w14:textId="77777777" w:rsidR="00D6248B" w:rsidRPr="00D6248B" w:rsidRDefault="00D6248B" w:rsidP="00D6248B">
      <w:pPr>
        <w:spacing w:line="360" w:lineRule="auto"/>
        <w:jc w:val="both"/>
        <w:rPr>
          <w:rFonts w:ascii="Arial" w:hAnsi="Arial" w:cs="Arial"/>
          <w:sz w:val="22"/>
          <w:szCs w:val="22"/>
          <w:lang w:eastAsia="zh-CN"/>
        </w:rPr>
      </w:pPr>
    </w:p>
    <w:p w14:paraId="33D125D0" w14:textId="77777777" w:rsidR="00D6248B" w:rsidRPr="00D6248B" w:rsidRDefault="00D6248B" w:rsidP="00D6248B">
      <w:pPr>
        <w:spacing w:line="360" w:lineRule="auto"/>
        <w:jc w:val="both"/>
        <w:rPr>
          <w:rFonts w:ascii="Arial" w:hAnsi="Arial" w:cs="Arial"/>
          <w:sz w:val="22"/>
          <w:szCs w:val="22"/>
          <w:lang w:eastAsia="zh-CN"/>
        </w:rPr>
      </w:pPr>
    </w:p>
    <w:p w14:paraId="79A45C9F" w14:textId="77777777" w:rsidR="00D6248B" w:rsidRPr="00D6248B" w:rsidRDefault="00D6248B" w:rsidP="00D6248B">
      <w:pPr>
        <w:spacing w:line="360" w:lineRule="auto"/>
        <w:jc w:val="both"/>
        <w:rPr>
          <w:rFonts w:ascii="Arial" w:hAnsi="Arial" w:cs="Arial"/>
          <w:sz w:val="22"/>
          <w:szCs w:val="22"/>
          <w:lang w:eastAsia="zh-CN"/>
        </w:rPr>
      </w:pPr>
    </w:p>
    <w:p w14:paraId="31824B94" w14:textId="77777777" w:rsidR="00D6248B" w:rsidRPr="00D6248B" w:rsidRDefault="00D6248B" w:rsidP="00D6248B">
      <w:pPr>
        <w:spacing w:line="360" w:lineRule="auto"/>
        <w:jc w:val="both"/>
        <w:rPr>
          <w:rFonts w:ascii="Arial" w:hAnsi="Arial" w:cs="Arial"/>
          <w:sz w:val="22"/>
          <w:szCs w:val="22"/>
          <w:lang w:eastAsia="zh-CN"/>
        </w:rPr>
      </w:pPr>
    </w:p>
    <w:p w14:paraId="6E9A445B" w14:textId="77777777" w:rsidR="00D6248B" w:rsidRPr="00D6248B" w:rsidRDefault="00D6248B" w:rsidP="00D6248B">
      <w:pPr>
        <w:spacing w:line="360" w:lineRule="auto"/>
        <w:jc w:val="both"/>
        <w:rPr>
          <w:rFonts w:ascii="Arial" w:hAnsi="Arial" w:cs="Arial"/>
          <w:sz w:val="22"/>
          <w:szCs w:val="22"/>
          <w:lang w:eastAsia="zh-CN"/>
        </w:rPr>
      </w:pPr>
    </w:p>
    <w:p w14:paraId="2FDB2E74" w14:textId="77777777" w:rsidR="00D6248B" w:rsidRDefault="00D6248B"/>
    <w:sectPr w:rsidR="00D624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48B"/>
    <w:rsid w:val="00200670"/>
    <w:rsid w:val="00223CA2"/>
    <w:rsid w:val="00241775"/>
    <w:rsid w:val="002614C1"/>
    <w:rsid w:val="002645EE"/>
    <w:rsid w:val="003833E2"/>
    <w:rsid w:val="004178EA"/>
    <w:rsid w:val="00424307"/>
    <w:rsid w:val="004B743B"/>
    <w:rsid w:val="00574064"/>
    <w:rsid w:val="00677147"/>
    <w:rsid w:val="0072445E"/>
    <w:rsid w:val="00727135"/>
    <w:rsid w:val="00793E97"/>
    <w:rsid w:val="00830354"/>
    <w:rsid w:val="0092534E"/>
    <w:rsid w:val="009812E8"/>
    <w:rsid w:val="009D237A"/>
    <w:rsid w:val="00B54816"/>
    <w:rsid w:val="00CC67CB"/>
    <w:rsid w:val="00D6248B"/>
    <w:rsid w:val="00E54181"/>
    <w:rsid w:val="00EA0210"/>
    <w:rsid w:val="00EA0DB6"/>
    <w:rsid w:val="00F45BC2"/>
    <w:rsid w:val="00F5085E"/>
    <w:rsid w:val="00FE5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BB7A4"/>
  <w15:chartTrackingRefBased/>
  <w15:docId w15:val="{E3AEF043-8757-4D21-986B-A24862CE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4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24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4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624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624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4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4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4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4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4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24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4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624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624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4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4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4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48B"/>
    <w:rPr>
      <w:rFonts w:eastAsiaTheme="majorEastAsia" w:cstheme="majorBidi"/>
      <w:color w:val="272727" w:themeColor="text1" w:themeTint="D8"/>
    </w:rPr>
  </w:style>
  <w:style w:type="paragraph" w:styleId="Title">
    <w:name w:val="Title"/>
    <w:basedOn w:val="Normal"/>
    <w:next w:val="Normal"/>
    <w:link w:val="TitleChar"/>
    <w:uiPriority w:val="10"/>
    <w:qFormat/>
    <w:rsid w:val="00D624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4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4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4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48B"/>
    <w:pPr>
      <w:spacing w:before="160"/>
      <w:jc w:val="center"/>
    </w:pPr>
    <w:rPr>
      <w:i/>
      <w:iCs/>
      <w:color w:val="404040" w:themeColor="text1" w:themeTint="BF"/>
    </w:rPr>
  </w:style>
  <w:style w:type="character" w:customStyle="1" w:styleId="QuoteChar">
    <w:name w:val="Quote Char"/>
    <w:basedOn w:val="DefaultParagraphFont"/>
    <w:link w:val="Quote"/>
    <w:uiPriority w:val="29"/>
    <w:rsid w:val="00D6248B"/>
    <w:rPr>
      <w:i/>
      <w:iCs/>
      <w:color w:val="404040" w:themeColor="text1" w:themeTint="BF"/>
    </w:rPr>
  </w:style>
  <w:style w:type="paragraph" w:styleId="ListParagraph">
    <w:name w:val="List Paragraph"/>
    <w:basedOn w:val="Normal"/>
    <w:uiPriority w:val="34"/>
    <w:qFormat/>
    <w:rsid w:val="00D6248B"/>
    <w:pPr>
      <w:ind w:left="720"/>
      <w:contextualSpacing/>
    </w:pPr>
  </w:style>
  <w:style w:type="character" w:styleId="IntenseEmphasis">
    <w:name w:val="Intense Emphasis"/>
    <w:basedOn w:val="DefaultParagraphFont"/>
    <w:uiPriority w:val="21"/>
    <w:qFormat/>
    <w:rsid w:val="00D6248B"/>
    <w:rPr>
      <w:i/>
      <w:iCs/>
      <w:color w:val="0F4761" w:themeColor="accent1" w:themeShade="BF"/>
    </w:rPr>
  </w:style>
  <w:style w:type="paragraph" w:styleId="IntenseQuote">
    <w:name w:val="Intense Quote"/>
    <w:basedOn w:val="Normal"/>
    <w:next w:val="Normal"/>
    <w:link w:val="IntenseQuoteChar"/>
    <w:uiPriority w:val="30"/>
    <w:qFormat/>
    <w:rsid w:val="00D624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48B"/>
    <w:rPr>
      <w:i/>
      <w:iCs/>
      <w:color w:val="0F4761" w:themeColor="accent1" w:themeShade="BF"/>
    </w:rPr>
  </w:style>
  <w:style w:type="character" w:styleId="IntenseReference">
    <w:name w:val="Intense Reference"/>
    <w:basedOn w:val="DefaultParagraphFont"/>
    <w:uiPriority w:val="32"/>
    <w:qFormat/>
    <w:rsid w:val="00D6248B"/>
    <w:rPr>
      <w:b/>
      <w:bCs/>
      <w:smallCaps/>
      <w:color w:val="0F4761" w:themeColor="accent1" w:themeShade="BF"/>
      <w:spacing w:val="5"/>
    </w:rPr>
  </w:style>
  <w:style w:type="table" w:styleId="TableGrid">
    <w:name w:val="Table Grid"/>
    <w:basedOn w:val="TableNormal"/>
    <w:uiPriority w:val="59"/>
    <w:rsid w:val="00D6248B"/>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6248B"/>
    <w:rPr>
      <w:b/>
      <w:bCs/>
    </w:rPr>
  </w:style>
  <w:style w:type="character" w:customStyle="1" w:styleId="s1">
    <w:name w:val="s1"/>
    <w:basedOn w:val="DefaultParagraphFont"/>
    <w:rsid w:val="00D6248B"/>
  </w:style>
  <w:style w:type="paragraph" w:customStyle="1" w:styleId="p1">
    <w:name w:val="p1"/>
    <w:basedOn w:val="Normal"/>
    <w:rsid w:val="00D6248B"/>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D6248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77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00125-019-4882-7" TargetMode="External"/><Relationship Id="rId18" Type="http://schemas.openxmlformats.org/officeDocument/2006/relationships/hyperlink" Target="https://doi.org/10.1016/S1474-4422(17)30375-3" TargetMode="External"/><Relationship Id="rId26" Type="http://schemas.openxmlformats.org/officeDocument/2006/relationships/hyperlink" Target="tel:2461-2498" TargetMode="External"/><Relationship Id="rId39" Type="http://schemas.openxmlformats.org/officeDocument/2006/relationships/hyperlink" Target="https://diabetesatlas.org" TargetMode="External"/><Relationship Id="rId21" Type="http://schemas.openxmlformats.org/officeDocument/2006/relationships/hyperlink" Target="https://doi.org/10.3389/fendo.2013.00037" TargetMode="External"/><Relationship Id="rId34" Type="http://schemas.openxmlformats.org/officeDocument/2006/relationships/hyperlink" Target="https://doi.org/10.3389/fragi.2021.685512" TargetMode="External"/><Relationship Id="rId42" Type="http://schemas.openxmlformats.org/officeDocument/2006/relationships/hyperlink" Target="https://www.longtermplan.nhs.uk" TargetMode="External"/><Relationship Id="rId47" Type="http://schemas.openxmlformats.org/officeDocument/2006/relationships/hyperlink" Target="https://fingertips.phe.org.uk" TargetMode="External"/><Relationship Id="rId50" Type="http://schemas.openxmlformats.org/officeDocument/2006/relationships/hyperlink" Target="https://doi.org/10.2147/DMSO.S319857" TargetMode="External"/><Relationship Id="rId55" Type="http://schemas.openxmlformats.org/officeDocument/2006/relationships/hyperlink" Target="https://doi.org/10.2337/db16-0806"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oi.org/10.1007/s00125-006-0357-9" TargetMode="External"/><Relationship Id="rId29" Type="http://schemas.openxmlformats.org/officeDocument/2006/relationships/hyperlink" Target="https://doi.org/10.1038/nrdp.2015.19" TargetMode="External"/><Relationship Id="rId11" Type="http://schemas.openxmlformats.org/officeDocument/2006/relationships/hyperlink" Target="https://doi.org/10.1038/nrneurol.2017.185" TargetMode="External"/><Relationship Id="rId24" Type="http://schemas.openxmlformats.org/officeDocument/2006/relationships/hyperlink" Target="https://doi.org/10.1016/j.diabres.2018.02.023" TargetMode="External"/><Relationship Id="rId32" Type="http://schemas.openxmlformats.org/officeDocument/2006/relationships/hyperlink" Target="https://doi.org/10.1016/S0140-6736(10)60484-9" TargetMode="External"/><Relationship Id="rId37" Type="http://schemas.openxmlformats.org/officeDocument/2006/relationships/hyperlink" Target="https://doi.org/10.1016/j.dsx.2019.01.040" TargetMode="External"/><Relationship Id="rId40" Type="http://schemas.openxmlformats.org/officeDocument/2006/relationships/hyperlink" Target="https://doi.org/10.2337/dci17-0005" TargetMode="External"/><Relationship Id="rId45" Type="http://schemas.openxmlformats.org/officeDocument/2006/relationships/hyperlink" Target="https://doi.org/10.1056/NEJMra1110560" TargetMode="External"/><Relationship Id="rId53" Type="http://schemas.openxmlformats.org/officeDocument/2006/relationships/hyperlink" Target="https://doi.org/10.1016/S0140-6736(12)60227-4" TargetMode="External"/><Relationship Id="rId58" Type="http://schemas.openxmlformats.org/officeDocument/2006/relationships/hyperlink" Target="https://www.who.int" TargetMode="Externa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hyperlink" Target="https://www.birmingham.gov.uk" TargetMode="External"/><Relationship Id="rId14" Type="http://schemas.openxmlformats.org/officeDocument/2006/relationships/hyperlink" Target="https://doi.org/10.1016/S0738-3991(02)00032-0" TargetMode="External"/><Relationship Id="rId22" Type="http://schemas.openxmlformats.org/officeDocument/2006/relationships/hyperlink" Target="tel:2239-2251" TargetMode="External"/><Relationship Id="rId27" Type="http://schemas.openxmlformats.org/officeDocument/2006/relationships/hyperlink" Target="https://doi.org/10.1007/s00125-018-4729-5" TargetMode="External"/><Relationship Id="rId30" Type="http://schemas.openxmlformats.org/officeDocument/2006/relationships/hyperlink" Target="https://www.diabetes.org.uk" TargetMode="External"/><Relationship Id="rId35" Type="http://schemas.openxmlformats.org/officeDocument/2006/relationships/hyperlink" Target="https://doi.org/10.3390/ijms21176275" TargetMode="External"/><Relationship Id="rId43" Type="http://schemas.openxmlformats.org/officeDocument/2006/relationships/hyperlink" Target="https://www.nice.org.uk/guidance/ng28" TargetMode="External"/><Relationship Id="rId48" Type="http://schemas.openxmlformats.org/officeDocument/2006/relationships/hyperlink" Target="https://doi.org/10.1056/NEJMoa1800256" TargetMode="External"/><Relationship Id="rId56" Type="http://schemas.openxmlformats.org/officeDocument/2006/relationships/hyperlink" Target="https://doi.org/10.1016/j.jbusres.2019.07.039" TargetMode="External"/><Relationship Id="rId8" Type="http://schemas.openxmlformats.org/officeDocument/2006/relationships/hyperlink" Target="https://doi.org/10.1038/s41574-025-01114-y" TargetMode="External"/><Relationship Id="rId51" Type="http://schemas.openxmlformats.org/officeDocument/2006/relationships/hyperlink" Target="https://doi.org/10.1016/j.diabres.2019.107843" TargetMode="External"/><Relationship Id="rId3" Type="http://schemas.openxmlformats.org/officeDocument/2006/relationships/settings" Target="settings.xml"/><Relationship Id="rId12" Type="http://schemas.openxmlformats.org/officeDocument/2006/relationships/hyperlink" Target="https://www.frontiersin.org/articles/10.3389/fpubh.2024.1477418" TargetMode="External"/><Relationship Id="rId17" Type="http://schemas.openxmlformats.org/officeDocument/2006/relationships/hyperlink" Target="https://doi.org/10.1038/s41574-021-00512-z" TargetMode="External"/><Relationship Id="rId25" Type="http://schemas.openxmlformats.org/officeDocument/2006/relationships/hyperlink" Target="https://doi.org/10.1093/pubmed/fdi066" TargetMode="External"/><Relationship Id="rId33" Type="http://schemas.openxmlformats.org/officeDocument/2006/relationships/hyperlink" Target="https://doi.org/10.1126/science.847460" TargetMode="External"/><Relationship Id="rId38" Type="http://schemas.openxmlformats.org/officeDocument/2006/relationships/hyperlink" Target="https://doi.org/10.1056/NEJMoa0806470" TargetMode="External"/><Relationship Id="rId46" Type="http://schemas.openxmlformats.org/officeDocument/2006/relationships/hyperlink" Target="https://doi.org/10.2337/dc16-2042" TargetMode="External"/><Relationship Id="rId59" Type="http://schemas.openxmlformats.org/officeDocument/2006/relationships/hyperlink" Target="https://doi.org/10.1038/nrendo.2017.151" TargetMode="External"/><Relationship Id="rId20" Type="http://schemas.openxmlformats.org/officeDocument/2006/relationships/hyperlink" Target="https://doi.org/10.1191/1478088706qp063oa" TargetMode="External"/><Relationship Id="rId41" Type="http://schemas.openxmlformats.org/officeDocument/2006/relationships/hyperlink" Target="https://digital.nhs.uk" TargetMode="External"/><Relationship Id="rId54" Type="http://schemas.openxmlformats.org/officeDocument/2006/relationships/hyperlink" Target="https://doi.org/10.1016/j.diabres.2020.108078"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tel:2234-2246" TargetMode="External"/><Relationship Id="rId23" Type="http://schemas.openxmlformats.org/officeDocument/2006/relationships/hyperlink" Target="https://doi.org/10.1016/S0140-6736(17)30058-2" TargetMode="External"/><Relationship Id="rId28" Type="http://schemas.openxmlformats.org/officeDocument/2006/relationships/hyperlink" Target="https://doi.org/10.2337/db09-9028" TargetMode="External"/><Relationship Id="rId36" Type="http://schemas.openxmlformats.org/officeDocument/2006/relationships/hyperlink" Target="https://doi.org/10.2337/dc11-1162" TargetMode="External"/><Relationship Id="rId49" Type="http://schemas.openxmlformats.org/officeDocument/2006/relationships/hyperlink" Target="tel:3567-3602" TargetMode="External"/><Relationship Id="rId57" Type="http://schemas.openxmlformats.org/officeDocument/2006/relationships/hyperlink" Target="https://doi.org/10.1016/S0140-6736(98)07019-6" TargetMode="External"/><Relationship Id="rId10" Type="http://schemas.openxmlformats.org/officeDocument/2006/relationships/hyperlink" Target="https://doi.org/10.2337/dc23-S002" TargetMode="External"/><Relationship Id="rId31" Type="http://schemas.openxmlformats.org/officeDocument/2006/relationships/hyperlink" Target="tel:2215-2222" TargetMode="External"/><Relationship Id="rId44" Type="http://schemas.openxmlformats.org/officeDocument/2006/relationships/hyperlink" Target="https://doi.org/10.1136/bmj.n71" TargetMode="External"/><Relationship Id="rId52" Type="http://schemas.openxmlformats.org/officeDocument/2006/relationships/hyperlink" Target="https://doi.org/10.4239/wjd.v1.i3.68"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S2213-8587(18)3005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8849</Words>
  <Characters>50440</Characters>
  <Application>Microsoft Office Word</Application>
  <DocSecurity>4</DocSecurity>
  <Lines>420</Lines>
  <Paragraphs>118</Paragraphs>
  <ScaleCrop>false</ScaleCrop>
  <Company/>
  <LinksUpToDate>false</LinksUpToDate>
  <CharactersWithSpaces>59171</CharactersWithSpaces>
  <SharedDoc>false</SharedDoc>
  <HLinks>
    <vt:vector size="312" baseType="variant">
      <vt:variant>
        <vt:i4>8060965</vt:i4>
      </vt:variant>
      <vt:variant>
        <vt:i4>153</vt:i4>
      </vt:variant>
      <vt:variant>
        <vt:i4>0</vt:i4>
      </vt:variant>
      <vt:variant>
        <vt:i4>5</vt:i4>
      </vt:variant>
      <vt:variant>
        <vt:lpwstr>https://doi.org/10.1038/nrendo.2017.151</vt:lpwstr>
      </vt:variant>
      <vt:variant>
        <vt:lpwstr/>
      </vt:variant>
      <vt:variant>
        <vt:i4>5177413</vt:i4>
      </vt:variant>
      <vt:variant>
        <vt:i4>150</vt:i4>
      </vt:variant>
      <vt:variant>
        <vt:i4>0</vt:i4>
      </vt:variant>
      <vt:variant>
        <vt:i4>5</vt:i4>
      </vt:variant>
      <vt:variant>
        <vt:lpwstr>https://www.who.int/</vt:lpwstr>
      </vt:variant>
      <vt:variant>
        <vt:lpwstr/>
      </vt:variant>
      <vt:variant>
        <vt:i4>65538</vt:i4>
      </vt:variant>
      <vt:variant>
        <vt:i4>147</vt:i4>
      </vt:variant>
      <vt:variant>
        <vt:i4>0</vt:i4>
      </vt:variant>
      <vt:variant>
        <vt:i4>5</vt:i4>
      </vt:variant>
      <vt:variant>
        <vt:lpwstr>https://doi.org/10.1016/S0140-6736(98)07019-6</vt:lpwstr>
      </vt:variant>
      <vt:variant>
        <vt:lpwstr/>
      </vt:variant>
      <vt:variant>
        <vt:i4>4325378</vt:i4>
      </vt:variant>
      <vt:variant>
        <vt:i4>144</vt:i4>
      </vt:variant>
      <vt:variant>
        <vt:i4>0</vt:i4>
      </vt:variant>
      <vt:variant>
        <vt:i4>5</vt:i4>
      </vt:variant>
      <vt:variant>
        <vt:lpwstr>https://doi.org/10.1016/j.jbusres.2019.07.039</vt:lpwstr>
      </vt:variant>
      <vt:variant>
        <vt:lpwstr/>
      </vt:variant>
      <vt:variant>
        <vt:i4>4653086</vt:i4>
      </vt:variant>
      <vt:variant>
        <vt:i4>141</vt:i4>
      </vt:variant>
      <vt:variant>
        <vt:i4>0</vt:i4>
      </vt:variant>
      <vt:variant>
        <vt:i4>5</vt:i4>
      </vt:variant>
      <vt:variant>
        <vt:lpwstr>https://doi.org/10.2337/db16-0806</vt:lpwstr>
      </vt:variant>
      <vt:variant>
        <vt:lpwstr/>
      </vt:variant>
      <vt:variant>
        <vt:i4>4325404</vt:i4>
      </vt:variant>
      <vt:variant>
        <vt:i4>138</vt:i4>
      </vt:variant>
      <vt:variant>
        <vt:i4>0</vt:i4>
      </vt:variant>
      <vt:variant>
        <vt:i4>5</vt:i4>
      </vt:variant>
      <vt:variant>
        <vt:lpwstr>https://doi.org/10.1016/j.diabres.2020.108078</vt:lpwstr>
      </vt:variant>
      <vt:variant>
        <vt:lpwstr/>
      </vt:variant>
      <vt:variant>
        <vt:i4>851970</vt:i4>
      </vt:variant>
      <vt:variant>
        <vt:i4>135</vt:i4>
      </vt:variant>
      <vt:variant>
        <vt:i4>0</vt:i4>
      </vt:variant>
      <vt:variant>
        <vt:i4>5</vt:i4>
      </vt:variant>
      <vt:variant>
        <vt:lpwstr>https://doi.org/10.1016/S0140-6736(12)60227-4</vt:lpwstr>
      </vt:variant>
      <vt:variant>
        <vt:lpwstr/>
      </vt:variant>
      <vt:variant>
        <vt:i4>2031647</vt:i4>
      </vt:variant>
      <vt:variant>
        <vt:i4>132</vt:i4>
      </vt:variant>
      <vt:variant>
        <vt:i4>0</vt:i4>
      </vt:variant>
      <vt:variant>
        <vt:i4>5</vt:i4>
      </vt:variant>
      <vt:variant>
        <vt:lpwstr>https://doi.org/10.4239/wjd.v1.i3.68</vt:lpwstr>
      </vt:variant>
      <vt:variant>
        <vt:lpwstr/>
      </vt:variant>
      <vt:variant>
        <vt:i4>4653079</vt:i4>
      </vt:variant>
      <vt:variant>
        <vt:i4>129</vt:i4>
      </vt:variant>
      <vt:variant>
        <vt:i4>0</vt:i4>
      </vt:variant>
      <vt:variant>
        <vt:i4>5</vt:i4>
      </vt:variant>
      <vt:variant>
        <vt:lpwstr>https://doi.org/10.1016/j.diabres.2019.107843</vt:lpwstr>
      </vt:variant>
      <vt:variant>
        <vt:lpwstr/>
      </vt:variant>
      <vt:variant>
        <vt:i4>5963866</vt:i4>
      </vt:variant>
      <vt:variant>
        <vt:i4>126</vt:i4>
      </vt:variant>
      <vt:variant>
        <vt:i4>0</vt:i4>
      </vt:variant>
      <vt:variant>
        <vt:i4>5</vt:i4>
      </vt:variant>
      <vt:variant>
        <vt:lpwstr>https://doi.org/10.2147/DMSO.S319857</vt:lpwstr>
      </vt:variant>
      <vt:variant>
        <vt:lpwstr/>
      </vt:variant>
      <vt:variant>
        <vt:i4>6160390</vt:i4>
      </vt:variant>
      <vt:variant>
        <vt:i4>123</vt:i4>
      </vt:variant>
      <vt:variant>
        <vt:i4>0</vt:i4>
      </vt:variant>
      <vt:variant>
        <vt:i4>5</vt:i4>
      </vt:variant>
      <vt:variant>
        <vt:lpwstr>tel:3567-3602</vt:lpwstr>
      </vt:variant>
      <vt:variant>
        <vt:lpwstr/>
      </vt:variant>
      <vt:variant>
        <vt:i4>4325380</vt:i4>
      </vt:variant>
      <vt:variant>
        <vt:i4>120</vt:i4>
      </vt:variant>
      <vt:variant>
        <vt:i4>0</vt:i4>
      </vt:variant>
      <vt:variant>
        <vt:i4>5</vt:i4>
      </vt:variant>
      <vt:variant>
        <vt:lpwstr>https://doi.org/10.1056/NEJMoa1800256</vt:lpwstr>
      </vt:variant>
      <vt:variant>
        <vt:lpwstr/>
      </vt:variant>
      <vt:variant>
        <vt:i4>3145846</vt:i4>
      </vt:variant>
      <vt:variant>
        <vt:i4>117</vt:i4>
      </vt:variant>
      <vt:variant>
        <vt:i4>0</vt:i4>
      </vt:variant>
      <vt:variant>
        <vt:i4>5</vt:i4>
      </vt:variant>
      <vt:variant>
        <vt:lpwstr>https://fingertips.phe.org.uk/</vt:lpwstr>
      </vt:variant>
      <vt:variant>
        <vt:lpwstr/>
      </vt:variant>
      <vt:variant>
        <vt:i4>4194326</vt:i4>
      </vt:variant>
      <vt:variant>
        <vt:i4>114</vt:i4>
      </vt:variant>
      <vt:variant>
        <vt:i4>0</vt:i4>
      </vt:variant>
      <vt:variant>
        <vt:i4>5</vt:i4>
      </vt:variant>
      <vt:variant>
        <vt:lpwstr>https://doi.org/10.2337/dc16-2042</vt:lpwstr>
      </vt:variant>
      <vt:variant>
        <vt:lpwstr/>
      </vt:variant>
      <vt:variant>
        <vt:i4>4718623</vt:i4>
      </vt:variant>
      <vt:variant>
        <vt:i4>111</vt:i4>
      </vt:variant>
      <vt:variant>
        <vt:i4>0</vt:i4>
      </vt:variant>
      <vt:variant>
        <vt:i4>5</vt:i4>
      </vt:variant>
      <vt:variant>
        <vt:lpwstr>https://doi.org/10.1056/NEJMra1110560</vt:lpwstr>
      </vt:variant>
      <vt:variant>
        <vt:lpwstr/>
      </vt:variant>
      <vt:variant>
        <vt:i4>6553659</vt:i4>
      </vt:variant>
      <vt:variant>
        <vt:i4>108</vt:i4>
      </vt:variant>
      <vt:variant>
        <vt:i4>0</vt:i4>
      </vt:variant>
      <vt:variant>
        <vt:i4>5</vt:i4>
      </vt:variant>
      <vt:variant>
        <vt:lpwstr>https://doi.org/10.1136/bmj.n71</vt:lpwstr>
      </vt:variant>
      <vt:variant>
        <vt:lpwstr/>
      </vt:variant>
      <vt:variant>
        <vt:i4>5242896</vt:i4>
      </vt:variant>
      <vt:variant>
        <vt:i4>105</vt:i4>
      </vt:variant>
      <vt:variant>
        <vt:i4>0</vt:i4>
      </vt:variant>
      <vt:variant>
        <vt:i4>5</vt:i4>
      </vt:variant>
      <vt:variant>
        <vt:lpwstr>https://www.nice.org.uk/guidance/ng28</vt:lpwstr>
      </vt:variant>
      <vt:variant>
        <vt:lpwstr/>
      </vt:variant>
      <vt:variant>
        <vt:i4>852054</vt:i4>
      </vt:variant>
      <vt:variant>
        <vt:i4>102</vt:i4>
      </vt:variant>
      <vt:variant>
        <vt:i4>0</vt:i4>
      </vt:variant>
      <vt:variant>
        <vt:i4>5</vt:i4>
      </vt:variant>
      <vt:variant>
        <vt:lpwstr>https://www.longtermplan.nhs.uk/</vt:lpwstr>
      </vt:variant>
      <vt:variant>
        <vt:lpwstr/>
      </vt:variant>
      <vt:variant>
        <vt:i4>7536691</vt:i4>
      </vt:variant>
      <vt:variant>
        <vt:i4>99</vt:i4>
      </vt:variant>
      <vt:variant>
        <vt:i4>0</vt:i4>
      </vt:variant>
      <vt:variant>
        <vt:i4>5</vt:i4>
      </vt:variant>
      <vt:variant>
        <vt:lpwstr>https://digital.nhs.uk/</vt:lpwstr>
      </vt:variant>
      <vt:variant>
        <vt:lpwstr/>
      </vt:variant>
      <vt:variant>
        <vt:i4>6881380</vt:i4>
      </vt:variant>
      <vt:variant>
        <vt:i4>96</vt:i4>
      </vt:variant>
      <vt:variant>
        <vt:i4>0</vt:i4>
      </vt:variant>
      <vt:variant>
        <vt:i4>5</vt:i4>
      </vt:variant>
      <vt:variant>
        <vt:lpwstr>https://doi.org/10.2337/dci17-0005</vt:lpwstr>
      </vt:variant>
      <vt:variant>
        <vt:lpwstr/>
      </vt:variant>
      <vt:variant>
        <vt:i4>8060979</vt:i4>
      </vt:variant>
      <vt:variant>
        <vt:i4>93</vt:i4>
      </vt:variant>
      <vt:variant>
        <vt:i4>0</vt:i4>
      </vt:variant>
      <vt:variant>
        <vt:i4>5</vt:i4>
      </vt:variant>
      <vt:variant>
        <vt:lpwstr>https://diabetesatlas.org/</vt:lpwstr>
      </vt:variant>
      <vt:variant>
        <vt:lpwstr/>
      </vt:variant>
      <vt:variant>
        <vt:i4>4587523</vt:i4>
      </vt:variant>
      <vt:variant>
        <vt:i4>90</vt:i4>
      </vt:variant>
      <vt:variant>
        <vt:i4>0</vt:i4>
      </vt:variant>
      <vt:variant>
        <vt:i4>5</vt:i4>
      </vt:variant>
      <vt:variant>
        <vt:lpwstr>https://doi.org/10.1056/NEJMoa0806470</vt:lpwstr>
      </vt:variant>
      <vt:variant>
        <vt:lpwstr/>
      </vt:variant>
      <vt:variant>
        <vt:i4>4325382</vt:i4>
      </vt:variant>
      <vt:variant>
        <vt:i4>87</vt:i4>
      </vt:variant>
      <vt:variant>
        <vt:i4>0</vt:i4>
      </vt:variant>
      <vt:variant>
        <vt:i4>5</vt:i4>
      </vt:variant>
      <vt:variant>
        <vt:lpwstr>https://doi.org/10.1016/j.dsx.2019.01.040</vt:lpwstr>
      </vt:variant>
      <vt:variant>
        <vt:lpwstr/>
      </vt:variant>
      <vt:variant>
        <vt:i4>4587543</vt:i4>
      </vt:variant>
      <vt:variant>
        <vt:i4>84</vt:i4>
      </vt:variant>
      <vt:variant>
        <vt:i4>0</vt:i4>
      </vt:variant>
      <vt:variant>
        <vt:i4>5</vt:i4>
      </vt:variant>
      <vt:variant>
        <vt:lpwstr>https://doi.org/10.2337/dc11-1162</vt:lpwstr>
      </vt:variant>
      <vt:variant>
        <vt:lpwstr/>
      </vt:variant>
      <vt:variant>
        <vt:i4>95</vt:i4>
      </vt:variant>
      <vt:variant>
        <vt:i4>81</vt:i4>
      </vt:variant>
      <vt:variant>
        <vt:i4>0</vt:i4>
      </vt:variant>
      <vt:variant>
        <vt:i4>5</vt:i4>
      </vt:variant>
      <vt:variant>
        <vt:lpwstr>https://doi.org/10.3390/ijms21176275</vt:lpwstr>
      </vt:variant>
      <vt:variant>
        <vt:lpwstr/>
      </vt:variant>
      <vt:variant>
        <vt:i4>1114141</vt:i4>
      </vt:variant>
      <vt:variant>
        <vt:i4>78</vt:i4>
      </vt:variant>
      <vt:variant>
        <vt:i4>0</vt:i4>
      </vt:variant>
      <vt:variant>
        <vt:i4>5</vt:i4>
      </vt:variant>
      <vt:variant>
        <vt:lpwstr>https://doi.org/10.3389/fragi.2021.685512</vt:lpwstr>
      </vt:variant>
      <vt:variant>
        <vt:lpwstr/>
      </vt:variant>
      <vt:variant>
        <vt:i4>6946933</vt:i4>
      </vt:variant>
      <vt:variant>
        <vt:i4>75</vt:i4>
      </vt:variant>
      <vt:variant>
        <vt:i4>0</vt:i4>
      </vt:variant>
      <vt:variant>
        <vt:i4>5</vt:i4>
      </vt:variant>
      <vt:variant>
        <vt:lpwstr>https://doi.org/10.1126/science.847460</vt:lpwstr>
      </vt:variant>
      <vt:variant>
        <vt:lpwstr/>
      </vt:variant>
      <vt:variant>
        <vt:i4>458757</vt:i4>
      </vt:variant>
      <vt:variant>
        <vt:i4>72</vt:i4>
      </vt:variant>
      <vt:variant>
        <vt:i4>0</vt:i4>
      </vt:variant>
      <vt:variant>
        <vt:i4>5</vt:i4>
      </vt:variant>
      <vt:variant>
        <vt:lpwstr>https://doi.org/10.1016/S0140-6736(10)60484-9</vt:lpwstr>
      </vt:variant>
      <vt:variant>
        <vt:lpwstr/>
      </vt:variant>
      <vt:variant>
        <vt:i4>5767172</vt:i4>
      </vt:variant>
      <vt:variant>
        <vt:i4>69</vt:i4>
      </vt:variant>
      <vt:variant>
        <vt:i4>0</vt:i4>
      </vt:variant>
      <vt:variant>
        <vt:i4>5</vt:i4>
      </vt:variant>
      <vt:variant>
        <vt:lpwstr>tel:2215-2222</vt:lpwstr>
      </vt:variant>
      <vt:variant>
        <vt:lpwstr/>
      </vt:variant>
      <vt:variant>
        <vt:i4>1441884</vt:i4>
      </vt:variant>
      <vt:variant>
        <vt:i4>66</vt:i4>
      </vt:variant>
      <vt:variant>
        <vt:i4>0</vt:i4>
      </vt:variant>
      <vt:variant>
        <vt:i4>5</vt:i4>
      </vt:variant>
      <vt:variant>
        <vt:lpwstr>https://www.diabetes.org.uk/</vt:lpwstr>
      </vt:variant>
      <vt:variant>
        <vt:lpwstr/>
      </vt:variant>
      <vt:variant>
        <vt:i4>393282</vt:i4>
      </vt:variant>
      <vt:variant>
        <vt:i4>63</vt:i4>
      </vt:variant>
      <vt:variant>
        <vt:i4>0</vt:i4>
      </vt:variant>
      <vt:variant>
        <vt:i4>5</vt:i4>
      </vt:variant>
      <vt:variant>
        <vt:lpwstr>https://doi.org/10.1038/nrdp.2015.19</vt:lpwstr>
      </vt:variant>
      <vt:variant>
        <vt:lpwstr/>
      </vt:variant>
      <vt:variant>
        <vt:i4>4390935</vt:i4>
      </vt:variant>
      <vt:variant>
        <vt:i4>60</vt:i4>
      </vt:variant>
      <vt:variant>
        <vt:i4>0</vt:i4>
      </vt:variant>
      <vt:variant>
        <vt:i4>5</vt:i4>
      </vt:variant>
      <vt:variant>
        <vt:lpwstr>https://doi.org/10.2337/db09-9028</vt:lpwstr>
      </vt:variant>
      <vt:variant>
        <vt:lpwstr/>
      </vt:variant>
      <vt:variant>
        <vt:i4>262163</vt:i4>
      </vt:variant>
      <vt:variant>
        <vt:i4>57</vt:i4>
      </vt:variant>
      <vt:variant>
        <vt:i4>0</vt:i4>
      </vt:variant>
      <vt:variant>
        <vt:i4>5</vt:i4>
      </vt:variant>
      <vt:variant>
        <vt:lpwstr>https://doi.org/10.1007/s00125-018-4729-5</vt:lpwstr>
      </vt:variant>
      <vt:variant>
        <vt:lpwstr/>
      </vt:variant>
      <vt:variant>
        <vt:i4>5308421</vt:i4>
      </vt:variant>
      <vt:variant>
        <vt:i4>54</vt:i4>
      </vt:variant>
      <vt:variant>
        <vt:i4>0</vt:i4>
      </vt:variant>
      <vt:variant>
        <vt:i4>5</vt:i4>
      </vt:variant>
      <vt:variant>
        <vt:lpwstr>tel:2461-2498</vt:lpwstr>
      </vt:variant>
      <vt:variant>
        <vt:lpwstr/>
      </vt:variant>
      <vt:variant>
        <vt:i4>6226005</vt:i4>
      </vt:variant>
      <vt:variant>
        <vt:i4>51</vt:i4>
      </vt:variant>
      <vt:variant>
        <vt:i4>0</vt:i4>
      </vt:variant>
      <vt:variant>
        <vt:i4>5</vt:i4>
      </vt:variant>
      <vt:variant>
        <vt:lpwstr>https://doi.org/10.1093/pubmed/fdi066</vt:lpwstr>
      </vt:variant>
      <vt:variant>
        <vt:lpwstr/>
      </vt:variant>
      <vt:variant>
        <vt:i4>5767197</vt:i4>
      </vt:variant>
      <vt:variant>
        <vt:i4>48</vt:i4>
      </vt:variant>
      <vt:variant>
        <vt:i4>0</vt:i4>
      </vt:variant>
      <vt:variant>
        <vt:i4>5</vt:i4>
      </vt:variant>
      <vt:variant>
        <vt:lpwstr>https://doi.org/10.1016/j.diabres.2018.02.023</vt:lpwstr>
      </vt:variant>
      <vt:variant>
        <vt:lpwstr/>
      </vt:variant>
      <vt:variant>
        <vt:i4>655375</vt:i4>
      </vt:variant>
      <vt:variant>
        <vt:i4>45</vt:i4>
      </vt:variant>
      <vt:variant>
        <vt:i4>0</vt:i4>
      </vt:variant>
      <vt:variant>
        <vt:i4>5</vt:i4>
      </vt:variant>
      <vt:variant>
        <vt:lpwstr>https://doi.org/10.1016/S0140-6736(17)30058-2</vt:lpwstr>
      </vt:variant>
      <vt:variant>
        <vt:lpwstr/>
      </vt:variant>
      <vt:variant>
        <vt:i4>5439494</vt:i4>
      </vt:variant>
      <vt:variant>
        <vt:i4>42</vt:i4>
      </vt:variant>
      <vt:variant>
        <vt:i4>0</vt:i4>
      </vt:variant>
      <vt:variant>
        <vt:i4>5</vt:i4>
      </vt:variant>
      <vt:variant>
        <vt:lpwstr>tel:2239-2251</vt:lpwstr>
      </vt:variant>
      <vt:variant>
        <vt:lpwstr/>
      </vt:variant>
      <vt:variant>
        <vt:i4>131097</vt:i4>
      </vt:variant>
      <vt:variant>
        <vt:i4>39</vt:i4>
      </vt:variant>
      <vt:variant>
        <vt:i4>0</vt:i4>
      </vt:variant>
      <vt:variant>
        <vt:i4>5</vt:i4>
      </vt:variant>
      <vt:variant>
        <vt:lpwstr>https://doi.org/10.3389/fendo.2013.00037</vt:lpwstr>
      </vt:variant>
      <vt:variant>
        <vt:lpwstr/>
      </vt:variant>
      <vt:variant>
        <vt:i4>393238</vt:i4>
      </vt:variant>
      <vt:variant>
        <vt:i4>36</vt:i4>
      </vt:variant>
      <vt:variant>
        <vt:i4>0</vt:i4>
      </vt:variant>
      <vt:variant>
        <vt:i4>5</vt:i4>
      </vt:variant>
      <vt:variant>
        <vt:lpwstr>https://doi.org/10.1191/1478088706qp063oa</vt:lpwstr>
      </vt:variant>
      <vt:variant>
        <vt:lpwstr/>
      </vt:variant>
      <vt:variant>
        <vt:i4>7077947</vt:i4>
      </vt:variant>
      <vt:variant>
        <vt:i4>33</vt:i4>
      </vt:variant>
      <vt:variant>
        <vt:i4>0</vt:i4>
      </vt:variant>
      <vt:variant>
        <vt:i4>5</vt:i4>
      </vt:variant>
      <vt:variant>
        <vt:lpwstr>https://www.birmingham.gov.uk/</vt:lpwstr>
      </vt:variant>
      <vt:variant>
        <vt:lpwstr/>
      </vt:variant>
      <vt:variant>
        <vt:i4>851971</vt:i4>
      </vt:variant>
      <vt:variant>
        <vt:i4>30</vt:i4>
      </vt:variant>
      <vt:variant>
        <vt:i4>0</vt:i4>
      </vt:variant>
      <vt:variant>
        <vt:i4>5</vt:i4>
      </vt:variant>
      <vt:variant>
        <vt:lpwstr>https://doi.org/10.1016/S1474-4422(17)30375-3</vt:lpwstr>
      </vt:variant>
      <vt:variant>
        <vt:lpwstr/>
      </vt:variant>
      <vt:variant>
        <vt:i4>6881337</vt:i4>
      </vt:variant>
      <vt:variant>
        <vt:i4>27</vt:i4>
      </vt:variant>
      <vt:variant>
        <vt:i4>0</vt:i4>
      </vt:variant>
      <vt:variant>
        <vt:i4>5</vt:i4>
      </vt:variant>
      <vt:variant>
        <vt:lpwstr>https://doi.org/10.1038/s41574-021-00512-z</vt:lpwstr>
      </vt:variant>
      <vt:variant>
        <vt:lpwstr/>
      </vt:variant>
      <vt:variant>
        <vt:i4>589848</vt:i4>
      </vt:variant>
      <vt:variant>
        <vt:i4>24</vt:i4>
      </vt:variant>
      <vt:variant>
        <vt:i4>0</vt:i4>
      </vt:variant>
      <vt:variant>
        <vt:i4>5</vt:i4>
      </vt:variant>
      <vt:variant>
        <vt:lpwstr>https://doi.org/10.1007/s00125-006-0357-9</vt:lpwstr>
      </vt:variant>
      <vt:variant>
        <vt:lpwstr/>
      </vt:variant>
      <vt:variant>
        <vt:i4>6225926</vt:i4>
      </vt:variant>
      <vt:variant>
        <vt:i4>21</vt:i4>
      </vt:variant>
      <vt:variant>
        <vt:i4>0</vt:i4>
      </vt:variant>
      <vt:variant>
        <vt:i4>5</vt:i4>
      </vt:variant>
      <vt:variant>
        <vt:lpwstr>tel:2234-2246</vt:lpwstr>
      </vt:variant>
      <vt:variant>
        <vt:lpwstr/>
      </vt:variant>
      <vt:variant>
        <vt:i4>196610</vt:i4>
      </vt:variant>
      <vt:variant>
        <vt:i4>18</vt:i4>
      </vt:variant>
      <vt:variant>
        <vt:i4>0</vt:i4>
      </vt:variant>
      <vt:variant>
        <vt:i4>5</vt:i4>
      </vt:variant>
      <vt:variant>
        <vt:lpwstr>https://doi.org/10.1016/S0738-3991(02)00032-0</vt:lpwstr>
      </vt:variant>
      <vt:variant>
        <vt:lpwstr/>
      </vt:variant>
      <vt:variant>
        <vt:i4>983063</vt:i4>
      </vt:variant>
      <vt:variant>
        <vt:i4>15</vt:i4>
      </vt:variant>
      <vt:variant>
        <vt:i4>0</vt:i4>
      </vt:variant>
      <vt:variant>
        <vt:i4>5</vt:i4>
      </vt:variant>
      <vt:variant>
        <vt:lpwstr>https://doi.org/10.1007/s00125-019-4882-7</vt:lpwstr>
      </vt:variant>
      <vt:variant>
        <vt:lpwstr/>
      </vt:variant>
      <vt:variant>
        <vt:i4>2293871</vt:i4>
      </vt:variant>
      <vt:variant>
        <vt:i4>12</vt:i4>
      </vt:variant>
      <vt:variant>
        <vt:i4>0</vt:i4>
      </vt:variant>
      <vt:variant>
        <vt:i4>5</vt:i4>
      </vt:variant>
      <vt:variant>
        <vt:lpwstr>https://www.frontiersin.org/articles/10.3389/fpubh.2024.1477418</vt:lpwstr>
      </vt:variant>
      <vt:variant>
        <vt:lpwstr/>
      </vt:variant>
      <vt:variant>
        <vt:i4>786512</vt:i4>
      </vt:variant>
      <vt:variant>
        <vt:i4>9</vt:i4>
      </vt:variant>
      <vt:variant>
        <vt:i4>0</vt:i4>
      </vt:variant>
      <vt:variant>
        <vt:i4>5</vt:i4>
      </vt:variant>
      <vt:variant>
        <vt:lpwstr>https://doi.org/10.1038/nrneurol.2017.185</vt:lpwstr>
      </vt:variant>
      <vt:variant>
        <vt:lpwstr/>
      </vt:variant>
      <vt:variant>
        <vt:i4>21</vt:i4>
      </vt:variant>
      <vt:variant>
        <vt:i4>6</vt:i4>
      </vt:variant>
      <vt:variant>
        <vt:i4>0</vt:i4>
      </vt:variant>
      <vt:variant>
        <vt:i4>5</vt:i4>
      </vt:variant>
      <vt:variant>
        <vt:lpwstr>https://doi.org/10.2337/dc23-S002</vt:lpwstr>
      </vt:variant>
      <vt:variant>
        <vt:lpwstr/>
      </vt:variant>
      <vt:variant>
        <vt:i4>917516</vt:i4>
      </vt:variant>
      <vt:variant>
        <vt:i4>3</vt:i4>
      </vt:variant>
      <vt:variant>
        <vt:i4>0</vt:i4>
      </vt:variant>
      <vt:variant>
        <vt:i4>5</vt:i4>
      </vt:variant>
      <vt:variant>
        <vt:lpwstr>https://doi.org/10.1016/S2213-8587(18)30051-2</vt:lpwstr>
      </vt:variant>
      <vt:variant>
        <vt:lpwstr/>
      </vt:variant>
      <vt:variant>
        <vt:i4>7077944</vt:i4>
      </vt:variant>
      <vt:variant>
        <vt:i4>0</vt:i4>
      </vt:variant>
      <vt:variant>
        <vt:i4>0</vt:i4>
      </vt:variant>
      <vt:variant>
        <vt:i4>5</vt:i4>
      </vt:variant>
      <vt:variant>
        <vt:lpwstr>https://doi.org/10.1038/s41574-025-01114-y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26</cp:revision>
  <dcterms:created xsi:type="dcterms:W3CDTF">2026-07-13T22:29:00Z</dcterms:created>
  <dcterms:modified xsi:type="dcterms:W3CDTF">2026-07-13T22:37:00Z</dcterms:modified>
</cp:coreProperties>
</file>