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20D70" w:rsidRDefault="00020D70" w:rsidP="00020D70">
      <w:pPr>
        <w:pStyle w:val="content0"/>
        <w:jc w:val="center"/>
        <w:rPr>
          <w:b/>
          <w:bCs/>
        </w:rPr>
      </w:pPr>
      <w:r w:rsidRPr="009C2B0E">
        <w:rPr>
          <w:b/>
          <w:bCs/>
          <w:noProof/>
          <w:lang w:val="en-US" w:bidi="gu-IN"/>
        </w:rPr>
        <w:drawing>
          <wp:inline distT="0" distB="0" distL="0" distR="0" wp14:anchorId="31E1F821" wp14:editId="44F8DA63">
            <wp:extent cx="4043939" cy="1097280"/>
            <wp:effectExtent l="0" t="0" r="0" b="7620"/>
            <wp:docPr id="1479852866"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852866" name="Picture 1" descr="A black text on a white background&#10;&#10;Description automatically generated"/>
                    <pic:cNvPicPr/>
                  </pic:nvPicPr>
                  <pic:blipFill>
                    <a:blip r:embed="rId7"/>
                    <a:stretch>
                      <a:fillRect/>
                    </a:stretch>
                  </pic:blipFill>
                  <pic:spPr>
                    <a:xfrm>
                      <a:off x="0" y="0"/>
                      <a:ext cx="4131603" cy="1121067"/>
                    </a:xfrm>
                    <a:prstGeom prst="rect">
                      <a:avLst/>
                    </a:prstGeom>
                  </pic:spPr>
                </pic:pic>
              </a:graphicData>
            </a:graphic>
          </wp:inline>
        </w:drawing>
      </w:r>
    </w:p>
    <w:p w:rsidR="00020D70" w:rsidRDefault="00020D70" w:rsidP="00020D70">
      <w:pPr>
        <w:pStyle w:val="content0"/>
        <w:rPr>
          <w:b/>
          <w:bCs/>
        </w:rPr>
      </w:pPr>
    </w:p>
    <w:p w:rsidR="00020D70" w:rsidRDefault="00020D70" w:rsidP="00020D70">
      <w:pPr>
        <w:pStyle w:val="content0"/>
        <w:rPr>
          <w:b/>
          <w:bCs/>
        </w:rPr>
      </w:pPr>
    </w:p>
    <w:p w:rsidR="00020D70" w:rsidRPr="009C2B0E" w:rsidRDefault="00020D70" w:rsidP="00020D70">
      <w:pPr>
        <w:pStyle w:val="content0"/>
        <w:jc w:val="center"/>
        <w:rPr>
          <w:b/>
          <w:bCs/>
          <w:sz w:val="40"/>
          <w:szCs w:val="40"/>
        </w:rPr>
      </w:pPr>
      <w:r w:rsidRPr="009C2B0E">
        <w:rPr>
          <w:b/>
          <w:bCs/>
          <w:sz w:val="40"/>
          <w:szCs w:val="40"/>
        </w:rPr>
        <w:t>LCMB 7020 – Dissertation</w:t>
      </w:r>
    </w:p>
    <w:p w:rsidR="00020D70" w:rsidRPr="009C2B0E" w:rsidRDefault="00020D70" w:rsidP="00020D70">
      <w:pPr>
        <w:pStyle w:val="content0"/>
        <w:jc w:val="center"/>
        <w:rPr>
          <w:b/>
          <w:bCs/>
          <w:sz w:val="40"/>
          <w:szCs w:val="40"/>
        </w:rPr>
      </w:pPr>
    </w:p>
    <w:p w:rsidR="00020D70" w:rsidRPr="009C2B0E" w:rsidRDefault="00020D70" w:rsidP="00020D70">
      <w:pPr>
        <w:pStyle w:val="content0"/>
        <w:jc w:val="center"/>
        <w:rPr>
          <w:b/>
          <w:bCs/>
          <w:sz w:val="40"/>
          <w:szCs w:val="40"/>
        </w:rPr>
      </w:pPr>
      <w:r w:rsidRPr="009C2B0E">
        <w:rPr>
          <w:b/>
          <w:bCs/>
          <w:sz w:val="40"/>
          <w:szCs w:val="40"/>
        </w:rPr>
        <w:t>School of Business</w:t>
      </w:r>
    </w:p>
    <w:p w:rsidR="00020D70" w:rsidRPr="009C2B0E" w:rsidRDefault="00020D70" w:rsidP="00020D70">
      <w:pPr>
        <w:pStyle w:val="content0"/>
        <w:jc w:val="center"/>
        <w:rPr>
          <w:b/>
          <w:bCs/>
          <w:sz w:val="40"/>
          <w:szCs w:val="40"/>
        </w:rPr>
      </w:pPr>
    </w:p>
    <w:p w:rsidR="00020D70" w:rsidRPr="009C2B0E" w:rsidRDefault="00020D70" w:rsidP="00020D70">
      <w:pPr>
        <w:pStyle w:val="content0"/>
        <w:jc w:val="center"/>
        <w:rPr>
          <w:b/>
          <w:bCs/>
          <w:sz w:val="40"/>
          <w:szCs w:val="40"/>
        </w:rPr>
      </w:pPr>
      <w:r w:rsidRPr="009C2B0E">
        <w:rPr>
          <w:b/>
          <w:bCs/>
          <w:sz w:val="40"/>
          <w:szCs w:val="40"/>
        </w:rPr>
        <w:t>Title- Enhancing Employee relations through Training and Development programs at Amazon.</w:t>
      </w:r>
    </w:p>
    <w:p w:rsidR="00020D70" w:rsidRPr="009C2B0E" w:rsidRDefault="00020D70" w:rsidP="00020D70">
      <w:pPr>
        <w:pStyle w:val="content0"/>
        <w:jc w:val="center"/>
        <w:rPr>
          <w:b/>
          <w:bCs/>
          <w:sz w:val="40"/>
          <w:szCs w:val="40"/>
        </w:rPr>
      </w:pPr>
    </w:p>
    <w:p w:rsidR="00020D70" w:rsidRPr="009C2B0E" w:rsidRDefault="00020D70" w:rsidP="00020D70">
      <w:pPr>
        <w:pStyle w:val="content0"/>
        <w:jc w:val="center"/>
        <w:rPr>
          <w:b/>
          <w:bCs/>
          <w:sz w:val="36"/>
          <w:szCs w:val="36"/>
        </w:rPr>
      </w:pPr>
      <w:r w:rsidRPr="009C2B0E">
        <w:rPr>
          <w:b/>
          <w:bCs/>
          <w:sz w:val="36"/>
          <w:szCs w:val="36"/>
        </w:rPr>
        <w:t>Student Name – Soni, Dharmik Vinodbhai</w:t>
      </w:r>
    </w:p>
    <w:p w:rsidR="00020D70" w:rsidRPr="009C2B0E" w:rsidRDefault="00020D70" w:rsidP="00020D70">
      <w:pPr>
        <w:pStyle w:val="content0"/>
        <w:jc w:val="center"/>
        <w:rPr>
          <w:b/>
          <w:bCs/>
          <w:sz w:val="36"/>
          <w:szCs w:val="36"/>
        </w:rPr>
      </w:pPr>
      <w:r w:rsidRPr="009C2B0E">
        <w:rPr>
          <w:b/>
          <w:bCs/>
          <w:sz w:val="36"/>
          <w:szCs w:val="36"/>
        </w:rPr>
        <w:t>Student ID – 2228186</w:t>
      </w:r>
    </w:p>
    <w:p w:rsidR="00020D70" w:rsidRPr="009C2B0E" w:rsidRDefault="00020D70" w:rsidP="00020D70">
      <w:pPr>
        <w:pStyle w:val="content0"/>
        <w:jc w:val="center"/>
        <w:rPr>
          <w:b/>
          <w:bCs/>
          <w:sz w:val="40"/>
          <w:szCs w:val="40"/>
        </w:rPr>
      </w:pPr>
    </w:p>
    <w:p w:rsidR="00020D70" w:rsidRPr="009C2B0E" w:rsidRDefault="00020D70" w:rsidP="00020D70">
      <w:pPr>
        <w:pStyle w:val="content0"/>
        <w:jc w:val="center"/>
        <w:rPr>
          <w:b/>
          <w:bCs/>
          <w:sz w:val="36"/>
          <w:szCs w:val="36"/>
        </w:rPr>
      </w:pPr>
      <w:r w:rsidRPr="009C2B0E">
        <w:rPr>
          <w:b/>
          <w:bCs/>
          <w:sz w:val="36"/>
          <w:szCs w:val="36"/>
        </w:rPr>
        <w:t>Module Tutor – Riaz Bhatti</w:t>
      </w: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Pr="009356C2" w:rsidRDefault="00020D70" w:rsidP="00020D7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noProof/>
          <w:lang w:val="en-US" w:bidi="gu-IN"/>
        </w:rPr>
        <w:lastRenderedPageBreak/>
        <w:drawing>
          <wp:inline distT="0" distB="0" distL="0" distR="0" wp14:anchorId="19DEDDFC" wp14:editId="15F6D41B">
            <wp:extent cx="1859280" cy="762000"/>
            <wp:effectExtent l="0" t="0" r="0" b="0"/>
            <wp:docPr id="1979092894"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092894" name="Picture 1"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rsidR="00020D70" w:rsidRPr="009356C2" w:rsidRDefault="00020D70" w:rsidP="00020D70">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rsidR="00020D70" w:rsidRPr="009356C2" w:rsidRDefault="00020D70" w:rsidP="00020D70">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rsidR="00020D70" w:rsidRPr="009356C2" w:rsidRDefault="00020D70" w:rsidP="00020D7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rsidR="00020D70" w:rsidRPr="009356C2" w:rsidRDefault="00020D70" w:rsidP="00020D7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r>
        <w:rPr>
          <w:rFonts w:ascii="Arial" w:hAnsi="Arial" w:cs="Arial"/>
        </w:rPr>
        <w:t>Soni, Dharmik Vinodbhai</w:t>
      </w:r>
      <w:r w:rsidRPr="009356C2">
        <w:rPr>
          <w:rFonts w:ascii="Arial" w:hAnsi="Arial" w:cs="Arial"/>
        </w:rPr>
        <w:t>.…</w:t>
      </w:r>
      <w:r>
        <w:rPr>
          <w:rFonts w:ascii="Arial" w:hAnsi="Arial" w:cs="Arial"/>
        </w:rPr>
        <w:t>…...</w:t>
      </w:r>
      <w:r w:rsidRPr="009356C2">
        <w:rPr>
          <w:rFonts w:ascii="Arial" w:hAnsi="Arial" w:cs="Arial"/>
        </w:rPr>
        <w:t>…...</w:t>
      </w:r>
    </w:p>
    <w:p w:rsidR="00020D70" w:rsidRPr="009356C2" w:rsidRDefault="00020D70" w:rsidP="00020D7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Pr>
          <w:rFonts w:ascii="Arial" w:hAnsi="Arial" w:cs="Arial"/>
        </w:rPr>
        <w:t>…….25</w:t>
      </w:r>
      <w:r w:rsidRPr="001B1061">
        <w:rPr>
          <w:rFonts w:ascii="Arial" w:hAnsi="Arial" w:cs="Arial"/>
          <w:vertAlign w:val="superscript"/>
        </w:rPr>
        <w:t>th</w:t>
      </w:r>
      <w:r>
        <w:rPr>
          <w:rFonts w:ascii="Arial" w:hAnsi="Arial" w:cs="Arial"/>
        </w:rPr>
        <w:t xml:space="preserve"> January 2024</w:t>
      </w:r>
      <w:r w:rsidRPr="009356C2">
        <w:rPr>
          <w:rFonts w:ascii="Arial" w:hAnsi="Arial" w:cs="Arial"/>
        </w:rPr>
        <w:t>………</w:t>
      </w:r>
      <w:r>
        <w:rPr>
          <w:rFonts w:ascii="Arial" w:hAnsi="Arial" w:cs="Arial"/>
        </w:rPr>
        <w:t>……….</w:t>
      </w:r>
      <w:r w:rsidRPr="009356C2">
        <w:rPr>
          <w:rFonts w:ascii="Arial" w:hAnsi="Arial" w:cs="Arial"/>
        </w:rPr>
        <w:t>…...</w:t>
      </w:r>
    </w:p>
    <w:p w:rsidR="00020D70" w:rsidRDefault="00020D70" w:rsidP="00020D7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rsidR="00020D70" w:rsidRPr="009356C2" w:rsidRDefault="00020D70" w:rsidP="00020D7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rsidR="00020D70" w:rsidRPr="009356C2" w:rsidRDefault="00020D70" w:rsidP="00020D7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r>
        <w:rPr>
          <w:rFonts w:ascii="Arial" w:hAnsi="Arial" w:cs="Arial"/>
        </w:rPr>
        <w:t>Soni, Dharmik Vinodbhai</w:t>
      </w:r>
      <w:r w:rsidRPr="009356C2">
        <w:rPr>
          <w:rFonts w:ascii="Arial" w:hAnsi="Arial" w:cs="Arial"/>
        </w:rPr>
        <w:t>.…</w:t>
      </w:r>
      <w:r>
        <w:rPr>
          <w:rFonts w:ascii="Arial" w:hAnsi="Arial" w:cs="Arial"/>
        </w:rPr>
        <w:t>…...</w:t>
      </w:r>
      <w:r w:rsidRPr="009356C2">
        <w:rPr>
          <w:rFonts w:ascii="Arial" w:hAnsi="Arial" w:cs="Arial"/>
        </w:rPr>
        <w:t>…...</w:t>
      </w:r>
    </w:p>
    <w:p w:rsidR="00020D70" w:rsidRPr="009356C2" w:rsidRDefault="00020D70" w:rsidP="00020D7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Pr>
          <w:rFonts w:ascii="Arial" w:hAnsi="Arial" w:cs="Arial"/>
        </w:rPr>
        <w:t>…….25</w:t>
      </w:r>
      <w:r w:rsidRPr="001B1061">
        <w:rPr>
          <w:rFonts w:ascii="Arial" w:hAnsi="Arial" w:cs="Arial"/>
          <w:vertAlign w:val="superscript"/>
        </w:rPr>
        <w:t>th</w:t>
      </w:r>
      <w:r>
        <w:rPr>
          <w:rFonts w:ascii="Arial" w:hAnsi="Arial" w:cs="Arial"/>
        </w:rPr>
        <w:t xml:space="preserve"> January 2024</w:t>
      </w:r>
      <w:r w:rsidRPr="009356C2">
        <w:rPr>
          <w:rFonts w:ascii="Arial" w:hAnsi="Arial" w:cs="Arial"/>
        </w:rPr>
        <w:t>………</w:t>
      </w:r>
      <w:r>
        <w:rPr>
          <w:rFonts w:ascii="Arial" w:hAnsi="Arial" w:cs="Arial"/>
        </w:rPr>
        <w:t>……….</w:t>
      </w:r>
      <w:r w:rsidRPr="009356C2">
        <w:rPr>
          <w:rFonts w:ascii="Arial" w:hAnsi="Arial" w:cs="Arial"/>
        </w:rPr>
        <w:t>…...</w:t>
      </w:r>
    </w:p>
    <w:p w:rsidR="00020D70" w:rsidRPr="009356C2" w:rsidRDefault="00020D70" w:rsidP="00020D7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rsidR="00020D70" w:rsidRPr="009356C2" w:rsidRDefault="00020D70" w:rsidP="00020D7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rsidR="00020D70" w:rsidRPr="009356C2" w:rsidRDefault="00020D70" w:rsidP="00020D7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rsidR="00020D70" w:rsidRPr="009356C2" w:rsidRDefault="00020D70" w:rsidP="00020D7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r>
        <w:rPr>
          <w:rFonts w:ascii="Arial" w:hAnsi="Arial" w:cs="Arial"/>
        </w:rPr>
        <w:t>Soni, Dharmik Vinodbhai</w:t>
      </w:r>
      <w:r w:rsidRPr="009356C2">
        <w:rPr>
          <w:rFonts w:ascii="Arial" w:hAnsi="Arial" w:cs="Arial"/>
        </w:rPr>
        <w:t>.…</w:t>
      </w:r>
      <w:r>
        <w:rPr>
          <w:rFonts w:ascii="Arial" w:hAnsi="Arial" w:cs="Arial"/>
        </w:rPr>
        <w:t>…...</w:t>
      </w:r>
      <w:r w:rsidRPr="009356C2">
        <w:rPr>
          <w:rFonts w:ascii="Arial" w:hAnsi="Arial" w:cs="Arial"/>
        </w:rPr>
        <w:t>…...</w:t>
      </w:r>
    </w:p>
    <w:p w:rsidR="00020D70" w:rsidRPr="009356C2" w:rsidRDefault="00020D70" w:rsidP="00020D7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Pr>
          <w:rFonts w:ascii="Arial" w:hAnsi="Arial" w:cs="Arial"/>
        </w:rPr>
        <w:t>…….25</w:t>
      </w:r>
      <w:r w:rsidRPr="001B1061">
        <w:rPr>
          <w:rFonts w:ascii="Arial" w:hAnsi="Arial" w:cs="Arial"/>
          <w:vertAlign w:val="superscript"/>
        </w:rPr>
        <w:t>th</w:t>
      </w:r>
      <w:r>
        <w:rPr>
          <w:rFonts w:ascii="Arial" w:hAnsi="Arial" w:cs="Arial"/>
        </w:rPr>
        <w:t xml:space="preserve"> January 2024</w:t>
      </w:r>
      <w:r w:rsidRPr="009356C2">
        <w:rPr>
          <w:rFonts w:ascii="Arial" w:hAnsi="Arial" w:cs="Arial"/>
        </w:rPr>
        <w:t>………</w:t>
      </w:r>
      <w:r>
        <w:rPr>
          <w:rFonts w:ascii="Arial" w:hAnsi="Arial" w:cs="Arial"/>
        </w:rPr>
        <w:t>……….</w:t>
      </w:r>
      <w:r w:rsidRPr="009356C2">
        <w:rPr>
          <w:rFonts w:ascii="Arial" w:hAnsi="Arial" w:cs="Arial"/>
        </w:rPr>
        <w:t>…...</w:t>
      </w:r>
    </w:p>
    <w:p w:rsidR="00020D70" w:rsidRPr="009356C2" w:rsidRDefault="00020D70" w:rsidP="00020D70">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rsidR="00020D70" w:rsidRPr="009356C2" w:rsidRDefault="00020D70" w:rsidP="00020D7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photocopying, inter- library loan, and for deposit in the University’s digital repository </w:t>
      </w:r>
    </w:p>
    <w:p w:rsidR="00020D70" w:rsidRPr="009356C2" w:rsidRDefault="00020D70" w:rsidP="00020D7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r>
        <w:rPr>
          <w:rFonts w:ascii="Arial" w:hAnsi="Arial" w:cs="Arial"/>
        </w:rPr>
        <w:t>Soni, Dharmik Vinodbhai</w:t>
      </w:r>
      <w:r w:rsidRPr="009356C2">
        <w:rPr>
          <w:rFonts w:ascii="Arial" w:hAnsi="Arial" w:cs="Arial"/>
        </w:rPr>
        <w:t>.…</w:t>
      </w:r>
      <w:r>
        <w:rPr>
          <w:rFonts w:ascii="Arial" w:hAnsi="Arial" w:cs="Arial"/>
        </w:rPr>
        <w:t>…...</w:t>
      </w:r>
      <w:r w:rsidRPr="009356C2">
        <w:rPr>
          <w:rFonts w:ascii="Arial" w:hAnsi="Arial" w:cs="Arial"/>
        </w:rPr>
        <w:t>…...</w:t>
      </w:r>
    </w:p>
    <w:p w:rsidR="00020D70" w:rsidRPr="009356C2" w:rsidRDefault="00020D70" w:rsidP="00020D7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Pr>
          <w:rFonts w:ascii="Arial" w:hAnsi="Arial" w:cs="Arial"/>
        </w:rPr>
        <w:t>…….25</w:t>
      </w:r>
      <w:r w:rsidRPr="001B1061">
        <w:rPr>
          <w:rFonts w:ascii="Arial" w:hAnsi="Arial" w:cs="Arial"/>
          <w:vertAlign w:val="superscript"/>
        </w:rPr>
        <w:t>th</w:t>
      </w:r>
      <w:r>
        <w:rPr>
          <w:rFonts w:ascii="Arial" w:hAnsi="Arial" w:cs="Arial"/>
        </w:rPr>
        <w:t xml:space="preserve"> January 2024</w:t>
      </w:r>
      <w:r w:rsidRPr="009356C2">
        <w:rPr>
          <w:rFonts w:ascii="Arial" w:hAnsi="Arial" w:cs="Arial"/>
        </w:rPr>
        <w:t>………</w:t>
      </w:r>
      <w:r>
        <w:rPr>
          <w:rFonts w:ascii="Arial" w:hAnsi="Arial" w:cs="Arial"/>
        </w:rPr>
        <w:t>……….</w:t>
      </w:r>
      <w:r w:rsidRPr="009356C2">
        <w:rPr>
          <w:rFonts w:ascii="Arial" w:hAnsi="Arial" w:cs="Arial"/>
        </w:rPr>
        <w:t>…...</w:t>
      </w:r>
    </w:p>
    <w:p w:rsidR="00020D70" w:rsidRPr="009356C2" w:rsidRDefault="00020D70" w:rsidP="00020D7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rsidR="00020D70" w:rsidRPr="009356C2" w:rsidRDefault="00020D70" w:rsidP="00020D7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rsidR="00020D70" w:rsidRPr="009356C2" w:rsidRDefault="00020D70" w:rsidP="00020D7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w:t>
      </w:r>
    </w:p>
    <w:p w:rsidR="00020D70" w:rsidRPr="009356C2" w:rsidRDefault="00020D70" w:rsidP="00020D70">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Date:  ……………………………………………………………………………...</w:t>
      </w:r>
    </w:p>
    <w:p w:rsidR="00020D70" w:rsidRDefault="00020D70" w:rsidP="00020D70">
      <w:pPr>
        <w:pStyle w:val="content0"/>
        <w:rPr>
          <w:b/>
          <w:bCs/>
        </w:rPr>
      </w:pPr>
    </w:p>
    <w:p w:rsidR="00020D70" w:rsidRPr="006F17EF" w:rsidRDefault="00020D70" w:rsidP="00020D70">
      <w:pPr>
        <w:pStyle w:val="content0"/>
        <w:jc w:val="center"/>
        <w:rPr>
          <w:b/>
          <w:bCs/>
          <w:sz w:val="28"/>
          <w:szCs w:val="24"/>
        </w:rPr>
      </w:pPr>
      <w:r w:rsidRPr="006F17EF">
        <w:rPr>
          <w:b/>
          <w:bCs/>
          <w:sz w:val="28"/>
          <w:szCs w:val="24"/>
        </w:rPr>
        <w:lastRenderedPageBreak/>
        <w:t>Acknowledgement</w:t>
      </w:r>
    </w:p>
    <w:p w:rsidR="00020D70" w:rsidRDefault="00020D70" w:rsidP="00020D70">
      <w:pPr>
        <w:pStyle w:val="Content"/>
      </w:pPr>
      <w:r>
        <w:t>First and foremost, I would like to express my sincere gratitude to my dissertation supervisor, Dr. Riaz Bhatti, for his invaluable guidance, feedback, and support throughout this research project. His extensive knowledge and research insights have encouraged me through every step of the process. This dissertation would not have been possible without his dedication and mentorship. I would also like to thank the faculty and staff of the university for providing me with the foundation of knowledge that allowed me to pursue this research. In addition, I greatly appreciate the HBRP of Amazon who volunteered their time to contribute to this Research. Their perspectives and experiences were essential for examining the research questions. I could not have completed this project without their assistance.</w:t>
      </w:r>
    </w:p>
    <w:p w:rsidR="00020D70" w:rsidRDefault="00020D70" w:rsidP="00020D70">
      <w:pPr>
        <w:pStyle w:val="Content"/>
      </w:pPr>
      <w:r>
        <w:t>Finally, I would like to acknowledge my family and friends for their unwavering support, reassurance, and patience over the course of my graduate studies. They provided a strong backbone that allowed me to fully devote myself to this endeavour. I am tremendously fortunate to have them in my life.</w:t>
      </w: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Pr="006F17EF" w:rsidRDefault="00020D70" w:rsidP="00020D70">
      <w:pPr>
        <w:pStyle w:val="content0"/>
        <w:jc w:val="center"/>
        <w:rPr>
          <w:b/>
          <w:bCs/>
          <w:sz w:val="28"/>
          <w:szCs w:val="24"/>
        </w:rPr>
      </w:pPr>
      <w:r w:rsidRPr="006F17EF">
        <w:rPr>
          <w:b/>
          <w:bCs/>
          <w:sz w:val="28"/>
          <w:szCs w:val="24"/>
        </w:rPr>
        <w:lastRenderedPageBreak/>
        <w:t>Abstract</w:t>
      </w:r>
    </w:p>
    <w:p w:rsidR="00020D70" w:rsidRDefault="00020D70" w:rsidP="00020D70">
      <w:pPr>
        <w:pStyle w:val="Content"/>
      </w:pPr>
      <w:r>
        <w:t>This dissertation conducts an in-depth examination of the impact of training and development programs on shaping employee relations dynamics at Amazon. A quantitative methodology was utilized, involving an online survey of 31 Amazon employees based in corporate offices across London, Manchester, Glasgow and Scotland in the UK. The sample comprised professionals spanning functions like customer service and business support roles who participate in Amazon's capability building programs. Initial descriptive analysis provides summary portraits of the participant profiles, their perceptions of key training aspects and self-reported impacts on productivity, motivation and team relationships. The concentration among relatively junior employees signals perspectives anchored around onboarding training experiences. While over 80% acknowledge enhancements across work quality, coordination and dedication, subsets display negligible reactions, contrasting hypotheses.</w:t>
      </w:r>
    </w:p>
    <w:p w:rsidR="00020D70" w:rsidRDefault="00020D70" w:rsidP="00020D70">
      <w:pPr>
        <w:pStyle w:val="Content"/>
      </w:pPr>
      <w:r>
        <w:t>Building on descriptive overviews, correlation and regression modelling unpacks connections between training perceptions, information accessibility, competency upgrades, output improvements, relationship-strengthening and motivation. Statistically modeled associations provide evidence regarding proposed theories on learning systems cultivating workforce gains. Transparency, supplemental mentoring and competency building display positive linkages with productivity, bonding and fulfillment - aligning with assumptions. However, groups resisting expected benefits frame vital areas needing consolidation around evaluations, career linkage and personalized content. Practical recommendations target training ecosystem enrichments across planning, accessibility, peer learning and measurement to sustain experiences amid business expansion. While constraints like subjective assessments are inherent, the analytical approach facilitates productive inquiry into the dynamics between developmental inputs and workforce returns within Amazon's organizational context.</w:t>
      </w:r>
    </w:p>
    <w:p w:rsidR="00020D70" w:rsidRPr="004A0BF3" w:rsidRDefault="00020D70" w:rsidP="00020D70">
      <w:pPr>
        <w:pStyle w:val="Content"/>
        <w:rPr>
          <w:b/>
          <w:bCs/>
        </w:rPr>
      </w:pPr>
    </w:p>
    <w:p w:rsidR="00020D70" w:rsidRPr="004A0BF3" w:rsidRDefault="00020D70" w:rsidP="00020D70">
      <w:pPr>
        <w:pStyle w:val="Content"/>
        <w:rPr>
          <w:b/>
          <w:bCs/>
        </w:rPr>
      </w:pPr>
      <w:r w:rsidRPr="004A0BF3">
        <w:rPr>
          <w:b/>
          <w:bCs/>
        </w:rPr>
        <w:t>Keywords: training programs, employee relations, learning culture, skill development, workplace experiences, coordination, productivity</w:t>
      </w: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sdt>
      <w:sdtPr>
        <w:rPr>
          <w:rFonts w:ascii="Times New Roman" w:eastAsiaTheme="minorHAnsi" w:hAnsi="Times New Roman" w:cs="Times New Roman"/>
          <w:color w:val="auto"/>
          <w:kern w:val="2"/>
          <w:sz w:val="24"/>
          <w:szCs w:val="24"/>
          <w:lang w:val="en-GB"/>
          <w14:ligatures w14:val="standardContextual"/>
        </w:rPr>
        <w:id w:val="-1564474040"/>
        <w:docPartObj>
          <w:docPartGallery w:val="Table of Contents"/>
          <w:docPartUnique/>
        </w:docPartObj>
      </w:sdtPr>
      <w:sdtEndPr>
        <w:rPr>
          <w:rFonts w:asciiTheme="minorHAnsi" w:hAnsiTheme="minorHAnsi" w:cstheme="minorBidi"/>
          <w:b/>
          <w:bCs/>
          <w:noProof/>
        </w:rPr>
      </w:sdtEndPr>
      <w:sdtContent>
        <w:p w:rsidR="00020D70" w:rsidRPr="00B80F49" w:rsidRDefault="00020D70" w:rsidP="00020D70">
          <w:pPr>
            <w:pStyle w:val="TOCHeading"/>
            <w:rPr>
              <w:rFonts w:ascii="Times New Roman" w:hAnsi="Times New Roman" w:cs="Times New Roman"/>
              <w:b/>
              <w:bCs/>
              <w:color w:val="000000" w:themeColor="text1"/>
              <w:sz w:val="24"/>
              <w:szCs w:val="24"/>
            </w:rPr>
          </w:pPr>
          <w:r w:rsidRPr="00B80F49">
            <w:rPr>
              <w:rFonts w:ascii="Times New Roman" w:hAnsi="Times New Roman" w:cs="Times New Roman"/>
              <w:b/>
              <w:bCs/>
              <w:color w:val="000000" w:themeColor="text1"/>
              <w:sz w:val="24"/>
              <w:szCs w:val="24"/>
            </w:rPr>
            <w:t>Table of Contents</w:t>
          </w:r>
        </w:p>
        <w:p w:rsidR="00020D70" w:rsidRPr="00B80F49" w:rsidRDefault="00020D70" w:rsidP="00020D70">
          <w:pPr>
            <w:rPr>
              <w:rFonts w:ascii="Times New Roman" w:hAnsi="Times New Roman" w:cs="Times New Roman"/>
              <w:lang w:val="en-US"/>
            </w:rPr>
          </w:pPr>
        </w:p>
        <w:p w:rsidR="00020D70" w:rsidRPr="00B80F49" w:rsidRDefault="00020D70" w:rsidP="00020D70">
          <w:pPr>
            <w:pStyle w:val="TOC1"/>
            <w:tabs>
              <w:tab w:val="left" w:pos="480"/>
              <w:tab w:val="right" w:leader="dot" w:pos="9016"/>
            </w:tabs>
            <w:rPr>
              <w:rFonts w:ascii="Times New Roman" w:eastAsiaTheme="minorEastAsia" w:hAnsi="Times New Roman" w:cs="Times New Roman"/>
              <w:noProof/>
              <w:lang w:eastAsia="en-GB"/>
            </w:rPr>
          </w:pPr>
          <w:r w:rsidRPr="00B80F49">
            <w:rPr>
              <w:rFonts w:ascii="Times New Roman" w:hAnsi="Times New Roman" w:cs="Times New Roman"/>
            </w:rPr>
            <w:fldChar w:fldCharType="begin"/>
          </w:r>
          <w:r w:rsidRPr="00B80F49">
            <w:rPr>
              <w:rFonts w:ascii="Times New Roman" w:hAnsi="Times New Roman" w:cs="Times New Roman"/>
            </w:rPr>
            <w:instrText xml:space="preserve"> TOC \o "1-3" \h \z \u </w:instrText>
          </w:r>
          <w:r w:rsidRPr="00B80F49">
            <w:rPr>
              <w:rFonts w:ascii="Times New Roman" w:hAnsi="Times New Roman" w:cs="Times New Roman"/>
            </w:rPr>
            <w:fldChar w:fldCharType="separate"/>
          </w:r>
          <w:hyperlink w:anchor="_Toc156990234" w:history="1">
            <w:r w:rsidRPr="00B80F49">
              <w:rPr>
                <w:rStyle w:val="Hyperlink"/>
                <w:rFonts w:ascii="Times New Roman" w:hAnsi="Times New Roman" w:cs="Times New Roman"/>
                <w:noProof/>
              </w:rPr>
              <w:t>1</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Introduction</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_Toc156990234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9</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35" w:history="1">
            <w:r w:rsidRPr="00B80F49">
              <w:rPr>
                <w:rStyle w:val="Hyperlink"/>
                <w:rFonts w:ascii="Times New Roman" w:hAnsi="Times New Roman" w:cs="Times New Roman"/>
                <w:noProof/>
              </w:rPr>
              <w:t>1.1</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Background and Context</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_Toc156990235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9</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36" w:history="1">
            <w:r w:rsidRPr="00B80F49">
              <w:rPr>
                <w:rStyle w:val="Hyperlink"/>
                <w:rFonts w:ascii="Times New Roman" w:hAnsi="Times New Roman" w:cs="Times New Roman"/>
                <w:noProof/>
              </w:rPr>
              <w:t>1.2</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Problem Statement</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_Toc156990236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10</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37" w:history="1">
            <w:r w:rsidRPr="00B80F49">
              <w:rPr>
                <w:rStyle w:val="Hyperlink"/>
                <w:rFonts w:ascii="Times New Roman" w:hAnsi="Times New Roman" w:cs="Times New Roman"/>
                <w:noProof/>
              </w:rPr>
              <w:t>1.3</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Research Purpose</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_Toc156990237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12</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38" w:history="1">
            <w:r w:rsidRPr="00B80F49">
              <w:rPr>
                <w:rStyle w:val="Hyperlink"/>
                <w:rFonts w:ascii="Times New Roman" w:hAnsi="Times New Roman" w:cs="Times New Roman"/>
                <w:noProof/>
              </w:rPr>
              <w:t>1.4</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Research Questions and Propositions</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_Toc156990238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12</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39" w:history="1">
            <w:r w:rsidRPr="00B80F49">
              <w:rPr>
                <w:rStyle w:val="Hyperlink"/>
                <w:rFonts w:ascii="Times New Roman" w:hAnsi="Times New Roman" w:cs="Times New Roman"/>
                <w:noProof/>
              </w:rPr>
              <w:t>1.5</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Scope and Limitations</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_Toc156990239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13</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40" w:history="1">
            <w:r w:rsidRPr="00B80F49">
              <w:rPr>
                <w:rStyle w:val="Hyperlink"/>
                <w:rFonts w:ascii="Times New Roman" w:hAnsi="Times New Roman" w:cs="Times New Roman"/>
                <w:noProof/>
              </w:rPr>
              <w:t>1.6</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Significance of the Study</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_Toc156990240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13</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41" w:history="1">
            <w:r w:rsidRPr="00B80F49">
              <w:rPr>
                <w:rStyle w:val="Hyperlink"/>
                <w:rFonts w:ascii="Times New Roman" w:hAnsi="Times New Roman" w:cs="Times New Roman"/>
                <w:noProof/>
              </w:rPr>
              <w:t>1.7</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Methodological Approach</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_Toc156990241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14</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42" w:history="1">
            <w:r w:rsidRPr="00B80F49">
              <w:rPr>
                <w:rStyle w:val="Hyperlink"/>
                <w:rFonts w:ascii="Times New Roman" w:hAnsi="Times New Roman" w:cs="Times New Roman"/>
                <w:noProof/>
              </w:rPr>
              <w:t>1.8</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Definition of Key Terms</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_Toc156990242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15</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43" w:history="1">
            <w:r w:rsidRPr="00B80F49">
              <w:rPr>
                <w:rStyle w:val="Hyperlink"/>
                <w:rFonts w:ascii="Times New Roman" w:hAnsi="Times New Roman" w:cs="Times New Roman"/>
                <w:noProof/>
              </w:rPr>
              <w:t>1.9</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Research Structure</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_Toc156990243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15</w:t>
            </w:r>
            <w:r w:rsidRPr="00B80F49">
              <w:rPr>
                <w:rFonts w:ascii="Times New Roman" w:hAnsi="Times New Roman" w:cs="Times New Roman"/>
                <w:noProof/>
                <w:webHidden/>
              </w:rPr>
              <w:fldChar w:fldCharType="end"/>
            </w:r>
          </w:hyperlink>
        </w:p>
        <w:p w:rsidR="00020D70" w:rsidRPr="00B80F49" w:rsidRDefault="00020D70" w:rsidP="00020D70">
          <w:pPr>
            <w:pStyle w:val="TOC1"/>
            <w:tabs>
              <w:tab w:val="left" w:pos="480"/>
              <w:tab w:val="right" w:leader="dot" w:pos="9016"/>
            </w:tabs>
            <w:rPr>
              <w:rFonts w:ascii="Times New Roman" w:eastAsiaTheme="minorEastAsia" w:hAnsi="Times New Roman" w:cs="Times New Roman"/>
              <w:noProof/>
              <w:lang w:eastAsia="en-GB"/>
            </w:rPr>
          </w:pPr>
          <w:hyperlink w:anchor="_Toc156990244" w:history="1">
            <w:r w:rsidRPr="00B80F49">
              <w:rPr>
                <w:rStyle w:val="Hyperlink"/>
                <w:rFonts w:ascii="Times New Roman" w:hAnsi="Times New Roman" w:cs="Times New Roman"/>
                <w:noProof/>
              </w:rPr>
              <w:t>2</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Literature Review</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_Toc156990244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17</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45" w:history="1">
            <w:r w:rsidRPr="00B80F49">
              <w:rPr>
                <w:rStyle w:val="Hyperlink"/>
                <w:rFonts w:ascii="Times New Roman" w:hAnsi="Times New Roman" w:cs="Times New Roman"/>
                <w:noProof/>
              </w:rPr>
              <w:t>2.1</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Definition of Concepts</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_Toc156990245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17</w:t>
            </w:r>
            <w:r w:rsidRPr="00B80F49">
              <w:rPr>
                <w:rFonts w:ascii="Times New Roman" w:hAnsi="Times New Roman" w:cs="Times New Roman"/>
                <w:noProof/>
                <w:webHidden/>
              </w:rPr>
              <w:fldChar w:fldCharType="end"/>
            </w:r>
          </w:hyperlink>
        </w:p>
        <w:p w:rsidR="00020D70" w:rsidRPr="00B80F49" w:rsidRDefault="00020D70" w:rsidP="00020D70">
          <w:pPr>
            <w:pStyle w:val="TOC3"/>
            <w:tabs>
              <w:tab w:val="left" w:pos="1440"/>
              <w:tab w:val="right" w:leader="dot" w:pos="9016"/>
            </w:tabs>
            <w:rPr>
              <w:rFonts w:ascii="Times New Roman" w:eastAsiaTheme="minorEastAsia" w:hAnsi="Times New Roman" w:cs="Times New Roman"/>
              <w:noProof/>
              <w:lang w:eastAsia="en-GB"/>
            </w:rPr>
          </w:pPr>
          <w:hyperlink w:anchor="_Toc156990246" w:history="1">
            <w:r w:rsidRPr="00B80F49">
              <w:rPr>
                <w:rStyle w:val="Hyperlink"/>
                <w:rFonts w:ascii="Times New Roman" w:hAnsi="Times New Roman" w:cs="Times New Roman"/>
                <w:noProof/>
              </w:rPr>
              <w:t>2.1.1</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Training</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_Toc156990246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17</w:t>
            </w:r>
            <w:r w:rsidRPr="00B80F49">
              <w:rPr>
                <w:rFonts w:ascii="Times New Roman" w:hAnsi="Times New Roman" w:cs="Times New Roman"/>
                <w:noProof/>
                <w:webHidden/>
              </w:rPr>
              <w:fldChar w:fldCharType="end"/>
            </w:r>
          </w:hyperlink>
        </w:p>
        <w:p w:rsidR="00020D70" w:rsidRPr="00B80F49" w:rsidRDefault="00020D70" w:rsidP="00020D70">
          <w:pPr>
            <w:pStyle w:val="TOC3"/>
            <w:tabs>
              <w:tab w:val="left" w:pos="1440"/>
              <w:tab w:val="right" w:leader="dot" w:pos="9016"/>
            </w:tabs>
            <w:rPr>
              <w:rFonts w:ascii="Times New Roman" w:eastAsiaTheme="minorEastAsia" w:hAnsi="Times New Roman" w:cs="Times New Roman"/>
              <w:noProof/>
              <w:lang w:eastAsia="en-GB"/>
            </w:rPr>
          </w:pPr>
          <w:hyperlink w:anchor="_Toc156990247" w:history="1">
            <w:r w:rsidRPr="00B80F49">
              <w:rPr>
                <w:rStyle w:val="Hyperlink"/>
                <w:rFonts w:ascii="Times New Roman" w:hAnsi="Times New Roman" w:cs="Times New Roman"/>
                <w:noProof/>
              </w:rPr>
              <w:t>2.1.2</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Development</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_Toc156990247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17</w:t>
            </w:r>
            <w:r w:rsidRPr="00B80F49">
              <w:rPr>
                <w:rFonts w:ascii="Times New Roman" w:hAnsi="Times New Roman" w:cs="Times New Roman"/>
                <w:noProof/>
                <w:webHidden/>
              </w:rPr>
              <w:fldChar w:fldCharType="end"/>
            </w:r>
          </w:hyperlink>
        </w:p>
        <w:p w:rsidR="00020D70" w:rsidRPr="00B80F49" w:rsidRDefault="00020D70" w:rsidP="00020D70">
          <w:pPr>
            <w:pStyle w:val="TOC3"/>
            <w:tabs>
              <w:tab w:val="left" w:pos="1440"/>
              <w:tab w:val="right" w:leader="dot" w:pos="9016"/>
            </w:tabs>
            <w:rPr>
              <w:rFonts w:ascii="Times New Roman" w:eastAsiaTheme="minorEastAsia" w:hAnsi="Times New Roman" w:cs="Times New Roman"/>
              <w:noProof/>
              <w:lang w:eastAsia="en-GB"/>
            </w:rPr>
          </w:pPr>
          <w:hyperlink w:anchor="_Toc156990248" w:history="1">
            <w:r w:rsidRPr="00B80F49">
              <w:rPr>
                <w:rStyle w:val="Hyperlink"/>
                <w:rFonts w:ascii="Times New Roman" w:hAnsi="Times New Roman" w:cs="Times New Roman"/>
                <w:noProof/>
              </w:rPr>
              <w:t>2.1.3</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Employee Relations</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_Toc156990248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18</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49" w:history="1">
            <w:r w:rsidRPr="00B80F49">
              <w:rPr>
                <w:rStyle w:val="Hyperlink"/>
                <w:rFonts w:ascii="Times New Roman" w:hAnsi="Times New Roman" w:cs="Times New Roman"/>
                <w:noProof/>
              </w:rPr>
              <w:t>2.2</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Theoretical Models</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_Toc156990249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18</w:t>
            </w:r>
            <w:r w:rsidRPr="00B80F49">
              <w:rPr>
                <w:rFonts w:ascii="Times New Roman" w:hAnsi="Times New Roman" w:cs="Times New Roman"/>
                <w:noProof/>
                <w:webHidden/>
              </w:rPr>
              <w:fldChar w:fldCharType="end"/>
            </w:r>
          </w:hyperlink>
        </w:p>
        <w:p w:rsidR="00020D70" w:rsidRPr="00B80F49" w:rsidRDefault="00020D70" w:rsidP="00020D70">
          <w:pPr>
            <w:pStyle w:val="TOC3"/>
            <w:tabs>
              <w:tab w:val="left" w:pos="1440"/>
              <w:tab w:val="right" w:leader="dot" w:pos="9016"/>
            </w:tabs>
            <w:rPr>
              <w:rFonts w:ascii="Times New Roman" w:eastAsiaTheme="minorEastAsia" w:hAnsi="Times New Roman" w:cs="Times New Roman"/>
              <w:noProof/>
              <w:lang w:eastAsia="en-GB"/>
            </w:rPr>
          </w:pPr>
          <w:hyperlink w:anchor="_Toc156990250" w:history="1">
            <w:r w:rsidRPr="00B80F49">
              <w:rPr>
                <w:rStyle w:val="Hyperlink"/>
                <w:rFonts w:ascii="Times New Roman" w:hAnsi="Times New Roman" w:cs="Times New Roman"/>
                <w:noProof/>
              </w:rPr>
              <w:t>2.2.1</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Social Exchange Theory</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_Toc156990250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18</w:t>
            </w:r>
            <w:r w:rsidRPr="00B80F49">
              <w:rPr>
                <w:rFonts w:ascii="Times New Roman" w:hAnsi="Times New Roman" w:cs="Times New Roman"/>
                <w:noProof/>
                <w:webHidden/>
              </w:rPr>
              <w:fldChar w:fldCharType="end"/>
            </w:r>
          </w:hyperlink>
        </w:p>
        <w:p w:rsidR="00020D70" w:rsidRPr="00B80F49" w:rsidRDefault="00020D70" w:rsidP="00020D70">
          <w:pPr>
            <w:pStyle w:val="TOC3"/>
            <w:tabs>
              <w:tab w:val="left" w:pos="1440"/>
              <w:tab w:val="right" w:leader="dot" w:pos="9016"/>
            </w:tabs>
            <w:rPr>
              <w:rFonts w:ascii="Times New Roman" w:eastAsiaTheme="minorEastAsia" w:hAnsi="Times New Roman" w:cs="Times New Roman"/>
              <w:noProof/>
              <w:lang w:eastAsia="en-GB"/>
            </w:rPr>
          </w:pPr>
          <w:hyperlink w:anchor="_Toc156990251" w:history="1">
            <w:r w:rsidRPr="00B80F49">
              <w:rPr>
                <w:rStyle w:val="Hyperlink"/>
                <w:rFonts w:ascii="Times New Roman" w:hAnsi="Times New Roman" w:cs="Times New Roman"/>
                <w:noProof/>
              </w:rPr>
              <w:t>2.2.2</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Human Capital Theory</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_Toc156990251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19</w:t>
            </w:r>
            <w:r w:rsidRPr="00B80F49">
              <w:rPr>
                <w:rFonts w:ascii="Times New Roman" w:hAnsi="Times New Roman" w:cs="Times New Roman"/>
                <w:noProof/>
                <w:webHidden/>
              </w:rPr>
              <w:fldChar w:fldCharType="end"/>
            </w:r>
          </w:hyperlink>
        </w:p>
        <w:p w:rsidR="00020D70" w:rsidRPr="00B80F49" w:rsidRDefault="00020D70" w:rsidP="00020D70">
          <w:pPr>
            <w:pStyle w:val="TOC3"/>
            <w:tabs>
              <w:tab w:val="left" w:pos="1440"/>
              <w:tab w:val="right" w:leader="dot" w:pos="9016"/>
            </w:tabs>
            <w:rPr>
              <w:rFonts w:ascii="Times New Roman" w:eastAsiaTheme="minorEastAsia" w:hAnsi="Times New Roman" w:cs="Times New Roman"/>
              <w:noProof/>
              <w:lang w:eastAsia="en-GB"/>
            </w:rPr>
          </w:pPr>
          <w:hyperlink w:anchor="_Toc156990252" w:history="1">
            <w:r w:rsidRPr="00B80F49">
              <w:rPr>
                <w:rStyle w:val="Hyperlink"/>
                <w:rFonts w:ascii="Times New Roman" w:hAnsi="Times New Roman" w:cs="Times New Roman"/>
                <w:noProof/>
              </w:rPr>
              <w:t>2.2.3</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Job Characteristics Model</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_Toc156990252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20</w:t>
            </w:r>
            <w:r w:rsidRPr="00B80F49">
              <w:rPr>
                <w:rFonts w:ascii="Times New Roman" w:hAnsi="Times New Roman" w:cs="Times New Roman"/>
                <w:noProof/>
                <w:webHidden/>
              </w:rPr>
              <w:fldChar w:fldCharType="end"/>
            </w:r>
          </w:hyperlink>
        </w:p>
        <w:p w:rsidR="00020D70" w:rsidRPr="00B80F49" w:rsidRDefault="00020D70" w:rsidP="00020D70">
          <w:pPr>
            <w:pStyle w:val="TOC3"/>
            <w:tabs>
              <w:tab w:val="left" w:pos="1440"/>
              <w:tab w:val="right" w:leader="dot" w:pos="9016"/>
            </w:tabs>
            <w:rPr>
              <w:rFonts w:ascii="Times New Roman" w:eastAsiaTheme="minorEastAsia" w:hAnsi="Times New Roman" w:cs="Times New Roman"/>
              <w:noProof/>
              <w:lang w:eastAsia="en-GB"/>
            </w:rPr>
          </w:pPr>
          <w:hyperlink w:anchor="_Toc156990253" w:history="1">
            <w:r w:rsidRPr="00B80F49">
              <w:rPr>
                <w:rStyle w:val="Hyperlink"/>
                <w:rFonts w:ascii="Times New Roman" w:hAnsi="Times New Roman" w:cs="Times New Roman"/>
                <w:noProof/>
              </w:rPr>
              <w:t>2.2.4</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Goal Setting Theory</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_Toc156990253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21</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54" w:history="1">
            <w:r w:rsidRPr="00B80F49">
              <w:rPr>
                <w:rStyle w:val="Hyperlink"/>
                <w:rFonts w:ascii="Times New Roman" w:hAnsi="Times New Roman" w:cs="Times New Roman"/>
                <w:noProof/>
              </w:rPr>
              <w:t>2.3</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Theories relevance to the Project</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_Toc156990254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23</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55" w:history="1">
            <w:r w:rsidRPr="00B80F49">
              <w:rPr>
                <w:rStyle w:val="Hyperlink"/>
                <w:rFonts w:ascii="Times New Roman" w:hAnsi="Times New Roman" w:cs="Times New Roman"/>
                <w:noProof/>
              </w:rPr>
              <w:t>2.4</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Optimizing Employee Relations: Insights from Diverse Approaches to Training and Development</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_Toc156990255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24</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56" w:history="1">
            <w:r w:rsidRPr="00B80F49">
              <w:rPr>
                <w:rStyle w:val="Hyperlink"/>
                <w:rFonts w:ascii="Times New Roman" w:hAnsi="Times New Roman" w:cs="Times New Roman"/>
                <w:noProof/>
              </w:rPr>
              <w:t>2.5</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Conceptual Framework</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_Toc156990256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28</w:t>
            </w:r>
            <w:r w:rsidRPr="00B80F49">
              <w:rPr>
                <w:rFonts w:ascii="Times New Roman" w:hAnsi="Times New Roman" w:cs="Times New Roman"/>
                <w:noProof/>
                <w:webHidden/>
              </w:rPr>
              <w:fldChar w:fldCharType="end"/>
            </w:r>
          </w:hyperlink>
        </w:p>
        <w:p w:rsidR="00020D70" w:rsidRPr="00B80F49" w:rsidRDefault="00020D70" w:rsidP="00020D70">
          <w:pPr>
            <w:pStyle w:val="TOC3"/>
            <w:tabs>
              <w:tab w:val="left" w:pos="1440"/>
              <w:tab w:val="right" w:leader="dot" w:pos="9016"/>
            </w:tabs>
            <w:rPr>
              <w:rFonts w:ascii="Times New Roman" w:eastAsiaTheme="minorEastAsia" w:hAnsi="Times New Roman" w:cs="Times New Roman"/>
              <w:noProof/>
              <w:lang w:eastAsia="en-GB"/>
            </w:rPr>
          </w:pPr>
          <w:hyperlink w:anchor="_Toc156990257" w:history="1">
            <w:r w:rsidRPr="00B80F49">
              <w:rPr>
                <w:rStyle w:val="Hyperlink"/>
                <w:rFonts w:ascii="Times New Roman" w:hAnsi="Times New Roman" w:cs="Times New Roman"/>
                <w:noProof/>
              </w:rPr>
              <w:t>2.5.1</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Types of Training at Amazon: A Holistic Approach to Skill Development</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_Toc156990257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29</w:t>
            </w:r>
            <w:r w:rsidRPr="00B80F49">
              <w:rPr>
                <w:rFonts w:ascii="Times New Roman" w:hAnsi="Times New Roman" w:cs="Times New Roman"/>
                <w:noProof/>
                <w:webHidden/>
              </w:rPr>
              <w:fldChar w:fldCharType="end"/>
            </w:r>
          </w:hyperlink>
        </w:p>
        <w:p w:rsidR="00020D70" w:rsidRPr="00B80F49" w:rsidRDefault="00020D70" w:rsidP="00020D70">
          <w:pPr>
            <w:pStyle w:val="TOC3"/>
            <w:tabs>
              <w:tab w:val="left" w:pos="1440"/>
              <w:tab w:val="right" w:leader="dot" w:pos="9016"/>
            </w:tabs>
            <w:rPr>
              <w:rFonts w:ascii="Times New Roman" w:eastAsiaTheme="minorEastAsia" w:hAnsi="Times New Roman" w:cs="Times New Roman"/>
              <w:noProof/>
              <w:lang w:eastAsia="en-GB"/>
            </w:rPr>
          </w:pPr>
          <w:hyperlink w:anchor="_Toc156990258" w:history="1">
            <w:r w:rsidRPr="00B80F49">
              <w:rPr>
                <w:rStyle w:val="Hyperlink"/>
                <w:rFonts w:ascii="Times New Roman" w:hAnsi="Times New Roman" w:cs="Times New Roman"/>
                <w:noProof/>
              </w:rPr>
              <w:t>2.5.2</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Methods of Training: Crafting a Dynamic Learning Ecosystem</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_Toc156990258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29</w:t>
            </w:r>
            <w:r w:rsidRPr="00B80F49">
              <w:rPr>
                <w:rFonts w:ascii="Times New Roman" w:hAnsi="Times New Roman" w:cs="Times New Roman"/>
                <w:noProof/>
                <w:webHidden/>
              </w:rPr>
              <w:fldChar w:fldCharType="end"/>
            </w:r>
          </w:hyperlink>
        </w:p>
        <w:p w:rsidR="00020D70" w:rsidRPr="00B80F49" w:rsidRDefault="00020D70" w:rsidP="00020D70">
          <w:pPr>
            <w:pStyle w:val="TOC3"/>
            <w:tabs>
              <w:tab w:val="left" w:pos="1440"/>
              <w:tab w:val="right" w:leader="dot" w:pos="9016"/>
            </w:tabs>
            <w:rPr>
              <w:rFonts w:ascii="Times New Roman" w:eastAsiaTheme="minorEastAsia" w:hAnsi="Times New Roman" w:cs="Times New Roman"/>
              <w:noProof/>
              <w:lang w:eastAsia="en-GB"/>
            </w:rPr>
          </w:pPr>
          <w:hyperlink w:anchor="_Toc156990259" w:history="1">
            <w:r w:rsidRPr="00B80F49">
              <w:rPr>
                <w:rStyle w:val="Hyperlink"/>
                <w:rFonts w:ascii="Times New Roman" w:hAnsi="Times New Roman" w:cs="Times New Roman"/>
                <w:noProof/>
              </w:rPr>
              <w:t>2.5.3</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Effects of Training: Unveiling the Impact on Employee Dynamics</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_Toc156990259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29</w:t>
            </w:r>
            <w:r w:rsidRPr="00B80F49">
              <w:rPr>
                <w:rFonts w:ascii="Times New Roman" w:hAnsi="Times New Roman" w:cs="Times New Roman"/>
                <w:noProof/>
                <w:webHidden/>
              </w:rPr>
              <w:fldChar w:fldCharType="end"/>
            </w:r>
          </w:hyperlink>
        </w:p>
        <w:p w:rsidR="00020D70" w:rsidRPr="00B80F49" w:rsidRDefault="00020D70" w:rsidP="00020D70">
          <w:pPr>
            <w:pStyle w:val="TOC3"/>
            <w:tabs>
              <w:tab w:val="left" w:pos="1440"/>
              <w:tab w:val="right" w:leader="dot" w:pos="9016"/>
            </w:tabs>
            <w:rPr>
              <w:rFonts w:ascii="Times New Roman" w:eastAsiaTheme="minorEastAsia" w:hAnsi="Times New Roman" w:cs="Times New Roman"/>
              <w:noProof/>
              <w:lang w:eastAsia="en-GB"/>
            </w:rPr>
          </w:pPr>
          <w:hyperlink w:anchor="_Toc156990260" w:history="1">
            <w:r w:rsidRPr="00B80F49">
              <w:rPr>
                <w:rStyle w:val="Hyperlink"/>
                <w:rFonts w:ascii="Times New Roman" w:hAnsi="Times New Roman" w:cs="Times New Roman"/>
                <w:noProof/>
              </w:rPr>
              <w:t>2.5.4</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Employee Relations: Nurturing a Positive Workplace Culture</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_Toc156990260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30</w:t>
            </w:r>
            <w:r w:rsidRPr="00B80F49">
              <w:rPr>
                <w:rFonts w:ascii="Times New Roman" w:hAnsi="Times New Roman" w:cs="Times New Roman"/>
                <w:noProof/>
                <w:webHidden/>
              </w:rPr>
              <w:fldChar w:fldCharType="end"/>
            </w:r>
          </w:hyperlink>
        </w:p>
        <w:p w:rsidR="00020D70" w:rsidRPr="00B80F49" w:rsidRDefault="00020D70" w:rsidP="00020D70">
          <w:pPr>
            <w:pStyle w:val="TOC3"/>
            <w:tabs>
              <w:tab w:val="left" w:pos="1440"/>
              <w:tab w:val="right" w:leader="dot" w:pos="9016"/>
            </w:tabs>
            <w:rPr>
              <w:rFonts w:ascii="Times New Roman" w:eastAsiaTheme="minorEastAsia" w:hAnsi="Times New Roman" w:cs="Times New Roman"/>
              <w:noProof/>
              <w:lang w:eastAsia="en-GB"/>
            </w:rPr>
          </w:pPr>
          <w:hyperlink w:anchor="_Toc156990261" w:history="1">
            <w:r w:rsidRPr="00B80F49">
              <w:rPr>
                <w:rStyle w:val="Hyperlink"/>
                <w:rFonts w:ascii="Times New Roman" w:hAnsi="Times New Roman" w:cs="Times New Roman"/>
                <w:noProof/>
              </w:rPr>
              <w:t>2.5.5</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Conceptual Model: Predictors of Positive Employee Relations at Amazon</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_Toc156990261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30</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62" w:history="1">
            <w:r w:rsidRPr="00B80F49">
              <w:rPr>
                <w:rStyle w:val="Hyperlink"/>
                <w:rFonts w:ascii="Times New Roman" w:hAnsi="Times New Roman" w:cs="Times New Roman"/>
                <w:noProof/>
              </w:rPr>
              <w:t>2.6</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Summary</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_Toc156990262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30</w:t>
            </w:r>
            <w:r w:rsidRPr="00B80F49">
              <w:rPr>
                <w:rFonts w:ascii="Times New Roman" w:hAnsi="Times New Roman" w:cs="Times New Roman"/>
                <w:noProof/>
                <w:webHidden/>
              </w:rPr>
              <w:fldChar w:fldCharType="end"/>
            </w:r>
          </w:hyperlink>
        </w:p>
        <w:p w:rsidR="00020D70" w:rsidRPr="00B80F49" w:rsidRDefault="00020D70" w:rsidP="00020D70">
          <w:pPr>
            <w:pStyle w:val="TOC1"/>
            <w:tabs>
              <w:tab w:val="left" w:pos="480"/>
              <w:tab w:val="right" w:leader="dot" w:pos="9016"/>
            </w:tabs>
            <w:rPr>
              <w:rFonts w:ascii="Times New Roman" w:eastAsiaTheme="minorEastAsia" w:hAnsi="Times New Roman" w:cs="Times New Roman"/>
              <w:noProof/>
              <w:lang w:eastAsia="en-GB"/>
            </w:rPr>
          </w:pPr>
          <w:hyperlink w:anchor="_Toc156990263" w:history="1">
            <w:r w:rsidRPr="00B80F49">
              <w:rPr>
                <w:rStyle w:val="Hyperlink"/>
                <w:rFonts w:ascii="Times New Roman" w:hAnsi="Times New Roman" w:cs="Times New Roman"/>
                <w:noProof/>
              </w:rPr>
              <w:t>3</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Research Methodology</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_Toc156990263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31</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64" w:history="1">
            <w:r w:rsidRPr="00B80F49">
              <w:rPr>
                <w:rStyle w:val="Hyperlink"/>
                <w:rFonts w:ascii="Times New Roman" w:hAnsi="Times New Roman" w:cs="Times New Roman"/>
                <w:noProof/>
              </w:rPr>
              <w:t>3.1</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Introduction</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_Toc156990264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31</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65" w:history="1">
            <w:r w:rsidRPr="00B80F49">
              <w:rPr>
                <w:rStyle w:val="Hyperlink"/>
                <w:rFonts w:ascii="Times New Roman" w:hAnsi="Times New Roman" w:cs="Times New Roman"/>
                <w:noProof/>
              </w:rPr>
              <w:t>3.2</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Research Design</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_Toc156990265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32</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66" w:history="1">
            <w:r w:rsidRPr="00B80F49">
              <w:rPr>
                <w:rStyle w:val="Hyperlink"/>
                <w:rFonts w:ascii="Times New Roman" w:hAnsi="Times New Roman" w:cs="Times New Roman"/>
                <w:noProof/>
              </w:rPr>
              <w:t>3.3</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Research Methods</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_Toc156990266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32</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67" w:history="1">
            <w:r w:rsidRPr="00B80F49">
              <w:rPr>
                <w:rStyle w:val="Hyperlink"/>
                <w:rFonts w:ascii="Times New Roman" w:hAnsi="Times New Roman" w:cs="Times New Roman"/>
                <w:noProof/>
              </w:rPr>
              <w:t>3.4</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Research Philosophy</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_Toc156990267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33</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68" w:history="1">
            <w:r w:rsidRPr="00B80F49">
              <w:rPr>
                <w:rStyle w:val="Hyperlink"/>
                <w:rFonts w:ascii="Times New Roman" w:hAnsi="Times New Roman" w:cs="Times New Roman"/>
                <w:noProof/>
              </w:rPr>
              <w:t>3.5</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Research Approach</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_Toc156990268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34</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69" w:history="1">
            <w:r w:rsidRPr="00B80F49">
              <w:rPr>
                <w:rStyle w:val="Hyperlink"/>
                <w:rFonts w:ascii="Times New Roman" w:hAnsi="Times New Roman" w:cs="Times New Roman"/>
                <w:noProof/>
              </w:rPr>
              <w:t>3.6</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Area &amp; Population of Study</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_Toc156990269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34</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70" w:history="1">
            <w:r w:rsidRPr="00B80F49">
              <w:rPr>
                <w:rStyle w:val="Hyperlink"/>
                <w:rFonts w:ascii="Times New Roman" w:hAnsi="Times New Roman" w:cs="Times New Roman"/>
                <w:noProof/>
              </w:rPr>
              <w:t>3.7</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Data Collection Procedure</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_Toc156990270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35</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71" w:history="1">
            <w:r w:rsidRPr="00B80F49">
              <w:rPr>
                <w:rStyle w:val="Hyperlink"/>
                <w:rFonts w:ascii="Times New Roman" w:hAnsi="Times New Roman" w:cs="Times New Roman"/>
                <w:noProof/>
              </w:rPr>
              <w:t>3.8</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Data Analysis Strategies</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_Toc156990271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35</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72" w:history="1">
            <w:r w:rsidRPr="00B80F49">
              <w:rPr>
                <w:rStyle w:val="Hyperlink"/>
                <w:rFonts w:ascii="Times New Roman" w:hAnsi="Times New Roman" w:cs="Times New Roman"/>
                <w:noProof/>
              </w:rPr>
              <w:t>3.9</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Ethical considerations</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_Toc156990272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36</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73" w:history="1">
            <w:r w:rsidRPr="00B80F49">
              <w:rPr>
                <w:rStyle w:val="Hyperlink"/>
                <w:rFonts w:ascii="Times New Roman" w:hAnsi="Times New Roman" w:cs="Times New Roman"/>
                <w:noProof/>
              </w:rPr>
              <w:t>3.10</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Summary</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_Toc156990273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36</w:t>
            </w:r>
            <w:r w:rsidRPr="00B80F49">
              <w:rPr>
                <w:rFonts w:ascii="Times New Roman" w:hAnsi="Times New Roman" w:cs="Times New Roman"/>
                <w:noProof/>
                <w:webHidden/>
              </w:rPr>
              <w:fldChar w:fldCharType="end"/>
            </w:r>
          </w:hyperlink>
        </w:p>
        <w:p w:rsidR="00020D70" w:rsidRPr="00B80F49" w:rsidRDefault="00020D70" w:rsidP="00020D70">
          <w:pPr>
            <w:pStyle w:val="TOC1"/>
            <w:tabs>
              <w:tab w:val="left" w:pos="480"/>
              <w:tab w:val="right" w:leader="dot" w:pos="9016"/>
            </w:tabs>
            <w:rPr>
              <w:rFonts w:ascii="Times New Roman" w:eastAsiaTheme="minorEastAsia" w:hAnsi="Times New Roman" w:cs="Times New Roman"/>
              <w:noProof/>
              <w:lang w:eastAsia="en-GB"/>
            </w:rPr>
          </w:pPr>
          <w:hyperlink w:anchor="_Toc156990274" w:history="1">
            <w:r w:rsidRPr="00B80F49">
              <w:rPr>
                <w:rStyle w:val="Hyperlink"/>
                <w:rFonts w:ascii="Times New Roman" w:hAnsi="Times New Roman" w:cs="Times New Roman"/>
                <w:noProof/>
              </w:rPr>
              <w:t>4</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Analysis and Results of the Data</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_Toc156990274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37</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75" w:history="1">
            <w:r w:rsidRPr="00B80F49">
              <w:rPr>
                <w:rStyle w:val="Hyperlink"/>
                <w:rFonts w:ascii="Times New Roman" w:hAnsi="Times New Roman" w:cs="Times New Roman"/>
                <w:noProof/>
              </w:rPr>
              <w:t>4.1</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Descriptive Statistics</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_Toc156990275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38</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76" w:history="1">
            <w:r w:rsidRPr="00B80F49">
              <w:rPr>
                <w:rStyle w:val="Hyperlink"/>
                <w:rFonts w:ascii="Times New Roman" w:hAnsi="Times New Roman" w:cs="Times New Roman"/>
                <w:noProof/>
              </w:rPr>
              <w:t>4.2</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Correlation Analysis</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_Toc156990276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45</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77" w:history="1">
            <w:r w:rsidRPr="00B80F49">
              <w:rPr>
                <w:rStyle w:val="Hyperlink"/>
                <w:rFonts w:ascii="Times New Roman" w:hAnsi="Times New Roman" w:cs="Times New Roman"/>
                <w:noProof/>
              </w:rPr>
              <w:t>4.3</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Regression Analysis</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_Toc156990277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47</w:t>
            </w:r>
            <w:r w:rsidRPr="00B80F49">
              <w:rPr>
                <w:rFonts w:ascii="Times New Roman" w:hAnsi="Times New Roman" w:cs="Times New Roman"/>
                <w:noProof/>
                <w:webHidden/>
              </w:rPr>
              <w:fldChar w:fldCharType="end"/>
            </w:r>
          </w:hyperlink>
        </w:p>
        <w:p w:rsidR="00020D70" w:rsidRPr="00B80F49" w:rsidRDefault="00020D70" w:rsidP="00020D70">
          <w:pPr>
            <w:pStyle w:val="TOC1"/>
            <w:tabs>
              <w:tab w:val="left" w:pos="480"/>
              <w:tab w:val="right" w:leader="dot" w:pos="9016"/>
            </w:tabs>
            <w:rPr>
              <w:rFonts w:ascii="Times New Roman" w:eastAsiaTheme="minorEastAsia" w:hAnsi="Times New Roman" w:cs="Times New Roman"/>
              <w:noProof/>
              <w:lang w:eastAsia="en-GB"/>
            </w:rPr>
          </w:pPr>
          <w:hyperlink w:anchor="_Toc156990278" w:history="1">
            <w:r w:rsidRPr="00B80F49">
              <w:rPr>
                <w:rStyle w:val="Hyperlink"/>
                <w:rFonts w:ascii="Times New Roman" w:hAnsi="Times New Roman" w:cs="Times New Roman"/>
                <w:noProof/>
              </w:rPr>
              <w:t>5</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Research Discussion</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_Toc156990278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49</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79" w:history="1">
            <w:r w:rsidRPr="00B80F49">
              <w:rPr>
                <w:rStyle w:val="Hyperlink"/>
                <w:rFonts w:ascii="Times New Roman" w:hAnsi="Times New Roman" w:cs="Times New Roman"/>
                <w:noProof/>
              </w:rPr>
              <w:t>5.1</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Summary of Key Results</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_Toc156990279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49</w:t>
            </w:r>
            <w:r w:rsidRPr="00B80F49">
              <w:rPr>
                <w:rFonts w:ascii="Times New Roman" w:hAnsi="Times New Roman" w:cs="Times New Roman"/>
                <w:noProof/>
                <w:webHidden/>
              </w:rPr>
              <w:fldChar w:fldCharType="end"/>
            </w:r>
          </w:hyperlink>
        </w:p>
        <w:p w:rsidR="00020D70" w:rsidRPr="00B80F49" w:rsidRDefault="00020D70" w:rsidP="00020D70">
          <w:pPr>
            <w:pStyle w:val="TOC3"/>
            <w:tabs>
              <w:tab w:val="left" w:pos="1440"/>
              <w:tab w:val="right" w:leader="dot" w:pos="9016"/>
            </w:tabs>
            <w:rPr>
              <w:rFonts w:ascii="Times New Roman" w:eastAsiaTheme="minorEastAsia" w:hAnsi="Times New Roman" w:cs="Times New Roman"/>
              <w:noProof/>
              <w:lang w:eastAsia="en-GB"/>
            </w:rPr>
          </w:pPr>
          <w:hyperlink w:anchor="_Toc156990280" w:history="1">
            <w:r w:rsidRPr="00B80F49">
              <w:rPr>
                <w:rStyle w:val="Hyperlink"/>
                <w:rFonts w:ascii="Times New Roman" w:hAnsi="Times New Roman" w:cs="Times New Roman"/>
                <w:noProof/>
              </w:rPr>
              <w:t>5.1.1</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Overview of Employees Profile</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_Toc156990280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49</w:t>
            </w:r>
            <w:r w:rsidRPr="00B80F49">
              <w:rPr>
                <w:rFonts w:ascii="Times New Roman" w:hAnsi="Times New Roman" w:cs="Times New Roman"/>
                <w:noProof/>
                <w:webHidden/>
              </w:rPr>
              <w:fldChar w:fldCharType="end"/>
            </w:r>
          </w:hyperlink>
        </w:p>
        <w:p w:rsidR="00020D70" w:rsidRPr="00B80F49" w:rsidRDefault="00020D70" w:rsidP="00020D70">
          <w:pPr>
            <w:pStyle w:val="TOC3"/>
            <w:tabs>
              <w:tab w:val="left" w:pos="1440"/>
              <w:tab w:val="right" w:leader="dot" w:pos="9016"/>
            </w:tabs>
            <w:rPr>
              <w:rFonts w:ascii="Times New Roman" w:eastAsiaTheme="minorEastAsia" w:hAnsi="Times New Roman" w:cs="Times New Roman"/>
              <w:noProof/>
              <w:lang w:eastAsia="en-GB"/>
            </w:rPr>
          </w:pPr>
          <w:hyperlink w:anchor="_Toc156990281" w:history="1">
            <w:r w:rsidRPr="00B80F49">
              <w:rPr>
                <w:rStyle w:val="Hyperlink"/>
                <w:rFonts w:ascii="Times New Roman" w:hAnsi="Times New Roman" w:cs="Times New Roman"/>
                <w:noProof/>
              </w:rPr>
              <w:t>5.1.2</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Training Perceptions</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_Toc156990281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50</w:t>
            </w:r>
            <w:r w:rsidRPr="00B80F49">
              <w:rPr>
                <w:rFonts w:ascii="Times New Roman" w:hAnsi="Times New Roman" w:cs="Times New Roman"/>
                <w:noProof/>
                <w:webHidden/>
              </w:rPr>
              <w:fldChar w:fldCharType="end"/>
            </w:r>
          </w:hyperlink>
        </w:p>
        <w:p w:rsidR="00020D70" w:rsidRPr="00B80F49" w:rsidRDefault="00020D70" w:rsidP="00020D70">
          <w:pPr>
            <w:pStyle w:val="TOC3"/>
            <w:tabs>
              <w:tab w:val="left" w:pos="1440"/>
              <w:tab w:val="right" w:leader="dot" w:pos="9016"/>
            </w:tabs>
            <w:rPr>
              <w:rFonts w:ascii="Times New Roman" w:eastAsiaTheme="minorEastAsia" w:hAnsi="Times New Roman" w:cs="Times New Roman"/>
              <w:noProof/>
              <w:lang w:eastAsia="en-GB"/>
            </w:rPr>
          </w:pPr>
          <w:hyperlink w:anchor="_Toc156990282" w:history="1">
            <w:r w:rsidRPr="00B80F49">
              <w:rPr>
                <w:rStyle w:val="Hyperlink"/>
                <w:rFonts w:ascii="Times New Roman" w:hAnsi="Times New Roman" w:cs="Times New Roman"/>
                <w:noProof/>
              </w:rPr>
              <w:t>5.1.3</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Correlation Analysis Insights</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_Toc156990282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51</w:t>
            </w:r>
            <w:r w:rsidRPr="00B80F49">
              <w:rPr>
                <w:rFonts w:ascii="Times New Roman" w:hAnsi="Times New Roman" w:cs="Times New Roman"/>
                <w:noProof/>
                <w:webHidden/>
              </w:rPr>
              <w:fldChar w:fldCharType="end"/>
            </w:r>
          </w:hyperlink>
        </w:p>
        <w:p w:rsidR="00020D70" w:rsidRPr="00B80F49" w:rsidRDefault="00020D70" w:rsidP="00020D70">
          <w:pPr>
            <w:pStyle w:val="TOC3"/>
            <w:tabs>
              <w:tab w:val="left" w:pos="1440"/>
              <w:tab w:val="right" w:leader="dot" w:pos="9016"/>
            </w:tabs>
            <w:rPr>
              <w:rFonts w:ascii="Times New Roman" w:eastAsiaTheme="minorEastAsia" w:hAnsi="Times New Roman" w:cs="Times New Roman"/>
              <w:noProof/>
              <w:lang w:eastAsia="en-GB"/>
            </w:rPr>
          </w:pPr>
          <w:hyperlink w:anchor="_Toc156990283" w:history="1">
            <w:r w:rsidRPr="00B80F49">
              <w:rPr>
                <w:rStyle w:val="Hyperlink"/>
                <w:rFonts w:ascii="Times New Roman" w:hAnsi="Times New Roman" w:cs="Times New Roman"/>
                <w:noProof/>
              </w:rPr>
              <w:t>5.1.4</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Key Regression Modeling Outcomes</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_Toc156990283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51</w:t>
            </w:r>
            <w:r w:rsidRPr="00B80F49">
              <w:rPr>
                <w:rFonts w:ascii="Times New Roman" w:hAnsi="Times New Roman" w:cs="Times New Roman"/>
                <w:noProof/>
                <w:webHidden/>
              </w:rPr>
              <w:fldChar w:fldCharType="end"/>
            </w:r>
          </w:hyperlink>
        </w:p>
        <w:p w:rsidR="00020D70" w:rsidRPr="00B80F49" w:rsidRDefault="00020D70" w:rsidP="00020D70">
          <w:pPr>
            <w:pStyle w:val="TOC3"/>
            <w:tabs>
              <w:tab w:val="left" w:pos="1440"/>
              <w:tab w:val="right" w:leader="dot" w:pos="9016"/>
            </w:tabs>
            <w:rPr>
              <w:rFonts w:ascii="Times New Roman" w:eastAsiaTheme="minorEastAsia" w:hAnsi="Times New Roman" w:cs="Times New Roman"/>
              <w:noProof/>
              <w:lang w:eastAsia="en-GB"/>
            </w:rPr>
          </w:pPr>
          <w:hyperlink w:anchor="_Toc156990284" w:history="1">
            <w:r w:rsidRPr="00B80F49">
              <w:rPr>
                <w:rStyle w:val="Hyperlink"/>
                <w:rFonts w:ascii="Times New Roman" w:hAnsi="Times New Roman" w:cs="Times New Roman"/>
                <w:noProof/>
              </w:rPr>
              <w:t>5.1.5</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Linkage to Hypothesized relationships</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_Toc156990284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52</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85" w:history="1">
            <w:r w:rsidRPr="00B80F49">
              <w:rPr>
                <w:rStyle w:val="Hyperlink"/>
                <w:rFonts w:ascii="Times New Roman" w:hAnsi="Times New Roman" w:cs="Times New Roman"/>
                <w:noProof/>
              </w:rPr>
              <w:t>5.2</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Discussion of Results</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_Toc156990285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53</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86" w:history="1">
            <w:r w:rsidRPr="00B80F49">
              <w:rPr>
                <w:rStyle w:val="Hyperlink"/>
                <w:rFonts w:ascii="Times New Roman" w:hAnsi="Times New Roman" w:cs="Times New Roman"/>
                <w:noProof/>
              </w:rPr>
              <w:t>5.3</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Practical Implications</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_Toc156990286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53</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87" w:history="1">
            <w:r w:rsidRPr="00B80F49">
              <w:rPr>
                <w:rStyle w:val="Hyperlink"/>
                <w:rFonts w:ascii="Times New Roman" w:hAnsi="Times New Roman" w:cs="Times New Roman"/>
                <w:noProof/>
              </w:rPr>
              <w:t>5.4</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Limitations of the Research</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_Toc156990287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54</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88" w:history="1">
            <w:r w:rsidRPr="00B80F49">
              <w:rPr>
                <w:rStyle w:val="Hyperlink"/>
                <w:rFonts w:ascii="Times New Roman" w:hAnsi="Times New Roman" w:cs="Times New Roman"/>
                <w:noProof/>
              </w:rPr>
              <w:t>5.5</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Research Gap</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_Toc156990288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54</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89" w:history="1">
            <w:r w:rsidRPr="00B80F49">
              <w:rPr>
                <w:rStyle w:val="Hyperlink"/>
                <w:rFonts w:ascii="Times New Roman" w:hAnsi="Times New Roman" w:cs="Times New Roman"/>
                <w:noProof/>
              </w:rPr>
              <w:t>5.6</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Recommendations</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_Toc156990289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55</w:t>
            </w:r>
            <w:r w:rsidRPr="00B80F49">
              <w:rPr>
                <w:rFonts w:ascii="Times New Roman" w:hAnsi="Times New Roman" w:cs="Times New Roman"/>
                <w:noProof/>
                <w:webHidden/>
              </w:rPr>
              <w:fldChar w:fldCharType="end"/>
            </w:r>
          </w:hyperlink>
        </w:p>
        <w:p w:rsidR="00020D70" w:rsidRPr="00B80F49" w:rsidRDefault="00020D70" w:rsidP="00020D70">
          <w:pPr>
            <w:pStyle w:val="TOC2"/>
            <w:tabs>
              <w:tab w:val="left" w:pos="960"/>
              <w:tab w:val="right" w:leader="dot" w:pos="9016"/>
            </w:tabs>
            <w:rPr>
              <w:rFonts w:ascii="Times New Roman" w:eastAsiaTheme="minorEastAsia" w:hAnsi="Times New Roman" w:cs="Times New Roman"/>
              <w:noProof/>
              <w:lang w:eastAsia="en-GB"/>
            </w:rPr>
          </w:pPr>
          <w:hyperlink w:anchor="_Toc156990290" w:history="1">
            <w:r w:rsidRPr="00B80F49">
              <w:rPr>
                <w:rStyle w:val="Hyperlink"/>
                <w:rFonts w:ascii="Times New Roman" w:hAnsi="Times New Roman" w:cs="Times New Roman"/>
                <w:noProof/>
              </w:rPr>
              <w:t>5.7</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Future Research Directions</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_Toc156990290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56</w:t>
            </w:r>
            <w:r w:rsidRPr="00B80F49">
              <w:rPr>
                <w:rFonts w:ascii="Times New Roman" w:hAnsi="Times New Roman" w:cs="Times New Roman"/>
                <w:noProof/>
                <w:webHidden/>
              </w:rPr>
              <w:fldChar w:fldCharType="end"/>
            </w:r>
          </w:hyperlink>
        </w:p>
        <w:p w:rsidR="00020D70" w:rsidRPr="00B80F49" w:rsidRDefault="00020D70" w:rsidP="00020D70">
          <w:pPr>
            <w:pStyle w:val="TOC1"/>
            <w:tabs>
              <w:tab w:val="left" w:pos="480"/>
              <w:tab w:val="right" w:leader="dot" w:pos="9016"/>
            </w:tabs>
            <w:rPr>
              <w:rFonts w:ascii="Times New Roman" w:eastAsiaTheme="minorEastAsia" w:hAnsi="Times New Roman" w:cs="Times New Roman"/>
              <w:noProof/>
              <w:lang w:eastAsia="en-GB"/>
            </w:rPr>
          </w:pPr>
          <w:hyperlink w:anchor="_Toc156990291" w:history="1">
            <w:r w:rsidRPr="00B80F49">
              <w:rPr>
                <w:rStyle w:val="Hyperlink"/>
                <w:rFonts w:ascii="Times New Roman" w:hAnsi="Times New Roman" w:cs="Times New Roman"/>
                <w:noProof/>
              </w:rPr>
              <w:t>6</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Conclusion</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_Toc156990291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57</w:t>
            </w:r>
            <w:r w:rsidRPr="00B80F49">
              <w:rPr>
                <w:rFonts w:ascii="Times New Roman" w:hAnsi="Times New Roman" w:cs="Times New Roman"/>
                <w:noProof/>
                <w:webHidden/>
              </w:rPr>
              <w:fldChar w:fldCharType="end"/>
            </w:r>
          </w:hyperlink>
        </w:p>
        <w:p w:rsidR="00020D70" w:rsidRPr="00B80F49" w:rsidRDefault="00020D70" w:rsidP="00020D70">
          <w:pPr>
            <w:pStyle w:val="TOC1"/>
            <w:tabs>
              <w:tab w:val="left" w:pos="480"/>
              <w:tab w:val="right" w:leader="dot" w:pos="9016"/>
            </w:tabs>
            <w:rPr>
              <w:rFonts w:ascii="Times New Roman" w:eastAsiaTheme="minorEastAsia" w:hAnsi="Times New Roman" w:cs="Times New Roman"/>
              <w:noProof/>
              <w:lang w:eastAsia="en-GB"/>
            </w:rPr>
          </w:pPr>
          <w:hyperlink w:anchor="_Toc156990292" w:history="1">
            <w:r w:rsidRPr="00B80F49">
              <w:rPr>
                <w:rStyle w:val="Hyperlink"/>
                <w:rFonts w:ascii="Times New Roman" w:hAnsi="Times New Roman" w:cs="Times New Roman"/>
                <w:noProof/>
              </w:rPr>
              <w:t>7</w:t>
            </w:r>
            <w:r w:rsidRPr="00B80F49">
              <w:rPr>
                <w:rFonts w:ascii="Times New Roman" w:eastAsiaTheme="minorEastAsia" w:hAnsi="Times New Roman" w:cs="Times New Roman"/>
                <w:noProof/>
                <w:lang w:eastAsia="en-GB"/>
              </w:rPr>
              <w:tab/>
            </w:r>
            <w:r w:rsidRPr="00B80F49">
              <w:rPr>
                <w:rStyle w:val="Hyperlink"/>
                <w:rFonts w:ascii="Times New Roman" w:hAnsi="Times New Roman" w:cs="Times New Roman"/>
                <w:noProof/>
              </w:rPr>
              <w:t>References</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_Toc156990292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59</w:t>
            </w:r>
            <w:r w:rsidRPr="00B80F49">
              <w:rPr>
                <w:rFonts w:ascii="Times New Roman" w:hAnsi="Times New Roman" w:cs="Times New Roman"/>
                <w:noProof/>
                <w:webHidden/>
              </w:rPr>
              <w:fldChar w:fldCharType="end"/>
            </w:r>
          </w:hyperlink>
        </w:p>
        <w:p w:rsidR="00020D70" w:rsidRPr="00B80F49" w:rsidRDefault="00020D70" w:rsidP="00020D70">
          <w:pPr>
            <w:pStyle w:val="TOC1"/>
            <w:tabs>
              <w:tab w:val="right" w:leader="dot" w:pos="9016"/>
            </w:tabs>
            <w:rPr>
              <w:rFonts w:ascii="Times New Roman" w:eastAsiaTheme="minorEastAsia" w:hAnsi="Times New Roman" w:cs="Times New Roman"/>
              <w:noProof/>
              <w:lang w:eastAsia="en-GB"/>
            </w:rPr>
          </w:pPr>
          <w:hyperlink w:anchor="_Toc156990293" w:history="1">
            <w:r w:rsidRPr="00B80F49">
              <w:rPr>
                <w:rStyle w:val="Hyperlink"/>
                <w:rFonts w:ascii="Times New Roman" w:hAnsi="Times New Roman" w:cs="Times New Roman"/>
                <w:noProof/>
              </w:rPr>
              <w:t>Appendix</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_Toc156990293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66</w:t>
            </w:r>
            <w:r w:rsidRPr="00B80F49">
              <w:rPr>
                <w:rFonts w:ascii="Times New Roman" w:hAnsi="Times New Roman" w:cs="Times New Roman"/>
                <w:noProof/>
                <w:webHidden/>
              </w:rPr>
              <w:fldChar w:fldCharType="end"/>
            </w:r>
          </w:hyperlink>
        </w:p>
        <w:p w:rsidR="00020D70" w:rsidRPr="00B80F49" w:rsidRDefault="00020D70" w:rsidP="00020D70">
          <w:pPr>
            <w:pStyle w:val="TOC2"/>
            <w:tabs>
              <w:tab w:val="right" w:leader="dot" w:pos="9016"/>
            </w:tabs>
            <w:rPr>
              <w:rFonts w:ascii="Times New Roman" w:eastAsiaTheme="minorEastAsia" w:hAnsi="Times New Roman" w:cs="Times New Roman"/>
              <w:noProof/>
              <w:lang w:eastAsia="en-GB"/>
            </w:rPr>
          </w:pPr>
          <w:hyperlink w:anchor="_Toc156990294" w:history="1">
            <w:r w:rsidRPr="00B80F49">
              <w:rPr>
                <w:rStyle w:val="Hyperlink"/>
                <w:rFonts w:ascii="Times New Roman" w:hAnsi="Times New Roman" w:cs="Times New Roman"/>
                <w:noProof/>
              </w:rPr>
              <w:t>Appendix A - Questionnaire</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_Toc156990294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66</w:t>
            </w:r>
            <w:r w:rsidRPr="00B80F49">
              <w:rPr>
                <w:rFonts w:ascii="Times New Roman" w:hAnsi="Times New Roman" w:cs="Times New Roman"/>
                <w:noProof/>
                <w:webHidden/>
              </w:rPr>
              <w:fldChar w:fldCharType="end"/>
            </w:r>
          </w:hyperlink>
        </w:p>
        <w:p w:rsidR="00020D70" w:rsidRPr="00B80F49" w:rsidRDefault="00020D70" w:rsidP="00020D70">
          <w:pPr>
            <w:pStyle w:val="TOC2"/>
            <w:tabs>
              <w:tab w:val="right" w:leader="dot" w:pos="9016"/>
            </w:tabs>
            <w:rPr>
              <w:rFonts w:ascii="Times New Roman" w:eastAsiaTheme="minorEastAsia" w:hAnsi="Times New Roman" w:cs="Times New Roman"/>
              <w:noProof/>
              <w:lang w:eastAsia="en-GB"/>
            </w:rPr>
          </w:pPr>
          <w:hyperlink w:anchor="_Toc156990295" w:history="1">
            <w:r w:rsidRPr="00B80F49">
              <w:rPr>
                <w:rStyle w:val="Hyperlink"/>
                <w:rFonts w:ascii="Times New Roman" w:hAnsi="Times New Roman" w:cs="Times New Roman"/>
                <w:noProof/>
              </w:rPr>
              <w:t>Appendix B - Gantt Chart</w:t>
            </w:r>
            <w:r w:rsidRPr="00B80F49">
              <w:rPr>
                <w:rFonts w:ascii="Times New Roman" w:hAnsi="Times New Roman" w:cs="Times New Roman"/>
                <w:noProof/>
                <w:webHidden/>
              </w:rPr>
              <w:tab/>
            </w:r>
            <w:r w:rsidRPr="00B80F49">
              <w:rPr>
                <w:rFonts w:ascii="Times New Roman" w:hAnsi="Times New Roman" w:cs="Times New Roman"/>
                <w:noProof/>
                <w:webHidden/>
              </w:rPr>
              <w:fldChar w:fldCharType="begin"/>
            </w:r>
            <w:r w:rsidRPr="00B80F49">
              <w:rPr>
                <w:rFonts w:ascii="Times New Roman" w:hAnsi="Times New Roman" w:cs="Times New Roman"/>
                <w:noProof/>
                <w:webHidden/>
              </w:rPr>
              <w:instrText xml:space="preserve"> PAGEREF _Toc156990295 \h </w:instrText>
            </w:r>
            <w:r w:rsidRPr="00B80F49">
              <w:rPr>
                <w:rFonts w:ascii="Times New Roman" w:hAnsi="Times New Roman" w:cs="Times New Roman"/>
                <w:noProof/>
                <w:webHidden/>
              </w:rPr>
            </w:r>
            <w:r w:rsidRPr="00B80F49">
              <w:rPr>
                <w:rFonts w:ascii="Times New Roman" w:hAnsi="Times New Roman" w:cs="Times New Roman"/>
                <w:noProof/>
                <w:webHidden/>
              </w:rPr>
              <w:fldChar w:fldCharType="separate"/>
            </w:r>
            <w:r w:rsidRPr="00B80F49">
              <w:rPr>
                <w:rFonts w:ascii="Times New Roman" w:hAnsi="Times New Roman" w:cs="Times New Roman"/>
                <w:noProof/>
                <w:webHidden/>
              </w:rPr>
              <w:t>75</w:t>
            </w:r>
            <w:r w:rsidRPr="00B80F49">
              <w:rPr>
                <w:rFonts w:ascii="Times New Roman" w:hAnsi="Times New Roman" w:cs="Times New Roman"/>
                <w:noProof/>
                <w:webHidden/>
              </w:rPr>
              <w:fldChar w:fldCharType="end"/>
            </w:r>
          </w:hyperlink>
        </w:p>
        <w:p w:rsidR="00020D70" w:rsidRPr="002A3ABF" w:rsidRDefault="00020D70" w:rsidP="00020D70">
          <w:r w:rsidRPr="00B80F49">
            <w:rPr>
              <w:rFonts w:ascii="Times New Roman" w:hAnsi="Times New Roman" w:cs="Times New Roman"/>
              <w:b/>
              <w:bCs/>
              <w:noProof/>
            </w:rPr>
            <w:fldChar w:fldCharType="end"/>
          </w:r>
        </w:p>
      </w:sdtContent>
    </w:sdt>
    <w:p w:rsidR="00020D70" w:rsidRPr="00254A83" w:rsidRDefault="00020D70" w:rsidP="00020D70">
      <w:pPr>
        <w:pStyle w:val="TableofFigures"/>
        <w:tabs>
          <w:tab w:val="right" w:leader="dot" w:pos="9016"/>
        </w:tabs>
        <w:spacing w:line="360" w:lineRule="auto"/>
        <w:rPr>
          <w:rFonts w:ascii="Times New Roman" w:hAnsi="Times New Roman" w:cs="Times New Roman"/>
          <w:b/>
          <w:bCs/>
        </w:rPr>
      </w:pPr>
      <w:r w:rsidRPr="00254A83">
        <w:rPr>
          <w:rFonts w:ascii="Times New Roman" w:hAnsi="Times New Roman" w:cs="Times New Roman"/>
          <w:b/>
          <w:bCs/>
        </w:rPr>
        <w:lastRenderedPageBreak/>
        <w:t>List of Figures</w:t>
      </w:r>
    </w:p>
    <w:p w:rsidR="00020D70" w:rsidRPr="00254A83" w:rsidRDefault="00020D70" w:rsidP="00020D70">
      <w:pPr>
        <w:pStyle w:val="TableofFigures"/>
        <w:tabs>
          <w:tab w:val="right" w:leader="dot" w:pos="9016"/>
        </w:tabs>
        <w:spacing w:line="360" w:lineRule="auto"/>
        <w:rPr>
          <w:rFonts w:ascii="Times New Roman" w:hAnsi="Times New Roman" w:cs="Times New Roman"/>
          <w:noProof/>
        </w:rPr>
      </w:pPr>
      <w:r w:rsidRPr="00254A83">
        <w:rPr>
          <w:rFonts w:ascii="Times New Roman" w:hAnsi="Times New Roman" w:cs="Times New Roman"/>
          <w:b/>
          <w:bCs/>
        </w:rPr>
        <w:fldChar w:fldCharType="begin"/>
      </w:r>
      <w:r w:rsidRPr="00254A83">
        <w:rPr>
          <w:rFonts w:ascii="Times New Roman" w:hAnsi="Times New Roman" w:cs="Times New Roman"/>
          <w:b/>
          <w:bCs/>
        </w:rPr>
        <w:instrText xml:space="preserve"> TOC \h \z \c "Figure" </w:instrText>
      </w:r>
      <w:r w:rsidRPr="00254A83">
        <w:rPr>
          <w:rFonts w:ascii="Times New Roman" w:hAnsi="Times New Roman" w:cs="Times New Roman"/>
          <w:b/>
          <w:bCs/>
        </w:rPr>
        <w:fldChar w:fldCharType="separate"/>
      </w:r>
      <w:hyperlink w:anchor="_Toc156952077" w:history="1">
        <w:r w:rsidRPr="00254A83">
          <w:rPr>
            <w:rStyle w:val="Hyperlink"/>
            <w:rFonts w:ascii="Times New Roman" w:hAnsi="Times New Roman" w:cs="Times New Roman"/>
            <w:noProof/>
          </w:rPr>
          <w:t>Figure 1: Social Exchange Theory</w:t>
        </w:r>
        <w:r w:rsidRPr="00254A83">
          <w:rPr>
            <w:rFonts w:ascii="Times New Roman" w:hAnsi="Times New Roman" w:cs="Times New Roman"/>
            <w:noProof/>
            <w:webHidden/>
          </w:rPr>
          <w:tab/>
        </w:r>
        <w:r w:rsidRPr="00254A83">
          <w:rPr>
            <w:rFonts w:ascii="Times New Roman" w:hAnsi="Times New Roman" w:cs="Times New Roman"/>
            <w:noProof/>
            <w:webHidden/>
          </w:rPr>
          <w:fldChar w:fldCharType="begin"/>
        </w:r>
        <w:r w:rsidRPr="00254A83">
          <w:rPr>
            <w:rFonts w:ascii="Times New Roman" w:hAnsi="Times New Roman" w:cs="Times New Roman"/>
            <w:noProof/>
            <w:webHidden/>
          </w:rPr>
          <w:instrText xml:space="preserve"> PAGEREF _Toc156952077 \h </w:instrText>
        </w:r>
        <w:r w:rsidRPr="00254A83">
          <w:rPr>
            <w:rFonts w:ascii="Times New Roman" w:hAnsi="Times New Roman" w:cs="Times New Roman"/>
            <w:noProof/>
            <w:webHidden/>
          </w:rPr>
        </w:r>
        <w:r w:rsidRPr="00254A83">
          <w:rPr>
            <w:rFonts w:ascii="Times New Roman" w:hAnsi="Times New Roman" w:cs="Times New Roman"/>
            <w:noProof/>
            <w:webHidden/>
          </w:rPr>
          <w:fldChar w:fldCharType="separate"/>
        </w:r>
        <w:r w:rsidRPr="00254A83">
          <w:rPr>
            <w:rFonts w:ascii="Times New Roman" w:hAnsi="Times New Roman" w:cs="Times New Roman"/>
            <w:noProof/>
            <w:webHidden/>
          </w:rPr>
          <w:t>18</w:t>
        </w:r>
        <w:r w:rsidRPr="00254A83">
          <w:rPr>
            <w:rFonts w:ascii="Times New Roman" w:hAnsi="Times New Roman" w:cs="Times New Roman"/>
            <w:noProof/>
            <w:webHidden/>
          </w:rPr>
          <w:fldChar w:fldCharType="end"/>
        </w:r>
      </w:hyperlink>
    </w:p>
    <w:p w:rsidR="00020D70" w:rsidRPr="00254A83" w:rsidRDefault="00020D70" w:rsidP="00020D70">
      <w:pPr>
        <w:pStyle w:val="TableofFigures"/>
        <w:tabs>
          <w:tab w:val="right" w:leader="dot" w:pos="9016"/>
        </w:tabs>
        <w:spacing w:line="360" w:lineRule="auto"/>
        <w:rPr>
          <w:rFonts w:ascii="Times New Roman" w:hAnsi="Times New Roman" w:cs="Times New Roman"/>
          <w:noProof/>
        </w:rPr>
      </w:pPr>
      <w:hyperlink w:anchor="_Toc156952078" w:history="1">
        <w:r w:rsidRPr="00254A83">
          <w:rPr>
            <w:rStyle w:val="Hyperlink"/>
            <w:rFonts w:ascii="Times New Roman" w:hAnsi="Times New Roman" w:cs="Times New Roman"/>
            <w:noProof/>
          </w:rPr>
          <w:t>Figure 2: Human Capital Theory (McCracken et al., 2017)</w:t>
        </w:r>
        <w:r w:rsidRPr="00254A83">
          <w:rPr>
            <w:rFonts w:ascii="Times New Roman" w:hAnsi="Times New Roman" w:cs="Times New Roman"/>
            <w:noProof/>
            <w:webHidden/>
          </w:rPr>
          <w:tab/>
        </w:r>
        <w:r w:rsidRPr="00254A83">
          <w:rPr>
            <w:rFonts w:ascii="Times New Roman" w:hAnsi="Times New Roman" w:cs="Times New Roman"/>
            <w:noProof/>
            <w:webHidden/>
          </w:rPr>
          <w:fldChar w:fldCharType="begin"/>
        </w:r>
        <w:r w:rsidRPr="00254A83">
          <w:rPr>
            <w:rFonts w:ascii="Times New Roman" w:hAnsi="Times New Roman" w:cs="Times New Roman"/>
            <w:noProof/>
            <w:webHidden/>
          </w:rPr>
          <w:instrText xml:space="preserve"> PAGEREF _Toc156952078 \h </w:instrText>
        </w:r>
        <w:r w:rsidRPr="00254A83">
          <w:rPr>
            <w:rFonts w:ascii="Times New Roman" w:hAnsi="Times New Roman" w:cs="Times New Roman"/>
            <w:noProof/>
            <w:webHidden/>
          </w:rPr>
        </w:r>
        <w:r w:rsidRPr="00254A83">
          <w:rPr>
            <w:rFonts w:ascii="Times New Roman" w:hAnsi="Times New Roman" w:cs="Times New Roman"/>
            <w:noProof/>
            <w:webHidden/>
          </w:rPr>
          <w:fldChar w:fldCharType="separate"/>
        </w:r>
        <w:r w:rsidRPr="00254A83">
          <w:rPr>
            <w:rFonts w:ascii="Times New Roman" w:hAnsi="Times New Roman" w:cs="Times New Roman"/>
            <w:noProof/>
            <w:webHidden/>
          </w:rPr>
          <w:t>19</w:t>
        </w:r>
        <w:r w:rsidRPr="00254A83">
          <w:rPr>
            <w:rFonts w:ascii="Times New Roman" w:hAnsi="Times New Roman" w:cs="Times New Roman"/>
            <w:noProof/>
            <w:webHidden/>
          </w:rPr>
          <w:fldChar w:fldCharType="end"/>
        </w:r>
      </w:hyperlink>
    </w:p>
    <w:p w:rsidR="00020D70" w:rsidRPr="00254A83" w:rsidRDefault="00020D70" w:rsidP="00020D70">
      <w:pPr>
        <w:pStyle w:val="TableofFigures"/>
        <w:tabs>
          <w:tab w:val="right" w:leader="dot" w:pos="9016"/>
        </w:tabs>
        <w:spacing w:line="360" w:lineRule="auto"/>
        <w:rPr>
          <w:rFonts w:ascii="Times New Roman" w:hAnsi="Times New Roman" w:cs="Times New Roman"/>
          <w:noProof/>
        </w:rPr>
      </w:pPr>
      <w:hyperlink w:anchor="_Toc156952079" w:history="1">
        <w:r w:rsidRPr="00254A83">
          <w:rPr>
            <w:rStyle w:val="Hyperlink"/>
            <w:rFonts w:ascii="Times New Roman" w:hAnsi="Times New Roman" w:cs="Times New Roman"/>
            <w:noProof/>
          </w:rPr>
          <w:t>Figure 3: Job Characteristics model (Hackman &amp; Oldham, 1976)</w:t>
        </w:r>
        <w:r w:rsidRPr="00254A83">
          <w:rPr>
            <w:rFonts w:ascii="Times New Roman" w:hAnsi="Times New Roman" w:cs="Times New Roman"/>
            <w:noProof/>
            <w:webHidden/>
          </w:rPr>
          <w:tab/>
        </w:r>
        <w:r w:rsidRPr="00254A83">
          <w:rPr>
            <w:rFonts w:ascii="Times New Roman" w:hAnsi="Times New Roman" w:cs="Times New Roman"/>
            <w:noProof/>
            <w:webHidden/>
          </w:rPr>
          <w:fldChar w:fldCharType="begin"/>
        </w:r>
        <w:r w:rsidRPr="00254A83">
          <w:rPr>
            <w:rFonts w:ascii="Times New Roman" w:hAnsi="Times New Roman" w:cs="Times New Roman"/>
            <w:noProof/>
            <w:webHidden/>
          </w:rPr>
          <w:instrText xml:space="preserve"> PAGEREF _Toc156952079 \h </w:instrText>
        </w:r>
        <w:r w:rsidRPr="00254A83">
          <w:rPr>
            <w:rFonts w:ascii="Times New Roman" w:hAnsi="Times New Roman" w:cs="Times New Roman"/>
            <w:noProof/>
            <w:webHidden/>
          </w:rPr>
        </w:r>
        <w:r w:rsidRPr="00254A83">
          <w:rPr>
            <w:rFonts w:ascii="Times New Roman" w:hAnsi="Times New Roman" w:cs="Times New Roman"/>
            <w:noProof/>
            <w:webHidden/>
          </w:rPr>
          <w:fldChar w:fldCharType="separate"/>
        </w:r>
        <w:r w:rsidRPr="00254A83">
          <w:rPr>
            <w:rFonts w:ascii="Times New Roman" w:hAnsi="Times New Roman" w:cs="Times New Roman"/>
            <w:noProof/>
            <w:webHidden/>
          </w:rPr>
          <w:t>20</w:t>
        </w:r>
        <w:r w:rsidRPr="00254A83">
          <w:rPr>
            <w:rFonts w:ascii="Times New Roman" w:hAnsi="Times New Roman" w:cs="Times New Roman"/>
            <w:noProof/>
            <w:webHidden/>
          </w:rPr>
          <w:fldChar w:fldCharType="end"/>
        </w:r>
      </w:hyperlink>
    </w:p>
    <w:p w:rsidR="00020D70" w:rsidRPr="00254A83" w:rsidRDefault="00020D70" w:rsidP="00020D70">
      <w:pPr>
        <w:pStyle w:val="TableofFigures"/>
        <w:tabs>
          <w:tab w:val="right" w:leader="dot" w:pos="9016"/>
        </w:tabs>
        <w:spacing w:line="360" w:lineRule="auto"/>
        <w:rPr>
          <w:rFonts w:ascii="Times New Roman" w:hAnsi="Times New Roman" w:cs="Times New Roman"/>
          <w:noProof/>
        </w:rPr>
      </w:pPr>
      <w:hyperlink w:anchor="_Toc156952080" w:history="1">
        <w:r w:rsidRPr="00254A83">
          <w:rPr>
            <w:rStyle w:val="Hyperlink"/>
            <w:rFonts w:ascii="Times New Roman" w:hAnsi="Times New Roman" w:cs="Times New Roman"/>
            <w:noProof/>
          </w:rPr>
          <w:t>Figure 4: Goal-Setting Theory (Locke &amp; Latham, 2013)</w:t>
        </w:r>
        <w:r w:rsidRPr="00254A83">
          <w:rPr>
            <w:rFonts w:ascii="Times New Roman" w:hAnsi="Times New Roman" w:cs="Times New Roman"/>
            <w:noProof/>
            <w:webHidden/>
          </w:rPr>
          <w:tab/>
        </w:r>
        <w:r w:rsidRPr="00254A83">
          <w:rPr>
            <w:rFonts w:ascii="Times New Roman" w:hAnsi="Times New Roman" w:cs="Times New Roman"/>
            <w:noProof/>
            <w:webHidden/>
          </w:rPr>
          <w:fldChar w:fldCharType="begin"/>
        </w:r>
        <w:r w:rsidRPr="00254A83">
          <w:rPr>
            <w:rFonts w:ascii="Times New Roman" w:hAnsi="Times New Roman" w:cs="Times New Roman"/>
            <w:noProof/>
            <w:webHidden/>
          </w:rPr>
          <w:instrText xml:space="preserve"> PAGEREF _Toc156952080 \h </w:instrText>
        </w:r>
        <w:r w:rsidRPr="00254A83">
          <w:rPr>
            <w:rFonts w:ascii="Times New Roman" w:hAnsi="Times New Roman" w:cs="Times New Roman"/>
            <w:noProof/>
            <w:webHidden/>
          </w:rPr>
        </w:r>
        <w:r w:rsidRPr="00254A83">
          <w:rPr>
            <w:rFonts w:ascii="Times New Roman" w:hAnsi="Times New Roman" w:cs="Times New Roman"/>
            <w:noProof/>
            <w:webHidden/>
          </w:rPr>
          <w:fldChar w:fldCharType="separate"/>
        </w:r>
        <w:r w:rsidRPr="00254A83">
          <w:rPr>
            <w:rFonts w:ascii="Times New Roman" w:hAnsi="Times New Roman" w:cs="Times New Roman"/>
            <w:noProof/>
            <w:webHidden/>
          </w:rPr>
          <w:t>22</w:t>
        </w:r>
        <w:r w:rsidRPr="00254A83">
          <w:rPr>
            <w:rFonts w:ascii="Times New Roman" w:hAnsi="Times New Roman" w:cs="Times New Roman"/>
            <w:noProof/>
            <w:webHidden/>
          </w:rPr>
          <w:fldChar w:fldCharType="end"/>
        </w:r>
      </w:hyperlink>
    </w:p>
    <w:p w:rsidR="00020D70" w:rsidRPr="00254A83" w:rsidRDefault="00020D70" w:rsidP="00020D70">
      <w:pPr>
        <w:pStyle w:val="TableofFigures"/>
        <w:tabs>
          <w:tab w:val="right" w:leader="dot" w:pos="9016"/>
        </w:tabs>
        <w:spacing w:line="360" w:lineRule="auto"/>
        <w:rPr>
          <w:rFonts w:ascii="Times New Roman" w:hAnsi="Times New Roman" w:cs="Times New Roman"/>
          <w:noProof/>
        </w:rPr>
      </w:pPr>
      <w:hyperlink w:anchor="_Toc156952081" w:history="1">
        <w:r w:rsidRPr="00254A83">
          <w:rPr>
            <w:rStyle w:val="Hyperlink"/>
            <w:rFonts w:ascii="Times New Roman" w:hAnsi="Times New Roman" w:cs="Times New Roman"/>
            <w:noProof/>
          </w:rPr>
          <w:t>Figure 5: Conceptual Framework Variables</w:t>
        </w:r>
        <w:r w:rsidRPr="00254A83">
          <w:rPr>
            <w:rFonts w:ascii="Times New Roman" w:hAnsi="Times New Roman" w:cs="Times New Roman"/>
            <w:noProof/>
            <w:webHidden/>
          </w:rPr>
          <w:tab/>
        </w:r>
        <w:r w:rsidRPr="00254A83">
          <w:rPr>
            <w:rFonts w:ascii="Times New Roman" w:hAnsi="Times New Roman" w:cs="Times New Roman"/>
            <w:noProof/>
            <w:webHidden/>
          </w:rPr>
          <w:fldChar w:fldCharType="begin"/>
        </w:r>
        <w:r w:rsidRPr="00254A83">
          <w:rPr>
            <w:rFonts w:ascii="Times New Roman" w:hAnsi="Times New Roman" w:cs="Times New Roman"/>
            <w:noProof/>
            <w:webHidden/>
          </w:rPr>
          <w:instrText xml:space="preserve"> PAGEREF _Toc156952081 \h </w:instrText>
        </w:r>
        <w:r w:rsidRPr="00254A83">
          <w:rPr>
            <w:rFonts w:ascii="Times New Roman" w:hAnsi="Times New Roman" w:cs="Times New Roman"/>
            <w:noProof/>
            <w:webHidden/>
          </w:rPr>
        </w:r>
        <w:r w:rsidRPr="00254A83">
          <w:rPr>
            <w:rFonts w:ascii="Times New Roman" w:hAnsi="Times New Roman" w:cs="Times New Roman"/>
            <w:noProof/>
            <w:webHidden/>
          </w:rPr>
          <w:fldChar w:fldCharType="separate"/>
        </w:r>
        <w:r w:rsidRPr="00254A83">
          <w:rPr>
            <w:rFonts w:ascii="Times New Roman" w:hAnsi="Times New Roman" w:cs="Times New Roman"/>
            <w:noProof/>
            <w:webHidden/>
          </w:rPr>
          <w:t>28</w:t>
        </w:r>
        <w:r w:rsidRPr="00254A83">
          <w:rPr>
            <w:rFonts w:ascii="Times New Roman" w:hAnsi="Times New Roman" w:cs="Times New Roman"/>
            <w:noProof/>
            <w:webHidden/>
          </w:rPr>
          <w:fldChar w:fldCharType="end"/>
        </w:r>
      </w:hyperlink>
    </w:p>
    <w:p w:rsidR="00020D70" w:rsidRPr="00254A83" w:rsidRDefault="00020D70" w:rsidP="00020D70">
      <w:pPr>
        <w:pStyle w:val="TableofFigures"/>
        <w:tabs>
          <w:tab w:val="right" w:leader="dot" w:pos="9016"/>
        </w:tabs>
        <w:spacing w:line="360" w:lineRule="auto"/>
        <w:rPr>
          <w:rFonts w:ascii="Times New Roman" w:hAnsi="Times New Roman" w:cs="Times New Roman"/>
          <w:noProof/>
        </w:rPr>
      </w:pPr>
      <w:hyperlink w:anchor="_Toc156952082" w:history="1">
        <w:r w:rsidRPr="00254A83">
          <w:rPr>
            <w:rStyle w:val="Hyperlink"/>
            <w:rFonts w:ascii="Times New Roman" w:hAnsi="Times New Roman" w:cs="Times New Roman"/>
            <w:noProof/>
          </w:rPr>
          <w:t>Figure 6: Employee Roles at Amazon</w:t>
        </w:r>
        <w:r w:rsidRPr="00254A83">
          <w:rPr>
            <w:rFonts w:ascii="Times New Roman" w:hAnsi="Times New Roman" w:cs="Times New Roman"/>
            <w:noProof/>
            <w:webHidden/>
          </w:rPr>
          <w:tab/>
        </w:r>
        <w:r w:rsidRPr="00254A83">
          <w:rPr>
            <w:rFonts w:ascii="Times New Roman" w:hAnsi="Times New Roman" w:cs="Times New Roman"/>
            <w:noProof/>
            <w:webHidden/>
          </w:rPr>
          <w:fldChar w:fldCharType="begin"/>
        </w:r>
        <w:r w:rsidRPr="00254A83">
          <w:rPr>
            <w:rFonts w:ascii="Times New Roman" w:hAnsi="Times New Roman" w:cs="Times New Roman"/>
            <w:noProof/>
            <w:webHidden/>
          </w:rPr>
          <w:instrText xml:space="preserve"> PAGEREF _Toc156952082 \h </w:instrText>
        </w:r>
        <w:r w:rsidRPr="00254A83">
          <w:rPr>
            <w:rFonts w:ascii="Times New Roman" w:hAnsi="Times New Roman" w:cs="Times New Roman"/>
            <w:noProof/>
            <w:webHidden/>
          </w:rPr>
        </w:r>
        <w:r w:rsidRPr="00254A83">
          <w:rPr>
            <w:rFonts w:ascii="Times New Roman" w:hAnsi="Times New Roman" w:cs="Times New Roman"/>
            <w:noProof/>
            <w:webHidden/>
          </w:rPr>
          <w:fldChar w:fldCharType="separate"/>
        </w:r>
        <w:r w:rsidRPr="00254A83">
          <w:rPr>
            <w:rFonts w:ascii="Times New Roman" w:hAnsi="Times New Roman" w:cs="Times New Roman"/>
            <w:noProof/>
            <w:webHidden/>
          </w:rPr>
          <w:t>38</w:t>
        </w:r>
        <w:r w:rsidRPr="00254A83">
          <w:rPr>
            <w:rFonts w:ascii="Times New Roman" w:hAnsi="Times New Roman" w:cs="Times New Roman"/>
            <w:noProof/>
            <w:webHidden/>
          </w:rPr>
          <w:fldChar w:fldCharType="end"/>
        </w:r>
      </w:hyperlink>
    </w:p>
    <w:p w:rsidR="00020D70" w:rsidRPr="00254A83" w:rsidRDefault="00020D70" w:rsidP="00020D70">
      <w:pPr>
        <w:pStyle w:val="TableofFigures"/>
        <w:tabs>
          <w:tab w:val="right" w:leader="dot" w:pos="9016"/>
        </w:tabs>
        <w:spacing w:line="360" w:lineRule="auto"/>
        <w:rPr>
          <w:rFonts w:ascii="Times New Roman" w:hAnsi="Times New Roman" w:cs="Times New Roman"/>
          <w:noProof/>
        </w:rPr>
      </w:pPr>
      <w:hyperlink w:anchor="_Toc156952083" w:history="1">
        <w:r w:rsidRPr="00254A83">
          <w:rPr>
            <w:rStyle w:val="Hyperlink"/>
            <w:rFonts w:ascii="Times New Roman" w:hAnsi="Times New Roman" w:cs="Times New Roman"/>
            <w:noProof/>
          </w:rPr>
          <w:t>Figure 7: Tenure of work</w:t>
        </w:r>
        <w:r w:rsidRPr="00254A83">
          <w:rPr>
            <w:rFonts w:ascii="Times New Roman" w:hAnsi="Times New Roman" w:cs="Times New Roman"/>
            <w:noProof/>
            <w:webHidden/>
          </w:rPr>
          <w:tab/>
        </w:r>
        <w:r w:rsidRPr="00254A83">
          <w:rPr>
            <w:rFonts w:ascii="Times New Roman" w:hAnsi="Times New Roman" w:cs="Times New Roman"/>
            <w:noProof/>
            <w:webHidden/>
          </w:rPr>
          <w:fldChar w:fldCharType="begin"/>
        </w:r>
        <w:r w:rsidRPr="00254A83">
          <w:rPr>
            <w:rFonts w:ascii="Times New Roman" w:hAnsi="Times New Roman" w:cs="Times New Roman"/>
            <w:noProof/>
            <w:webHidden/>
          </w:rPr>
          <w:instrText xml:space="preserve"> PAGEREF _Toc156952083 \h </w:instrText>
        </w:r>
        <w:r w:rsidRPr="00254A83">
          <w:rPr>
            <w:rFonts w:ascii="Times New Roman" w:hAnsi="Times New Roman" w:cs="Times New Roman"/>
            <w:noProof/>
            <w:webHidden/>
          </w:rPr>
        </w:r>
        <w:r w:rsidRPr="00254A83">
          <w:rPr>
            <w:rFonts w:ascii="Times New Roman" w:hAnsi="Times New Roman" w:cs="Times New Roman"/>
            <w:noProof/>
            <w:webHidden/>
          </w:rPr>
          <w:fldChar w:fldCharType="separate"/>
        </w:r>
        <w:r w:rsidRPr="00254A83">
          <w:rPr>
            <w:rFonts w:ascii="Times New Roman" w:hAnsi="Times New Roman" w:cs="Times New Roman"/>
            <w:noProof/>
            <w:webHidden/>
          </w:rPr>
          <w:t>38</w:t>
        </w:r>
        <w:r w:rsidRPr="00254A83">
          <w:rPr>
            <w:rFonts w:ascii="Times New Roman" w:hAnsi="Times New Roman" w:cs="Times New Roman"/>
            <w:noProof/>
            <w:webHidden/>
          </w:rPr>
          <w:fldChar w:fldCharType="end"/>
        </w:r>
      </w:hyperlink>
    </w:p>
    <w:p w:rsidR="00020D70" w:rsidRPr="005975B8" w:rsidRDefault="00020D70" w:rsidP="00020D70">
      <w:pPr>
        <w:pStyle w:val="TableofFigures"/>
        <w:tabs>
          <w:tab w:val="right" w:leader="dot" w:pos="9016"/>
        </w:tabs>
        <w:spacing w:line="360" w:lineRule="auto"/>
        <w:rPr>
          <w:rFonts w:ascii="Times New Roman" w:hAnsi="Times New Roman" w:cs="Times New Roman"/>
          <w:noProof/>
        </w:rPr>
      </w:pPr>
      <w:hyperlink w:anchor="_Toc156952084" w:history="1">
        <w:r w:rsidRPr="005975B8">
          <w:rPr>
            <w:rStyle w:val="Hyperlink"/>
            <w:rFonts w:ascii="Times New Roman" w:hAnsi="Times New Roman" w:cs="Times New Roman"/>
            <w:noProof/>
          </w:rPr>
          <w:t>Figure 8: Distribution of Employee Departments</w:t>
        </w:r>
        <w:r w:rsidRPr="005975B8">
          <w:rPr>
            <w:rFonts w:ascii="Times New Roman" w:hAnsi="Times New Roman" w:cs="Times New Roman"/>
            <w:noProof/>
            <w:webHidden/>
          </w:rPr>
          <w:tab/>
        </w:r>
        <w:r w:rsidRPr="005975B8">
          <w:rPr>
            <w:rFonts w:ascii="Times New Roman" w:hAnsi="Times New Roman" w:cs="Times New Roman"/>
            <w:noProof/>
            <w:webHidden/>
          </w:rPr>
          <w:fldChar w:fldCharType="begin"/>
        </w:r>
        <w:r w:rsidRPr="005975B8">
          <w:rPr>
            <w:rFonts w:ascii="Times New Roman" w:hAnsi="Times New Roman" w:cs="Times New Roman"/>
            <w:noProof/>
            <w:webHidden/>
          </w:rPr>
          <w:instrText xml:space="preserve"> PAGEREF _Toc156952084 \h </w:instrText>
        </w:r>
        <w:r w:rsidRPr="005975B8">
          <w:rPr>
            <w:rFonts w:ascii="Times New Roman" w:hAnsi="Times New Roman" w:cs="Times New Roman"/>
            <w:noProof/>
            <w:webHidden/>
          </w:rPr>
        </w:r>
        <w:r w:rsidRPr="005975B8">
          <w:rPr>
            <w:rFonts w:ascii="Times New Roman" w:hAnsi="Times New Roman" w:cs="Times New Roman"/>
            <w:noProof/>
            <w:webHidden/>
          </w:rPr>
          <w:fldChar w:fldCharType="separate"/>
        </w:r>
        <w:r w:rsidRPr="005975B8">
          <w:rPr>
            <w:rFonts w:ascii="Times New Roman" w:hAnsi="Times New Roman" w:cs="Times New Roman"/>
            <w:noProof/>
            <w:webHidden/>
          </w:rPr>
          <w:t>39</w:t>
        </w:r>
        <w:r w:rsidRPr="005975B8">
          <w:rPr>
            <w:rFonts w:ascii="Times New Roman" w:hAnsi="Times New Roman" w:cs="Times New Roman"/>
            <w:noProof/>
            <w:webHidden/>
          </w:rPr>
          <w:fldChar w:fldCharType="end"/>
        </w:r>
      </w:hyperlink>
    </w:p>
    <w:p w:rsidR="00020D70" w:rsidRPr="00254A83" w:rsidRDefault="00020D70" w:rsidP="00020D70">
      <w:pPr>
        <w:pStyle w:val="TableofFigures"/>
        <w:tabs>
          <w:tab w:val="right" w:leader="dot" w:pos="9016"/>
        </w:tabs>
        <w:spacing w:line="360" w:lineRule="auto"/>
        <w:rPr>
          <w:rFonts w:ascii="Times New Roman" w:hAnsi="Times New Roman" w:cs="Times New Roman"/>
          <w:noProof/>
        </w:rPr>
      </w:pPr>
      <w:hyperlink w:anchor="_Toc156952085" w:history="1">
        <w:r w:rsidRPr="00254A83">
          <w:rPr>
            <w:rStyle w:val="Hyperlink"/>
            <w:rFonts w:ascii="Times New Roman" w:hAnsi="Times New Roman" w:cs="Times New Roman"/>
            <w:noProof/>
          </w:rPr>
          <w:t>Figure 9: Employee Location of Work</w:t>
        </w:r>
        <w:r w:rsidRPr="00254A83">
          <w:rPr>
            <w:rFonts w:ascii="Times New Roman" w:hAnsi="Times New Roman" w:cs="Times New Roman"/>
            <w:noProof/>
            <w:webHidden/>
          </w:rPr>
          <w:tab/>
        </w:r>
        <w:r w:rsidRPr="00254A83">
          <w:rPr>
            <w:rFonts w:ascii="Times New Roman" w:hAnsi="Times New Roman" w:cs="Times New Roman"/>
            <w:noProof/>
            <w:webHidden/>
          </w:rPr>
          <w:fldChar w:fldCharType="begin"/>
        </w:r>
        <w:r w:rsidRPr="00254A83">
          <w:rPr>
            <w:rFonts w:ascii="Times New Roman" w:hAnsi="Times New Roman" w:cs="Times New Roman"/>
            <w:noProof/>
            <w:webHidden/>
          </w:rPr>
          <w:instrText xml:space="preserve"> PAGEREF _Toc156952085 \h </w:instrText>
        </w:r>
        <w:r w:rsidRPr="00254A83">
          <w:rPr>
            <w:rFonts w:ascii="Times New Roman" w:hAnsi="Times New Roman" w:cs="Times New Roman"/>
            <w:noProof/>
            <w:webHidden/>
          </w:rPr>
        </w:r>
        <w:r w:rsidRPr="00254A83">
          <w:rPr>
            <w:rFonts w:ascii="Times New Roman" w:hAnsi="Times New Roman" w:cs="Times New Roman"/>
            <w:noProof/>
            <w:webHidden/>
          </w:rPr>
          <w:fldChar w:fldCharType="separate"/>
        </w:r>
        <w:r w:rsidRPr="00254A83">
          <w:rPr>
            <w:rFonts w:ascii="Times New Roman" w:hAnsi="Times New Roman" w:cs="Times New Roman"/>
            <w:noProof/>
            <w:webHidden/>
          </w:rPr>
          <w:t>40</w:t>
        </w:r>
        <w:r w:rsidRPr="00254A83">
          <w:rPr>
            <w:rFonts w:ascii="Times New Roman" w:hAnsi="Times New Roman" w:cs="Times New Roman"/>
            <w:noProof/>
            <w:webHidden/>
          </w:rPr>
          <w:fldChar w:fldCharType="end"/>
        </w:r>
      </w:hyperlink>
    </w:p>
    <w:p w:rsidR="00020D70" w:rsidRPr="00254A83" w:rsidRDefault="00020D70" w:rsidP="00020D70">
      <w:pPr>
        <w:pStyle w:val="TableofFigures"/>
        <w:tabs>
          <w:tab w:val="right" w:leader="dot" w:pos="9016"/>
        </w:tabs>
        <w:spacing w:line="360" w:lineRule="auto"/>
        <w:rPr>
          <w:rFonts w:ascii="Times New Roman" w:hAnsi="Times New Roman" w:cs="Times New Roman"/>
          <w:noProof/>
        </w:rPr>
      </w:pPr>
      <w:hyperlink w:anchor="_Toc156952086" w:history="1">
        <w:r w:rsidRPr="00254A83">
          <w:rPr>
            <w:rStyle w:val="Hyperlink"/>
            <w:rFonts w:ascii="Times New Roman" w:hAnsi="Times New Roman" w:cs="Times New Roman"/>
            <w:noProof/>
          </w:rPr>
          <w:t>Figure 10: Mentoring opportunities beyond formal training</w:t>
        </w:r>
        <w:r w:rsidRPr="00254A83">
          <w:rPr>
            <w:rFonts w:ascii="Times New Roman" w:hAnsi="Times New Roman" w:cs="Times New Roman"/>
            <w:noProof/>
            <w:webHidden/>
          </w:rPr>
          <w:tab/>
        </w:r>
        <w:r w:rsidRPr="00254A83">
          <w:rPr>
            <w:rFonts w:ascii="Times New Roman" w:hAnsi="Times New Roman" w:cs="Times New Roman"/>
            <w:noProof/>
            <w:webHidden/>
          </w:rPr>
          <w:fldChar w:fldCharType="begin"/>
        </w:r>
        <w:r w:rsidRPr="00254A83">
          <w:rPr>
            <w:rFonts w:ascii="Times New Roman" w:hAnsi="Times New Roman" w:cs="Times New Roman"/>
            <w:noProof/>
            <w:webHidden/>
          </w:rPr>
          <w:instrText xml:space="preserve"> PAGEREF _Toc156952086 \h </w:instrText>
        </w:r>
        <w:r w:rsidRPr="00254A83">
          <w:rPr>
            <w:rFonts w:ascii="Times New Roman" w:hAnsi="Times New Roman" w:cs="Times New Roman"/>
            <w:noProof/>
            <w:webHidden/>
          </w:rPr>
        </w:r>
        <w:r w:rsidRPr="00254A83">
          <w:rPr>
            <w:rFonts w:ascii="Times New Roman" w:hAnsi="Times New Roman" w:cs="Times New Roman"/>
            <w:noProof/>
            <w:webHidden/>
          </w:rPr>
          <w:fldChar w:fldCharType="separate"/>
        </w:r>
        <w:r w:rsidRPr="00254A83">
          <w:rPr>
            <w:rFonts w:ascii="Times New Roman" w:hAnsi="Times New Roman" w:cs="Times New Roman"/>
            <w:noProof/>
            <w:webHidden/>
          </w:rPr>
          <w:t>40</w:t>
        </w:r>
        <w:r w:rsidRPr="00254A83">
          <w:rPr>
            <w:rFonts w:ascii="Times New Roman" w:hAnsi="Times New Roman" w:cs="Times New Roman"/>
            <w:noProof/>
            <w:webHidden/>
          </w:rPr>
          <w:fldChar w:fldCharType="end"/>
        </w:r>
      </w:hyperlink>
    </w:p>
    <w:p w:rsidR="00020D70" w:rsidRPr="00254A83" w:rsidRDefault="00020D70" w:rsidP="00020D70">
      <w:pPr>
        <w:pStyle w:val="TableofFigures"/>
        <w:tabs>
          <w:tab w:val="right" w:leader="dot" w:pos="9016"/>
        </w:tabs>
        <w:spacing w:line="360" w:lineRule="auto"/>
        <w:rPr>
          <w:rFonts w:ascii="Times New Roman" w:hAnsi="Times New Roman" w:cs="Times New Roman"/>
          <w:noProof/>
        </w:rPr>
      </w:pPr>
      <w:hyperlink w:anchor="_Toc156952087" w:history="1">
        <w:r w:rsidRPr="00254A83">
          <w:rPr>
            <w:rStyle w:val="Hyperlink"/>
            <w:rFonts w:ascii="Times New Roman" w:hAnsi="Times New Roman" w:cs="Times New Roman"/>
            <w:noProof/>
          </w:rPr>
          <w:t>Figure 11: Frequency of New Training Programs Introduced</w:t>
        </w:r>
        <w:r w:rsidRPr="00254A83">
          <w:rPr>
            <w:rFonts w:ascii="Times New Roman" w:hAnsi="Times New Roman" w:cs="Times New Roman"/>
            <w:noProof/>
            <w:webHidden/>
          </w:rPr>
          <w:tab/>
        </w:r>
        <w:r w:rsidRPr="00254A83">
          <w:rPr>
            <w:rFonts w:ascii="Times New Roman" w:hAnsi="Times New Roman" w:cs="Times New Roman"/>
            <w:noProof/>
            <w:webHidden/>
          </w:rPr>
          <w:fldChar w:fldCharType="begin"/>
        </w:r>
        <w:r w:rsidRPr="00254A83">
          <w:rPr>
            <w:rFonts w:ascii="Times New Roman" w:hAnsi="Times New Roman" w:cs="Times New Roman"/>
            <w:noProof/>
            <w:webHidden/>
          </w:rPr>
          <w:instrText xml:space="preserve"> PAGEREF _Toc156952087 \h </w:instrText>
        </w:r>
        <w:r w:rsidRPr="00254A83">
          <w:rPr>
            <w:rFonts w:ascii="Times New Roman" w:hAnsi="Times New Roman" w:cs="Times New Roman"/>
            <w:noProof/>
            <w:webHidden/>
          </w:rPr>
        </w:r>
        <w:r w:rsidRPr="00254A83">
          <w:rPr>
            <w:rFonts w:ascii="Times New Roman" w:hAnsi="Times New Roman" w:cs="Times New Roman"/>
            <w:noProof/>
            <w:webHidden/>
          </w:rPr>
          <w:fldChar w:fldCharType="separate"/>
        </w:r>
        <w:r w:rsidRPr="00254A83">
          <w:rPr>
            <w:rFonts w:ascii="Times New Roman" w:hAnsi="Times New Roman" w:cs="Times New Roman"/>
            <w:noProof/>
            <w:webHidden/>
          </w:rPr>
          <w:t>41</w:t>
        </w:r>
        <w:r w:rsidRPr="00254A83">
          <w:rPr>
            <w:rFonts w:ascii="Times New Roman" w:hAnsi="Times New Roman" w:cs="Times New Roman"/>
            <w:noProof/>
            <w:webHidden/>
          </w:rPr>
          <w:fldChar w:fldCharType="end"/>
        </w:r>
      </w:hyperlink>
    </w:p>
    <w:p w:rsidR="00020D70" w:rsidRPr="00254A83" w:rsidRDefault="00020D70" w:rsidP="00020D70">
      <w:pPr>
        <w:pStyle w:val="TableofFigures"/>
        <w:tabs>
          <w:tab w:val="right" w:leader="dot" w:pos="9016"/>
        </w:tabs>
        <w:spacing w:line="360" w:lineRule="auto"/>
        <w:rPr>
          <w:rFonts w:ascii="Times New Roman" w:hAnsi="Times New Roman" w:cs="Times New Roman"/>
          <w:noProof/>
        </w:rPr>
      </w:pPr>
      <w:hyperlink w:anchor="_Toc156952088" w:history="1">
        <w:r w:rsidRPr="00254A83">
          <w:rPr>
            <w:rStyle w:val="Hyperlink"/>
            <w:rFonts w:ascii="Times New Roman" w:hAnsi="Times New Roman" w:cs="Times New Roman"/>
            <w:noProof/>
          </w:rPr>
          <w:t>Figure 12: Availability and Transparency of Information</w:t>
        </w:r>
        <w:r w:rsidRPr="00254A83">
          <w:rPr>
            <w:rFonts w:ascii="Times New Roman" w:hAnsi="Times New Roman" w:cs="Times New Roman"/>
            <w:noProof/>
            <w:webHidden/>
          </w:rPr>
          <w:tab/>
        </w:r>
        <w:r w:rsidRPr="00254A83">
          <w:rPr>
            <w:rFonts w:ascii="Times New Roman" w:hAnsi="Times New Roman" w:cs="Times New Roman"/>
            <w:noProof/>
            <w:webHidden/>
          </w:rPr>
          <w:fldChar w:fldCharType="begin"/>
        </w:r>
        <w:r w:rsidRPr="00254A83">
          <w:rPr>
            <w:rFonts w:ascii="Times New Roman" w:hAnsi="Times New Roman" w:cs="Times New Roman"/>
            <w:noProof/>
            <w:webHidden/>
          </w:rPr>
          <w:instrText xml:space="preserve"> PAGEREF _Toc156952088 \h </w:instrText>
        </w:r>
        <w:r w:rsidRPr="00254A83">
          <w:rPr>
            <w:rFonts w:ascii="Times New Roman" w:hAnsi="Times New Roman" w:cs="Times New Roman"/>
            <w:noProof/>
            <w:webHidden/>
          </w:rPr>
        </w:r>
        <w:r w:rsidRPr="00254A83">
          <w:rPr>
            <w:rFonts w:ascii="Times New Roman" w:hAnsi="Times New Roman" w:cs="Times New Roman"/>
            <w:noProof/>
            <w:webHidden/>
          </w:rPr>
          <w:fldChar w:fldCharType="separate"/>
        </w:r>
        <w:r w:rsidRPr="00254A83">
          <w:rPr>
            <w:rFonts w:ascii="Times New Roman" w:hAnsi="Times New Roman" w:cs="Times New Roman"/>
            <w:noProof/>
            <w:webHidden/>
          </w:rPr>
          <w:t>42</w:t>
        </w:r>
        <w:r w:rsidRPr="00254A83">
          <w:rPr>
            <w:rFonts w:ascii="Times New Roman" w:hAnsi="Times New Roman" w:cs="Times New Roman"/>
            <w:noProof/>
            <w:webHidden/>
          </w:rPr>
          <w:fldChar w:fldCharType="end"/>
        </w:r>
      </w:hyperlink>
    </w:p>
    <w:p w:rsidR="00020D70" w:rsidRPr="00254A83" w:rsidRDefault="00020D70" w:rsidP="00020D70">
      <w:pPr>
        <w:pStyle w:val="TableofFigures"/>
        <w:tabs>
          <w:tab w:val="right" w:leader="dot" w:pos="9016"/>
        </w:tabs>
        <w:spacing w:line="360" w:lineRule="auto"/>
        <w:rPr>
          <w:rFonts w:ascii="Times New Roman" w:hAnsi="Times New Roman" w:cs="Times New Roman"/>
          <w:noProof/>
        </w:rPr>
      </w:pPr>
      <w:hyperlink w:anchor="_Toc156952089" w:history="1">
        <w:r w:rsidRPr="00254A83">
          <w:rPr>
            <w:rStyle w:val="Hyperlink"/>
            <w:rFonts w:ascii="Times New Roman" w:hAnsi="Times New Roman" w:cs="Times New Roman"/>
            <w:noProof/>
          </w:rPr>
          <w:t>Figure 13: Training improves the quality of work.</w:t>
        </w:r>
        <w:r w:rsidRPr="00254A83">
          <w:rPr>
            <w:rFonts w:ascii="Times New Roman" w:hAnsi="Times New Roman" w:cs="Times New Roman"/>
            <w:noProof/>
            <w:webHidden/>
          </w:rPr>
          <w:tab/>
        </w:r>
        <w:r w:rsidRPr="00254A83">
          <w:rPr>
            <w:rFonts w:ascii="Times New Roman" w:hAnsi="Times New Roman" w:cs="Times New Roman"/>
            <w:noProof/>
            <w:webHidden/>
          </w:rPr>
          <w:fldChar w:fldCharType="begin"/>
        </w:r>
        <w:r w:rsidRPr="00254A83">
          <w:rPr>
            <w:rFonts w:ascii="Times New Roman" w:hAnsi="Times New Roman" w:cs="Times New Roman"/>
            <w:noProof/>
            <w:webHidden/>
          </w:rPr>
          <w:instrText xml:space="preserve"> PAGEREF _Toc156952089 \h </w:instrText>
        </w:r>
        <w:r w:rsidRPr="00254A83">
          <w:rPr>
            <w:rFonts w:ascii="Times New Roman" w:hAnsi="Times New Roman" w:cs="Times New Roman"/>
            <w:noProof/>
            <w:webHidden/>
          </w:rPr>
        </w:r>
        <w:r w:rsidRPr="00254A83">
          <w:rPr>
            <w:rFonts w:ascii="Times New Roman" w:hAnsi="Times New Roman" w:cs="Times New Roman"/>
            <w:noProof/>
            <w:webHidden/>
          </w:rPr>
          <w:fldChar w:fldCharType="separate"/>
        </w:r>
        <w:r w:rsidRPr="00254A83">
          <w:rPr>
            <w:rFonts w:ascii="Times New Roman" w:hAnsi="Times New Roman" w:cs="Times New Roman"/>
            <w:noProof/>
            <w:webHidden/>
          </w:rPr>
          <w:t>42</w:t>
        </w:r>
        <w:r w:rsidRPr="00254A83">
          <w:rPr>
            <w:rFonts w:ascii="Times New Roman" w:hAnsi="Times New Roman" w:cs="Times New Roman"/>
            <w:noProof/>
            <w:webHidden/>
          </w:rPr>
          <w:fldChar w:fldCharType="end"/>
        </w:r>
      </w:hyperlink>
    </w:p>
    <w:p w:rsidR="00020D70" w:rsidRPr="00254A83" w:rsidRDefault="00020D70" w:rsidP="00020D70">
      <w:pPr>
        <w:pStyle w:val="TableofFigures"/>
        <w:tabs>
          <w:tab w:val="right" w:leader="dot" w:pos="9016"/>
        </w:tabs>
        <w:spacing w:line="360" w:lineRule="auto"/>
        <w:rPr>
          <w:rFonts w:ascii="Times New Roman" w:hAnsi="Times New Roman" w:cs="Times New Roman"/>
          <w:noProof/>
        </w:rPr>
      </w:pPr>
      <w:hyperlink w:anchor="_Toc156952090" w:history="1">
        <w:r w:rsidRPr="00254A83">
          <w:rPr>
            <w:rStyle w:val="Hyperlink"/>
            <w:rFonts w:ascii="Times New Roman" w:hAnsi="Times New Roman" w:cs="Times New Roman"/>
            <w:noProof/>
          </w:rPr>
          <w:t>Figure 14: Skills Improvement through training programs</w:t>
        </w:r>
        <w:r w:rsidRPr="00254A83">
          <w:rPr>
            <w:rFonts w:ascii="Times New Roman" w:hAnsi="Times New Roman" w:cs="Times New Roman"/>
            <w:noProof/>
            <w:webHidden/>
          </w:rPr>
          <w:tab/>
        </w:r>
        <w:r w:rsidRPr="00254A83">
          <w:rPr>
            <w:rFonts w:ascii="Times New Roman" w:hAnsi="Times New Roman" w:cs="Times New Roman"/>
            <w:noProof/>
            <w:webHidden/>
          </w:rPr>
          <w:fldChar w:fldCharType="begin"/>
        </w:r>
        <w:r w:rsidRPr="00254A83">
          <w:rPr>
            <w:rFonts w:ascii="Times New Roman" w:hAnsi="Times New Roman" w:cs="Times New Roman"/>
            <w:noProof/>
            <w:webHidden/>
          </w:rPr>
          <w:instrText xml:space="preserve"> PAGEREF _Toc156952090 \h </w:instrText>
        </w:r>
        <w:r w:rsidRPr="00254A83">
          <w:rPr>
            <w:rFonts w:ascii="Times New Roman" w:hAnsi="Times New Roman" w:cs="Times New Roman"/>
            <w:noProof/>
            <w:webHidden/>
          </w:rPr>
        </w:r>
        <w:r w:rsidRPr="00254A83">
          <w:rPr>
            <w:rFonts w:ascii="Times New Roman" w:hAnsi="Times New Roman" w:cs="Times New Roman"/>
            <w:noProof/>
            <w:webHidden/>
          </w:rPr>
          <w:fldChar w:fldCharType="separate"/>
        </w:r>
        <w:r w:rsidRPr="00254A83">
          <w:rPr>
            <w:rFonts w:ascii="Times New Roman" w:hAnsi="Times New Roman" w:cs="Times New Roman"/>
            <w:noProof/>
            <w:webHidden/>
          </w:rPr>
          <w:t>43</w:t>
        </w:r>
        <w:r w:rsidRPr="00254A83">
          <w:rPr>
            <w:rFonts w:ascii="Times New Roman" w:hAnsi="Times New Roman" w:cs="Times New Roman"/>
            <w:noProof/>
            <w:webHidden/>
          </w:rPr>
          <w:fldChar w:fldCharType="end"/>
        </w:r>
      </w:hyperlink>
    </w:p>
    <w:p w:rsidR="00020D70" w:rsidRPr="00254A83" w:rsidRDefault="00020D70" w:rsidP="00020D70">
      <w:pPr>
        <w:pStyle w:val="TableofFigures"/>
        <w:tabs>
          <w:tab w:val="right" w:leader="dot" w:pos="9016"/>
        </w:tabs>
        <w:spacing w:line="360" w:lineRule="auto"/>
        <w:rPr>
          <w:rFonts w:ascii="Times New Roman" w:hAnsi="Times New Roman" w:cs="Times New Roman"/>
          <w:noProof/>
        </w:rPr>
      </w:pPr>
      <w:hyperlink w:anchor="_Toc156952091" w:history="1">
        <w:r w:rsidRPr="00254A83">
          <w:rPr>
            <w:rStyle w:val="Hyperlink"/>
            <w:rFonts w:ascii="Times New Roman" w:hAnsi="Times New Roman" w:cs="Times New Roman"/>
            <w:noProof/>
          </w:rPr>
          <w:t>Figure 15: Training Program Impact on Building work relationship</w:t>
        </w:r>
        <w:r w:rsidRPr="00254A83">
          <w:rPr>
            <w:rFonts w:ascii="Times New Roman" w:hAnsi="Times New Roman" w:cs="Times New Roman"/>
            <w:noProof/>
            <w:webHidden/>
          </w:rPr>
          <w:tab/>
        </w:r>
        <w:r w:rsidRPr="00254A83">
          <w:rPr>
            <w:rFonts w:ascii="Times New Roman" w:hAnsi="Times New Roman" w:cs="Times New Roman"/>
            <w:noProof/>
            <w:webHidden/>
          </w:rPr>
          <w:fldChar w:fldCharType="begin"/>
        </w:r>
        <w:r w:rsidRPr="00254A83">
          <w:rPr>
            <w:rFonts w:ascii="Times New Roman" w:hAnsi="Times New Roman" w:cs="Times New Roman"/>
            <w:noProof/>
            <w:webHidden/>
          </w:rPr>
          <w:instrText xml:space="preserve"> PAGEREF _Toc156952091 \h </w:instrText>
        </w:r>
        <w:r w:rsidRPr="00254A83">
          <w:rPr>
            <w:rFonts w:ascii="Times New Roman" w:hAnsi="Times New Roman" w:cs="Times New Roman"/>
            <w:noProof/>
            <w:webHidden/>
          </w:rPr>
        </w:r>
        <w:r w:rsidRPr="00254A83">
          <w:rPr>
            <w:rFonts w:ascii="Times New Roman" w:hAnsi="Times New Roman" w:cs="Times New Roman"/>
            <w:noProof/>
            <w:webHidden/>
          </w:rPr>
          <w:fldChar w:fldCharType="separate"/>
        </w:r>
        <w:r w:rsidRPr="00254A83">
          <w:rPr>
            <w:rFonts w:ascii="Times New Roman" w:hAnsi="Times New Roman" w:cs="Times New Roman"/>
            <w:noProof/>
            <w:webHidden/>
          </w:rPr>
          <w:t>44</w:t>
        </w:r>
        <w:r w:rsidRPr="00254A83">
          <w:rPr>
            <w:rFonts w:ascii="Times New Roman" w:hAnsi="Times New Roman" w:cs="Times New Roman"/>
            <w:noProof/>
            <w:webHidden/>
          </w:rPr>
          <w:fldChar w:fldCharType="end"/>
        </w:r>
      </w:hyperlink>
    </w:p>
    <w:p w:rsidR="00020D70" w:rsidRPr="00254A83" w:rsidRDefault="00020D70" w:rsidP="00020D70">
      <w:pPr>
        <w:pStyle w:val="TableofFigures"/>
        <w:tabs>
          <w:tab w:val="right" w:leader="dot" w:pos="9016"/>
        </w:tabs>
        <w:spacing w:line="360" w:lineRule="auto"/>
        <w:rPr>
          <w:rStyle w:val="Hyperlink"/>
          <w:rFonts w:ascii="Times New Roman" w:hAnsi="Times New Roman" w:cs="Times New Roman"/>
          <w:noProof/>
        </w:rPr>
      </w:pPr>
      <w:hyperlink w:anchor="_Toc156952092" w:history="1">
        <w:r w:rsidRPr="00254A83">
          <w:rPr>
            <w:rStyle w:val="Hyperlink"/>
            <w:rFonts w:ascii="Times New Roman" w:hAnsi="Times New Roman" w:cs="Times New Roman"/>
            <w:noProof/>
          </w:rPr>
          <w:t>Figure 16: Training to Increase Employee Motivation Levels</w:t>
        </w:r>
        <w:r w:rsidRPr="00254A83">
          <w:rPr>
            <w:rFonts w:ascii="Times New Roman" w:hAnsi="Times New Roman" w:cs="Times New Roman"/>
            <w:noProof/>
            <w:webHidden/>
          </w:rPr>
          <w:tab/>
        </w:r>
        <w:r w:rsidRPr="00254A83">
          <w:rPr>
            <w:rFonts w:ascii="Times New Roman" w:hAnsi="Times New Roman" w:cs="Times New Roman"/>
            <w:noProof/>
            <w:webHidden/>
          </w:rPr>
          <w:fldChar w:fldCharType="begin"/>
        </w:r>
        <w:r w:rsidRPr="00254A83">
          <w:rPr>
            <w:rFonts w:ascii="Times New Roman" w:hAnsi="Times New Roman" w:cs="Times New Roman"/>
            <w:noProof/>
            <w:webHidden/>
          </w:rPr>
          <w:instrText xml:space="preserve"> PAGEREF _Toc156952092 \h </w:instrText>
        </w:r>
        <w:r w:rsidRPr="00254A83">
          <w:rPr>
            <w:rFonts w:ascii="Times New Roman" w:hAnsi="Times New Roman" w:cs="Times New Roman"/>
            <w:noProof/>
            <w:webHidden/>
          </w:rPr>
        </w:r>
        <w:r w:rsidRPr="00254A83">
          <w:rPr>
            <w:rFonts w:ascii="Times New Roman" w:hAnsi="Times New Roman" w:cs="Times New Roman"/>
            <w:noProof/>
            <w:webHidden/>
          </w:rPr>
          <w:fldChar w:fldCharType="separate"/>
        </w:r>
        <w:r w:rsidRPr="00254A83">
          <w:rPr>
            <w:rFonts w:ascii="Times New Roman" w:hAnsi="Times New Roman" w:cs="Times New Roman"/>
            <w:noProof/>
            <w:webHidden/>
          </w:rPr>
          <w:t>44</w:t>
        </w:r>
        <w:r w:rsidRPr="00254A83">
          <w:rPr>
            <w:rFonts w:ascii="Times New Roman" w:hAnsi="Times New Roman" w:cs="Times New Roman"/>
            <w:noProof/>
            <w:webHidden/>
          </w:rPr>
          <w:fldChar w:fldCharType="end"/>
        </w:r>
      </w:hyperlink>
    </w:p>
    <w:p w:rsidR="00020D70" w:rsidRPr="00254A83" w:rsidRDefault="00020D70" w:rsidP="00020D70">
      <w:pPr>
        <w:spacing w:line="360" w:lineRule="auto"/>
        <w:rPr>
          <w:rFonts w:ascii="Times New Roman" w:hAnsi="Times New Roman" w:cs="Times New Roman"/>
        </w:rPr>
      </w:pPr>
    </w:p>
    <w:p w:rsidR="00020D70" w:rsidRPr="00254A83" w:rsidRDefault="00020D70" w:rsidP="00020D70">
      <w:pPr>
        <w:spacing w:line="360" w:lineRule="auto"/>
        <w:rPr>
          <w:rFonts w:ascii="Times New Roman" w:hAnsi="Times New Roman" w:cs="Times New Roman"/>
        </w:rPr>
      </w:pPr>
    </w:p>
    <w:p w:rsidR="00020D70" w:rsidRPr="00254A83" w:rsidRDefault="00020D70" w:rsidP="00020D70">
      <w:pPr>
        <w:spacing w:line="360" w:lineRule="auto"/>
        <w:rPr>
          <w:rFonts w:ascii="Times New Roman" w:hAnsi="Times New Roman" w:cs="Times New Roman"/>
        </w:rPr>
      </w:pPr>
    </w:p>
    <w:p w:rsidR="00020D70" w:rsidRPr="00254A83" w:rsidRDefault="00020D70" w:rsidP="00020D70">
      <w:pPr>
        <w:spacing w:line="360" w:lineRule="auto"/>
        <w:rPr>
          <w:rFonts w:ascii="Times New Roman" w:hAnsi="Times New Roman" w:cs="Times New Roman"/>
        </w:rPr>
      </w:pPr>
    </w:p>
    <w:p w:rsidR="00020D70" w:rsidRPr="00254A83" w:rsidRDefault="00020D70" w:rsidP="00020D70">
      <w:pPr>
        <w:spacing w:line="360" w:lineRule="auto"/>
        <w:rPr>
          <w:rFonts w:ascii="Times New Roman" w:hAnsi="Times New Roman" w:cs="Times New Roman"/>
        </w:rPr>
      </w:pPr>
    </w:p>
    <w:p w:rsidR="00020D70" w:rsidRPr="00254A83" w:rsidRDefault="00020D70" w:rsidP="00020D70">
      <w:pPr>
        <w:spacing w:line="360" w:lineRule="auto"/>
        <w:rPr>
          <w:rFonts w:ascii="Times New Roman" w:hAnsi="Times New Roman" w:cs="Times New Roman"/>
        </w:rPr>
      </w:pPr>
    </w:p>
    <w:p w:rsidR="00020D70" w:rsidRPr="00254A83" w:rsidRDefault="00020D70" w:rsidP="00020D70">
      <w:pPr>
        <w:spacing w:line="360" w:lineRule="auto"/>
        <w:rPr>
          <w:rFonts w:ascii="Times New Roman" w:hAnsi="Times New Roman" w:cs="Times New Roman"/>
        </w:rPr>
      </w:pPr>
    </w:p>
    <w:p w:rsidR="00020D70" w:rsidRPr="00254A83" w:rsidRDefault="00020D70" w:rsidP="00020D70">
      <w:pPr>
        <w:spacing w:line="360" w:lineRule="auto"/>
        <w:rPr>
          <w:rFonts w:ascii="Times New Roman" w:hAnsi="Times New Roman" w:cs="Times New Roman"/>
        </w:rPr>
      </w:pPr>
    </w:p>
    <w:p w:rsidR="00020D70" w:rsidRPr="00254A83" w:rsidRDefault="00020D70" w:rsidP="00020D70">
      <w:pPr>
        <w:spacing w:line="360" w:lineRule="auto"/>
        <w:rPr>
          <w:rFonts w:ascii="Times New Roman" w:hAnsi="Times New Roman" w:cs="Times New Roman"/>
        </w:rPr>
      </w:pPr>
    </w:p>
    <w:p w:rsidR="00020D70" w:rsidRPr="00254A83" w:rsidRDefault="00020D70" w:rsidP="00020D70">
      <w:pPr>
        <w:spacing w:line="360" w:lineRule="auto"/>
        <w:rPr>
          <w:rFonts w:ascii="Times New Roman" w:hAnsi="Times New Roman" w:cs="Times New Roman"/>
        </w:rPr>
      </w:pPr>
    </w:p>
    <w:p w:rsidR="00020D70" w:rsidRPr="00254A83" w:rsidRDefault="00020D70" w:rsidP="00020D70">
      <w:pPr>
        <w:spacing w:line="360" w:lineRule="auto"/>
        <w:rPr>
          <w:rFonts w:ascii="Times New Roman" w:hAnsi="Times New Roman" w:cs="Times New Roman"/>
        </w:rPr>
      </w:pPr>
    </w:p>
    <w:p w:rsidR="00020D70" w:rsidRPr="00254A83" w:rsidRDefault="00020D70" w:rsidP="00020D70">
      <w:pPr>
        <w:spacing w:line="360" w:lineRule="auto"/>
        <w:rPr>
          <w:rFonts w:ascii="Times New Roman" w:hAnsi="Times New Roman" w:cs="Times New Roman"/>
        </w:rPr>
      </w:pPr>
    </w:p>
    <w:p w:rsidR="00020D70" w:rsidRPr="00254A83" w:rsidRDefault="00020D70" w:rsidP="00020D70">
      <w:pPr>
        <w:pStyle w:val="content0"/>
        <w:spacing w:line="360" w:lineRule="auto"/>
        <w:rPr>
          <w:rFonts w:cs="Times New Roman"/>
          <w:b/>
          <w:bCs/>
        </w:rPr>
      </w:pPr>
      <w:r w:rsidRPr="00254A83">
        <w:rPr>
          <w:rFonts w:cs="Times New Roman"/>
          <w:b/>
          <w:bCs/>
        </w:rPr>
        <w:lastRenderedPageBreak/>
        <w:fldChar w:fldCharType="end"/>
      </w:r>
      <w:r w:rsidRPr="00254A83">
        <w:rPr>
          <w:rFonts w:cs="Times New Roman"/>
          <w:b/>
          <w:bCs/>
        </w:rPr>
        <w:t>List of Tables</w:t>
      </w:r>
    </w:p>
    <w:p w:rsidR="00020D70" w:rsidRPr="00254A83" w:rsidRDefault="00020D70" w:rsidP="00020D70">
      <w:pPr>
        <w:pStyle w:val="TableofFigures"/>
        <w:tabs>
          <w:tab w:val="right" w:leader="dot" w:pos="9016"/>
        </w:tabs>
        <w:spacing w:line="360" w:lineRule="auto"/>
        <w:rPr>
          <w:rFonts w:ascii="Times New Roman" w:eastAsiaTheme="minorEastAsia" w:hAnsi="Times New Roman" w:cs="Times New Roman"/>
          <w:noProof/>
          <w:lang w:eastAsia="en-GB"/>
        </w:rPr>
      </w:pPr>
      <w:r w:rsidRPr="00254A83">
        <w:rPr>
          <w:rFonts w:ascii="Times New Roman" w:hAnsi="Times New Roman" w:cs="Times New Roman"/>
        </w:rPr>
        <w:fldChar w:fldCharType="begin"/>
      </w:r>
      <w:r w:rsidRPr="00254A83">
        <w:rPr>
          <w:rFonts w:ascii="Times New Roman" w:hAnsi="Times New Roman" w:cs="Times New Roman"/>
        </w:rPr>
        <w:instrText xml:space="preserve"> TOC \h \z \c "Table" </w:instrText>
      </w:r>
      <w:r w:rsidRPr="00254A83">
        <w:rPr>
          <w:rFonts w:ascii="Times New Roman" w:hAnsi="Times New Roman" w:cs="Times New Roman"/>
        </w:rPr>
        <w:fldChar w:fldCharType="separate"/>
      </w:r>
      <w:hyperlink w:anchor="_Toc156952093" w:history="1">
        <w:r w:rsidRPr="00254A83">
          <w:rPr>
            <w:rStyle w:val="Hyperlink"/>
            <w:rFonts w:ascii="Times New Roman" w:hAnsi="Times New Roman" w:cs="Times New Roman"/>
            <w:noProof/>
          </w:rPr>
          <w:t>Table 1: Correlation Analysis</w:t>
        </w:r>
        <w:r w:rsidRPr="00254A83">
          <w:rPr>
            <w:rFonts w:ascii="Times New Roman" w:hAnsi="Times New Roman" w:cs="Times New Roman"/>
            <w:noProof/>
            <w:webHidden/>
          </w:rPr>
          <w:tab/>
        </w:r>
        <w:r w:rsidRPr="00254A83">
          <w:rPr>
            <w:rFonts w:ascii="Times New Roman" w:hAnsi="Times New Roman" w:cs="Times New Roman"/>
            <w:noProof/>
            <w:webHidden/>
          </w:rPr>
          <w:fldChar w:fldCharType="begin"/>
        </w:r>
        <w:r w:rsidRPr="00254A83">
          <w:rPr>
            <w:rFonts w:ascii="Times New Roman" w:hAnsi="Times New Roman" w:cs="Times New Roman"/>
            <w:noProof/>
            <w:webHidden/>
          </w:rPr>
          <w:instrText xml:space="preserve"> PAGEREF _Toc156952093 \h </w:instrText>
        </w:r>
        <w:r w:rsidRPr="00254A83">
          <w:rPr>
            <w:rFonts w:ascii="Times New Roman" w:hAnsi="Times New Roman" w:cs="Times New Roman"/>
            <w:noProof/>
            <w:webHidden/>
          </w:rPr>
        </w:r>
        <w:r w:rsidRPr="00254A83">
          <w:rPr>
            <w:rFonts w:ascii="Times New Roman" w:hAnsi="Times New Roman" w:cs="Times New Roman"/>
            <w:noProof/>
            <w:webHidden/>
          </w:rPr>
          <w:fldChar w:fldCharType="separate"/>
        </w:r>
        <w:r w:rsidRPr="00254A83">
          <w:rPr>
            <w:rFonts w:ascii="Times New Roman" w:hAnsi="Times New Roman" w:cs="Times New Roman"/>
            <w:noProof/>
            <w:webHidden/>
          </w:rPr>
          <w:t>46</w:t>
        </w:r>
        <w:r w:rsidRPr="00254A83">
          <w:rPr>
            <w:rFonts w:ascii="Times New Roman" w:hAnsi="Times New Roman" w:cs="Times New Roman"/>
            <w:noProof/>
            <w:webHidden/>
          </w:rPr>
          <w:fldChar w:fldCharType="end"/>
        </w:r>
      </w:hyperlink>
    </w:p>
    <w:p w:rsidR="00020D70" w:rsidRPr="00254A83" w:rsidRDefault="00020D70" w:rsidP="00020D70">
      <w:pPr>
        <w:pStyle w:val="TableofFigures"/>
        <w:tabs>
          <w:tab w:val="right" w:leader="dot" w:pos="9016"/>
        </w:tabs>
        <w:spacing w:line="360" w:lineRule="auto"/>
        <w:rPr>
          <w:rFonts w:ascii="Times New Roman" w:eastAsiaTheme="minorEastAsia" w:hAnsi="Times New Roman" w:cs="Times New Roman"/>
          <w:noProof/>
          <w:lang w:eastAsia="en-GB"/>
        </w:rPr>
      </w:pPr>
      <w:hyperlink w:anchor="_Toc156952094" w:history="1">
        <w:r w:rsidRPr="00254A83">
          <w:rPr>
            <w:rStyle w:val="Hyperlink"/>
            <w:rFonts w:ascii="Times New Roman" w:hAnsi="Times New Roman" w:cs="Times New Roman"/>
            <w:noProof/>
          </w:rPr>
          <w:t>Table 2: Regression Analysis</w:t>
        </w:r>
        <w:r w:rsidRPr="00254A83">
          <w:rPr>
            <w:rFonts w:ascii="Times New Roman" w:hAnsi="Times New Roman" w:cs="Times New Roman"/>
            <w:noProof/>
            <w:webHidden/>
          </w:rPr>
          <w:tab/>
        </w:r>
        <w:r w:rsidRPr="00254A83">
          <w:rPr>
            <w:rFonts w:ascii="Times New Roman" w:hAnsi="Times New Roman" w:cs="Times New Roman"/>
            <w:noProof/>
            <w:webHidden/>
          </w:rPr>
          <w:fldChar w:fldCharType="begin"/>
        </w:r>
        <w:r w:rsidRPr="00254A83">
          <w:rPr>
            <w:rFonts w:ascii="Times New Roman" w:hAnsi="Times New Roman" w:cs="Times New Roman"/>
            <w:noProof/>
            <w:webHidden/>
          </w:rPr>
          <w:instrText xml:space="preserve"> PAGEREF _Toc156952094 \h </w:instrText>
        </w:r>
        <w:r w:rsidRPr="00254A83">
          <w:rPr>
            <w:rFonts w:ascii="Times New Roman" w:hAnsi="Times New Roman" w:cs="Times New Roman"/>
            <w:noProof/>
            <w:webHidden/>
          </w:rPr>
        </w:r>
        <w:r w:rsidRPr="00254A83">
          <w:rPr>
            <w:rFonts w:ascii="Times New Roman" w:hAnsi="Times New Roman" w:cs="Times New Roman"/>
            <w:noProof/>
            <w:webHidden/>
          </w:rPr>
          <w:fldChar w:fldCharType="separate"/>
        </w:r>
        <w:r w:rsidRPr="00254A83">
          <w:rPr>
            <w:rFonts w:ascii="Times New Roman" w:hAnsi="Times New Roman" w:cs="Times New Roman"/>
            <w:noProof/>
            <w:webHidden/>
          </w:rPr>
          <w:t>47</w:t>
        </w:r>
        <w:r w:rsidRPr="00254A83">
          <w:rPr>
            <w:rFonts w:ascii="Times New Roman" w:hAnsi="Times New Roman" w:cs="Times New Roman"/>
            <w:noProof/>
            <w:webHidden/>
          </w:rPr>
          <w:fldChar w:fldCharType="end"/>
        </w:r>
      </w:hyperlink>
    </w:p>
    <w:p w:rsidR="00020D70" w:rsidRPr="00254A83" w:rsidRDefault="00020D70" w:rsidP="00020D70">
      <w:pPr>
        <w:pStyle w:val="content0"/>
        <w:spacing w:line="360" w:lineRule="auto"/>
        <w:rPr>
          <w:rFonts w:cs="Times New Roman"/>
        </w:rPr>
      </w:pPr>
      <w:r w:rsidRPr="00254A83">
        <w:rPr>
          <w:rFonts w:cs="Times New Roman"/>
        </w:rPr>
        <w:fldChar w:fldCharType="end"/>
      </w:r>
    </w:p>
    <w:p w:rsidR="00020D70" w:rsidRPr="00254A83" w:rsidRDefault="00020D70" w:rsidP="00020D70">
      <w:pPr>
        <w:pStyle w:val="content0"/>
        <w:spacing w:line="360" w:lineRule="auto"/>
        <w:rPr>
          <w:rFonts w:cs="Times New Roman"/>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content0"/>
        <w:rPr>
          <w:b/>
          <w:bCs/>
        </w:rPr>
      </w:pPr>
    </w:p>
    <w:p w:rsidR="00020D70" w:rsidRDefault="00020D70" w:rsidP="00020D70">
      <w:pPr>
        <w:pStyle w:val="Heading1"/>
      </w:pPr>
      <w:bookmarkStart w:id="0" w:name="_Toc156990234"/>
      <w:r>
        <w:lastRenderedPageBreak/>
        <w:t>Introduction</w:t>
      </w:r>
      <w:bookmarkEnd w:id="0"/>
    </w:p>
    <w:p w:rsidR="00020D70" w:rsidRDefault="00020D70" w:rsidP="00020D70">
      <w:pPr>
        <w:pStyle w:val="Content"/>
      </w:pPr>
      <w:r>
        <w:t>The introduction will provide background on Amazon's training and development landscape focused on continually elevating employee skills. It will frame the problem by discussing challenges around optimizing these employee relations interventions for enhancing workforce engagement and interlinkages. The research aims to assess Amazon's learning ecosystem to isolate effectiveness patterns and incremental gaps informing refinements. Research questions will examine training impacts on employee dedication, coordination and work excellence. Underlying learning theories linking skill-building to motivational, relational and performance improvements will be highlighted. Concentrated on UK staff inputs, acknowledged constraints include generalization cautions beyond the sampled population. Broader values like theoretical contributions on contextualizing learning dynamics and practical recommendations for Amazon around bolstering experiential outcomes will be outlined. Overall, the introduction establishes the platform for subsequently detailing the literature foundations, inquiry methodology and data analysis strategies aligned to evaluating Amazon's training configuration, delivery mechanisms and content effectiveness in nurturing workforce experiences and organizational prosperity.</w:t>
      </w:r>
    </w:p>
    <w:p w:rsidR="00020D70" w:rsidRDefault="00020D70" w:rsidP="00020D70">
      <w:pPr>
        <w:pStyle w:val="Heading2"/>
      </w:pPr>
      <w:bookmarkStart w:id="1" w:name="_Toc156990235"/>
      <w:r>
        <w:t>Background and Context</w:t>
      </w:r>
      <w:bookmarkEnd w:id="1"/>
    </w:p>
    <w:p w:rsidR="00020D70" w:rsidRDefault="00020D70" w:rsidP="00020D70">
      <w:pPr>
        <w:pStyle w:val="Content"/>
      </w:pPr>
      <w:r>
        <w:t xml:space="preserve">Amazon has evolved into one of the globe's largest online retailers and cloud service providers, boasting a staggering workforce of over 1.6 million employees worldwide as of December 2022 </w:t>
      </w:r>
      <w:sdt>
        <w:sdtPr>
          <w:id w:val="-790979169"/>
          <w:citation/>
        </w:sdtPr>
        <w:sdtContent>
          <w:r>
            <w:fldChar w:fldCharType="begin"/>
          </w:r>
          <w:r>
            <w:instrText xml:space="preserve">CITATION Ama22 \l 2057 </w:instrText>
          </w:r>
          <w:r>
            <w:fldChar w:fldCharType="separate"/>
          </w:r>
          <w:r w:rsidRPr="00E92498">
            <w:rPr>
              <w:noProof/>
            </w:rPr>
            <w:t>(Amazon, 2023)</w:t>
          </w:r>
          <w:r>
            <w:fldChar w:fldCharType="end"/>
          </w:r>
        </w:sdtContent>
      </w:sdt>
      <w:r>
        <w:t xml:space="preserve">. From its inception under the leadership of founder Jeff Bezos, the company has prioritized the training and development of its employee relations as a strategic imperative (Stone, 2013). This commitment has only intensified over the years, fueled by the exponential growth across diverse business lines, including retail, technology, content creation, and operations. To navigate this expansive and multifaceted landscape, Amazon has implemented a comprehensive array of skill-building approaches. These encompass on-the-job learning, virtual programs, classroom workshops, upskilling initiatives, and leadership development programs tailored to nurture expertise across a staggering array of roles—numbering over 750 (Amazon, 2022). The financial commitment to this endeavour is substantial, with estimates placing the company's global training expenditure at nearly $700 million annually, strategically channelled into crucial areas like machine learning applications, data analytics, and cloud computing to drive ongoing innovation </w:t>
      </w:r>
      <w:sdt>
        <w:sdtPr>
          <w:id w:val="2045701318"/>
          <w:citation/>
        </w:sdtPr>
        <w:sdtContent>
          <w:r>
            <w:fldChar w:fldCharType="begin"/>
          </w:r>
          <w:r>
            <w:instrText xml:space="preserve"> CITATION Ama23 \l 2057 </w:instrText>
          </w:r>
          <w:r>
            <w:fldChar w:fldCharType="separate"/>
          </w:r>
          <w:r w:rsidRPr="00E92498">
            <w:rPr>
              <w:noProof/>
            </w:rPr>
            <w:t>(Amazon, 2023)</w:t>
          </w:r>
          <w:r>
            <w:fldChar w:fldCharType="end"/>
          </w:r>
        </w:sdtContent>
      </w:sdt>
      <w:r>
        <w:t>.</w:t>
      </w:r>
    </w:p>
    <w:p w:rsidR="00020D70" w:rsidRDefault="00020D70" w:rsidP="00020D70">
      <w:pPr>
        <w:pStyle w:val="Content"/>
      </w:pPr>
      <w:r>
        <w:lastRenderedPageBreak/>
        <w:t xml:space="preserve">However, this ambitious growth trajectory has not been without its challenges. Criticisms have arisen regarding high attrition rates and instances of employee discontent, often linked to the demanding nature of performance management at Amazon (Kantor &amp; Streitfeld, 2015). This has prompted a critical reassessment, emphasizing the need to not only bolster technical capabilities but also to enhance the overall employment experience. This broader approach includes initiatives focused on inclusion, communication, work-life balance, and cross-functional exposure, alongside role-specific future-skilling efforts. Recognizing the importance of long-term employee relations investment, Amazon has introduced initiatives such as the Amazon investing in $700 million and pledge to upskill 100,000 U.S employees by 2025 </w:t>
      </w:r>
      <w:sdt>
        <w:sdtPr>
          <w:id w:val="-922570885"/>
          <w:citation/>
        </w:sdtPr>
        <w:sdtContent>
          <w:r>
            <w:fldChar w:fldCharType="begin"/>
          </w:r>
          <w:r>
            <w:instrText xml:space="preserve"> CITATION Ama19 \l 2057 </w:instrText>
          </w:r>
          <w:r>
            <w:fldChar w:fldCharType="separate"/>
          </w:r>
          <w:r w:rsidRPr="00503714">
            <w:rPr>
              <w:noProof/>
            </w:rPr>
            <w:t>(Amazon, 2019)</w:t>
          </w:r>
          <w:r>
            <w:fldChar w:fldCharType="end"/>
          </w:r>
        </w:sdtContent>
      </w:sdt>
      <w:r>
        <w:t>. Moreover, the company has diversified its training formats beyond technical skilling, with programs like the Global Leadership Development initiative providing experiential avenues for honing leadership skills.</w:t>
      </w:r>
    </w:p>
    <w:p w:rsidR="00020D70" w:rsidRDefault="00020D70" w:rsidP="00020D70">
      <w:pPr>
        <w:pStyle w:val="Content"/>
      </w:pPr>
      <w:r>
        <w:t xml:space="preserve">Beyond the technical realm, Amazon actively promotes horizontal development through exposure training, facilitating job rotations across functions to break silos and foster well-rounded perspectives. The company remains committed to benchmarking against external best practices, participating in initiatives like the World Economic Forum's Reskilling Revolution Platform </w:t>
      </w:r>
      <w:sdt>
        <w:sdtPr>
          <w:id w:val="-1659846837"/>
          <w:citation/>
        </w:sdtPr>
        <w:sdtContent>
          <w:r>
            <w:fldChar w:fldCharType="begin"/>
          </w:r>
          <w:r>
            <w:instrText xml:space="preserve"> CITATION Wor24 \l 2057 </w:instrText>
          </w:r>
          <w:r>
            <w:fldChar w:fldCharType="separate"/>
          </w:r>
          <w:r w:rsidRPr="00503714">
            <w:rPr>
              <w:noProof/>
            </w:rPr>
            <w:t>(World Economic Forum, 2024)</w:t>
          </w:r>
          <w:r>
            <w:fldChar w:fldCharType="end"/>
          </w:r>
        </w:sdtContent>
      </w:sdt>
      <w:r>
        <w:t xml:space="preserve">. Aligned with its vision of nurturing a pioneering, customer-obsessed, and inclusive culture, Amazon continually refines its training programs to enrich both competencies and experiences (Bandiera et al., 2020). Impressively, around 97% of full-time Amazon employees reportedly engage in some form of capability-building program annually, underscoring the company's commitment to continuous learning </w:t>
      </w:r>
      <w:sdt>
        <w:sdtPr>
          <w:id w:val="-1362045909"/>
          <w:citation/>
        </w:sdtPr>
        <w:sdtContent>
          <w:r>
            <w:fldChar w:fldCharType="begin"/>
          </w:r>
          <w:r>
            <w:instrText xml:space="preserve"> CITATION Ama23 \l 2057 </w:instrText>
          </w:r>
          <w:r>
            <w:fldChar w:fldCharType="separate"/>
          </w:r>
          <w:r w:rsidRPr="00503714">
            <w:rPr>
              <w:noProof/>
            </w:rPr>
            <w:t>(Amazon, 2023)</w:t>
          </w:r>
          <w:r>
            <w:fldChar w:fldCharType="end"/>
          </w:r>
        </w:sdtContent>
      </w:sdt>
      <w:r>
        <w:t>. As Amazon's expansion extends to regions like India and East Asia, training design incorporates localization adaptations to align content with diverse cultural needs (Zheng et al., 2007). Ultimately, Amazon's sustained investments in both role-specialized and wide-spectrum training serve as the bedrock of its talent strategy, driving innovation, cohesion, and sustained growth (Appelbaum et al., 2021).</w:t>
      </w:r>
    </w:p>
    <w:p w:rsidR="00020D70" w:rsidRDefault="00020D70" w:rsidP="00020D70">
      <w:pPr>
        <w:pStyle w:val="Heading2"/>
      </w:pPr>
      <w:bookmarkStart w:id="2" w:name="_Toc156990236"/>
      <w:r>
        <w:t>Problem Statement</w:t>
      </w:r>
      <w:bookmarkEnd w:id="2"/>
    </w:p>
    <w:p w:rsidR="00020D70" w:rsidRDefault="00020D70" w:rsidP="00020D70">
      <w:pPr>
        <w:pStyle w:val="Content"/>
      </w:pPr>
      <w:r>
        <w:t xml:space="preserve">In the realm of organizational training, Amazon has heavily invested in programs; however, recent surveys reveal significant concerns among employees. Approximately 39% perceive gaps in skill advancement needed for their roles, and 33% express a lack of clarity regarding promotion pathways </w:t>
      </w:r>
      <w:sdt>
        <w:sdtPr>
          <w:id w:val="207682160"/>
          <w:citation/>
        </w:sdtPr>
        <w:sdtContent>
          <w:r>
            <w:fldChar w:fldCharType="begin"/>
          </w:r>
          <w:r>
            <w:instrText xml:space="preserve"> CITATION Ama23 \l 2057 </w:instrText>
          </w:r>
          <w:r>
            <w:fldChar w:fldCharType="separate"/>
          </w:r>
          <w:r w:rsidRPr="00151C1C">
            <w:rPr>
              <w:noProof/>
            </w:rPr>
            <w:t>(Amazon, 2023)</w:t>
          </w:r>
          <w:r>
            <w:fldChar w:fldCharType="end"/>
          </w:r>
        </w:sdtContent>
      </w:sdt>
      <w:r>
        <w:t xml:space="preserve">. Criticism has surfaced regarding the effectiveness of evaluation methods gauging capability building within the organizational context. Managers </w:t>
      </w:r>
      <w:r>
        <w:lastRenderedPageBreak/>
        <w:t>across retail teams, numbering almost half, have identified communication, empathy, and inclusion competencies as persistent gaps requiring consolidation (Bandiera et al., 2020). This critique extends to the excessive focus on efficiency and performance management, with historical attrition rates at Amazon approaching 100% for frontline workers, raising questions about the impact on employee experiences (Kantor &amp; Streitfeld, 2015). Scholars have questioned the alignment of Amazon's talent branding claims with workforce realities and the organizational commitment to employee well-being (Lievens &amp; Slaughter, 2016). These perspectives underscore the imperative of evaluating Amazon's learning models and mechanisms from an employee perspective, examining engagement, coordination, and output improvement metrics for constructive refinements.</w:t>
      </w:r>
    </w:p>
    <w:p w:rsidR="00020D70" w:rsidRDefault="00020D70" w:rsidP="00020D70">
      <w:pPr>
        <w:pStyle w:val="Content"/>
      </w:pPr>
      <w:r>
        <w:t xml:space="preserve">Despite achieving scale efficiencies through process standardization, there is a call for personalization to enhance the quality of the employee experience. As organizations increasingly compete through employee relations capabilities, the evaluation of training impact from multidimensional workforce perspectives becomes crucial for sustainable prosperity (Cappelli &amp; Keller, 2014). Focusing the inquiry on enhancing employee relations through alignment with Amazon's learning architecture offers both theoretical and practical value. While Amazon provides extensive learning opportunities, recent surveys indicate that over 75% of employees believe promotions are unfairly biased instead of being performance-based </w:t>
      </w:r>
      <w:sdt>
        <w:sdtPr>
          <w:id w:val="-114747636"/>
          <w:citation/>
        </w:sdtPr>
        <w:sdtContent>
          <w:r>
            <w:fldChar w:fldCharType="begin"/>
          </w:r>
          <w:r>
            <w:instrText xml:space="preserve"> CITATION The213 \l 2057 </w:instrText>
          </w:r>
          <w:r>
            <w:fldChar w:fldCharType="separate"/>
          </w:r>
          <w:r w:rsidRPr="00151C1C">
            <w:rPr>
              <w:noProof/>
            </w:rPr>
            <w:t>(The New York Times, 2021)</w:t>
          </w:r>
          <w:r>
            <w:fldChar w:fldCharType="end"/>
          </w:r>
        </w:sdtContent>
      </w:sdt>
      <w:r>
        <w:t>. Scholars argue that reward mechanisms related to capability initiatives shape perceived meaningfulness more than the skills gained (Thibault Landry et al., 2018), highlighting potential gaps between training inputs and motivational yields at Amazon.</w:t>
      </w:r>
    </w:p>
    <w:p w:rsidR="00020D70" w:rsidRDefault="00020D70" w:rsidP="00020D70">
      <w:pPr>
        <w:pStyle w:val="Content"/>
      </w:pPr>
      <w:r>
        <w:t xml:space="preserve">Moreover, high-potential employees cite the absence of constructive managerial coaching and mentorship beyond formal programs as reasons for seeking alternative career growth avenues. Lack of research and development opportunities, coupled with unsupportive culture dynamics, has emerged as factors driving talent drain despite significant training investments (Huang et al., 2015). Further compounding these challenges are unrealistic productivity pressures and minimal control over warehousing algorithms, correlating with physical and emotional burnout among frontline workers. Critics argue that such dehumanizing and oppressive environments inhibit the realization of training benefits into positive performance linkages (Shaw et al., 2013). In essence, the myriad of concerns signals potential disconnects between Amazon's professed talent development ethos and the daily realities surrounding </w:t>
      </w:r>
      <w:r>
        <w:lastRenderedPageBreak/>
        <w:t>workload strains, experience quality, and inclusion gaps, negatively impacting employee output, coordination, and retention. This situation calls for a constructive realignment of the training ecosystem to benefit all stakeholders.</w:t>
      </w:r>
    </w:p>
    <w:p w:rsidR="00020D70" w:rsidRDefault="00020D70" w:rsidP="00020D70">
      <w:pPr>
        <w:pStyle w:val="Heading2"/>
      </w:pPr>
      <w:bookmarkStart w:id="3" w:name="_Toc156990237"/>
      <w:r>
        <w:t>Research Purpose</w:t>
      </w:r>
      <w:bookmarkEnd w:id="3"/>
    </w:p>
    <w:p w:rsidR="00020D70" w:rsidRDefault="00020D70" w:rsidP="00020D70">
      <w:pPr>
        <w:pStyle w:val="Content"/>
      </w:pPr>
      <w:r>
        <w:t>The purpose of this research is to examine the pivotal role played by training and development programs at Amazon, with a focused lens on their impact on employee relations within the organization. The overarching goal is to provide a nuanced, evidence-based understanding of how Amazon's learning architecture and initiatives influence and enhance various facets of workforce experiences, dedication, coordination, and productivity.</w:t>
      </w:r>
    </w:p>
    <w:p w:rsidR="00020D70" w:rsidRDefault="00020D70" w:rsidP="00020D70">
      <w:pPr>
        <w:pStyle w:val="Content"/>
      </w:pPr>
      <w:r w:rsidRPr="00F46EC5">
        <w:t xml:space="preserve">The aim of this research is to assess Amazon's training and development </w:t>
      </w:r>
      <w:r>
        <w:t>and their impact on Employee relations.</w:t>
      </w:r>
    </w:p>
    <w:p w:rsidR="00020D70" w:rsidRDefault="00020D70" w:rsidP="00020D70">
      <w:pPr>
        <w:pStyle w:val="Content"/>
      </w:pPr>
      <w:r>
        <w:t>Specific objectives guiding the inquiry include:</w:t>
      </w:r>
    </w:p>
    <w:p w:rsidR="00020D70" w:rsidRDefault="00020D70" w:rsidP="00020D70">
      <w:pPr>
        <w:pStyle w:val="Content"/>
        <w:numPr>
          <w:ilvl w:val="0"/>
          <w:numId w:val="4"/>
        </w:numPr>
      </w:pPr>
      <w:r>
        <w:t>Evaluate employee perceptions of Amazon's current training programs in areas like quality, access, relevance and benefits.</w:t>
      </w:r>
    </w:p>
    <w:p w:rsidR="00020D70" w:rsidRDefault="00020D70" w:rsidP="00020D70">
      <w:pPr>
        <w:pStyle w:val="Content"/>
        <w:numPr>
          <w:ilvl w:val="0"/>
          <w:numId w:val="4"/>
        </w:numPr>
      </w:pPr>
      <w:r>
        <w:t>Examine impacts of learning initiatives on workforce engagement, motivation and productivity.</w:t>
      </w:r>
    </w:p>
    <w:p w:rsidR="00020D70" w:rsidRDefault="00020D70" w:rsidP="00020D70">
      <w:pPr>
        <w:pStyle w:val="Content"/>
        <w:numPr>
          <w:ilvl w:val="0"/>
          <w:numId w:val="4"/>
        </w:numPr>
      </w:pPr>
      <w:r>
        <w:t>Identify effective practices to expand and issues to address for improving training systems at Amazon.</w:t>
      </w:r>
    </w:p>
    <w:p w:rsidR="00020D70" w:rsidRDefault="00020D70" w:rsidP="00020D70">
      <w:pPr>
        <w:pStyle w:val="Content"/>
      </w:pPr>
      <w:r>
        <w:t>The emphasis lies in harnessing descriptive evaluations and predictive models to compile contextual insights and statistics illuminating productive pathways for Amazon to leverage formal and informal learning systems in nurturing employee relations excellence. This shapes strategic priorities and planning around continually enhancing workforce experiences, effectiveness, and retention - instrumental for organizational prosperity.</w:t>
      </w:r>
    </w:p>
    <w:p w:rsidR="00020D70" w:rsidRDefault="00020D70" w:rsidP="00020D70">
      <w:pPr>
        <w:pStyle w:val="Heading2"/>
      </w:pPr>
      <w:bookmarkStart w:id="4" w:name="_Toc156990238"/>
      <w:r>
        <w:t>Research Questions and Propositions</w:t>
      </w:r>
      <w:bookmarkEnd w:id="4"/>
    </w:p>
    <w:p w:rsidR="00020D70" w:rsidRDefault="00020D70" w:rsidP="00020D70">
      <w:pPr>
        <w:pStyle w:val="Content"/>
      </w:pPr>
      <w:r>
        <w:t>Question 1: How do employees perceive the quality, relevance and utility of current training programs at Amazon?</w:t>
      </w:r>
    </w:p>
    <w:p w:rsidR="00020D70" w:rsidRDefault="00020D70" w:rsidP="00020D70">
      <w:pPr>
        <w:pStyle w:val="Content"/>
      </w:pPr>
      <w:r>
        <w:t>Proposition 1: Employees will positively assess content quality but identify gaps in personalization fitting individual competence needs.</w:t>
      </w:r>
    </w:p>
    <w:p w:rsidR="00020D70" w:rsidRDefault="00020D70" w:rsidP="00020D70">
      <w:pPr>
        <w:pStyle w:val="Content"/>
      </w:pPr>
      <w:r>
        <w:lastRenderedPageBreak/>
        <w:t>Question 2: To what extent does training exposure relate to employees' self-reported motivation, coordination and productivity levels?</w:t>
      </w:r>
    </w:p>
    <w:p w:rsidR="00020D70" w:rsidRDefault="00020D70" w:rsidP="00020D70">
      <w:pPr>
        <w:pStyle w:val="Content"/>
      </w:pPr>
      <w:r>
        <w:t>Proposition 2: Structured learning interventions will exhibit positive connections with workforce performance, engagement, and collaboration markers.</w:t>
      </w:r>
    </w:p>
    <w:p w:rsidR="00020D70" w:rsidRDefault="00020D70" w:rsidP="00020D70">
      <w:pPr>
        <w:pStyle w:val="Content"/>
      </w:pPr>
      <w:r>
        <w:t>Question 3: Which aspects of Amazon's learning architecture can be amplified, and which issues warrant constructive action planning for improvements?</w:t>
      </w:r>
    </w:p>
    <w:p w:rsidR="00020D70" w:rsidRDefault="00020D70" w:rsidP="00020D70">
      <w:pPr>
        <w:pStyle w:val="Content"/>
      </w:pPr>
      <w:r>
        <w:t>Proposition 3: Expanded career linkage, mentoring supplements and evaluation practices will emerge as improvement areas for enriching program impacts.</w:t>
      </w:r>
    </w:p>
    <w:p w:rsidR="00020D70" w:rsidRDefault="00020D70" w:rsidP="00020D70">
      <w:pPr>
        <w:pStyle w:val="Content"/>
      </w:pPr>
      <w:r>
        <w:t>The focus lies on gauging employee reactions across learning quality, relevance and utility while probing linkages between developmental inputs and individual effectiveness as well as collective coordination. Finally, recommendations will highlight training ecosystem components for strategic retention prioritization along with aspects needing consolidation to nurture workforce excellence and experience quality amid business expansion.</w:t>
      </w:r>
    </w:p>
    <w:p w:rsidR="00020D70" w:rsidRDefault="00020D70" w:rsidP="00020D70">
      <w:pPr>
        <w:pStyle w:val="Heading2"/>
      </w:pPr>
      <w:bookmarkStart w:id="5" w:name="_Toc156990239"/>
      <w:r>
        <w:t>Scope and Limitations</w:t>
      </w:r>
      <w:bookmarkEnd w:id="5"/>
    </w:p>
    <w:p w:rsidR="00020D70" w:rsidRDefault="00020D70" w:rsidP="00020D70">
      <w:pPr>
        <w:pStyle w:val="Content"/>
      </w:pPr>
      <w:r>
        <w:t>The scope of this research is focused on assessing Amazon's training and development programs based on survey data collected from 31 employees working at their UK offices in London, Manchester, Glasgow, and Scotland. Perceptions of employees spanning multiple functions and roles regarding existing learning initiatives are evaluated. The domain perimeter concentrates specifically on training program impacts on employee motivation, coordination, productivity, and engagement. Aspects excluded encompass detailed financial return on investment analysis, in-depth process flows of instructional design as well as comparative benchmarking with competitor learning models. While the sample provides useful starting inputs on training perceptions, the limitations signal care around broader application of findings. As the study matures over time, mitigation tactics like mixed methods data triangulation, systematic sampling of diverse roles and geo-economic regions as well as controlled experiments can enhance result validation within Amazon’s organizational boundaries.</w:t>
      </w:r>
    </w:p>
    <w:p w:rsidR="00020D70" w:rsidRDefault="00020D70" w:rsidP="00020D70">
      <w:pPr>
        <w:pStyle w:val="Heading2"/>
      </w:pPr>
      <w:bookmarkStart w:id="6" w:name="_Toc156990240"/>
      <w:r>
        <w:t>Significance of the Study</w:t>
      </w:r>
      <w:bookmarkEnd w:id="6"/>
    </w:p>
    <w:p w:rsidR="00020D70" w:rsidRDefault="00020D70" w:rsidP="00020D70">
      <w:pPr>
        <w:pStyle w:val="Content"/>
      </w:pPr>
      <w:r>
        <w:t xml:space="preserve">This research carries valuable significance along both academic and practical dimensions surrounding training impact evaluations tailored to Amazon's organizational context. On the </w:t>
      </w:r>
      <w:r>
        <w:lastRenderedPageBreak/>
        <w:t>academic front, the study findings will expand conceptual understanding of the nuanced mechanisms and processes through which learning systems influence multiple facets of employee experiences ranging from skill upgrading, engagement and coordination. The research integrates diverse theoretical frameworks like employee relations advancement, online platform learning and motivation models to provide an interdisciplinary lens assessing Amazon's training architecture. Descriptive insights coupled with predictive analytics will enrich academic literature on the optimization of corporate learning for human asset enrichment and experience enhancement. Practically, the evidence-based insights can inform training evaluation and design decisions at Amazon to boost productivity, working relationships, inclusiveness, and employee fulfilment. The analysis aims to uncover what existing program aspects warrant amplification versus which elements require consolidation. This will guide leadership prioritization of learning avenues tailored to benefit Amazon's distinctive culture. As organizations increasingly compete based on employee relations excellence, research of this nature can offer recommendations on nurturing capabilities, coordination, and enriching careers - instrumental for corporate prosperity. The focus remains on constructive training ecosystem enhancements that mutually benefit employees and company growth.</w:t>
      </w:r>
    </w:p>
    <w:p w:rsidR="00020D70" w:rsidRDefault="00020D70" w:rsidP="00020D70">
      <w:pPr>
        <w:pStyle w:val="Heading2"/>
      </w:pPr>
      <w:bookmarkStart w:id="7" w:name="_Toc156990241"/>
      <w:r>
        <w:t>Methodological Approach</w:t>
      </w:r>
      <w:bookmarkEnd w:id="7"/>
    </w:p>
    <w:p w:rsidR="00020D70" w:rsidRPr="00CC59D3" w:rsidRDefault="00020D70" w:rsidP="00020D70">
      <w:pPr>
        <w:pStyle w:val="Content"/>
      </w:pPr>
      <w:r>
        <w:t xml:space="preserve">This study adopts a quantitative methodology centered around an online survey distributed to a purposive sample of 31 Amazon employees based across UK offices. The sample comprised professionals spanning functions like customer service, operations, technology and business support who participate in Amazon's capability building programs. Initial descriptive analysis of survey responses provides summary portraits of the participant profiles, their perceptions of key training aspects along with self-reported impacts on productivity, motivation and team relationships. Building on these descriptive overviews, correlation modeling and regression analysis systematically examine relationships between 7 pertinent variables identified to investigate Amazon's learning systems' effectiveness for employee gains. These measures encompass training quality, competency improvements, information accessibility, work excellence, coordination and engagement. Statistical testing illuminates connections and predictive patterns linking developmental inputs to associated employee gains. Combined, the multi-technique quantitative approach on a sample size of 31 UK employees facilitates productive inquiry into the dynamics between skill-building initiatives and workforce gains within Amazon's organizational context. Descriptive portraits </w:t>
      </w:r>
      <w:r>
        <w:lastRenderedPageBreak/>
        <w:t>complement predictive relationship assessments between learning design elements and employee perceptions regarding impacts like motivation, productivity and peer connectivity. This method assembles contextual insights on current strengths and improvement areas for enriching Amazon's human capital and operating performance through training ecosystem refinements targeting more positive, engaged employee experiences.</w:t>
      </w:r>
    </w:p>
    <w:p w:rsidR="00020D70" w:rsidRDefault="00020D70" w:rsidP="00020D70">
      <w:pPr>
        <w:pStyle w:val="Heading2"/>
      </w:pPr>
      <w:bookmarkStart w:id="8" w:name="_Toc156990242"/>
      <w:r>
        <w:t>Definition of Key Terms</w:t>
      </w:r>
      <w:bookmarkEnd w:id="8"/>
    </w:p>
    <w:p w:rsidR="00020D70" w:rsidRDefault="00020D70" w:rsidP="00020D70">
      <w:pPr>
        <w:pStyle w:val="Content"/>
      </w:pPr>
      <w:r>
        <w:t>The following represent descriptions of core concepts and terminologies used within this research:</w:t>
      </w:r>
    </w:p>
    <w:p w:rsidR="00020D70" w:rsidRDefault="00020D70" w:rsidP="00020D70">
      <w:pPr>
        <w:pStyle w:val="Content"/>
        <w:numPr>
          <w:ilvl w:val="0"/>
          <w:numId w:val="5"/>
        </w:numPr>
      </w:pPr>
      <w:r>
        <w:t>Training: Planned learning activities designed to instill the competencies, knowledge and behaviours required by employees to perform current or future expected roles optimally.</w:t>
      </w:r>
    </w:p>
    <w:p w:rsidR="00020D70" w:rsidRDefault="00020D70" w:rsidP="00020D70">
      <w:pPr>
        <w:pStyle w:val="Content"/>
        <w:numPr>
          <w:ilvl w:val="0"/>
          <w:numId w:val="5"/>
        </w:numPr>
      </w:pPr>
      <w:r>
        <w:t>Development: Longer-term capability building focused on advancing employee skills, leadership abilities and career progression preparedness beyond short-term requirements.</w:t>
      </w:r>
    </w:p>
    <w:p w:rsidR="00020D70" w:rsidRDefault="00020D70" w:rsidP="00020D70">
      <w:pPr>
        <w:pStyle w:val="Content"/>
        <w:numPr>
          <w:ilvl w:val="0"/>
          <w:numId w:val="5"/>
        </w:numPr>
      </w:pPr>
      <w:r>
        <w:t>On-the-job training: Informal hands-on learning conducted at the workplace while employees execute regular responsibilities under supervisor guidance.</w:t>
      </w:r>
    </w:p>
    <w:p w:rsidR="00020D70" w:rsidRDefault="00020D70" w:rsidP="00020D70">
      <w:pPr>
        <w:pStyle w:val="Content"/>
        <w:numPr>
          <w:ilvl w:val="0"/>
          <w:numId w:val="5"/>
        </w:numPr>
      </w:pPr>
      <w:r>
        <w:t>E-learning: Digital training content delivered through web-based platforms, apps, mobile access and related educational technology mediums promoting flexible self-paced learning.</w:t>
      </w:r>
    </w:p>
    <w:p w:rsidR="00020D70" w:rsidRDefault="00020D70" w:rsidP="00020D70">
      <w:pPr>
        <w:pStyle w:val="Content"/>
        <w:numPr>
          <w:ilvl w:val="0"/>
          <w:numId w:val="5"/>
        </w:numPr>
      </w:pPr>
      <w:r>
        <w:t>Employee relations: Broad term encompassing multiple facets like workforce motivation levels, dedication, peer-level trust, intra-team coordination, work environment quality and employee retention rates tied to workplace policies, programs and culture.</w:t>
      </w:r>
    </w:p>
    <w:p w:rsidR="00020D70" w:rsidRDefault="00020D70" w:rsidP="00020D70">
      <w:pPr>
        <w:pStyle w:val="Heading2"/>
      </w:pPr>
      <w:bookmarkStart w:id="9" w:name="_Toc156990243"/>
      <w:r>
        <w:t>Research Structure</w:t>
      </w:r>
      <w:bookmarkEnd w:id="9"/>
    </w:p>
    <w:p w:rsidR="00020D70" w:rsidRPr="006D71E0" w:rsidRDefault="00020D70" w:rsidP="00020D70">
      <w:pPr>
        <w:pStyle w:val="Content"/>
      </w:pPr>
      <w:r w:rsidRPr="006D71E0">
        <w:t xml:space="preserve">The dissertation structure comprises six chapters methodically taking the research from base foundations through multi-lens examinations aimed at training optimization recommendations for enriched workforce environments at Amazon. Following the introductory chapter situating the priorities and backdrop, Chapter 2 offers an extensive literature review encompassing conceptual frameworks, theoretical evaluations, and empirical </w:t>
      </w:r>
      <w:r w:rsidRPr="006D71E0">
        <w:lastRenderedPageBreak/>
        <w:t>assessments specifically focused on training designs, learning dynamics, and impacts on employee relations. This establishes the knowledge scaffolding for the subsequent elaboration on quantitative techniques employed in Chapter 3, encompassing facets like philosophical assumptions, sampling strategies, data gathering protocols and analytical procedures, while addressing limitations. Chapter 4 then presents synthesized descriptive and statistical portraits representing survey-based inquiry aimed at investigating proposed hypotheses connecting Amazon's capability building programs to associated gains. Interpretative discussion follows in Chapter 5, scrutinizing result patterns to inform practical recommendations targeting incremental enrichments aligned to the organizational context. Finally, Chapter 6 concludes by acknowledging constraints requiring mitigation and suggesting long-term, multi-paradigm research possibilities that can further advance nuanced, localized insights on optimizing learning systems, human capital excellence and workplace experience quality across Amazon globally.</w:t>
      </w: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Default="00020D70" w:rsidP="00020D70">
      <w:pPr>
        <w:pStyle w:val="Heading1"/>
      </w:pPr>
      <w:bookmarkStart w:id="10" w:name="_Toc156990244"/>
      <w:r>
        <w:lastRenderedPageBreak/>
        <w:t>Literature Review</w:t>
      </w:r>
      <w:bookmarkEnd w:id="10"/>
    </w:p>
    <w:p w:rsidR="00020D70" w:rsidRDefault="00020D70" w:rsidP="00020D70">
      <w:pPr>
        <w:pStyle w:val="Content"/>
      </w:pPr>
      <w:r>
        <w:t>This chapter explores how training and development programs impact employee performance at Amazon. It begins by explaining key terms like training, development, and employee relations. The review then looks at theoretical models and real-world evidence from various perspectives to provide a comprehensive understanding. Theoretical frameworks analyze how training and learning systems at organizations, like Amazon, influence competencies, work experiences, and behaviours. Studies also quantify the impact of training on individual and collective productivity. By combining theories and data, the review sets the stage for examining Amazon's training practices in a real-world context. The chapter covers both theories and evidence to understand how training programs affect employee performance at Amazon. It blends established wisdom with real-world insights to guide the analysis of improving training models for Amazon's modern workplaces.</w:t>
      </w:r>
    </w:p>
    <w:p w:rsidR="00020D70" w:rsidRDefault="00020D70" w:rsidP="00020D70">
      <w:pPr>
        <w:pStyle w:val="Heading2"/>
      </w:pPr>
      <w:bookmarkStart w:id="11" w:name="_Toc156990245"/>
      <w:r>
        <w:t>Definition of Concepts</w:t>
      </w:r>
      <w:bookmarkEnd w:id="11"/>
    </w:p>
    <w:p w:rsidR="00020D70" w:rsidRDefault="00020D70" w:rsidP="00020D70">
      <w:pPr>
        <w:pStyle w:val="Heading3"/>
      </w:pPr>
      <w:bookmarkStart w:id="12" w:name="_Toc156990246"/>
      <w:r>
        <w:t>Training</w:t>
      </w:r>
      <w:bookmarkEnd w:id="12"/>
    </w:p>
    <w:p w:rsidR="00020D70" w:rsidRDefault="00020D70" w:rsidP="00020D70">
      <w:pPr>
        <w:pStyle w:val="Content"/>
      </w:pPr>
      <w:r>
        <w:t>Training refers to the systematic approach to learning and development that enhances the competencies, knowledge, skills, behaviours, and attitudes required by employees to effectively perform their current or future expected roles and responsibilities in the organization (Noe et al., 2014). Blanchard and Thacker (2023) define training as the process of developing skills, concepts, attitudes and knowledge related to the present job requirements. Similarly, training involves planned learning efforts aligned to organizational strategy undertaken to foster progressive employee competency upgrades facilitating seamless adoption of company policies, processes, technologies and culture (Goldstein, 1993). Fundamentally, structured training encompasses formal instruction, guidance and hands-on learning exposures designed to systematically enrich human capabilities towards optimized individual functioning and collective coordination across unfolding operational needs (Janev et al., 2018).</w:t>
      </w:r>
    </w:p>
    <w:p w:rsidR="00020D70" w:rsidRDefault="00020D70" w:rsidP="00020D70">
      <w:pPr>
        <w:pStyle w:val="Heading3"/>
      </w:pPr>
      <w:bookmarkStart w:id="13" w:name="_Toc156990247"/>
      <w:r>
        <w:t>Development</w:t>
      </w:r>
      <w:bookmarkEnd w:id="13"/>
    </w:p>
    <w:p w:rsidR="00020D70" w:rsidRDefault="00020D70" w:rsidP="00020D70">
      <w:pPr>
        <w:pStyle w:val="Content"/>
      </w:pPr>
      <w:r>
        <w:t xml:space="preserve">Employee development represents career-span capability building priorities transcending immediate activities. It involves continuous preparation enhancing workforce skills, leadership talents, and progression potential through a longer-range outlook (Cannon &amp; McGee, 2011). Rothwell et al., (2012) explain development as ongoing employee learning </w:t>
      </w:r>
      <w:r>
        <w:lastRenderedPageBreak/>
        <w:t>processes preparing human assets for adaptively aligning competencies towards upgraded responsibilities aligned to organizational expansion. Fundamentally, compared to training's task-specific focus, development pursues broad-based, future-ready individual and collective excellence to proactively incubate a leadership pipeline (Kim, 2009). This manifests through avenues like job rotations, coaching, mentorship, cross-training and self-directed learning framed through progressive career stage readiness runway models (Marquardt &amp; Loan, 2005).</w:t>
      </w:r>
    </w:p>
    <w:p w:rsidR="00020D70" w:rsidRDefault="00020D70" w:rsidP="00020D70">
      <w:pPr>
        <w:pStyle w:val="Heading3"/>
      </w:pPr>
      <w:bookmarkStart w:id="14" w:name="_Toc156990248"/>
      <w:r>
        <w:t>Employee Relations</w:t>
      </w:r>
      <w:bookmarkEnd w:id="14"/>
    </w:p>
    <w:p w:rsidR="00020D70" w:rsidRPr="0035094B" w:rsidRDefault="00020D70" w:rsidP="00020D70">
      <w:pPr>
        <w:pStyle w:val="Content"/>
      </w:pPr>
      <w:r>
        <w:t>Employee relations encompasses the wide-ranging mosaic of workplace practices, policies, programs, processes and cultural attributes cumulatively shaping experiences, effectiveness and commitment levels across an organization's human capital landscape (Bratton et al., 2021). This includes facets like workforce motivation magnitudes, peer-level trust, intra-team coordination, retention rates and realization of strategic priorities - all deeply influenced by overarching approaches linking organizational goals with employee aspirations (Jayaweera, 2015). Fundamentally, employee relations reflects whether workers across functions and hierarchies feel actively engaged, enabled, respected, recognized, connected, developed, empowered and productive within their employment lifecycles (Markey &amp; Townsend, 2013).</w:t>
      </w:r>
    </w:p>
    <w:p w:rsidR="00020D70" w:rsidRPr="000329A4" w:rsidRDefault="00020D70" w:rsidP="00020D70">
      <w:pPr>
        <w:pStyle w:val="Heading2"/>
      </w:pPr>
      <w:bookmarkStart w:id="15" w:name="_Toc156990249"/>
      <w:r>
        <w:t>Theoretical Models</w:t>
      </w:r>
      <w:bookmarkEnd w:id="15"/>
    </w:p>
    <w:p w:rsidR="00020D70" w:rsidRDefault="00020D70" w:rsidP="00020D70">
      <w:pPr>
        <w:pStyle w:val="Heading3"/>
      </w:pPr>
      <w:bookmarkStart w:id="16" w:name="_Toc156990250"/>
      <w:r>
        <w:t>Social Exchange Theory</w:t>
      </w:r>
      <w:bookmarkEnd w:id="16"/>
    </w:p>
    <w:p w:rsidR="00020D70" w:rsidRDefault="00020D70" w:rsidP="00020D70">
      <w:pPr>
        <w:pStyle w:val="Content"/>
      </w:pPr>
      <w:r>
        <w:t xml:space="preserve">Social Exchange Theory (SET) posits that interpersonal relationships involve a subjective evaluation of costs and benefits, guided by the norm of reciprocity (Cook &amp; Cheshire, 2013). Within the context of employment relationships, organizations invest in tangible and intangible resources, such as training programs, signalling commitment and creating an obligation for employees to reciprocate with increased dedication (Shore &amp; Coyle-Shapiro, 2003). Employees perceive these investments as organizational support, fulfilling socioemotional needs and invoking social exchange obligations (Gouldner, 1960). According to SET, positive actions by the company towards employees generate a sense of obligation to respond with favourable work attitudes and behaviours aligned with organizational goals (Blau, 1964; Eisenberger et al., 1986). Research confirms that organizational commitment, demonstrated through investments in employee growth and empowerment like training programs and tuition reimbursement, fosters perceptions of support, leading to increased job </w:t>
      </w:r>
      <w:r>
        <w:lastRenderedPageBreak/>
        <w:t>satisfaction, performance, retention, and citizenship behaviours as manifestations of adherence to social exchange norms (Hochwarter et al., 2001).</w:t>
      </w:r>
    </w:p>
    <w:p w:rsidR="00020D70" w:rsidRDefault="00020D70" w:rsidP="00020D70">
      <w:pPr>
        <w:jc w:val="center"/>
      </w:pPr>
      <w:r w:rsidRPr="00473BC1">
        <w:rPr>
          <w:noProof/>
          <w:lang w:val="en-US" w:bidi="gu-IN"/>
        </w:rPr>
        <w:drawing>
          <wp:inline distT="0" distB="0" distL="0" distR="0" wp14:anchorId="3933D531" wp14:editId="14869A49">
            <wp:extent cx="3673158" cy="1714649"/>
            <wp:effectExtent l="0" t="0" r="3810" b="0"/>
            <wp:docPr id="2138318230" name="Picture 1" descr="A diagram of relationship and tru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318230" name="Picture 1" descr="A diagram of relationship and trust&#10;&#10;Description automatically generated"/>
                    <pic:cNvPicPr/>
                  </pic:nvPicPr>
                  <pic:blipFill>
                    <a:blip r:embed="rId9"/>
                    <a:stretch>
                      <a:fillRect/>
                    </a:stretch>
                  </pic:blipFill>
                  <pic:spPr>
                    <a:xfrm>
                      <a:off x="0" y="0"/>
                      <a:ext cx="3673158" cy="1714649"/>
                    </a:xfrm>
                    <a:prstGeom prst="rect">
                      <a:avLst/>
                    </a:prstGeom>
                  </pic:spPr>
                </pic:pic>
              </a:graphicData>
            </a:graphic>
          </wp:inline>
        </w:drawing>
      </w:r>
    </w:p>
    <w:p w:rsidR="00020D70" w:rsidRPr="00126BA9" w:rsidRDefault="00020D70" w:rsidP="00020D70">
      <w:pPr>
        <w:pStyle w:val="Content"/>
        <w:jc w:val="center"/>
        <w:rPr>
          <w:sz w:val="20"/>
          <w:szCs w:val="20"/>
        </w:rPr>
      </w:pPr>
      <w:bookmarkStart w:id="17" w:name="_Toc156952077"/>
      <w:r w:rsidRPr="00473BC1">
        <w:rPr>
          <w:sz w:val="20"/>
          <w:szCs w:val="20"/>
        </w:rPr>
        <w:t xml:space="preserve">Figure </w:t>
      </w:r>
      <w:r w:rsidRPr="00473BC1">
        <w:rPr>
          <w:sz w:val="20"/>
          <w:szCs w:val="20"/>
        </w:rPr>
        <w:fldChar w:fldCharType="begin"/>
      </w:r>
      <w:r w:rsidRPr="00473BC1">
        <w:rPr>
          <w:sz w:val="20"/>
          <w:szCs w:val="20"/>
        </w:rPr>
        <w:instrText xml:space="preserve"> SEQ Figure \* ARABIC </w:instrText>
      </w:r>
      <w:r w:rsidRPr="00473BC1">
        <w:rPr>
          <w:sz w:val="20"/>
          <w:szCs w:val="20"/>
        </w:rPr>
        <w:fldChar w:fldCharType="separate"/>
      </w:r>
      <w:r>
        <w:rPr>
          <w:noProof/>
          <w:sz w:val="20"/>
          <w:szCs w:val="20"/>
        </w:rPr>
        <w:t>1</w:t>
      </w:r>
      <w:r w:rsidRPr="00473BC1">
        <w:rPr>
          <w:sz w:val="20"/>
          <w:szCs w:val="20"/>
        </w:rPr>
        <w:fldChar w:fldCharType="end"/>
      </w:r>
      <w:r w:rsidRPr="00473BC1">
        <w:rPr>
          <w:sz w:val="20"/>
          <w:szCs w:val="20"/>
        </w:rPr>
        <w:t>: Social Exchange Theory</w:t>
      </w:r>
      <w:bookmarkEnd w:id="17"/>
    </w:p>
    <w:p w:rsidR="00020D70" w:rsidRDefault="00020D70" w:rsidP="00020D70">
      <w:pPr>
        <w:pStyle w:val="Content"/>
      </w:pPr>
      <w:r>
        <w:t>In essence, SET provides a valuable framework for understanding Amazon's substantial investments in career development, workplace skills enhancement, and educational sponsorship across a diverse array of roles (Rhoades &amp; Eisenberger, 2002). This significant investment signals a perception of high value among employees, potentially prompting reciprocal behaviours governed by social exchange rules. This reciprocity can manifest in enhanced dedication, coordination, and a diligent embrace of Amazon's high-performance culture, supporting innovation and a customer-centric approach (Lynch et al., 1999).</w:t>
      </w:r>
    </w:p>
    <w:p w:rsidR="00020D70" w:rsidRDefault="00020D70" w:rsidP="00020D70">
      <w:pPr>
        <w:pStyle w:val="Heading3"/>
      </w:pPr>
      <w:bookmarkStart w:id="18" w:name="_Toc156990251"/>
      <w:r>
        <w:t>Human Capital Theory</w:t>
      </w:r>
      <w:bookmarkEnd w:id="18"/>
    </w:p>
    <w:p w:rsidR="00020D70" w:rsidRPr="00793284" w:rsidRDefault="00020D70" w:rsidP="00020D70">
      <w:pPr>
        <w:pStyle w:val="Content"/>
      </w:pPr>
      <w:r>
        <w:t>Human Capital Theory conceptualizes the competencies, knowledge, behaviors and attributes inherent within a workforce as valuable talent assets, similar to economic capital, that strengthen organizational performance and competitive viability when developed (Wright &amp; McMahan, 2011; Burton-Jones &amp; Spender, 2012). It posits that corporate investments in systematic learning interventions like training programs serve to strategically expand pertinent human capital reserves by fostering workforce expertise (Shaw et al., 2013).</w:t>
      </w:r>
    </w:p>
    <w:p w:rsidR="00020D70" w:rsidRDefault="00020D70" w:rsidP="00020D70">
      <w:pPr>
        <w:pStyle w:val="Content"/>
      </w:pPr>
      <w:r w:rsidRPr="00793284">
        <w:rPr>
          <w:noProof/>
          <w:lang w:val="en-US" w:bidi="gu-IN"/>
        </w:rPr>
        <w:lastRenderedPageBreak/>
        <w:drawing>
          <wp:inline distT="0" distB="0" distL="0" distR="0" wp14:anchorId="0AD9A210" wp14:editId="5A2AF47C">
            <wp:extent cx="5731510" cy="2049780"/>
            <wp:effectExtent l="0" t="0" r="2540" b="7620"/>
            <wp:docPr id="515064115"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064115" name="Picture 1" descr="A diagram of a company&#10;&#10;Description automatically generated"/>
                    <pic:cNvPicPr/>
                  </pic:nvPicPr>
                  <pic:blipFill>
                    <a:blip r:embed="rId10"/>
                    <a:stretch>
                      <a:fillRect/>
                    </a:stretch>
                  </pic:blipFill>
                  <pic:spPr>
                    <a:xfrm>
                      <a:off x="0" y="0"/>
                      <a:ext cx="5731510" cy="2049780"/>
                    </a:xfrm>
                    <a:prstGeom prst="rect">
                      <a:avLst/>
                    </a:prstGeom>
                  </pic:spPr>
                </pic:pic>
              </a:graphicData>
            </a:graphic>
          </wp:inline>
        </w:drawing>
      </w:r>
    </w:p>
    <w:p w:rsidR="00020D70" w:rsidRPr="00793284" w:rsidRDefault="00020D70" w:rsidP="00020D70">
      <w:pPr>
        <w:pStyle w:val="Content"/>
        <w:jc w:val="center"/>
        <w:rPr>
          <w:sz w:val="20"/>
          <w:szCs w:val="20"/>
        </w:rPr>
      </w:pPr>
      <w:bookmarkStart w:id="19" w:name="_Toc156952078"/>
      <w:r w:rsidRPr="00793284">
        <w:rPr>
          <w:sz w:val="20"/>
          <w:szCs w:val="20"/>
        </w:rPr>
        <w:t xml:space="preserve">Figure </w:t>
      </w:r>
      <w:r w:rsidRPr="00793284">
        <w:rPr>
          <w:sz w:val="20"/>
          <w:szCs w:val="20"/>
        </w:rPr>
        <w:fldChar w:fldCharType="begin"/>
      </w:r>
      <w:r w:rsidRPr="00793284">
        <w:rPr>
          <w:sz w:val="20"/>
          <w:szCs w:val="20"/>
        </w:rPr>
        <w:instrText xml:space="preserve"> SEQ Figure \* ARABIC </w:instrText>
      </w:r>
      <w:r w:rsidRPr="00793284">
        <w:rPr>
          <w:sz w:val="20"/>
          <w:szCs w:val="20"/>
        </w:rPr>
        <w:fldChar w:fldCharType="separate"/>
      </w:r>
      <w:r>
        <w:rPr>
          <w:noProof/>
          <w:sz w:val="20"/>
          <w:szCs w:val="20"/>
        </w:rPr>
        <w:t>2</w:t>
      </w:r>
      <w:r w:rsidRPr="00793284">
        <w:rPr>
          <w:sz w:val="20"/>
          <w:szCs w:val="20"/>
        </w:rPr>
        <w:fldChar w:fldCharType="end"/>
      </w:r>
      <w:r w:rsidRPr="00793284">
        <w:rPr>
          <w:sz w:val="20"/>
          <w:szCs w:val="20"/>
        </w:rPr>
        <w:t>: Human Capital Theory (McCracken et al., 2017)</w:t>
      </w:r>
      <w:bookmarkEnd w:id="19"/>
    </w:p>
    <w:p w:rsidR="00020D70" w:rsidRDefault="00020D70" w:rsidP="00020D70">
      <w:pPr>
        <w:pStyle w:val="Content"/>
      </w:pPr>
      <w:r>
        <w:t>Contemporary empirical evidence affirms Human Capital Theory’s premises within organizational contexts. Recent studies demonstrate how robust investments in managerial coaching and mentoring avenues cultivate broader enterprise knowledge availability, facilitating innovative thinking and complex decision-making capabilities representing enhanced human capital wealth accessible to firms (Appelbaum et al., 2017). Other analyses spotlight contextual skill-building training driving productivity metrics and operational excellence in technology companies, aligning with Human Capital Theory’s projections regarding developmental initiatives and performance (Gupta &amp; Roos, 2001). At Amazon, human capital resources fortified through continuous learning constitute an invaluable asset stream supporting customer success across expanding digital commerce platforms, content services and logistics ecosystems (Huang et al., 2015). The company’s substantial investments in workplace skills upgrading, cloud engineering training, machine learning fluency and leadership development reflect strategic broadening of domain expertise, technical sophistication and enterprise growth knowledge - human capital advancements delivering sustainability and innovation progress. Empirically assessing returns from such capability-centred learning programs tailored for and embedded within Amazon offers contemporary, dynamic Human Capital Theory approximation.</w:t>
      </w:r>
    </w:p>
    <w:p w:rsidR="00020D70" w:rsidRDefault="00020D70" w:rsidP="00020D70">
      <w:pPr>
        <w:pStyle w:val="Heading3"/>
      </w:pPr>
      <w:bookmarkStart w:id="20" w:name="_Toc156990252"/>
      <w:r>
        <w:t>Job Characteristics Model</w:t>
      </w:r>
      <w:bookmarkEnd w:id="20"/>
    </w:p>
    <w:p w:rsidR="00020D70" w:rsidRDefault="00020D70" w:rsidP="00020D70">
      <w:pPr>
        <w:pStyle w:val="Content"/>
      </w:pPr>
      <w:r>
        <w:t xml:space="preserve">The Job Characteristics Model proposed by Hackman and Oldham (1976) spotlights core psychological facets driving internal work motivation and positive employee experiences spanning skill variety, task significance, autonomy and feedback (Barrick et al., 2015). Research demonstrates that enriching these dynamics cultivates intrinsic incentives, knowledge of outcomes and a sense of responsibility vital for fulfilling, high-quality work </w:t>
      </w:r>
      <w:r>
        <w:lastRenderedPageBreak/>
        <w:t>execution (Humphrey et al., 2007). Further studies validate training interventions that equip employees with multifunctional upgrades enabling greater ownership over contributory, meaningful tasks enhances motivation essential for minimizing burnout risks prevalent in intensive jobs (Maden et al., 2016). Recent empirical analyses emphasize the merits of the Job Characteristics framework in assessing work design improvements for enriching employee experiences. Assessments of large technology firms demonstrate that training employees in complementary applications covering expanded responsibility areas manifests in broadened skill application opportunities. This proves vital for spurring knowledge gains and motivation when sustaining output expectations amid Volatile, Uncertain, Complex and Ambiguous pressures similar to Amazon's environment (Shuck &amp; Reio, 2014). Other case-based inquiries reveal how upskilling factory workers across inventory, quality and automation facets enhances autonomous decision latitudes alongside task significance perceptions with constructive motivational impacts (Frenkel et al., 2013).</w:t>
      </w:r>
    </w:p>
    <w:p w:rsidR="00020D70" w:rsidRDefault="00020D70" w:rsidP="00020D70">
      <w:pPr>
        <w:jc w:val="center"/>
      </w:pPr>
      <w:r w:rsidRPr="00666366">
        <w:rPr>
          <w:noProof/>
          <w:lang w:val="en-US" w:bidi="gu-IN"/>
        </w:rPr>
        <w:drawing>
          <wp:inline distT="0" distB="0" distL="0" distR="0" wp14:anchorId="3CF22D7C" wp14:editId="31C7D23A">
            <wp:extent cx="4808637" cy="3543607"/>
            <wp:effectExtent l="0" t="0" r="0" b="0"/>
            <wp:docPr id="2075162623" name="Picture 1" descr="A diagram of a work ou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162623" name="Picture 1" descr="A diagram of a work out&#10;&#10;Description automatically generated"/>
                    <pic:cNvPicPr/>
                  </pic:nvPicPr>
                  <pic:blipFill>
                    <a:blip r:embed="rId11"/>
                    <a:stretch>
                      <a:fillRect/>
                    </a:stretch>
                  </pic:blipFill>
                  <pic:spPr>
                    <a:xfrm>
                      <a:off x="0" y="0"/>
                      <a:ext cx="4808637" cy="3543607"/>
                    </a:xfrm>
                    <a:prstGeom prst="rect">
                      <a:avLst/>
                    </a:prstGeom>
                  </pic:spPr>
                </pic:pic>
              </a:graphicData>
            </a:graphic>
          </wp:inline>
        </w:drawing>
      </w:r>
    </w:p>
    <w:p w:rsidR="00020D70" w:rsidRPr="00666366" w:rsidRDefault="00020D70" w:rsidP="00020D70">
      <w:pPr>
        <w:pStyle w:val="Content"/>
        <w:jc w:val="center"/>
        <w:rPr>
          <w:sz w:val="20"/>
          <w:szCs w:val="20"/>
        </w:rPr>
      </w:pPr>
      <w:bookmarkStart w:id="21" w:name="_Toc156952079"/>
      <w:r w:rsidRPr="00666366">
        <w:rPr>
          <w:sz w:val="20"/>
          <w:szCs w:val="20"/>
        </w:rPr>
        <w:t xml:space="preserve">Figure </w:t>
      </w:r>
      <w:r w:rsidRPr="00666366">
        <w:rPr>
          <w:sz w:val="20"/>
          <w:szCs w:val="20"/>
        </w:rPr>
        <w:fldChar w:fldCharType="begin"/>
      </w:r>
      <w:r w:rsidRPr="00666366">
        <w:rPr>
          <w:sz w:val="20"/>
          <w:szCs w:val="20"/>
        </w:rPr>
        <w:instrText xml:space="preserve"> SEQ Figure \* ARABIC </w:instrText>
      </w:r>
      <w:r w:rsidRPr="00666366">
        <w:rPr>
          <w:sz w:val="20"/>
          <w:szCs w:val="20"/>
        </w:rPr>
        <w:fldChar w:fldCharType="separate"/>
      </w:r>
      <w:r>
        <w:rPr>
          <w:noProof/>
          <w:sz w:val="20"/>
          <w:szCs w:val="20"/>
        </w:rPr>
        <w:t>3</w:t>
      </w:r>
      <w:r w:rsidRPr="00666366">
        <w:rPr>
          <w:sz w:val="20"/>
          <w:szCs w:val="20"/>
        </w:rPr>
        <w:fldChar w:fldCharType="end"/>
      </w:r>
      <w:r w:rsidRPr="00666366">
        <w:rPr>
          <w:sz w:val="20"/>
          <w:szCs w:val="20"/>
        </w:rPr>
        <w:t>: Job Characteristics model (Hackman &amp; Oldham, 1976)</w:t>
      </w:r>
      <w:bookmarkEnd w:id="21"/>
    </w:p>
    <w:p w:rsidR="00020D70" w:rsidRDefault="00020D70" w:rsidP="00020D70">
      <w:pPr>
        <w:pStyle w:val="Content"/>
      </w:pPr>
      <w:r>
        <w:t xml:space="preserve">Fundamentally, in high-intensity work ecosystems like Amazon, the Job Characteristics Model offers valuable guidance regarding training ecosystem optimization for motivation enrichment counterbalancing burnout risks. Expanding competencies through cross-training and mentorship supplements can potentially amplify experienced meaningfulness and ownership within the demanding workplace (Hackman &amp; Oldham, 1976). This serves to </w:t>
      </w:r>
      <w:r>
        <w:lastRenderedPageBreak/>
        <w:t>sustain employee dedication vital for managing fluctuating workflows, innovation uncertainty, seasonal variability alongside customer-centricity pressures at unprecedented scales across Amazon's expanding ventures.</w:t>
      </w:r>
    </w:p>
    <w:p w:rsidR="00020D70" w:rsidRDefault="00020D70" w:rsidP="00020D70">
      <w:pPr>
        <w:pStyle w:val="Heading3"/>
      </w:pPr>
      <w:bookmarkStart w:id="22" w:name="_Toc156990253"/>
      <w:r>
        <w:t>Goal Setting Theory</w:t>
      </w:r>
      <w:bookmarkEnd w:id="22"/>
    </w:p>
    <w:p w:rsidR="00020D70" w:rsidRDefault="00020D70" w:rsidP="00020D70">
      <w:pPr>
        <w:pStyle w:val="Content"/>
      </w:pPr>
      <w:r>
        <w:t>Goal Setting Theory underscores how clearly defining expected performance outcomes alongside targeted competency benchmarks proves vital for channeling employee effort and unlocking intrinsic motivation (Locke &amp; Latham, 2013). This manifests through focused deep work spurts and persistence aligned to preset objectives (Seijts &amp; Latham, 2011). Research demonstrates contextualized learning exposures like coaching and cross-training enable the internalization of capability development goals, bolstering self-efficacy beliefs regarding achievability (Yamkovenko &amp; Hatala, 2015). This effect gets reinforced when aligned with feedback systems tracking milestone attainment. For organizations like Amazon emphasizing ambitious, results-driven cultures, Goal Setting Theory logics can optimize returns from heavy training investments. Studies indicate that technology firms combining customized skills training with clearly defined performance markers and checkpoints observer greater knowledge activation through role clarity and transparency around developmental pathways (Gorman et al., 2017). Complementary examinations note robust improvements in capacity building adherence and business metric gains when competency dashboards explicitly signal training-based expertise upgrade linkages across strategic focus areas.</w:t>
      </w:r>
    </w:p>
    <w:p w:rsidR="00020D70" w:rsidRDefault="00020D70" w:rsidP="00020D70">
      <w:pPr>
        <w:pStyle w:val="Content"/>
        <w:jc w:val="center"/>
      </w:pPr>
      <w:r w:rsidRPr="005305EA">
        <w:rPr>
          <w:noProof/>
          <w:lang w:val="en-US" w:bidi="gu-IN"/>
        </w:rPr>
        <w:lastRenderedPageBreak/>
        <w:drawing>
          <wp:inline distT="0" distB="0" distL="0" distR="0" wp14:anchorId="59D8CF4A" wp14:editId="6D952A03">
            <wp:extent cx="4282811" cy="4130398"/>
            <wp:effectExtent l="0" t="0" r="3810" b="3810"/>
            <wp:docPr id="839032968" name="Picture 1" descr="A diagram of a goal setting princip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032968" name="Picture 1" descr="A diagram of a goal setting principles&#10;&#10;Description automatically generated"/>
                    <pic:cNvPicPr/>
                  </pic:nvPicPr>
                  <pic:blipFill>
                    <a:blip r:embed="rId12"/>
                    <a:stretch>
                      <a:fillRect/>
                    </a:stretch>
                  </pic:blipFill>
                  <pic:spPr>
                    <a:xfrm>
                      <a:off x="0" y="0"/>
                      <a:ext cx="4282811" cy="4130398"/>
                    </a:xfrm>
                    <a:prstGeom prst="rect">
                      <a:avLst/>
                    </a:prstGeom>
                  </pic:spPr>
                </pic:pic>
              </a:graphicData>
            </a:graphic>
          </wp:inline>
        </w:drawing>
      </w:r>
    </w:p>
    <w:p w:rsidR="00020D70" w:rsidRPr="005305EA" w:rsidRDefault="00020D70" w:rsidP="00020D70">
      <w:pPr>
        <w:pStyle w:val="Content"/>
        <w:jc w:val="center"/>
        <w:rPr>
          <w:sz w:val="20"/>
          <w:szCs w:val="20"/>
        </w:rPr>
      </w:pPr>
      <w:bookmarkStart w:id="23" w:name="_Toc156952080"/>
      <w:r w:rsidRPr="005305EA">
        <w:rPr>
          <w:sz w:val="20"/>
          <w:szCs w:val="20"/>
        </w:rPr>
        <w:t xml:space="preserve">Figure </w:t>
      </w:r>
      <w:r w:rsidRPr="005305EA">
        <w:rPr>
          <w:sz w:val="20"/>
          <w:szCs w:val="20"/>
        </w:rPr>
        <w:fldChar w:fldCharType="begin"/>
      </w:r>
      <w:r w:rsidRPr="005305EA">
        <w:rPr>
          <w:sz w:val="20"/>
          <w:szCs w:val="20"/>
        </w:rPr>
        <w:instrText xml:space="preserve"> SEQ Figure \* ARABIC </w:instrText>
      </w:r>
      <w:r w:rsidRPr="005305EA">
        <w:rPr>
          <w:sz w:val="20"/>
          <w:szCs w:val="20"/>
        </w:rPr>
        <w:fldChar w:fldCharType="separate"/>
      </w:r>
      <w:r>
        <w:rPr>
          <w:noProof/>
          <w:sz w:val="20"/>
          <w:szCs w:val="20"/>
        </w:rPr>
        <w:t>4</w:t>
      </w:r>
      <w:r w:rsidRPr="005305EA">
        <w:rPr>
          <w:sz w:val="20"/>
          <w:szCs w:val="20"/>
        </w:rPr>
        <w:fldChar w:fldCharType="end"/>
      </w:r>
      <w:r w:rsidRPr="005305EA">
        <w:rPr>
          <w:sz w:val="20"/>
          <w:szCs w:val="20"/>
        </w:rPr>
        <w:t>: Goal-Setting Theory (Lock</w:t>
      </w:r>
      <w:r>
        <w:rPr>
          <w:sz w:val="20"/>
          <w:szCs w:val="20"/>
        </w:rPr>
        <w:t>e</w:t>
      </w:r>
      <w:r w:rsidRPr="005305EA">
        <w:rPr>
          <w:sz w:val="20"/>
          <w:szCs w:val="20"/>
        </w:rPr>
        <w:t xml:space="preserve"> &amp; Latham, 201</w:t>
      </w:r>
      <w:r>
        <w:rPr>
          <w:sz w:val="20"/>
          <w:szCs w:val="20"/>
        </w:rPr>
        <w:t>3</w:t>
      </w:r>
      <w:r w:rsidRPr="005305EA">
        <w:rPr>
          <w:sz w:val="20"/>
          <w:szCs w:val="20"/>
        </w:rPr>
        <w:t>)</w:t>
      </w:r>
      <w:bookmarkEnd w:id="23"/>
    </w:p>
    <w:p w:rsidR="00020D70" w:rsidRDefault="00020D70" w:rsidP="00020D70">
      <w:pPr>
        <w:pStyle w:val="Content"/>
      </w:pPr>
      <w:r>
        <w:t>Fundamentally, Goal Setting Theory premises regarding contextualized capability building combined with specific, challenging yet attainable development objectives, feedback loops and aligned incentivization provides an instructive lens for enriching Amazon's expanding training ecosystem. Structuring the range of reskilling, upskilling, leadership building and onboarding learning exposures around transparent mapping with dynamic individual and operational goals can further boost motivation, application and returns - enhancing workforce experiences alongside enterprise prosperity progresses.</w:t>
      </w:r>
    </w:p>
    <w:p w:rsidR="00020D70" w:rsidRDefault="00020D70" w:rsidP="00020D70">
      <w:pPr>
        <w:pStyle w:val="Heading2"/>
      </w:pPr>
      <w:bookmarkStart w:id="24" w:name="_Toc156990254"/>
      <w:r>
        <w:t>Theories relevance to the Project</w:t>
      </w:r>
      <w:bookmarkEnd w:id="24"/>
    </w:p>
    <w:p w:rsidR="00020D70" w:rsidRDefault="00020D70" w:rsidP="00020D70">
      <w:pPr>
        <w:pStyle w:val="Content"/>
      </w:pPr>
      <w:r>
        <w:t>The four theories presented in the literature review - Social Exchange Theory, Human Capital Theory, Job Characteristics Model, and Goal Setting Theory - have direct relevance to examining and enhancing employee relations through training and development programs at Amazon in the following ways:</w:t>
      </w:r>
    </w:p>
    <w:p w:rsidR="00020D70" w:rsidRDefault="00020D70" w:rsidP="00020D70">
      <w:pPr>
        <w:pStyle w:val="Content"/>
        <w:numPr>
          <w:ilvl w:val="0"/>
          <w:numId w:val="8"/>
        </w:numPr>
      </w:pPr>
      <w:r>
        <w:t xml:space="preserve">Social Exchange Theory helps frame how Amazon's substantial investments in career development and skills training across over 750 roles signals significant employee </w:t>
      </w:r>
      <w:r>
        <w:lastRenderedPageBreak/>
        <w:t>value and care. This can prompt reciprocation governed by norms of positive exchange through greater dedication, effort and embrace of the high performance culture.</w:t>
      </w:r>
    </w:p>
    <w:p w:rsidR="00020D70" w:rsidRDefault="00020D70" w:rsidP="00020D70">
      <w:pPr>
        <w:pStyle w:val="Content"/>
        <w:numPr>
          <w:ilvl w:val="0"/>
          <w:numId w:val="8"/>
        </w:numPr>
      </w:pPr>
      <w:r>
        <w:t>Human Capital Theory spotlights how Amazon's vast spending on customized learning platforms, cloud engineering fluency, machine learning and leadership development aims to strategically expand talent capabilities and enterprise growth knowledge for innovation. Assessing returns quantifies impacts.</w:t>
      </w:r>
    </w:p>
    <w:p w:rsidR="00020D70" w:rsidRDefault="00020D70" w:rsidP="00020D70">
      <w:pPr>
        <w:pStyle w:val="Content"/>
        <w:numPr>
          <w:ilvl w:val="0"/>
          <w:numId w:val="8"/>
        </w:numPr>
      </w:pPr>
      <w:r>
        <w:t>The Job Characteristics Model offers guidance on using training to enrich work design, mitigate burnout risks and sustain motivation vital for the demanding, customer-obsessed context despite fluctuations and uncertainty. Expanded skills incubate ownership and meaning.</w:t>
      </w:r>
    </w:p>
    <w:p w:rsidR="00020D70" w:rsidRDefault="00020D70" w:rsidP="00020D70">
      <w:pPr>
        <w:pStyle w:val="Content"/>
        <w:numPr>
          <w:ilvl w:val="0"/>
          <w:numId w:val="8"/>
        </w:numPr>
      </w:pPr>
      <w:r>
        <w:t>Goal Setting Theory suggests alignments between personalized learning pathways catering to Amazon's tech intensity alongside clearly defined development objectives backed by progress tracking can further boost training effectiveness through transparency, clarity and incentive structures - catalyzing workforce coordination and business results.</w:t>
      </w:r>
    </w:p>
    <w:p w:rsidR="00020D70" w:rsidRPr="008A023A" w:rsidRDefault="00020D70" w:rsidP="00020D70">
      <w:pPr>
        <w:pStyle w:val="Content"/>
      </w:pPr>
      <w:r>
        <w:t>In essence, these four theories provide targeted, interlinked and complementary conceptual paradigms centering the mechanisms, catalysts and processes for constructive training ecosystem enhancements that can enrich motivation, productivity, experiences and relationships - founding pillars of employee relations excellence at Amazon.</w:t>
      </w:r>
    </w:p>
    <w:p w:rsidR="00020D70" w:rsidRDefault="00020D70" w:rsidP="00020D70">
      <w:pPr>
        <w:pStyle w:val="Heading2"/>
      </w:pPr>
      <w:bookmarkStart w:id="25" w:name="_Toc156990255"/>
      <w:r w:rsidRPr="00886C28">
        <w:t>Optimizing Employee Relations: Insights from Diverse Approaches to Training and Development</w:t>
      </w:r>
      <w:bookmarkEnd w:id="25"/>
    </w:p>
    <w:p w:rsidR="00020D70" w:rsidRPr="000F02B8" w:rsidRDefault="00020D70" w:rsidP="00020D70">
      <w:pPr>
        <w:pStyle w:val="content0"/>
        <w:spacing w:line="360" w:lineRule="auto"/>
        <w:rPr>
          <w:b/>
          <w:bCs/>
        </w:rPr>
      </w:pPr>
      <w:r w:rsidRPr="000F02B8">
        <w:rPr>
          <w:b/>
          <w:bCs/>
        </w:rPr>
        <w:t>Literature Review (Kim et al., 2015)- Exploring Organizational Learning Culture Dimensions for Effective Workforce Retraining and Redeployment</w:t>
      </w:r>
    </w:p>
    <w:p w:rsidR="00020D70" w:rsidRDefault="00020D70" w:rsidP="00020D70">
      <w:pPr>
        <w:pStyle w:val="content0"/>
        <w:spacing w:line="360" w:lineRule="auto"/>
      </w:pPr>
      <w:r>
        <w:t xml:space="preserve">Introduction: In the face of increasing business dynamism, the capability of organizations to retrain and redeploy employees to meet evolving skill demands becomes a critical determinant of success (Kim et al., 2015). However, there has been limited exploration in past research regarding the organizational learning factors that foster successful workforce retraining and redeployment. This paper by Kim, Egan, and Tolson (2015) addresses this gap </w:t>
      </w:r>
      <w:r>
        <w:lastRenderedPageBreak/>
        <w:t>by investigating how dimensions of organizational learning culture contribute to the implementation of workforce retraining and redeployment initiatives.</w:t>
      </w:r>
    </w:p>
    <w:p w:rsidR="00020D70" w:rsidRDefault="00020D70" w:rsidP="00020D70">
      <w:pPr>
        <w:pStyle w:val="content0"/>
        <w:spacing w:line="360" w:lineRule="auto"/>
      </w:pPr>
      <w:r>
        <w:t>Literature Review: Based on organizational learning theory, the authors define organizational learning culture with three primary dimensions: managerial commitment to learning, a systems perspective, and openness and experimentation. Managerial commitment entails support for learning from managers; a systems perspective involves understanding interdependencies within the organization; and openness and experimentation reflect a willingness to take risks and tolerate mistakes (Kim et al., 2015). The central proposition under examination is that these three dimensions of organizational learning culture positively influence workforce retraining and redeployment initiatives. While existing theoretical and case study research underscores the importance of organizational learning culture, empirical evidence on this relationship has been limited, particularly with large-sample studies.</w:t>
      </w:r>
    </w:p>
    <w:p w:rsidR="00020D70" w:rsidRDefault="00020D70" w:rsidP="00020D70">
      <w:pPr>
        <w:pStyle w:val="content0"/>
        <w:spacing w:line="360" w:lineRule="auto"/>
      </w:pPr>
      <w:r>
        <w:t>Methods: To assess their model, Kim et al. (2015) utilize survey data from 296 firms that have recently implemented retraining or redeployment programs. This data allows an examination of how various dimensions of organizational learning culture correlate with the effective implementation of workforce retraining and redeployment initiatives.</w:t>
      </w:r>
    </w:p>
    <w:p w:rsidR="00020D70" w:rsidRDefault="00020D70" w:rsidP="00020D70">
      <w:pPr>
        <w:pStyle w:val="content0"/>
        <w:spacing w:line="360" w:lineRule="auto"/>
      </w:pPr>
      <w:r>
        <w:t>Results and Conclusions: The findings generally support the hypothesized relationships, indicating positive and significant associations between all three cultural factors and effective workforce retraining and redeployment (Kim et al., 2015). This paper contributes significantly by pinpointing specific organizational learning mechanisms that influence workforce flexibility outcomes. It responds to the need for research on human resource practices promoting workforce agility and offers guidance for managers on emphasizing specific aspects of organizational culture. Future research should delve into moderating factors impacting these relationships. In essence, this paper advances the understanding of the strategic foundations of human resource management and organizational learning in the context of workforce reskilling.</w:t>
      </w:r>
    </w:p>
    <w:p w:rsidR="00020D70" w:rsidRPr="000F02B8" w:rsidRDefault="00020D70" w:rsidP="00020D70">
      <w:pPr>
        <w:pStyle w:val="content0"/>
        <w:spacing w:line="360" w:lineRule="auto"/>
        <w:rPr>
          <w:b/>
          <w:bCs/>
        </w:rPr>
      </w:pPr>
      <w:r w:rsidRPr="000F02B8">
        <w:rPr>
          <w:b/>
          <w:bCs/>
        </w:rPr>
        <w:t>Literature Review (O'Connor and Crowley-Henry, 2019) - Exploring the Interplay between Exclusive Talent Management, Perceived Organizational Justice, and Employee Engagement: Bridging Research Gaps</w:t>
      </w:r>
    </w:p>
    <w:p w:rsidR="00020D70" w:rsidRDefault="00020D70" w:rsidP="00020D70">
      <w:pPr>
        <w:pStyle w:val="content0"/>
        <w:spacing w:line="360" w:lineRule="auto"/>
      </w:pPr>
      <w:r>
        <w:t xml:space="preserve">Introduction: Talent management, with its focus on attracting, retaining, and motivating high-potential employees, stands as a crucial element in competitive human resource strategies. However, questions persist about whether exclusive approaches to talent management align </w:t>
      </w:r>
      <w:r>
        <w:lastRenderedPageBreak/>
        <w:t>with employee perceptions of fairness and engagement (O’Connor &amp; Crowley-Henry, 2019). This paper aims to connect the dots between talent management, organizational justice, and engagement literature to address this critical issue.</w:t>
      </w:r>
    </w:p>
    <w:p w:rsidR="00020D70" w:rsidRDefault="00020D70" w:rsidP="00020D70">
      <w:pPr>
        <w:pStyle w:val="content0"/>
        <w:spacing w:line="360" w:lineRule="auto"/>
      </w:pPr>
      <w:r>
        <w:t>Literature Review: Building on existing theoretical perspectives that highlight the tensions between exclusive talent management practices, perceived injustice, and their impacts on employee dedication, the authors delve into the complexities of these relationships. While exclusive talent management may incentivize focused employees, previous research suggests that it can also lead to perceptions of injustice and disengagement among those not included in key talent pools (O’Connor &amp; Crowley-Henry, 2019). Despite this insight, empirical testing on a large scale has been limited.</w:t>
      </w:r>
    </w:p>
    <w:p w:rsidR="00020D70" w:rsidRDefault="00020D70" w:rsidP="00020D70">
      <w:pPr>
        <w:pStyle w:val="content0"/>
        <w:spacing w:line="360" w:lineRule="auto"/>
      </w:pPr>
      <w:r>
        <w:t>Methods: O'Connor and Crowley-Henry (2019) conducted a survey involving 575 employees across various skill levels and roles in a well-established multinational firm with exclusive talent management practices. They gathered perceptual measures of perceived organizational justice, employee engagement, and their correlations with exclusive talent management.</w:t>
      </w:r>
    </w:p>
    <w:p w:rsidR="00020D70" w:rsidRDefault="00020D70" w:rsidP="00020D70">
      <w:pPr>
        <w:pStyle w:val="content0"/>
        <w:spacing w:line="360" w:lineRule="auto"/>
      </w:pPr>
      <w:r>
        <w:t>Results/Conclusion: The findings from their research reveal troubling negative associations between exclusive talent management and perceived justice and engagement, particularly among employees not included in talent pools. This contributes to a deeper understanding of the risks associated with exclusive talent management and sets the stage for fostering more inclusive practices. The study also integrates theoretical perspectives from diverse literature on the organizational impacts of differentiated talent management. To enhance comprehension, future research should explore moderating factors and expand sample sizes.</w:t>
      </w:r>
    </w:p>
    <w:p w:rsidR="00020D70" w:rsidRPr="000F02B8" w:rsidRDefault="00020D70" w:rsidP="00020D70">
      <w:pPr>
        <w:pStyle w:val="Content"/>
        <w:rPr>
          <w:b/>
          <w:bCs/>
        </w:rPr>
      </w:pPr>
      <w:r w:rsidRPr="000F02B8">
        <w:rPr>
          <w:b/>
          <w:bCs/>
        </w:rPr>
        <w:t>Literature review (Elnaga &amp; Imran, 2013) - The effect of training on employee performance</w:t>
      </w:r>
    </w:p>
    <w:p w:rsidR="00020D70" w:rsidRDefault="00020D70" w:rsidP="00020D70">
      <w:pPr>
        <w:pStyle w:val="content0"/>
        <w:spacing w:line="360" w:lineRule="auto"/>
      </w:pPr>
      <w:r>
        <w:t>Introduction: Employee training and development programs have the primary goal of equipping employees with the necessary knowledge, skills, and abilities to effectively carry out their roles. Despite this, there has been a lack of comprehensive empirical research providing evidence on how investments in human capital through training contribute to improved employee productivity (Elnaga &amp; Imran, 2013). This study by Elnaga and Imran (2013) aims to fill this research gap.</w:t>
      </w:r>
    </w:p>
    <w:p w:rsidR="00020D70" w:rsidRDefault="00020D70" w:rsidP="00020D70">
      <w:pPr>
        <w:pStyle w:val="content0"/>
        <w:spacing w:line="360" w:lineRule="auto"/>
      </w:pPr>
      <w:r>
        <w:t xml:space="preserve">Literature Review: While theories of human capital development suggest that enhancing employees' skills improves their competencies and performance potential, existing empirical </w:t>
      </w:r>
      <w:r>
        <w:lastRenderedPageBreak/>
        <w:t>research in this area has been either narrowly focused or lacking in methodological rigor (Elnaga &amp; Imran, 2013). Previous literature often relies on subjective assessments or lacks comparator groups to isolate the effects of training interventions. Elnaga and Imran (2013) seek to integrate perspectives from human capital theory and empirical training evaluation literature to enhance understanding in this domain.</w:t>
      </w:r>
    </w:p>
    <w:p w:rsidR="00020D70" w:rsidRDefault="00020D70" w:rsidP="00020D70">
      <w:pPr>
        <w:pStyle w:val="content0"/>
        <w:spacing w:line="360" w:lineRule="auto"/>
      </w:pPr>
      <w:r>
        <w:t>Methods: The study investigates both perceived and objectively measured impacts of a training program designed for sales representatives at a major telecommunications company. Outcomes were compared between 20 trained staff and 20 matched control staff using productivity records, rankings, and survey instruments. The use of a multi-measure design enables a robust analysis of the training's effect on employee performance.</w:t>
      </w:r>
    </w:p>
    <w:p w:rsidR="00020D70" w:rsidRDefault="00020D70" w:rsidP="00020D70">
      <w:pPr>
        <w:pStyle w:val="content0"/>
        <w:spacing w:line="360" w:lineRule="auto"/>
      </w:pPr>
      <w:r>
        <w:t>Results/Conclusions: The findings affirm significant positive effects of training across all assessed worker performance metrics, effectively combining empirical observations with established theory. Elnaga and Imran (2013) acknowledge some study limitations regarding generalizability and suggest potential future research directions, such as expanding outcome measures or considering individual differences. Nevertheless, this research represents a crucial step in substantiating the suggested connections between investments in human capital through employee training and subsequent performance improvements.</w:t>
      </w:r>
    </w:p>
    <w:p w:rsidR="00020D70" w:rsidRPr="00802830" w:rsidRDefault="00020D70" w:rsidP="00020D70">
      <w:pPr>
        <w:pStyle w:val="content0"/>
        <w:spacing w:line="360" w:lineRule="auto"/>
        <w:rPr>
          <w:b/>
          <w:bCs/>
        </w:rPr>
      </w:pPr>
      <w:r w:rsidRPr="00802830">
        <w:rPr>
          <w:b/>
          <w:bCs/>
        </w:rPr>
        <w:t>Literature Review (Owoyemi et al., 2011) - Fostering Employee Commitment through Training</w:t>
      </w:r>
    </w:p>
    <w:p w:rsidR="00020D70" w:rsidRDefault="00020D70" w:rsidP="00020D70">
      <w:pPr>
        <w:pStyle w:val="content0"/>
        <w:spacing w:line="360" w:lineRule="auto"/>
      </w:pPr>
      <w:r>
        <w:t>Introduction: Employee training and development programs not only aim to impart skills but also strive to enhance employees' dedication and connection to the organization. Despite this intention, there is a noticeable lack of empirical evidence substantiating the impact of training on employees' commitment, engagement, and intent to remain (Owoyemi et al., 2011). This study aims to fill this research gap by exploring the relationship between training programs and various facets of employee commitment.</w:t>
      </w:r>
    </w:p>
    <w:p w:rsidR="00020D70" w:rsidRDefault="00020D70" w:rsidP="00020D70">
      <w:pPr>
        <w:pStyle w:val="content0"/>
        <w:spacing w:line="360" w:lineRule="auto"/>
      </w:pPr>
      <w:r>
        <w:t>Literature Review: While human capital and social exchange theories propose that investing in employee growth should heighten organizational commitment, past research testing this proposition has faced limitations in measurement, sampling, and methodology (Owoyemi et al., 2011). Much of the literature relies on subjective assessments of commitment or involves small sample sizes, hindering a clear understanding of how training influences employees' psychological connection with their employers.</w:t>
      </w:r>
    </w:p>
    <w:p w:rsidR="00020D70" w:rsidRDefault="00020D70" w:rsidP="00020D70">
      <w:pPr>
        <w:pStyle w:val="content0"/>
        <w:spacing w:line="360" w:lineRule="auto"/>
      </w:pPr>
      <w:r>
        <w:lastRenderedPageBreak/>
        <w:t>Methods: Owoyemi et al. (2011) conducted a survey involving 170 employees from diverse roles and departments across two large manufacturing firms with established training programs. They collected perceptual measures of affective, continuance, and normative commitment correlated with training exposure. The study's comparative design controlled for potential confounding variables.</w:t>
      </w:r>
    </w:p>
    <w:p w:rsidR="00020D70" w:rsidRDefault="00020D70" w:rsidP="00020D70">
      <w:pPr>
        <w:pStyle w:val="content0"/>
        <w:spacing w:line="360" w:lineRule="auto"/>
      </w:pPr>
      <w:r>
        <w:t>Results/Conclusion: The findings of the study confirm significant positive relationships between training and all three dimensions of organizational commitment, aligning with theory-based expectations. The methodological rigor contributes to substantiating training as a potent tool for strengthening employee loyalty, retention, and engagement. While Owoyemi et al. (2011) discuss limitations in generalizability and suggest future research directions, the study represents a crucial empirical contribution linking training practices to enhanced psychological alignment between workers and employers.</w:t>
      </w:r>
    </w:p>
    <w:p w:rsidR="00020D70" w:rsidRPr="00802830" w:rsidRDefault="00020D70" w:rsidP="00020D70">
      <w:pPr>
        <w:pStyle w:val="content0"/>
        <w:spacing w:line="360" w:lineRule="auto"/>
        <w:rPr>
          <w:b/>
          <w:bCs/>
        </w:rPr>
      </w:pPr>
      <w:r w:rsidRPr="00802830">
        <w:rPr>
          <w:b/>
          <w:bCs/>
        </w:rPr>
        <w:t>Literature Review (Abogsesa &amp; Kaushik, 2017) - Training and Development's Impact on Employee Performance in Libyan Banks</w:t>
      </w:r>
    </w:p>
    <w:p w:rsidR="00020D70" w:rsidRDefault="00020D70" w:rsidP="00020D70">
      <w:pPr>
        <w:pStyle w:val="content0"/>
        <w:spacing w:line="360" w:lineRule="auto"/>
      </w:pPr>
      <w:r>
        <w:t>Introduction: Investing in employee skills training is a recognized human resource practice for enhancing individual productivity. However, existing research on the effectiveness of training programs predominantly focuses on the manufacturing sector, neglecting the service sector contexts, particularly in developing countries like Libya (Abogsesa &amp; Kaushik, 2017). This study seeks to address this gap by examining the impact of training on employee performance in the banking sector.</w:t>
      </w:r>
    </w:p>
    <w:p w:rsidR="00020D70" w:rsidRDefault="00020D70" w:rsidP="00020D70">
      <w:pPr>
        <w:pStyle w:val="content0"/>
        <w:spacing w:line="360" w:lineRule="auto"/>
      </w:pPr>
      <w:r>
        <w:t>Literature Review: While human capital theory suggests that equipping staff with greater competencies should result in performance gains, the empirical link remains tenuous due to subjective assessments and inadequate control groups prevalent in existing research (Abogsesa &amp; Kaushik, 2017). Moreover, there is limited evidence grounded in the context of developing country banking sectors. The study explores the practical implications of investments in bank employee training and skills development initiatives for strengthening individual capability.</w:t>
      </w:r>
    </w:p>
    <w:p w:rsidR="00020D70" w:rsidRDefault="00020D70" w:rsidP="00020D70">
      <w:pPr>
        <w:pStyle w:val="content0"/>
        <w:spacing w:line="360" w:lineRule="auto"/>
      </w:pPr>
      <w:r>
        <w:t>Methods: Abogsesa and Kaushik (2017) conducted a survey involving middle managers across 50 Libyan banks, collecting data on the link between training and performance, along with influencing factors. The comparative design analyzed variations based on training profiles and methodology to elucidate patterns.</w:t>
      </w:r>
    </w:p>
    <w:p w:rsidR="00020D70" w:rsidRDefault="00020D70" w:rsidP="00020D70">
      <w:pPr>
        <w:pStyle w:val="content0"/>
        <w:spacing w:line="360" w:lineRule="auto"/>
      </w:pPr>
      <w:r>
        <w:lastRenderedPageBreak/>
        <w:t>Results/Conclusions: The findings of the study confirm significant positive impacts of training interventions on employee productivity metrics in banks, offering evidence from an underexplored context. The study also outlines organizational-level mediators, making both incremental empirical and context-specific theoretical contributions. While Abogsesa and Kaushik (2017) acknowledge limitations in subjective measurements, the study provides a platform for further investigation by substantiating returns and clarifying boundary parameters around bank-centred training programs.</w:t>
      </w:r>
    </w:p>
    <w:p w:rsidR="00020D70" w:rsidRDefault="00020D70" w:rsidP="00020D70">
      <w:pPr>
        <w:pStyle w:val="Heading2"/>
      </w:pPr>
      <w:bookmarkStart w:id="26" w:name="_Toc156990256"/>
      <w:r>
        <w:t>Conceptual Framework</w:t>
      </w:r>
      <w:bookmarkEnd w:id="26"/>
    </w:p>
    <w:p w:rsidR="00020D70" w:rsidRDefault="00020D70" w:rsidP="00020D70">
      <w:pPr>
        <w:pStyle w:val="Content"/>
      </w:pPr>
      <w:r w:rsidRPr="00CF532C">
        <w:t xml:space="preserve">Figure 5 of the conceptual framework, Amazon's approach to employee training and development is a multifaceted strategy aimed at enhancing skills, fostering dynamic learning ecosystems, and ultimately influencing positive employee relations. This comprehensive framework encompasses independent variables related to the types and methods of training, along with their effects, all of which contribute to shaping the dependent variable of employee relations. </w:t>
      </w:r>
    </w:p>
    <w:p w:rsidR="00020D70" w:rsidRDefault="00020D70" w:rsidP="00020D70">
      <w:pPr>
        <w:pStyle w:val="Content"/>
        <w:jc w:val="center"/>
      </w:pPr>
      <w:r w:rsidRPr="00AA018B">
        <w:rPr>
          <w:noProof/>
          <w:lang w:val="en-US" w:bidi="gu-IN"/>
        </w:rPr>
        <w:drawing>
          <wp:inline distT="0" distB="0" distL="0" distR="0" wp14:anchorId="0E79B705" wp14:editId="6E6EED17">
            <wp:extent cx="4868545" cy="1424940"/>
            <wp:effectExtent l="0" t="0" r="8255" b="3810"/>
            <wp:docPr id="486657966"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657966" name="Picture 1" descr="A diagram of a diagram&#10;&#10;Description automatically generated"/>
                    <pic:cNvPicPr/>
                  </pic:nvPicPr>
                  <pic:blipFill>
                    <a:blip r:embed="rId13"/>
                    <a:stretch>
                      <a:fillRect/>
                    </a:stretch>
                  </pic:blipFill>
                  <pic:spPr>
                    <a:xfrm>
                      <a:off x="0" y="0"/>
                      <a:ext cx="4881311" cy="1428676"/>
                    </a:xfrm>
                    <a:prstGeom prst="rect">
                      <a:avLst/>
                    </a:prstGeom>
                  </pic:spPr>
                </pic:pic>
              </a:graphicData>
            </a:graphic>
          </wp:inline>
        </w:drawing>
      </w:r>
    </w:p>
    <w:p w:rsidR="00020D70" w:rsidRPr="00CF532C" w:rsidRDefault="00020D70" w:rsidP="00020D70">
      <w:pPr>
        <w:pStyle w:val="Content"/>
        <w:jc w:val="center"/>
        <w:rPr>
          <w:sz w:val="20"/>
          <w:szCs w:val="20"/>
        </w:rPr>
      </w:pPr>
      <w:bookmarkStart w:id="27" w:name="_Toc156952081"/>
      <w:r w:rsidRPr="00CF532C">
        <w:rPr>
          <w:sz w:val="20"/>
          <w:szCs w:val="20"/>
        </w:rPr>
        <w:t xml:space="preserve">Figure </w:t>
      </w:r>
      <w:r w:rsidRPr="00CF532C">
        <w:rPr>
          <w:sz w:val="20"/>
          <w:szCs w:val="20"/>
        </w:rPr>
        <w:fldChar w:fldCharType="begin"/>
      </w:r>
      <w:r w:rsidRPr="00CF532C">
        <w:rPr>
          <w:sz w:val="20"/>
          <w:szCs w:val="20"/>
        </w:rPr>
        <w:instrText xml:space="preserve"> SEQ Figure \* ARABIC </w:instrText>
      </w:r>
      <w:r w:rsidRPr="00CF532C">
        <w:rPr>
          <w:sz w:val="20"/>
          <w:szCs w:val="20"/>
        </w:rPr>
        <w:fldChar w:fldCharType="separate"/>
      </w:r>
      <w:r w:rsidRPr="00CF532C">
        <w:rPr>
          <w:noProof/>
          <w:sz w:val="20"/>
          <w:szCs w:val="20"/>
        </w:rPr>
        <w:t>5</w:t>
      </w:r>
      <w:r w:rsidRPr="00CF532C">
        <w:rPr>
          <w:sz w:val="20"/>
          <w:szCs w:val="20"/>
        </w:rPr>
        <w:fldChar w:fldCharType="end"/>
      </w:r>
      <w:r w:rsidRPr="00CF532C">
        <w:rPr>
          <w:sz w:val="20"/>
          <w:szCs w:val="20"/>
        </w:rPr>
        <w:t>: Conceptual Framework Variables</w:t>
      </w:r>
      <w:bookmarkEnd w:id="27"/>
    </w:p>
    <w:p w:rsidR="00020D70" w:rsidRPr="00AA018B" w:rsidRDefault="00020D70" w:rsidP="00020D70">
      <w:pPr>
        <w:pStyle w:val="Content"/>
        <w:jc w:val="center"/>
      </w:pPr>
    </w:p>
    <w:p w:rsidR="00020D70" w:rsidRDefault="00020D70" w:rsidP="00020D70">
      <w:pPr>
        <w:pStyle w:val="Heading3"/>
      </w:pPr>
      <w:bookmarkStart w:id="28" w:name="_Toc156990257"/>
      <w:r>
        <w:t>Types of Training at Amazon: A Holistic Approach to Skill Development</w:t>
      </w:r>
      <w:bookmarkEnd w:id="28"/>
    </w:p>
    <w:p w:rsidR="00020D70" w:rsidRDefault="00020D70" w:rsidP="00020D70">
      <w:pPr>
        <w:pStyle w:val="Content"/>
      </w:pPr>
      <w:r>
        <w:t>In analyzing Amazon's training initiatives, a comprehensive investigation into diverse programs is imperative. Technical skill programs play a pivotal role, aligning with the technological landscape and industry demands. Leadership development emerges as a key focus, acknowledging its profound impact on shaping organizational dynamics and employee relations. Additionally, exploring functional upskilling, especially within retail, logistics, and cloud platforms, provides insights into how Amazon strategically enriches its human capital. Understanding the nuances of these training types is essential to unraveling their influence on employee relations.</w:t>
      </w:r>
    </w:p>
    <w:p w:rsidR="00020D70" w:rsidRDefault="00020D70" w:rsidP="00020D70">
      <w:pPr>
        <w:pStyle w:val="Heading3"/>
      </w:pPr>
      <w:bookmarkStart w:id="29" w:name="_Toc156990258"/>
      <w:r>
        <w:lastRenderedPageBreak/>
        <w:t>Methods of Training: Crafting a Dynamic Learning Ecosystem</w:t>
      </w:r>
      <w:bookmarkEnd w:id="29"/>
    </w:p>
    <w:p w:rsidR="00020D70" w:rsidRDefault="00020D70" w:rsidP="00020D70">
      <w:pPr>
        <w:pStyle w:val="Content"/>
      </w:pPr>
      <w:r>
        <w:t>Amazon's commitment to employee development is manifested through a spectrum of training methods. Immersive simulations offer hands-on experiences, fostering practical learning. Self-paced online modules cater to accessibility, enabling continuous learning at an individual pace. Peer coaching circles exemplify collaborative learning environments, tapping into collective knowledge. Onsite workshops and blended forums provide a balanced approach, combining virtual and in-person learning experiences. Evaluating the effectiveness of these diverse methods unveils the intricacies of Amazon's dynamic learning ecosystem and its impact on shaping employee relations.</w:t>
      </w:r>
    </w:p>
    <w:p w:rsidR="00020D70" w:rsidRDefault="00020D70" w:rsidP="00020D70">
      <w:pPr>
        <w:pStyle w:val="Heading3"/>
      </w:pPr>
      <w:bookmarkStart w:id="30" w:name="_Toc156990259"/>
      <w:r>
        <w:t>Effects of Training: Unveiling the Impact on Employee Dynamics</w:t>
      </w:r>
      <w:bookmarkEnd w:id="30"/>
    </w:p>
    <w:p w:rsidR="00020D70" w:rsidRDefault="00020D70" w:rsidP="00020D70">
      <w:pPr>
        <w:pStyle w:val="Content"/>
      </w:pPr>
      <w:r>
        <w:t>The effects of Amazon's substantial investment, reaching approximately $700 million annually, extend across various dimensions. Analyzing individual productivity sheds light on the correlation between training interventions and enhanced work output. Improved coordination among employees becomes a critical facet, contributing to streamlined operations. Examining the impact on employee engagement delves into the motivational aspects influenced by training initiatives. Investigating retention conversions offers insights into how training programs contribute to employee loyalty, considering the substantial financial commitment made by Amazon.</w:t>
      </w:r>
    </w:p>
    <w:p w:rsidR="00020D70" w:rsidRDefault="00020D70" w:rsidP="00020D70">
      <w:pPr>
        <w:pStyle w:val="Heading3"/>
      </w:pPr>
      <w:bookmarkStart w:id="31" w:name="_Toc156990260"/>
      <w:r>
        <w:t>Employee Relations: Nurturing a Positive Workplace Culture</w:t>
      </w:r>
      <w:bookmarkEnd w:id="31"/>
    </w:p>
    <w:p w:rsidR="00020D70" w:rsidRDefault="00020D70" w:rsidP="00020D70">
      <w:pPr>
        <w:pStyle w:val="Content"/>
      </w:pPr>
      <w:r>
        <w:t>At the core of Amazon's training endeavors is the overarching goal of influencing employee relations. Evaluating motivation unveils the intrinsic drive cultivated through training programs. The sense of belonging is explored as a crucial element, examining how training initiatives foster a connected workforce. Perceived support is assessed, gauging the extent to which employees feel supported through diverse training opportunities. The role of training in promoting inclusivity within Amazon's diverse workforce is a key aspect, acknowledging the importance of a supportive environment. Lastly, measuring fulfillment assesses how training contributes to the overall satisfaction and contentment of employees in their roles at Amazon.</w:t>
      </w:r>
    </w:p>
    <w:p w:rsidR="00020D70" w:rsidRDefault="00020D70" w:rsidP="00020D70">
      <w:pPr>
        <w:pStyle w:val="Heading3"/>
      </w:pPr>
      <w:bookmarkStart w:id="32" w:name="_Toc156990261"/>
      <w:r>
        <w:t>Conceptual Model: Predictors of Positive Employee Relations at Amazon</w:t>
      </w:r>
      <w:bookmarkEnd w:id="32"/>
    </w:p>
    <w:p w:rsidR="00020D70" w:rsidRDefault="00020D70" w:rsidP="00020D70">
      <w:pPr>
        <w:pStyle w:val="Content"/>
      </w:pPr>
      <w:r>
        <w:t xml:space="preserve">The conceptual model posits various features of Amazon's expansive learning system as predictors of positive shifts in employee relations. Platform accessibility, integration of </w:t>
      </w:r>
      <w:r>
        <w:lastRenderedPageBreak/>
        <w:t>emerging technologies, robust evaluation procedures, and the linkage of training to career growth collectively contribute to shaping a satisfied, motivated, and committed workforce. This model emphasizes viewing Amazon's extensive learning infrastructure as a strategic investment influencing employee dynamics and fostering a positive workplace culture.</w:t>
      </w:r>
    </w:p>
    <w:p w:rsidR="00020D70" w:rsidRDefault="00020D70" w:rsidP="00020D70">
      <w:pPr>
        <w:pStyle w:val="Heading2"/>
      </w:pPr>
      <w:bookmarkStart w:id="33" w:name="_Toc156990262"/>
      <w:r>
        <w:t>Summary</w:t>
      </w:r>
      <w:bookmarkEnd w:id="33"/>
    </w:p>
    <w:p w:rsidR="00020D70" w:rsidRDefault="00020D70" w:rsidP="00020D70">
      <w:pPr>
        <w:pStyle w:val="Content"/>
      </w:pPr>
      <w:r w:rsidRPr="00EA3AD2">
        <w:t>This chapter explores the impact of training and development programs on employee performance at Amazon, blending theoretical perspectives with practical evidence. Beginning with the clarification of key terms like training and development, it introduces four major theoretical frameworks—Social Exchange Theory, Human Capital Theory, Job Characteristics Model, and Goal Setting Theory—each providing unique insights into the influence of organizational training on competencies, behaviors, and productivity. The review integrates empirical cases from diverse sectors, demonstrating tangible benefits from tailored training programs. The outlined conceptual model identifies training types, techniques, and their effects as predictors of improved employee relations, laying the foundation for understanding impact pathways at Amazon. This interdisciplinary review emphasizes the significance of training design choices in shaping human capital, experiences, productivity, and relationships—critical elements for organizational success. The literature reviewed informs an analytical approach to optimizing training architectures for fostering high-performance, motivated professionals in the dynamic landscape of the modern workplace.</w:t>
      </w: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Pr="005D25FC" w:rsidRDefault="00020D70" w:rsidP="00020D70">
      <w:pPr>
        <w:pStyle w:val="Content"/>
      </w:pPr>
    </w:p>
    <w:p w:rsidR="00020D70" w:rsidRDefault="00020D70" w:rsidP="00020D70">
      <w:pPr>
        <w:pStyle w:val="Heading1"/>
      </w:pPr>
      <w:bookmarkStart w:id="34" w:name="_Toc156990263"/>
      <w:r>
        <w:lastRenderedPageBreak/>
        <w:t>Research Methodology</w:t>
      </w:r>
      <w:bookmarkEnd w:id="34"/>
    </w:p>
    <w:p w:rsidR="00020D70" w:rsidRDefault="00020D70" w:rsidP="00020D70">
      <w:pPr>
        <w:pStyle w:val="Heading2"/>
      </w:pPr>
      <w:bookmarkStart w:id="35" w:name="_Toc156990264"/>
      <w:r>
        <w:t>Introduction</w:t>
      </w:r>
      <w:bookmarkEnd w:id="35"/>
    </w:p>
    <w:p w:rsidR="00020D70" w:rsidRDefault="00020D70" w:rsidP="00020D70">
      <w:pPr>
        <w:pStyle w:val="Content"/>
      </w:pPr>
      <w:r>
        <w:t>This chapter embarks on a comprehensive exploration of the pivotal role played by training and development programs at Amazon, with a focused lens on their impact on employee relations within the organization. The central objective is to illuminate the nuanced aspects of the research methodology employed, encompassing crucial components such as philosophical assumptions, research design, measurement instruments, analytical procedures, and ethical considerations. Employing a purposive sampling method, this study deliberately selects 31 Amazon employees who bring specific and targeted insights related to the research question. The chapter provides an in-depth account of the survey-based analysis, shedding light on the rationale behind opting for purposive sampling and detailing the development and implementation of the survey instrument. Statistical tests, particularly descriptive and inferential analyses, will be applied to interpret the data collected from this purposefully selected group. The acknowledgment of methodological limitations enhances transparency, contributing to the overall credibility of the study. Ultimately, this chapter aims to facilitate a nuanced understanding of how training and development programs, scrutinized through a quantitative lens, influence, and enhance employee relations at Amazon. The study underscores the strategic significance of HRM decision-making in cultivating a positive work environment, vital for motivating and retaining employee relations within the distinctive organizational context of Amazon.</w:t>
      </w:r>
    </w:p>
    <w:p w:rsidR="00020D70" w:rsidRDefault="00020D70" w:rsidP="00020D70">
      <w:pPr>
        <w:pStyle w:val="Heading2"/>
      </w:pPr>
      <w:bookmarkStart w:id="36" w:name="_Toc156990265"/>
      <w:r>
        <w:t>Research Design</w:t>
      </w:r>
      <w:bookmarkEnd w:id="36"/>
    </w:p>
    <w:p w:rsidR="00020D70" w:rsidRDefault="00020D70" w:rsidP="00020D70">
      <w:pPr>
        <w:pStyle w:val="Content"/>
      </w:pPr>
      <w:r>
        <w:t xml:space="preserve">This research adopts a quantitative cross-sectional survey methodology to explore the substantial impact of training and development programs on employee relations at Amazon (Sreejesh et al., 2014). Specifically tailored for the organizational context of Amazon, this approach allows for the analysis of the interrelationships between training initiatives, employee relations, and dedication at a single time point within the sampled population (Bryman, 2016). Surveys will be utilized to systematically collect standardized data from a representative sample of Amazon employees, facilitating generalization and quantification of the relationship between training and development programs and crucial employee attitudes and behaviours. The online questionnaires will assess employee perceptions of existing training initiatives and their corresponding self-reported levels of engagement and dedication (Wright, 2005). This quantitative approach aligns with the study's objective of testing </w:t>
      </w:r>
      <w:r>
        <w:lastRenderedPageBreak/>
        <w:t>hypotheses about the effects of specific training and development practices on employee relations (Creswell &amp; Creswell, 2017). The use of established scales, such as those measuring engagement and dedication, enhances the reliability and consistency of data compared to qualitative approaches (DeVellis, 2021). Anonymous surveys ensure candid responses, particularly concerning potentially sensitive factors related to training programs (Mitchell &amp; Jolley, 1988). The electronic distribution of surveys allows for efficient access to a diverse and sizable sample of Amazon employees (Wright, 2005). Ultimately, this methodology aims to provide generalizable statistics that illuminate the magnitude of the relationships between training and development programs and heightened employee relations at Amazon, contributing to the quantification of how strategic training practices can enhance overall employee experiences, retention, and performance (Edmondson &amp; McManus, 2007).</w:t>
      </w:r>
    </w:p>
    <w:p w:rsidR="00020D70" w:rsidRDefault="00020D70" w:rsidP="00020D70">
      <w:pPr>
        <w:pStyle w:val="Heading2"/>
      </w:pPr>
      <w:bookmarkStart w:id="37" w:name="_Toc156990266"/>
      <w:r>
        <w:t>Research Methods</w:t>
      </w:r>
      <w:bookmarkEnd w:id="37"/>
    </w:p>
    <w:p w:rsidR="00020D70" w:rsidRDefault="00020D70" w:rsidP="00020D70">
      <w:pPr>
        <w:pStyle w:val="Content"/>
      </w:pPr>
      <w:r>
        <w:t>The methodological approach that will be used in this study is drawn from a positivist paradigm (Creswell &amp; Creswell, 2018). The approach employed is a quantitative cross-sectional survey design (Sreejesh et al., 2014). A key instrument used to measure variables in this study is the Utrecht Work Engagement Scale (Schaufeli &amp; Bakker, 2003). A purposive sample of 31 Amazon employees will be obtained for the study, given the small population and relatively limited resources available for this study (Etikan et al., 2016). The reason a quantitative approach was taken is to help to establish a clear causal effect of training and development programs on employee relations (Creswell &amp; Creswell, 2017). This study yielded standardized data which will enable comparisons to be made to all cases, even though all questions were scaled (Bryman, 2016). The collection of data using an online survey was chosen in this study due to the ability to reach a diverse sample of employees (Wright, 2005). This not only protects the identity of the participants who provided the information but ensures more candid and honest responses as a result (Mitchell &amp; Jolley, 1988). The types of analysis used in this study will include both descriptive and inferential statistics. Descriptive statistics are used to explain and describe data appropriately. Examples of descriptive statistics that will be used in this study include means and standard deviations. So that the informed consent and the ethics are valued in the study, the people who participate in the survey will be notified clearly about their participation, there will not be any harm then the confidentiality of the employees as this would not be good to the researcher and the company itself (Orb et al., 2001).</w:t>
      </w:r>
    </w:p>
    <w:p w:rsidR="00020D70" w:rsidRDefault="00020D70" w:rsidP="00020D70">
      <w:pPr>
        <w:pStyle w:val="Heading2"/>
      </w:pPr>
      <w:bookmarkStart w:id="38" w:name="_Toc156990267"/>
      <w:r>
        <w:lastRenderedPageBreak/>
        <w:t>Research Philosophy</w:t>
      </w:r>
      <w:bookmarkEnd w:id="38"/>
    </w:p>
    <w:p w:rsidR="00020D70" w:rsidRDefault="00020D70" w:rsidP="00020D70">
      <w:pPr>
        <w:pStyle w:val="Content"/>
      </w:pPr>
      <w:r>
        <w:t>The research philosophy underpinning this study aligns with a positivist paradigm, chosen to complement the quantitative methodology employed in examining the impact of training and development programs on employee relations at Amazon. As emphasized by Collins and Stockton (2018), the positivist orientation is conducive to testing hypotheses and establishing statistical relationships, aligning seamlessly with the overarching goal of this study. Within the positivist framework, there is an assumption that social reality possesses an objective and measurable nature, and such characteristics can be assessed to discern causal explanations, as posited by Creswell and Creswell (2017). This paradigm is particularly suited for analyzing the effects of training interventions on employee attitudes and performance indicators within the organizational context of Amazon. Positivism guides the research methodology towards the application of surveys and standardized measures for the quantification of employee perceptions. Unlike constructivism, which leans towards subjective exploration of meanings, the positivist philosophy prioritizes empirical observation and systematic measurement (Ponelis, 2015). The deductive reasoning inherent in positivism is instrumental in testing theoretical propositions related to training outcomes, confirming or refuting hypothesized observations (Park &amp; Konge, 2020). The positivist assumptions embedded in this research philosophy shape the investigation, focusing on deriving factual evidence and employing statistical data models to estimate linkages between specific training initiatives at Amazon, levels of employee dedication, and resultant productivity metrics within the sampled population. While the findings may not be universally generalizable, they contribute valuable indications of how optimizing employee relations development can potentially strengthen organizational effectiveness within the distinctive organizational context of Amazon.</w:t>
      </w:r>
    </w:p>
    <w:p w:rsidR="00020D70" w:rsidRDefault="00020D70" w:rsidP="00020D70">
      <w:pPr>
        <w:pStyle w:val="Heading2"/>
      </w:pPr>
      <w:bookmarkStart w:id="39" w:name="_Toc156990268"/>
      <w:r>
        <w:t>Research Approach</w:t>
      </w:r>
      <w:bookmarkEnd w:id="39"/>
    </w:p>
    <w:p w:rsidR="00020D70" w:rsidRPr="00D01FF8" w:rsidRDefault="00020D70" w:rsidP="00020D70">
      <w:pPr>
        <w:pStyle w:val="Content"/>
      </w:pPr>
      <w:r w:rsidRPr="00D01FF8">
        <w:t>This study employs a quantitative approach, using online surveys to investigate the impact of training on employee relations at Amazon. The surveys are distributed to professionals across various roles currently undergoing skills development. P</w:t>
      </w:r>
      <w:r>
        <w:t>urposive</w:t>
      </w:r>
      <w:r w:rsidRPr="00D01FF8">
        <w:t xml:space="preserve"> sampling is applied to ensure representation from the target population of Amazon employees. The use of validated instruments enhances the reliability of data collection compared to subjective self-reports. The research methodology aligns with empirically testing </w:t>
      </w:r>
      <w:r>
        <w:t>employee relations</w:t>
      </w:r>
      <w:r w:rsidRPr="00D01FF8">
        <w:t xml:space="preserve"> and organizational learning theories specific to Amazon, focusing on the positive effects of skill-building on relations and effectiveness. The research philosophy follows a positivist lens, </w:t>
      </w:r>
      <w:r w:rsidRPr="00D01FF8">
        <w:lastRenderedPageBreak/>
        <w:t xml:space="preserve">prioritizing empirical evidence to objectively measure observable connections between learning perceptions and productivity outcomes. Deductive reasoning applies operationalized constructs to validate proposed training-effect theories. While causality is constrained, the research informs understanding through predictive relationships, regularly cross-validated for consistency. Although not universally generalizable, the findings provide contextual insights into effective learning techniques for fostering employee commitment and performance in Amazon's unique context. The standardized data collection supports reproducible and internally valid analyses, contributing to evidence-driven decision-making for optimizing </w:t>
      </w:r>
      <w:r>
        <w:t>employee relations</w:t>
      </w:r>
      <w:r w:rsidRPr="00D01FF8">
        <w:t xml:space="preserve"> development initiatives at Amazon. Overall, this approach combines theory testing with constructive descriptive data inputs to guide training decisions effectively.</w:t>
      </w:r>
    </w:p>
    <w:p w:rsidR="00020D70" w:rsidRDefault="00020D70" w:rsidP="00020D70">
      <w:pPr>
        <w:pStyle w:val="Heading2"/>
      </w:pPr>
      <w:bookmarkStart w:id="40" w:name="_Toc156990269"/>
      <w:r>
        <w:t>Area &amp; Population of Study</w:t>
      </w:r>
      <w:bookmarkEnd w:id="40"/>
    </w:p>
    <w:p w:rsidR="00020D70" w:rsidRDefault="00020D70" w:rsidP="00020D70">
      <w:pPr>
        <w:pStyle w:val="Content"/>
      </w:pPr>
      <w:r>
        <w:t>The area of this study comprises Amazon's corporate offices located in London, Manchester, Glasgow, and regions of Scotland in the United Kingdom. These sites represent major Amazon business hubs in the UK across established as well as recently launched operational segments. The population of the study encompasses 31 Amazon employees at multiple levels ranging from junior executives to mid-level managers based out of the UK locations. These 31 participants completed the online questionnaire for this study. They work in key functions including customer service, business operations across the offices. This provides perspectives across a spectrum of professionals working in Amazon's UK corporate premises that take part in various specialized skills training and development modules updated routinely. The choice of London, Manchester, Glasgow, and Scotland offices suits analysing this consistent respondent group of trained employees undertaking company-sponsored training interventions within their shared country context. Focusing on these 31 learners across different occupations provides diversity regarding the effectiveness of internal capability building programs.</w:t>
      </w:r>
    </w:p>
    <w:p w:rsidR="00020D70" w:rsidRDefault="00020D70" w:rsidP="00020D70">
      <w:pPr>
        <w:pStyle w:val="Heading2"/>
      </w:pPr>
      <w:bookmarkStart w:id="41" w:name="_Toc156990270"/>
      <w:r>
        <w:t>Data Collection Procedure</w:t>
      </w:r>
      <w:bookmarkEnd w:id="41"/>
    </w:p>
    <w:p w:rsidR="00020D70" w:rsidRDefault="00020D70" w:rsidP="00020D70">
      <w:pPr>
        <w:pStyle w:val="Content"/>
      </w:pPr>
      <w:r>
        <w:t xml:space="preserve">The data collection procedure for this study involves a systematic and structured approach to gather information from the purposive sample of 31 Amazon employees. Utilizing an online survey platform, participants were invited to respond to a questionnaire designed to assess their perceptions of training and development programs and their impact on employee relations. The survey, distributed electronically, ensured efficient access to a diverse sample, allowing participants to respond candidly while preserving their anonymity. Prior to data </w:t>
      </w:r>
      <w:r>
        <w:lastRenderedPageBreak/>
        <w:t>collection, participants were provided with clear information regarding the purpose of the study, ensuring informed consent. This transparent communication helps establish trust and ethical participation in the research.</w:t>
      </w:r>
    </w:p>
    <w:p w:rsidR="00020D70" w:rsidRDefault="00020D70" w:rsidP="00020D70">
      <w:pPr>
        <w:pStyle w:val="Heading2"/>
      </w:pPr>
      <w:bookmarkStart w:id="42" w:name="_Toc156990271"/>
      <w:r>
        <w:t>Data Analysis Strategies</w:t>
      </w:r>
      <w:bookmarkEnd w:id="42"/>
    </w:p>
    <w:p w:rsidR="00020D70" w:rsidRDefault="00020D70" w:rsidP="00020D70">
      <w:pPr>
        <w:pStyle w:val="Content"/>
      </w:pPr>
      <w:r>
        <w:t>Data analysis encompasses both descriptive statistical techniques and hypothesis testing to extract meaningful insights from the responses to the seven survey questions. Descriptive statistics, including means and standard deviations, will be employed to summarize and present the characteristics of the collected data. This approach aims to provide a clear overview of the participants' responses to each question, offering a detailed understanding of the key aspects under investigation. Additionally, hypothesis testing will be conducted to explore relationships between variables and test specific research hypotheses related to the impact of training and development programs on employee relations at Amazon. Inferential statistical methods, such as correlation analysis and regression, will be utilized to delve into the associations between different survey items and assess the significance of these relationships.</w:t>
      </w:r>
    </w:p>
    <w:p w:rsidR="00020D70" w:rsidRDefault="00020D70" w:rsidP="00020D70">
      <w:pPr>
        <w:pStyle w:val="Content"/>
      </w:pPr>
      <w:r>
        <w:t>The analysis will be conducted using statistical software tailored for both descriptive statistics and hypothesis testing, ensuring rigor and accuracy in summarizing and interpreting the data. Individual survey questions will be subject to both types of analyses, allowing for a comprehensive examination of participants' perceptions while also validating specific research propositions. This hybrid approach aligns with the study's dual emphasis on providing a detailed portrayal of participants' opinions through descriptive statistics and testing specific hypotheses related to the impact of training and development programs on employee relations at Amazon. The acknowledgment of methodological limitations and strict adherence to ethical considerations will be maintained throughout the data analysis process, contributing to the overall robustness and credibility of the study.</w:t>
      </w:r>
    </w:p>
    <w:p w:rsidR="00020D70" w:rsidRDefault="00020D70" w:rsidP="00020D70">
      <w:pPr>
        <w:pStyle w:val="Heading2"/>
      </w:pPr>
      <w:bookmarkStart w:id="43" w:name="_Toc156990272"/>
      <w:r>
        <w:t>Ethical considerations</w:t>
      </w:r>
      <w:bookmarkEnd w:id="43"/>
    </w:p>
    <w:p w:rsidR="00020D70" w:rsidRPr="00C01438" w:rsidRDefault="00020D70" w:rsidP="00020D70">
      <w:pPr>
        <w:pStyle w:val="Content"/>
      </w:pPr>
      <w:r>
        <w:t xml:space="preserve">Several precautions will be taken to ensure this study is conducted ethically. Participants will receive detailed informed consent processes allowing them to voluntarily take part or decline without employment impacts. Confidentiality is mandatory, with anonymous data collection and secure storage protocols protecting identities. Transparency about the purpose and uses of data as well as participant rights underpins the methodology along with respecting people </w:t>
      </w:r>
      <w:r>
        <w:lastRenderedPageBreak/>
        <w:t>first by minimizing disruption and confirming correct interpretations. Regulatory approval of e-questionnaire and methodology along with proactive risk mitigation measures further enforce conscientious research conduct. Ultimately, through upfront information, continued communication, privacy, optional involvement, appropriate approvals, priority of valuing participants, and addressing problems actively, this study incorporates ethical safeguards reflecting research integrity and human subject protection standards.</w:t>
      </w:r>
    </w:p>
    <w:p w:rsidR="00020D70" w:rsidRDefault="00020D70" w:rsidP="00020D70">
      <w:pPr>
        <w:pStyle w:val="Heading2"/>
      </w:pPr>
      <w:bookmarkStart w:id="44" w:name="_Toc156990273"/>
      <w:r>
        <w:t>Summary</w:t>
      </w:r>
      <w:bookmarkEnd w:id="44"/>
    </w:p>
    <w:p w:rsidR="00020D70" w:rsidRDefault="00020D70" w:rsidP="00020D70">
      <w:pPr>
        <w:pStyle w:val="Content"/>
      </w:pPr>
      <w:r w:rsidRPr="00260FDC">
        <w:t xml:space="preserve">In conclusion, this chapter has provided a comprehensive overview of the quantitative research methodology adopted to examine the impacts of training and development programs on employee relations at Amazon. Key facets illuminated include the positivist philosophical orientation aligning with hypothesis testing using surveys, the cross-sectional design leveraging online questionnaires for standardized data collection from purposively sampled employees, the statistical analysis techniques combining descriptive portraits with hypothesis assessments, and the ethical considerations incorporated to protect participants. While constraints like the inability to definitively determine causality are acknowledged, the methodological choices ultimately facilitate balanced strengths in generating reproducible, generalizable insights tailored to Amazon's context. This supports empirically investigating proposed theories around </w:t>
      </w:r>
      <w:r>
        <w:t>employee relations</w:t>
      </w:r>
      <w:r w:rsidRPr="00260FDC">
        <w:t xml:space="preserve"> development and organizational learning dynamics wherein investment in structural training and skills upgrading nurtures workforce engagement and productivity improvements. The study makes considered design selections to rigorously expand understanding of optimal learning initiatives for motivating and retaining employees amidst uncertainty. Overall, this quantitative approach integrates measurement considerations with ethical benchmarks to produce contextually relevant evidence informing the optimization of training programs and processes at Amazon for strategic </w:t>
      </w:r>
      <w:r>
        <w:t>employee relations</w:t>
      </w:r>
      <w:r w:rsidRPr="00260FDC">
        <w:t xml:space="preserve"> and employee relations enhancements. The adoption of validated instruments substantiates conclusions within the sampled population, supporting incremental knowledge development.</w:t>
      </w: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Default="00020D70" w:rsidP="00020D70">
      <w:pPr>
        <w:pStyle w:val="Heading1"/>
      </w:pPr>
      <w:bookmarkStart w:id="45" w:name="_Toc156990274"/>
      <w:r>
        <w:t>Analysis and Results of the Data</w:t>
      </w:r>
      <w:bookmarkEnd w:id="45"/>
    </w:p>
    <w:p w:rsidR="00020D70" w:rsidRDefault="00020D70" w:rsidP="00020D70">
      <w:pPr>
        <w:pStyle w:val="Content"/>
      </w:pPr>
      <w:r>
        <w:t>This chapter presents the statistical analysis outcomes of the survey data collected from 31 Amazon employees on their perceptions of current training and development programs and corresponding self-reported engagement, motivation, and productivity levels. Initial descriptive analysis provides summary portraits of the response distribution and tendencies central to the key survey measures representing the impact of Amazon's learning initiatives on employee relations and effectiveness outcomes. Frequency tabulations and mean ratings provide employee perception overviews across the constructs of interest.</w:t>
      </w:r>
    </w:p>
    <w:p w:rsidR="00020D70" w:rsidRPr="00AF789E" w:rsidRDefault="00020D70" w:rsidP="00020D70">
      <w:pPr>
        <w:pStyle w:val="Content"/>
      </w:pPr>
      <w:r>
        <w:t>Building on the descriptive overview, detailed correlation and regression modelling examines relationships from perceptions of internal training quality and availability to simultaneous self-assessments of dedication, team connectivity, work output and fulfilment levels. This hypothesis testing illuminates the existence, directionality, significance, and potential predictive effect size linking Amazon's capability building inputs to employee attitude, relational and performance results. Specifically, the analysis concentrates on seven pertinent survey measures identified as most relevant for investigating the effects of corporate training practices on workplace relationships as well as individual and operational effectiveness. Testing proclaimed theories of organizational learning culture and employee relations development in Amazon's context, the model results will affirm or negate expected connections. Through integrated descriptive statistical portraits and multivariate relationship testing, the data scrutiny in this chapter aims to determine the tangible impacts from training and development program enhancements to elevating workforce performance and experiences at Amazon. The focus remains on providing contextual empirical evidence to inform training optimization for organizational gains.</w:t>
      </w:r>
    </w:p>
    <w:p w:rsidR="00020D70" w:rsidRDefault="00020D70" w:rsidP="00020D70">
      <w:pPr>
        <w:pStyle w:val="Heading2"/>
      </w:pPr>
      <w:bookmarkStart w:id="46" w:name="_Toc156990275"/>
      <w:r>
        <w:t>Descriptive Statistics</w:t>
      </w:r>
      <w:bookmarkEnd w:id="46"/>
    </w:p>
    <w:p w:rsidR="00020D70" w:rsidRPr="00EB0F34" w:rsidRDefault="00020D70" w:rsidP="00020D70">
      <w:pPr>
        <w:pStyle w:val="Content"/>
      </w:pPr>
      <w:r>
        <w:t xml:space="preserve">Figure 1 shows the breakdown of the roles held by the 31 Amazon employees surveyed in this study. The most common role is Trainee Business Consultant, held by 11 of the 31 respondents. Customer Support Executive is the next most common role, held by 9 respondents. 7 respondents are Junior Customer Executives. There are 3 Business Associate Trainees and 1 Customer Support Executive Trainee. This indicates that trainees and more junior employees made up most of the study participants, spanning both customer-facing and </w:t>
      </w:r>
      <w:r>
        <w:lastRenderedPageBreak/>
        <w:t>business operations functions. The prevalence of trainees suggests many survey respondents were new hires also simultaneously undergoing skills training interventions at Amazon. The inclusion of interspersed business support alongside customer service roles provided useful diversity.</w:t>
      </w:r>
    </w:p>
    <w:p w:rsidR="00020D70" w:rsidRPr="00EB0F34" w:rsidRDefault="00020D70" w:rsidP="00020D70">
      <w:pPr>
        <w:pStyle w:val="content0"/>
        <w:jc w:val="center"/>
        <w:rPr>
          <w:sz w:val="20"/>
          <w:szCs w:val="18"/>
        </w:rPr>
      </w:pPr>
      <w:bookmarkStart w:id="47" w:name="_Toc156952082"/>
      <w:r w:rsidRPr="00EB0F34">
        <w:rPr>
          <w:sz w:val="20"/>
          <w:szCs w:val="18"/>
        </w:rPr>
        <w:t xml:space="preserve">Figure </w:t>
      </w:r>
      <w:r w:rsidRPr="00EB0F34">
        <w:rPr>
          <w:sz w:val="20"/>
          <w:szCs w:val="18"/>
        </w:rPr>
        <w:fldChar w:fldCharType="begin"/>
      </w:r>
      <w:r w:rsidRPr="00EB0F34">
        <w:rPr>
          <w:sz w:val="20"/>
          <w:szCs w:val="18"/>
        </w:rPr>
        <w:instrText xml:space="preserve"> SEQ Figure \* ARABIC </w:instrText>
      </w:r>
      <w:r w:rsidRPr="00EB0F34">
        <w:rPr>
          <w:sz w:val="20"/>
          <w:szCs w:val="18"/>
        </w:rPr>
        <w:fldChar w:fldCharType="separate"/>
      </w:r>
      <w:r>
        <w:rPr>
          <w:noProof/>
          <w:sz w:val="20"/>
          <w:szCs w:val="18"/>
        </w:rPr>
        <w:t>6</w:t>
      </w:r>
      <w:r w:rsidRPr="00EB0F34">
        <w:rPr>
          <w:sz w:val="20"/>
          <w:szCs w:val="18"/>
        </w:rPr>
        <w:fldChar w:fldCharType="end"/>
      </w:r>
      <w:r w:rsidRPr="00EB0F34">
        <w:rPr>
          <w:sz w:val="20"/>
          <w:szCs w:val="18"/>
        </w:rPr>
        <w:t>: Employee Roles at Amazon</w:t>
      </w:r>
      <w:bookmarkEnd w:id="47"/>
    </w:p>
    <w:p w:rsidR="00020D70" w:rsidRDefault="00020D70" w:rsidP="00020D70">
      <w:pPr>
        <w:pStyle w:val="Content"/>
        <w:jc w:val="center"/>
      </w:pPr>
      <w:r w:rsidRPr="00EB0F34">
        <w:rPr>
          <w:noProof/>
          <w:lang w:val="en-US" w:bidi="gu-IN"/>
        </w:rPr>
        <w:drawing>
          <wp:inline distT="0" distB="0" distL="0" distR="0" wp14:anchorId="308A86FD" wp14:editId="4D6966A9">
            <wp:extent cx="5182870" cy="2034540"/>
            <wp:effectExtent l="0" t="0" r="0" b="3810"/>
            <wp:docPr id="854769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769190" name=""/>
                    <pic:cNvPicPr/>
                  </pic:nvPicPr>
                  <pic:blipFill>
                    <a:blip r:embed="rId14"/>
                    <a:stretch>
                      <a:fillRect/>
                    </a:stretch>
                  </pic:blipFill>
                  <pic:spPr>
                    <a:xfrm>
                      <a:off x="0" y="0"/>
                      <a:ext cx="5182870" cy="2034540"/>
                    </a:xfrm>
                    <a:prstGeom prst="rect">
                      <a:avLst/>
                    </a:prstGeom>
                  </pic:spPr>
                </pic:pic>
              </a:graphicData>
            </a:graphic>
          </wp:inline>
        </w:drawing>
      </w:r>
    </w:p>
    <w:p w:rsidR="00020D70" w:rsidRPr="00BA4AF9" w:rsidRDefault="00020D70" w:rsidP="00020D70">
      <w:pPr>
        <w:pStyle w:val="Content"/>
      </w:pPr>
      <w:r w:rsidRPr="00BA4AF9">
        <w:t>The data</w:t>
      </w:r>
      <w:r>
        <w:t xml:space="preserve"> from Figure 2</w:t>
      </w:r>
      <w:r w:rsidRPr="00BA4AF9">
        <w:t xml:space="preserve"> shows 32.3% of survey respondents have been working at Amazon for less than 1 year. This indicates about one-third of participating employees were recent hires, likely going through initial onboarding training. 38.7% have Amazon tenure of 1-5 years. So combined, around 70% of respondents have 5 or fewer years of experience, suggesting a overall junior respondent group.</w:t>
      </w:r>
      <w:r>
        <w:t xml:space="preserve"> </w:t>
      </w:r>
      <w:r w:rsidRPr="00BA4AF9">
        <w:t>12.9% of employees have 6-10 years organizational tenure while 9.7% have 11-15 years tenure. Only 6.4% have over 15 years’ experience at Amazon. This distribution highlights the low representation from long-serving, experienced professionals among the sampled population.</w:t>
      </w:r>
      <w:r>
        <w:t xml:space="preserve"> </w:t>
      </w:r>
      <w:r w:rsidRPr="00BA4AF9">
        <w:t>In summary, most survey participants comprised relatively new Amazon employees with less than 5 years tenure. The proportions align with the earlier observation of concentration among trainees and junior executives based on role designations.</w:t>
      </w:r>
    </w:p>
    <w:p w:rsidR="00020D70" w:rsidRPr="00D52F69" w:rsidRDefault="00020D70" w:rsidP="00020D70">
      <w:pPr>
        <w:pStyle w:val="content0"/>
        <w:jc w:val="center"/>
        <w:rPr>
          <w:sz w:val="20"/>
          <w:szCs w:val="18"/>
        </w:rPr>
      </w:pPr>
      <w:bookmarkStart w:id="48" w:name="_Toc156952083"/>
      <w:r w:rsidRPr="00D52F69">
        <w:rPr>
          <w:sz w:val="20"/>
          <w:szCs w:val="18"/>
        </w:rPr>
        <w:t xml:space="preserve">Figure </w:t>
      </w:r>
      <w:r w:rsidRPr="00D52F69">
        <w:rPr>
          <w:sz w:val="20"/>
          <w:szCs w:val="18"/>
        </w:rPr>
        <w:fldChar w:fldCharType="begin"/>
      </w:r>
      <w:r w:rsidRPr="00D52F69">
        <w:rPr>
          <w:sz w:val="20"/>
          <w:szCs w:val="18"/>
        </w:rPr>
        <w:instrText xml:space="preserve"> SEQ Figure \* ARABIC </w:instrText>
      </w:r>
      <w:r w:rsidRPr="00D52F69">
        <w:rPr>
          <w:sz w:val="20"/>
          <w:szCs w:val="18"/>
        </w:rPr>
        <w:fldChar w:fldCharType="separate"/>
      </w:r>
      <w:r>
        <w:rPr>
          <w:noProof/>
          <w:sz w:val="20"/>
          <w:szCs w:val="18"/>
        </w:rPr>
        <w:t>7</w:t>
      </w:r>
      <w:r w:rsidRPr="00D52F69">
        <w:rPr>
          <w:sz w:val="20"/>
          <w:szCs w:val="18"/>
        </w:rPr>
        <w:fldChar w:fldCharType="end"/>
      </w:r>
      <w:r w:rsidRPr="00D52F69">
        <w:rPr>
          <w:sz w:val="20"/>
          <w:szCs w:val="18"/>
        </w:rPr>
        <w:t>: Tenure of work</w:t>
      </w:r>
      <w:bookmarkEnd w:id="48"/>
    </w:p>
    <w:p w:rsidR="00020D70" w:rsidRDefault="00020D70" w:rsidP="00020D70">
      <w:pPr>
        <w:pStyle w:val="Content"/>
        <w:jc w:val="center"/>
      </w:pPr>
      <w:r>
        <w:rPr>
          <w:noProof/>
          <w:lang w:val="en-US" w:bidi="gu-IN"/>
        </w:rPr>
        <w:lastRenderedPageBreak/>
        <w:drawing>
          <wp:inline distT="0" distB="0" distL="0" distR="0" wp14:anchorId="5F94378F" wp14:editId="542464CE">
            <wp:extent cx="5295900" cy="2004060"/>
            <wp:effectExtent l="0" t="0" r="0" b="0"/>
            <wp:docPr id="1751447286" name="Picture 1" descr="Forms response chart. Question title: How long have you been working at Amazon?. Number of responses: 3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ow long have you been working at Amazon?. Number of responses: 31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95900" cy="2004060"/>
                    </a:xfrm>
                    <a:prstGeom prst="rect">
                      <a:avLst/>
                    </a:prstGeom>
                    <a:noFill/>
                    <a:ln>
                      <a:noFill/>
                    </a:ln>
                  </pic:spPr>
                </pic:pic>
              </a:graphicData>
            </a:graphic>
          </wp:inline>
        </w:drawing>
      </w:r>
    </w:p>
    <w:p w:rsidR="00020D70" w:rsidRDefault="00020D70" w:rsidP="00020D70">
      <w:pPr>
        <w:pStyle w:val="Content"/>
      </w:pPr>
    </w:p>
    <w:p w:rsidR="00020D70" w:rsidRPr="00D756C1" w:rsidRDefault="00020D70" w:rsidP="00020D70">
      <w:pPr>
        <w:pStyle w:val="Content"/>
      </w:pPr>
      <w:r>
        <w:t>55.17% of the survey participants were from the Customer Service department. This indicates over half of the sampled employees work in frontline customer interaction roles spanning online support, call centres and related in helping Amazon consumers. The remaining 44.83% were from the Operations department covering logistics, order fulfilment and delivery functions as well as internal operations supporting infrastructure and processes. The distribution highlights useful variance across externally customer facing areas as well external process execution teams. But there is an over 10% skew indicating moderately uneven coverage with greater data inputs from customer support experiences.</w:t>
      </w:r>
    </w:p>
    <w:p w:rsidR="00020D70" w:rsidRPr="00D756C1" w:rsidRDefault="00020D70" w:rsidP="00020D70">
      <w:pPr>
        <w:pStyle w:val="Content"/>
        <w:jc w:val="center"/>
        <w:rPr>
          <w:b/>
          <w:bCs/>
          <w:sz w:val="20"/>
          <w:szCs w:val="20"/>
        </w:rPr>
      </w:pPr>
      <w:bookmarkStart w:id="49" w:name="_Toc156952084"/>
      <w:r w:rsidRPr="00D756C1">
        <w:rPr>
          <w:b/>
          <w:bCs/>
          <w:sz w:val="20"/>
          <w:szCs w:val="20"/>
        </w:rPr>
        <w:t xml:space="preserve">Figure </w:t>
      </w:r>
      <w:r w:rsidRPr="00D756C1">
        <w:rPr>
          <w:b/>
          <w:bCs/>
          <w:sz w:val="20"/>
          <w:szCs w:val="20"/>
        </w:rPr>
        <w:fldChar w:fldCharType="begin"/>
      </w:r>
      <w:r w:rsidRPr="00D756C1">
        <w:rPr>
          <w:b/>
          <w:bCs/>
          <w:sz w:val="20"/>
          <w:szCs w:val="20"/>
        </w:rPr>
        <w:instrText xml:space="preserve"> SEQ Figure \* ARABIC </w:instrText>
      </w:r>
      <w:r w:rsidRPr="00D756C1">
        <w:rPr>
          <w:b/>
          <w:bCs/>
          <w:sz w:val="20"/>
          <w:szCs w:val="20"/>
        </w:rPr>
        <w:fldChar w:fldCharType="separate"/>
      </w:r>
      <w:r>
        <w:rPr>
          <w:b/>
          <w:bCs/>
          <w:noProof/>
          <w:sz w:val="20"/>
          <w:szCs w:val="20"/>
        </w:rPr>
        <w:t>8</w:t>
      </w:r>
      <w:r w:rsidRPr="00D756C1">
        <w:rPr>
          <w:b/>
          <w:bCs/>
          <w:sz w:val="20"/>
          <w:szCs w:val="20"/>
        </w:rPr>
        <w:fldChar w:fldCharType="end"/>
      </w:r>
      <w:r w:rsidRPr="00D756C1">
        <w:rPr>
          <w:b/>
          <w:bCs/>
          <w:sz w:val="20"/>
          <w:szCs w:val="20"/>
        </w:rPr>
        <w:t>: Distribution of Employee Departments</w:t>
      </w:r>
      <w:bookmarkEnd w:id="49"/>
    </w:p>
    <w:p w:rsidR="00020D70" w:rsidRDefault="00020D70" w:rsidP="00020D70">
      <w:pPr>
        <w:pStyle w:val="Content"/>
      </w:pPr>
      <w:r w:rsidRPr="00D756C1">
        <w:rPr>
          <w:noProof/>
          <w:lang w:val="en-US" w:bidi="gu-IN"/>
        </w:rPr>
        <w:drawing>
          <wp:inline distT="0" distB="0" distL="0" distR="0" wp14:anchorId="133C1658" wp14:editId="0331E9D7">
            <wp:extent cx="5731510" cy="2579370"/>
            <wp:effectExtent l="0" t="0" r="2540" b="0"/>
            <wp:docPr id="2106515701" name="Picture 1"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515701" name="Picture 1" descr="A graph with blue bars&#10;&#10;Description automatically generated"/>
                    <pic:cNvPicPr/>
                  </pic:nvPicPr>
                  <pic:blipFill>
                    <a:blip r:embed="rId16"/>
                    <a:stretch>
                      <a:fillRect/>
                    </a:stretch>
                  </pic:blipFill>
                  <pic:spPr>
                    <a:xfrm>
                      <a:off x="0" y="0"/>
                      <a:ext cx="5731510" cy="2579370"/>
                    </a:xfrm>
                    <a:prstGeom prst="rect">
                      <a:avLst/>
                    </a:prstGeom>
                  </pic:spPr>
                </pic:pic>
              </a:graphicData>
            </a:graphic>
          </wp:inline>
        </w:drawing>
      </w:r>
    </w:p>
    <w:p w:rsidR="00020D70" w:rsidRDefault="00020D70" w:rsidP="00020D70">
      <w:pPr>
        <w:pStyle w:val="Content"/>
      </w:pPr>
      <w:r w:rsidRPr="00431AD8">
        <w:t xml:space="preserve">The survey response breakdown </w:t>
      </w:r>
      <w:r>
        <w:t xml:space="preserve">in Figure 4 </w:t>
      </w:r>
      <w:r w:rsidRPr="00431AD8">
        <w:t xml:space="preserve">reveals that London forms the primary base for participating employees, with almost two-thirds (64.52%) stationed there. Manchester (16.13%) and Glasgow (12.90%) together account for the bulk of remaining respondents, </w:t>
      </w:r>
      <w:r w:rsidRPr="00431AD8">
        <w:lastRenderedPageBreak/>
        <w:t>providing the second and third largest respondent groups respectively. Just 6.45% are situated across other Scottish sites outside Glasgow. This concentration among Amazon's London workforce, supplemented by the other major UK presences in Manchester and Glasgow, indicates views predominantly reflect perceptions from teams operating out of those large established business hubs.</w:t>
      </w: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Pr="00A54D8D" w:rsidRDefault="00020D70" w:rsidP="00020D70">
      <w:pPr>
        <w:pStyle w:val="Content"/>
        <w:jc w:val="center"/>
        <w:rPr>
          <w:sz w:val="22"/>
          <w:szCs w:val="22"/>
        </w:rPr>
      </w:pPr>
      <w:bookmarkStart w:id="50" w:name="_Toc156952085"/>
      <w:r w:rsidRPr="00A54D8D">
        <w:rPr>
          <w:sz w:val="22"/>
          <w:szCs w:val="22"/>
        </w:rPr>
        <w:t xml:space="preserve">Figure </w:t>
      </w:r>
      <w:r w:rsidRPr="00A54D8D">
        <w:rPr>
          <w:sz w:val="22"/>
          <w:szCs w:val="22"/>
        </w:rPr>
        <w:fldChar w:fldCharType="begin"/>
      </w:r>
      <w:r w:rsidRPr="00A54D8D">
        <w:rPr>
          <w:sz w:val="22"/>
          <w:szCs w:val="22"/>
        </w:rPr>
        <w:instrText xml:space="preserve"> SEQ Figure \* ARABIC </w:instrText>
      </w:r>
      <w:r w:rsidRPr="00A54D8D">
        <w:rPr>
          <w:sz w:val="22"/>
          <w:szCs w:val="22"/>
        </w:rPr>
        <w:fldChar w:fldCharType="separate"/>
      </w:r>
      <w:r>
        <w:rPr>
          <w:noProof/>
          <w:sz w:val="22"/>
          <w:szCs w:val="22"/>
        </w:rPr>
        <w:t>9</w:t>
      </w:r>
      <w:r w:rsidRPr="00A54D8D">
        <w:rPr>
          <w:sz w:val="22"/>
          <w:szCs w:val="22"/>
        </w:rPr>
        <w:fldChar w:fldCharType="end"/>
      </w:r>
      <w:r w:rsidRPr="00A54D8D">
        <w:rPr>
          <w:sz w:val="22"/>
          <w:szCs w:val="22"/>
        </w:rPr>
        <w:t>: Employee Location of Work</w:t>
      </w:r>
      <w:bookmarkEnd w:id="50"/>
    </w:p>
    <w:p w:rsidR="00020D70" w:rsidRDefault="00020D70" w:rsidP="00020D70">
      <w:pPr>
        <w:pStyle w:val="Content"/>
        <w:jc w:val="center"/>
      </w:pPr>
      <w:r w:rsidRPr="00A54D8D">
        <w:rPr>
          <w:noProof/>
          <w:lang w:val="en-US" w:bidi="gu-IN"/>
        </w:rPr>
        <w:drawing>
          <wp:inline distT="0" distB="0" distL="0" distR="0" wp14:anchorId="2CE4959A" wp14:editId="584C0D23">
            <wp:extent cx="5044877" cy="2377646"/>
            <wp:effectExtent l="0" t="0" r="3810" b="3810"/>
            <wp:docPr id="219429636" name="Picture 1" descr="A pie chart with numbers and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429636" name="Picture 1" descr="A pie chart with numbers and a graph&#10;&#10;Description automatically generated"/>
                    <pic:cNvPicPr/>
                  </pic:nvPicPr>
                  <pic:blipFill>
                    <a:blip r:embed="rId17"/>
                    <a:stretch>
                      <a:fillRect/>
                    </a:stretch>
                  </pic:blipFill>
                  <pic:spPr>
                    <a:xfrm>
                      <a:off x="0" y="0"/>
                      <a:ext cx="5044877" cy="2377646"/>
                    </a:xfrm>
                    <a:prstGeom prst="rect">
                      <a:avLst/>
                    </a:prstGeom>
                  </pic:spPr>
                </pic:pic>
              </a:graphicData>
            </a:graphic>
          </wp:inline>
        </w:drawing>
      </w:r>
    </w:p>
    <w:p w:rsidR="00020D70" w:rsidRPr="004A1DF2" w:rsidRDefault="00020D70" w:rsidP="00020D70">
      <w:pPr>
        <w:pStyle w:val="Content"/>
      </w:pPr>
      <w:r>
        <w:t>Figure 5 reveals that 67.74% of respondents rated mentoring facilities for supplemental guidance beyond formal training programs as either “Very Useful” or “Extremely Useful”. Specifically, 35.48% termed mentoring as very useful, while 32.26% went further in the highest “Extremely Useful” category. Additionally, 29.03% still evaluated availability of coaching and connections as moderately useful. Only 3.23% indicated mentoring was somewhat useful in the lowest rating. In summary, approximately two-thirds of employees demonstrate substantive utility from structured mentoring and networking forums surrounding core training activities. The predominantly positive perspectives, with over a third conveying supreme usefulness, indicates supplemental individualized support channels play an integral role for workforce development at Amazon.</w:t>
      </w:r>
    </w:p>
    <w:p w:rsidR="00020D70" w:rsidRPr="004A1DF2" w:rsidRDefault="00020D70" w:rsidP="00020D70">
      <w:pPr>
        <w:pStyle w:val="Content"/>
        <w:jc w:val="center"/>
        <w:rPr>
          <w:sz w:val="20"/>
          <w:szCs w:val="20"/>
        </w:rPr>
      </w:pPr>
      <w:bookmarkStart w:id="51" w:name="_Toc156952086"/>
      <w:r w:rsidRPr="004A1DF2">
        <w:rPr>
          <w:sz w:val="20"/>
          <w:szCs w:val="20"/>
        </w:rPr>
        <w:t xml:space="preserve">Figure </w:t>
      </w:r>
      <w:r w:rsidRPr="004A1DF2">
        <w:rPr>
          <w:sz w:val="20"/>
          <w:szCs w:val="20"/>
        </w:rPr>
        <w:fldChar w:fldCharType="begin"/>
      </w:r>
      <w:r w:rsidRPr="004A1DF2">
        <w:rPr>
          <w:sz w:val="20"/>
          <w:szCs w:val="20"/>
        </w:rPr>
        <w:instrText xml:space="preserve"> SEQ Figure \* ARABIC </w:instrText>
      </w:r>
      <w:r w:rsidRPr="004A1DF2">
        <w:rPr>
          <w:sz w:val="20"/>
          <w:szCs w:val="20"/>
        </w:rPr>
        <w:fldChar w:fldCharType="separate"/>
      </w:r>
      <w:r>
        <w:rPr>
          <w:noProof/>
          <w:sz w:val="20"/>
          <w:szCs w:val="20"/>
        </w:rPr>
        <w:t>10</w:t>
      </w:r>
      <w:r w:rsidRPr="004A1DF2">
        <w:rPr>
          <w:sz w:val="20"/>
          <w:szCs w:val="20"/>
        </w:rPr>
        <w:fldChar w:fldCharType="end"/>
      </w:r>
      <w:r w:rsidRPr="004A1DF2">
        <w:rPr>
          <w:sz w:val="20"/>
          <w:szCs w:val="20"/>
        </w:rPr>
        <w:t>: Mentoring opportunities beyond formal training</w:t>
      </w:r>
      <w:bookmarkEnd w:id="51"/>
    </w:p>
    <w:p w:rsidR="00020D70" w:rsidRDefault="00020D70" w:rsidP="00020D70">
      <w:pPr>
        <w:pStyle w:val="Content"/>
        <w:jc w:val="center"/>
      </w:pPr>
      <w:r w:rsidRPr="004A1DF2">
        <w:rPr>
          <w:noProof/>
          <w:lang w:val="en-US" w:bidi="gu-IN"/>
        </w:rPr>
        <w:lastRenderedPageBreak/>
        <w:drawing>
          <wp:inline distT="0" distB="0" distL="0" distR="0" wp14:anchorId="78A0E089" wp14:editId="4ED2EC64">
            <wp:extent cx="4312920" cy="2438400"/>
            <wp:effectExtent l="0" t="0" r="0" b="0"/>
            <wp:docPr id="1802363117" name="Picture 1"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363117" name="Picture 1" descr="A graph with blue bars&#10;&#10;Description automatically generated"/>
                    <pic:cNvPicPr/>
                  </pic:nvPicPr>
                  <pic:blipFill>
                    <a:blip r:embed="rId18"/>
                    <a:stretch>
                      <a:fillRect/>
                    </a:stretch>
                  </pic:blipFill>
                  <pic:spPr>
                    <a:xfrm>
                      <a:off x="0" y="0"/>
                      <a:ext cx="4313308" cy="2438619"/>
                    </a:xfrm>
                    <a:prstGeom prst="rect">
                      <a:avLst/>
                    </a:prstGeom>
                  </pic:spPr>
                </pic:pic>
              </a:graphicData>
            </a:graphic>
          </wp:inline>
        </w:drawing>
      </w:r>
    </w:p>
    <w:p w:rsidR="00020D70" w:rsidRPr="00787DC5" w:rsidRDefault="00020D70" w:rsidP="00020D70">
      <w:pPr>
        <w:pStyle w:val="Content"/>
      </w:pPr>
      <w:r>
        <w:t>Figure 6 of new training program introduction indicates 38.71% of employees observe 2-5 fresh learning initiatives launched yearly, constituting the most common experience reported. Meanwhile both the ranges of less than 2 and 6-10 new programs annually garnered identical minority tallies of 25.81% responses. The remaining 9.68% relay a higher frequency, citing new introductions averaging 1-2 every financial quarter. In summary, Amazon employees predominantly experience gradual but regular injection of 2-5 updated or novel capability building modules annually to refresh, build on or consolidate previous skills in alignment with emerging role demands.</w:t>
      </w:r>
    </w:p>
    <w:p w:rsidR="00020D70" w:rsidRPr="00803A8D" w:rsidRDefault="00020D70" w:rsidP="00020D70">
      <w:pPr>
        <w:pStyle w:val="Content"/>
        <w:jc w:val="center"/>
        <w:rPr>
          <w:sz w:val="20"/>
          <w:szCs w:val="20"/>
        </w:rPr>
      </w:pPr>
      <w:bookmarkStart w:id="52" w:name="_Toc156952087"/>
      <w:r w:rsidRPr="00803A8D">
        <w:rPr>
          <w:sz w:val="20"/>
          <w:szCs w:val="20"/>
        </w:rPr>
        <w:t xml:space="preserve">Figure </w:t>
      </w:r>
      <w:r w:rsidRPr="00803A8D">
        <w:rPr>
          <w:sz w:val="20"/>
          <w:szCs w:val="20"/>
        </w:rPr>
        <w:fldChar w:fldCharType="begin"/>
      </w:r>
      <w:r w:rsidRPr="00803A8D">
        <w:rPr>
          <w:sz w:val="20"/>
          <w:szCs w:val="20"/>
        </w:rPr>
        <w:instrText xml:space="preserve"> SEQ Figure \* ARABIC </w:instrText>
      </w:r>
      <w:r w:rsidRPr="00803A8D">
        <w:rPr>
          <w:sz w:val="20"/>
          <w:szCs w:val="20"/>
        </w:rPr>
        <w:fldChar w:fldCharType="separate"/>
      </w:r>
      <w:r>
        <w:rPr>
          <w:noProof/>
          <w:sz w:val="20"/>
          <w:szCs w:val="20"/>
        </w:rPr>
        <w:t>11</w:t>
      </w:r>
      <w:r w:rsidRPr="00803A8D">
        <w:rPr>
          <w:sz w:val="20"/>
          <w:szCs w:val="20"/>
        </w:rPr>
        <w:fldChar w:fldCharType="end"/>
      </w:r>
      <w:r w:rsidRPr="00803A8D">
        <w:rPr>
          <w:sz w:val="20"/>
          <w:szCs w:val="20"/>
        </w:rPr>
        <w:t>: Frequency of New Training Programs Introduced</w:t>
      </w:r>
      <w:bookmarkEnd w:id="52"/>
    </w:p>
    <w:p w:rsidR="00020D70" w:rsidRDefault="00020D70" w:rsidP="00020D70">
      <w:pPr>
        <w:jc w:val="center"/>
      </w:pPr>
      <w:r w:rsidRPr="00803A8D">
        <w:rPr>
          <w:noProof/>
          <w:lang w:val="en-US" w:bidi="gu-IN"/>
        </w:rPr>
        <w:drawing>
          <wp:inline distT="0" distB="0" distL="0" distR="0" wp14:anchorId="0CC3A5A7" wp14:editId="48B6ABAB">
            <wp:extent cx="5128260" cy="2918460"/>
            <wp:effectExtent l="0" t="0" r="0" b="0"/>
            <wp:docPr id="527109797" name="Picture 1" descr="A pie chart with numbers and text with Crust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109797" name="Picture 1" descr="A pie chart with numbers and text with Crust in the background&#10;&#10;Description automatically generated"/>
                    <pic:cNvPicPr/>
                  </pic:nvPicPr>
                  <pic:blipFill>
                    <a:blip r:embed="rId19"/>
                    <a:stretch>
                      <a:fillRect/>
                    </a:stretch>
                  </pic:blipFill>
                  <pic:spPr>
                    <a:xfrm>
                      <a:off x="0" y="0"/>
                      <a:ext cx="5128705" cy="2918713"/>
                    </a:xfrm>
                    <a:prstGeom prst="rect">
                      <a:avLst/>
                    </a:prstGeom>
                  </pic:spPr>
                </pic:pic>
              </a:graphicData>
            </a:graphic>
          </wp:inline>
        </w:drawing>
      </w:r>
    </w:p>
    <w:p w:rsidR="00020D70" w:rsidRDefault="00020D70" w:rsidP="00020D70">
      <w:pPr>
        <w:pStyle w:val="Content"/>
      </w:pPr>
      <w:r>
        <w:t xml:space="preserve">Figure 7 includes the feedback on accessibility and transparency around training program details indicates a largely positive employee experience but also some areas for attention. </w:t>
      </w:r>
      <w:r>
        <w:lastRenderedPageBreak/>
        <w:t>Specifically, 36.7% of survey respondents rate the existing communication and visibility of available learning initiatives at Amazon as excellent. Adding those categorizing information availability as good (30%) implies a sizable majority of over 65% conveying largely adequate disclosure helping navigation of developmental options. However, the combined 16.7% terming information as limited alongside 13.3% perceiving high deficiency in transparency signifies room for consolidation around awareness. In summary, while over one-third applaud efforts enabling seamless discovery of learning avenues and requirements, the roughly 30% combined detractors highlight ongoing gaps limiting visibility that can impede informed user engagement.</w:t>
      </w:r>
    </w:p>
    <w:p w:rsidR="00020D70" w:rsidRDefault="00020D70" w:rsidP="00020D70">
      <w:pPr>
        <w:pStyle w:val="Content"/>
        <w:jc w:val="center"/>
        <w:rPr>
          <w:sz w:val="20"/>
          <w:szCs w:val="20"/>
        </w:rPr>
      </w:pPr>
      <w:bookmarkStart w:id="53" w:name="_Toc156952088"/>
      <w:r w:rsidRPr="004B6981">
        <w:rPr>
          <w:sz w:val="20"/>
          <w:szCs w:val="20"/>
        </w:rPr>
        <w:t xml:space="preserve">Figure </w:t>
      </w:r>
      <w:r w:rsidRPr="004B6981">
        <w:rPr>
          <w:sz w:val="20"/>
          <w:szCs w:val="20"/>
        </w:rPr>
        <w:fldChar w:fldCharType="begin"/>
      </w:r>
      <w:r w:rsidRPr="004B6981">
        <w:rPr>
          <w:sz w:val="20"/>
          <w:szCs w:val="20"/>
        </w:rPr>
        <w:instrText xml:space="preserve"> SEQ Figure \* ARABIC </w:instrText>
      </w:r>
      <w:r w:rsidRPr="004B6981">
        <w:rPr>
          <w:sz w:val="20"/>
          <w:szCs w:val="20"/>
        </w:rPr>
        <w:fldChar w:fldCharType="separate"/>
      </w:r>
      <w:r>
        <w:rPr>
          <w:noProof/>
          <w:sz w:val="20"/>
          <w:szCs w:val="20"/>
        </w:rPr>
        <w:t>12</w:t>
      </w:r>
      <w:r w:rsidRPr="004B6981">
        <w:rPr>
          <w:sz w:val="20"/>
          <w:szCs w:val="20"/>
        </w:rPr>
        <w:fldChar w:fldCharType="end"/>
      </w:r>
      <w:r w:rsidRPr="004B6981">
        <w:rPr>
          <w:sz w:val="20"/>
          <w:szCs w:val="20"/>
        </w:rPr>
        <w:t>: Availability and Transparency of Information</w:t>
      </w:r>
      <w:bookmarkEnd w:id="53"/>
    </w:p>
    <w:p w:rsidR="00020D70" w:rsidRDefault="00020D70" w:rsidP="00020D70">
      <w:r>
        <w:rPr>
          <w:noProof/>
          <w:lang w:val="en-US" w:bidi="gu-IN"/>
        </w:rPr>
        <w:drawing>
          <wp:inline distT="0" distB="0" distL="0" distR="0" wp14:anchorId="22E49B36" wp14:editId="37232329">
            <wp:extent cx="5548630" cy="2407920"/>
            <wp:effectExtent l="0" t="0" r="0" b="0"/>
            <wp:docPr id="820732473" name="Picture 3" descr="Forms response chart. Question title: How would you rate the availability and transparency of information shared on existing training programs at Amazon?&#10;. Number of responses: 3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How would you rate the availability and transparency of information shared on existing training programs at Amazon?&#10;. Number of responses: 30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548630" cy="2407920"/>
                    </a:xfrm>
                    <a:prstGeom prst="rect">
                      <a:avLst/>
                    </a:prstGeom>
                    <a:noFill/>
                    <a:ln>
                      <a:noFill/>
                    </a:ln>
                  </pic:spPr>
                </pic:pic>
              </a:graphicData>
            </a:graphic>
          </wp:inline>
        </w:drawing>
      </w:r>
    </w:p>
    <w:p w:rsidR="00020D70" w:rsidRDefault="00020D70" w:rsidP="00020D70">
      <w:pPr>
        <w:pStyle w:val="Content"/>
      </w:pPr>
      <w:r>
        <w:t>The data on training effects on work deliverable and output quality from Figure 8 indicates sizeable gains per employee perceptions, with 64.52% citing significant enhancements following learning interventions. Another 19.35% noted moderate quality improvements in job executions after training, with only 6.45% conveying mild upgrades. However conversely, an equal 6.45% interestingly pointed to minimal advancements counterintuitively despite skill development they underwent. Just 3.23% observed no discernible difference pre and post training. Over 80% employees confirm positive impacts from training programs on strengthening result quality, substantiating a predominant boost in work packages from increased competencies. The majority quantify immense quality differences - validating significant upside.</w:t>
      </w:r>
    </w:p>
    <w:p w:rsidR="00020D70" w:rsidRPr="00F05DDA" w:rsidRDefault="00020D70" w:rsidP="00020D70">
      <w:pPr>
        <w:pStyle w:val="Content"/>
        <w:jc w:val="center"/>
        <w:rPr>
          <w:sz w:val="20"/>
          <w:szCs w:val="20"/>
        </w:rPr>
      </w:pPr>
      <w:bookmarkStart w:id="54" w:name="_Toc156952089"/>
      <w:r w:rsidRPr="003F6191">
        <w:rPr>
          <w:sz w:val="20"/>
          <w:szCs w:val="20"/>
        </w:rPr>
        <w:t xml:space="preserve">Figure </w:t>
      </w:r>
      <w:r w:rsidRPr="003F6191">
        <w:rPr>
          <w:sz w:val="20"/>
          <w:szCs w:val="20"/>
        </w:rPr>
        <w:fldChar w:fldCharType="begin"/>
      </w:r>
      <w:r w:rsidRPr="003F6191">
        <w:rPr>
          <w:sz w:val="20"/>
          <w:szCs w:val="20"/>
        </w:rPr>
        <w:instrText xml:space="preserve"> SEQ Figure \* ARABIC </w:instrText>
      </w:r>
      <w:r w:rsidRPr="003F6191">
        <w:rPr>
          <w:sz w:val="20"/>
          <w:szCs w:val="20"/>
        </w:rPr>
        <w:fldChar w:fldCharType="separate"/>
      </w:r>
      <w:r>
        <w:rPr>
          <w:noProof/>
          <w:sz w:val="20"/>
          <w:szCs w:val="20"/>
        </w:rPr>
        <w:t>13</w:t>
      </w:r>
      <w:r w:rsidRPr="003F6191">
        <w:rPr>
          <w:sz w:val="20"/>
          <w:szCs w:val="20"/>
        </w:rPr>
        <w:fldChar w:fldCharType="end"/>
      </w:r>
      <w:r w:rsidRPr="003F6191">
        <w:rPr>
          <w:sz w:val="20"/>
          <w:szCs w:val="20"/>
        </w:rPr>
        <w:t>: Training improves the quality of work.</w:t>
      </w:r>
      <w:bookmarkEnd w:id="54"/>
    </w:p>
    <w:p w:rsidR="00020D70" w:rsidRDefault="00020D70" w:rsidP="00020D70">
      <w:pPr>
        <w:jc w:val="center"/>
      </w:pPr>
      <w:r w:rsidRPr="003F6191">
        <w:rPr>
          <w:noProof/>
          <w:lang w:val="en-US" w:bidi="gu-IN"/>
        </w:rPr>
        <w:lastRenderedPageBreak/>
        <w:drawing>
          <wp:inline distT="0" distB="0" distL="0" distR="0" wp14:anchorId="5A08ACBE" wp14:editId="19D7CE7E">
            <wp:extent cx="4304665" cy="2324100"/>
            <wp:effectExtent l="0" t="0" r="635" b="0"/>
            <wp:docPr id="897722399" name="Picture 1"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722399" name="Picture 1" descr="A pie chart with numbers and text&#10;&#10;Description automatically generated"/>
                    <pic:cNvPicPr/>
                  </pic:nvPicPr>
                  <pic:blipFill>
                    <a:blip r:embed="rId21"/>
                    <a:stretch>
                      <a:fillRect/>
                    </a:stretch>
                  </pic:blipFill>
                  <pic:spPr>
                    <a:xfrm>
                      <a:off x="0" y="0"/>
                      <a:ext cx="4312804" cy="2328494"/>
                    </a:xfrm>
                    <a:prstGeom prst="rect">
                      <a:avLst/>
                    </a:prstGeom>
                  </pic:spPr>
                </pic:pic>
              </a:graphicData>
            </a:graphic>
          </wp:inline>
        </w:drawing>
      </w:r>
    </w:p>
    <w:p w:rsidR="00020D70" w:rsidRDefault="00020D70" w:rsidP="00020D70">
      <w:pPr>
        <w:jc w:val="center"/>
      </w:pPr>
    </w:p>
    <w:p w:rsidR="00020D70" w:rsidRDefault="00020D70" w:rsidP="00020D70">
      <w:pPr>
        <w:pStyle w:val="Content"/>
      </w:pPr>
      <w:r>
        <w:t>Figure 9 is</w:t>
      </w:r>
      <w:r w:rsidRPr="00043952">
        <w:t xml:space="preserve"> regarding</w:t>
      </w:r>
      <w:r>
        <w:t xml:space="preserve"> the</w:t>
      </w:r>
      <w:r w:rsidRPr="00043952">
        <w:t xml:space="preserve"> improvements in interpersonal and strategic competencies indicates mixed perceived impacts from Amazon’s training interventions. 34.48% of employees cite experiencing significant enhancements in their soft skills like teamwork, communication, critical thinking and planning abilities after undergoing organized learning activities. Further, 27.59% note somewhat better expertise in collaborating and strategizing post-training, while 17.24% convey slight but definite tactfulness improvements. An equal 17.24% quantify reasonable expansions in their personal effectiveness from the developmental initiatives. However, 3.45% interestingly deny any discernible positive difference in their interactive dexterity despite completing new capability programs.</w:t>
      </w:r>
    </w:p>
    <w:p w:rsidR="00020D70" w:rsidRPr="00043952" w:rsidRDefault="00020D70" w:rsidP="00020D70">
      <w:pPr>
        <w:pStyle w:val="Content"/>
        <w:jc w:val="center"/>
        <w:rPr>
          <w:sz w:val="20"/>
          <w:szCs w:val="20"/>
        </w:rPr>
      </w:pPr>
      <w:bookmarkStart w:id="55" w:name="_Toc156952090"/>
      <w:r w:rsidRPr="00043952">
        <w:rPr>
          <w:sz w:val="20"/>
          <w:szCs w:val="20"/>
        </w:rPr>
        <w:t xml:space="preserve">Figure </w:t>
      </w:r>
      <w:r w:rsidRPr="00043952">
        <w:rPr>
          <w:sz w:val="20"/>
          <w:szCs w:val="20"/>
        </w:rPr>
        <w:fldChar w:fldCharType="begin"/>
      </w:r>
      <w:r w:rsidRPr="00043952">
        <w:rPr>
          <w:sz w:val="20"/>
          <w:szCs w:val="20"/>
        </w:rPr>
        <w:instrText xml:space="preserve"> SEQ Figure \* ARABIC </w:instrText>
      </w:r>
      <w:r w:rsidRPr="00043952">
        <w:rPr>
          <w:sz w:val="20"/>
          <w:szCs w:val="20"/>
        </w:rPr>
        <w:fldChar w:fldCharType="separate"/>
      </w:r>
      <w:r>
        <w:rPr>
          <w:noProof/>
          <w:sz w:val="20"/>
          <w:szCs w:val="20"/>
        </w:rPr>
        <w:t>14</w:t>
      </w:r>
      <w:r w:rsidRPr="00043952">
        <w:rPr>
          <w:sz w:val="20"/>
          <w:szCs w:val="20"/>
        </w:rPr>
        <w:fldChar w:fldCharType="end"/>
      </w:r>
      <w:r w:rsidRPr="00043952">
        <w:rPr>
          <w:sz w:val="20"/>
          <w:szCs w:val="20"/>
        </w:rPr>
        <w:t>: Skills Improvement through training programs</w:t>
      </w:r>
      <w:bookmarkEnd w:id="55"/>
    </w:p>
    <w:p w:rsidR="00020D70" w:rsidRDefault="00020D70" w:rsidP="00020D70">
      <w:pPr>
        <w:jc w:val="center"/>
      </w:pPr>
      <w:r w:rsidRPr="00043952">
        <w:rPr>
          <w:noProof/>
          <w:lang w:val="en-US" w:bidi="gu-IN"/>
        </w:rPr>
        <w:drawing>
          <wp:inline distT="0" distB="0" distL="0" distR="0" wp14:anchorId="0719669C" wp14:editId="74820FF0">
            <wp:extent cx="5731510" cy="2296160"/>
            <wp:effectExtent l="0" t="0" r="2540" b="8890"/>
            <wp:docPr id="487944838" name="Picture 1" descr="A graph with blue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944838" name="Picture 1" descr="A graph with blue and white text&#10;&#10;Description automatically generated"/>
                    <pic:cNvPicPr/>
                  </pic:nvPicPr>
                  <pic:blipFill>
                    <a:blip r:embed="rId22"/>
                    <a:stretch>
                      <a:fillRect/>
                    </a:stretch>
                  </pic:blipFill>
                  <pic:spPr>
                    <a:xfrm>
                      <a:off x="0" y="0"/>
                      <a:ext cx="5731510" cy="2296160"/>
                    </a:xfrm>
                    <a:prstGeom prst="rect">
                      <a:avLst/>
                    </a:prstGeom>
                  </pic:spPr>
                </pic:pic>
              </a:graphicData>
            </a:graphic>
          </wp:inline>
        </w:drawing>
      </w:r>
    </w:p>
    <w:p w:rsidR="00020D70" w:rsidRDefault="00020D70" w:rsidP="00020D70">
      <w:pPr>
        <w:pStyle w:val="Content"/>
      </w:pPr>
      <w:r>
        <w:t xml:space="preserve">The data on effects of developmental initiatives on bonds within work teams showcases predominately affirmative outcomes. In Figure 10 Specifically, 63.33% of employees experienced significantly strengthened relationships and compatibility with peers after </w:t>
      </w:r>
      <w:r>
        <w:lastRenderedPageBreak/>
        <w:t>undertaking skills training across units. 16.67% cited marginal improvements in team connectivity and 16.67% denoted moderately better integrations after participating. Only 3.33% indicated no discernible positive change from the learning exposure on their intragroup dynamics. Nearly two-thirds of Amazon staff confirm robust benefits from company training interventions in nurturing greater trust, communication flows and support within immediate teams.</w:t>
      </w: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Pr="00AE0890" w:rsidRDefault="00020D70" w:rsidP="00020D70">
      <w:pPr>
        <w:pStyle w:val="Content"/>
        <w:jc w:val="center"/>
        <w:rPr>
          <w:sz w:val="20"/>
          <w:szCs w:val="20"/>
        </w:rPr>
      </w:pPr>
      <w:bookmarkStart w:id="56" w:name="_Toc156952091"/>
      <w:r w:rsidRPr="007F0EDD">
        <w:rPr>
          <w:sz w:val="20"/>
          <w:szCs w:val="20"/>
        </w:rPr>
        <w:t xml:space="preserve">Figure </w:t>
      </w:r>
      <w:r w:rsidRPr="007F0EDD">
        <w:rPr>
          <w:sz w:val="20"/>
          <w:szCs w:val="20"/>
        </w:rPr>
        <w:fldChar w:fldCharType="begin"/>
      </w:r>
      <w:r w:rsidRPr="007F0EDD">
        <w:rPr>
          <w:sz w:val="20"/>
          <w:szCs w:val="20"/>
        </w:rPr>
        <w:instrText xml:space="preserve"> SEQ Figure \* ARABIC </w:instrText>
      </w:r>
      <w:r w:rsidRPr="007F0EDD">
        <w:rPr>
          <w:sz w:val="20"/>
          <w:szCs w:val="20"/>
        </w:rPr>
        <w:fldChar w:fldCharType="separate"/>
      </w:r>
      <w:r>
        <w:rPr>
          <w:noProof/>
          <w:sz w:val="20"/>
          <w:szCs w:val="20"/>
        </w:rPr>
        <w:t>15</w:t>
      </w:r>
      <w:r w:rsidRPr="007F0EDD">
        <w:rPr>
          <w:sz w:val="20"/>
          <w:szCs w:val="20"/>
        </w:rPr>
        <w:fldChar w:fldCharType="end"/>
      </w:r>
      <w:r w:rsidRPr="007F0EDD">
        <w:rPr>
          <w:sz w:val="20"/>
          <w:szCs w:val="20"/>
        </w:rPr>
        <w:t>: Training Program Impact on Building work relationship</w:t>
      </w:r>
      <w:bookmarkEnd w:id="56"/>
    </w:p>
    <w:p w:rsidR="00020D70" w:rsidRDefault="00020D70" w:rsidP="00020D70">
      <w:pPr>
        <w:jc w:val="center"/>
      </w:pPr>
      <w:r w:rsidRPr="007F0EDD">
        <w:rPr>
          <w:noProof/>
          <w:lang w:val="en-US" w:bidi="gu-IN"/>
        </w:rPr>
        <w:drawing>
          <wp:inline distT="0" distB="0" distL="0" distR="0" wp14:anchorId="3CAA5CE7" wp14:editId="6EBAE75A">
            <wp:extent cx="5471634" cy="2408129"/>
            <wp:effectExtent l="0" t="0" r="0" b="0"/>
            <wp:docPr id="1784385736" name="Picture 1" descr="A graph with blue rectangl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385736" name="Picture 1" descr="A graph with blue rectangles and numbers&#10;&#10;Description automatically generated"/>
                    <pic:cNvPicPr/>
                  </pic:nvPicPr>
                  <pic:blipFill>
                    <a:blip r:embed="rId23"/>
                    <a:stretch>
                      <a:fillRect/>
                    </a:stretch>
                  </pic:blipFill>
                  <pic:spPr>
                    <a:xfrm>
                      <a:off x="0" y="0"/>
                      <a:ext cx="5471634" cy="2408129"/>
                    </a:xfrm>
                    <a:prstGeom prst="rect">
                      <a:avLst/>
                    </a:prstGeom>
                  </pic:spPr>
                </pic:pic>
              </a:graphicData>
            </a:graphic>
          </wp:inline>
        </w:drawing>
      </w:r>
    </w:p>
    <w:p w:rsidR="00020D70" w:rsidRDefault="00020D70" w:rsidP="00020D70">
      <w:pPr>
        <w:pStyle w:val="Content"/>
      </w:pPr>
      <w:r w:rsidRPr="00AE0890">
        <w:t xml:space="preserve">The data on impacts of training exposure on employee motivation levels showcases predominantly positive signals, supporting theoretical links between developing </w:t>
      </w:r>
      <w:r>
        <w:t>employee relations</w:t>
      </w:r>
      <w:r w:rsidRPr="00AE0890">
        <w:t xml:space="preserve"> and engagement. Specifically, 38.71% of Amazon staff denote training initiatives greatly boosting their work motivation by strengthening competencies, confidence and career progress prospects. Another 35.48% highlight reasonably elevated drive through sufficient skill uplifts from the learning avenues made accessible. Together this implies three-fourths acknowledging definite motivational improvements tied to organizational support for capability advancement. Further, 12.9% admit some motivation increments from new knowledge acquired. However, 9.68% interestingly state no particular perceptible change in their drive or morale. More concerning, 3.23% even admit lowered motivation without clarifying exact causal mechanisms.</w:t>
      </w:r>
    </w:p>
    <w:p w:rsidR="00020D70" w:rsidRPr="007F0EDD" w:rsidRDefault="00020D70" w:rsidP="00020D70">
      <w:pPr>
        <w:pStyle w:val="Content"/>
        <w:jc w:val="center"/>
        <w:rPr>
          <w:sz w:val="20"/>
          <w:szCs w:val="20"/>
        </w:rPr>
      </w:pPr>
      <w:bookmarkStart w:id="57" w:name="_Toc156952092"/>
      <w:r w:rsidRPr="007F0EDD">
        <w:rPr>
          <w:sz w:val="20"/>
          <w:szCs w:val="20"/>
        </w:rPr>
        <w:lastRenderedPageBreak/>
        <w:t xml:space="preserve">Figure </w:t>
      </w:r>
      <w:r w:rsidRPr="007F0EDD">
        <w:rPr>
          <w:sz w:val="20"/>
          <w:szCs w:val="20"/>
        </w:rPr>
        <w:fldChar w:fldCharType="begin"/>
      </w:r>
      <w:r w:rsidRPr="007F0EDD">
        <w:rPr>
          <w:sz w:val="20"/>
          <w:szCs w:val="20"/>
        </w:rPr>
        <w:instrText xml:space="preserve"> SEQ Figure \* ARABIC </w:instrText>
      </w:r>
      <w:r w:rsidRPr="007F0EDD">
        <w:rPr>
          <w:sz w:val="20"/>
          <w:szCs w:val="20"/>
        </w:rPr>
        <w:fldChar w:fldCharType="separate"/>
      </w:r>
      <w:r>
        <w:rPr>
          <w:noProof/>
          <w:sz w:val="20"/>
          <w:szCs w:val="20"/>
        </w:rPr>
        <w:t>16</w:t>
      </w:r>
      <w:r w:rsidRPr="007F0EDD">
        <w:rPr>
          <w:sz w:val="20"/>
          <w:szCs w:val="20"/>
        </w:rPr>
        <w:fldChar w:fldCharType="end"/>
      </w:r>
      <w:r w:rsidRPr="007F0EDD">
        <w:rPr>
          <w:sz w:val="20"/>
          <w:szCs w:val="20"/>
        </w:rPr>
        <w:t>: Training to Increase Employee Motivation Levels</w:t>
      </w:r>
      <w:bookmarkEnd w:id="57"/>
    </w:p>
    <w:p w:rsidR="00020D70" w:rsidRDefault="00020D70" w:rsidP="00020D70">
      <w:pPr>
        <w:jc w:val="center"/>
      </w:pPr>
      <w:r w:rsidRPr="007F0EDD">
        <w:rPr>
          <w:noProof/>
          <w:lang w:val="en-US" w:bidi="gu-IN"/>
        </w:rPr>
        <w:drawing>
          <wp:inline distT="0" distB="0" distL="0" distR="0" wp14:anchorId="134A54F2" wp14:editId="25A97519">
            <wp:extent cx="4335780" cy="1958340"/>
            <wp:effectExtent l="0" t="0" r="7620" b="3810"/>
            <wp:docPr id="421004369" name="Picture 1" descr="A graph of a number of blue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004369" name="Picture 1" descr="A graph of a number of blue squares&#10;&#10;Description automatically generated with medium confidence"/>
                    <pic:cNvPicPr/>
                  </pic:nvPicPr>
                  <pic:blipFill>
                    <a:blip r:embed="rId24"/>
                    <a:stretch>
                      <a:fillRect/>
                    </a:stretch>
                  </pic:blipFill>
                  <pic:spPr>
                    <a:xfrm>
                      <a:off x="0" y="0"/>
                      <a:ext cx="4336161" cy="1958512"/>
                    </a:xfrm>
                    <a:prstGeom prst="rect">
                      <a:avLst/>
                    </a:prstGeom>
                  </pic:spPr>
                </pic:pic>
              </a:graphicData>
            </a:graphic>
          </wp:inline>
        </w:drawing>
      </w:r>
    </w:p>
    <w:p w:rsidR="00020D70" w:rsidRDefault="00020D70" w:rsidP="00020D70">
      <w:pPr>
        <w:jc w:val="center"/>
      </w:pPr>
    </w:p>
    <w:p w:rsidR="00020D70" w:rsidRDefault="00020D70" w:rsidP="00020D70">
      <w:pPr>
        <w:pStyle w:val="Heading2"/>
      </w:pPr>
      <w:bookmarkStart w:id="58" w:name="_Toc156990276"/>
      <w:r>
        <w:t>Correlation Analysis</w:t>
      </w:r>
      <w:bookmarkEnd w:id="58"/>
    </w:p>
    <w:p w:rsidR="00020D70" w:rsidRDefault="00020D70" w:rsidP="00020D70">
      <w:pPr>
        <w:pStyle w:val="Content"/>
      </w:pPr>
      <w:r>
        <w:t>The correlation analysis reveals interesting relationships among various aspects of training and development programs, shedding light on their potential impact on employee relations at Amazon. Mentoring opportunities exhibit a strong positive correlation with availability and transparency (r = 0.54), indicating that as mentoring opportunities increase, there is a tendency for improved information accessibility and transparency. However, a negative correlation exists between mentoring opportunities and the frequency of new programs (r = -0.36), suggesting a potential trade-off – higher mentoring opportunities may be associated with a decrease in the frequency of introducing new programs. Availability and transparency of information are positively correlated with improvement in work (r = 0.51) and building stronger working relationships (r = 0.67). This implies that as the availability and transparency of training information increase, there is a tendency for work improvement and stronger team dynamics.</w:t>
      </w:r>
    </w:p>
    <w:p w:rsidR="00020D70" w:rsidRDefault="00020D70" w:rsidP="00020D70">
      <w:pPr>
        <w:pStyle w:val="Content"/>
      </w:pPr>
      <w:r>
        <w:t xml:space="preserve">Improvement in work correlates positively with availability and transparency (r = 0.51) and interpersonal and strategic skills (r = 0.23). This suggests that when there is improvement in work quality, it is associated with better information accessibility, transparency, and enhanced interpersonal and strategic skills. Building stronger working relationships also shows positive correlations with mentoring opportunities (r = 0.42), availability and transparency (r = 0.67), and improvement in work (r = 0.43). This indicates that as these aspects of training and development programs improve, there is a tendency for building stronger relationships within teams. Employee motivation levels exhibit positive correlations with availability and </w:t>
      </w:r>
      <w:r>
        <w:lastRenderedPageBreak/>
        <w:t>transparency (r = 0.53) and improvement in work (r = 0.48). This suggests that increased transparency and better work quality may contribute to higher employee motivation levels.</w:t>
      </w:r>
    </w:p>
    <w:p w:rsidR="00020D70" w:rsidRDefault="00020D70" w:rsidP="00020D70">
      <w:pPr>
        <w:pStyle w:val="Content"/>
      </w:pPr>
      <w:r>
        <w:t>These correlation findings suggest that certain elements of training and development programs, such as mentoring opportunities, availability and transparency, and work improvement, may play a crucial role in fostering positive employee relations at Amazon. While correlations provide insights into associations, it's essential to acknowledge that correlation does not establish causation. Further research, such as longitudinal studies or controlled experiments, would be necessary to explore the causal relationships between these variables and employee relations. Nonetheless, the positive correlations identified in this analysis provide a foundation for understanding the potential influence of training programs on various facets of employee relations at Amazon.</w:t>
      </w:r>
    </w:p>
    <w:p w:rsidR="00020D70" w:rsidRDefault="00020D70" w:rsidP="00020D70">
      <w:pPr>
        <w:pStyle w:val="Content"/>
      </w:pPr>
    </w:p>
    <w:p w:rsidR="00020D70" w:rsidRPr="003478D8" w:rsidRDefault="00020D70" w:rsidP="00020D70">
      <w:pPr>
        <w:pStyle w:val="Content"/>
        <w:jc w:val="center"/>
        <w:rPr>
          <w:b/>
          <w:bCs/>
          <w:sz w:val="20"/>
          <w:szCs w:val="20"/>
        </w:rPr>
      </w:pPr>
      <w:bookmarkStart w:id="59" w:name="_Toc156952093"/>
      <w:r w:rsidRPr="003478D8">
        <w:rPr>
          <w:b/>
          <w:bCs/>
          <w:sz w:val="20"/>
          <w:szCs w:val="20"/>
        </w:rPr>
        <w:t xml:space="preserve">Table </w:t>
      </w:r>
      <w:r w:rsidRPr="003478D8">
        <w:rPr>
          <w:b/>
          <w:bCs/>
          <w:sz w:val="20"/>
          <w:szCs w:val="20"/>
        </w:rPr>
        <w:fldChar w:fldCharType="begin"/>
      </w:r>
      <w:r w:rsidRPr="003478D8">
        <w:rPr>
          <w:b/>
          <w:bCs/>
          <w:sz w:val="20"/>
          <w:szCs w:val="20"/>
        </w:rPr>
        <w:instrText xml:space="preserve"> SEQ Table \* ARABIC </w:instrText>
      </w:r>
      <w:r w:rsidRPr="003478D8">
        <w:rPr>
          <w:b/>
          <w:bCs/>
          <w:sz w:val="20"/>
          <w:szCs w:val="20"/>
        </w:rPr>
        <w:fldChar w:fldCharType="separate"/>
      </w:r>
      <w:r>
        <w:rPr>
          <w:b/>
          <w:bCs/>
          <w:noProof/>
          <w:sz w:val="20"/>
          <w:szCs w:val="20"/>
        </w:rPr>
        <w:t>1</w:t>
      </w:r>
      <w:r w:rsidRPr="003478D8">
        <w:rPr>
          <w:b/>
          <w:bCs/>
          <w:sz w:val="20"/>
          <w:szCs w:val="20"/>
        </w:rPr>
        <w:fldChar w:fldCharType="end"/>
      </w:r>
      <w:r w:rsidRPr="003478D8">
        <w:rPr>
          <w:b/>
          <w:bCs/>
          <w:sz w:val="20"/>
          <w:szCs w:val="20"/>
        </w:rPr>
        <w:t>: Correlation Analysis</w:t>
      </w:r>
      <w:bookmarkEnd w:id="59"/>
    </w:p>
    <w:tbl>
      <w:tblPr>
        <w:tblStyle w:val="TableGrid"/>
        <w:tblW w:w="0" w:type="auto"/>
        <w:tblLook w:val="04A0" w:firstRow="1" w:lastRow="0" w:firstColumn="1" w:lastColumn="0" w:noHBand="0" w:noVBand="1"/>
      </w:tblPr>
      <w:tblGrid>
        <w:gridCol w:w="1185"/>
        <w:gridCol w:w="1181"/>
        <w:gridCol w:w="1126"/>
        <w:gridCol w:w="1155"/>
        <w:gridCol w:w="1163"/>
        <w:gridCol w:w="1243"/>
        <w:gridCol w:w="1108"/>
        <w:gridCol w:w="1081"/>
      </w:tblGrid>
      <w:tr w:rsidR="00020D70" w:rsidRPr="00B33673" w:rsidTr="00A72AFA">
        <w:trPr>
          <w:trHeight w:val="1246"/>
        </w:trPr>
        <w:tc>
          <w:tcPr>
            <w:tcW w:w="1780" w:type="dxa"/>
            <w:hideMark/>
          </w:tcPr>
          <w:p w:rsidR="00020D70" w:rsidRPr="00B33673" w:rsidRDefault="00020D70" w:rsidP="00A72AFA">
            <w:pPr>
              <w:pStyle w:val="Content"/>
              <w:rPr>
                <w:rFonts w:cs="Times New Roman"/>
                <w:sz w:val="16"/>
                <w:szCs w:val="16"/>
              </w:rPr>
            </w:pPr>
            <w:r w:rsidRPr="00B33673">
              <w:rPr>
                <w:rFonts w:cs="Times New Roman"/>
                <w:sz w:val="16"/>
                <w:szCs w:val="16"/>
              </w:rPr>
              <w:t> </w:t>
            </w:r>
          </w:p>
        </w:tc>
        <w:tc>
          <w:tcPr>
            <w:tcW w:w="1760" w:type="dxa"/>
            <w:hideMark/>
          </w:tcPr>
          <w:p w:rsidR="00020D70" w:rsidRPr="00B33673" w:rsidRDefault="00020D70" w:rsidP="00A72AFA">
            <w:pPr>
              <w:pStyle w:val="Content"/>
              <w:rPr>
                <w:rFonts w:cs="Times New Roman"/>
                <w:sz w:val="16"/>
                <w:szCs w:val="16"/>
              </w:rPr>
            </w:pPr>
            <w:r w:rsidRPr="00B33673">
              <w:rPr>
                <w:rFonts w:cs="Times New Roman"/>
                <w:sz w:val="16"/>
                <w:szCs w:val="16"/>
              </w:rPr>
              <w:t>Mentoring Opportunities</w:t>
            </w:r>
          </w:p>
        </w:tc>
        <w:tc>
          <w:tcPr>
            <w:tcW w:w="1600" w:type="dxa"/>
            <w:hideMark/>
          </w:tcPr>
          <w:p w:rsidR="00020D70" w:rsidRPr="00B33673" w:rsidRDefault="00020D70" w:rsidP="00A72AFA">
            <w:pPr>
              <w:pStyle w:val="Content"/>
              <w:rPr>
                <w:rFonts w:cs="Times New Roman"/>
                <w:sz w:val="16"/>
                <w:szCs w:val="16"/>
              </w:rPr>
            </w:pPr>
            <w:r w:rsidRPr="00B33673">
              <w:rPr>
                <w:rFonts w:cs="Times New Roman"/>
                <w:sz w:val="16"/>
                <w:szCs w:val="16"/>
              </w:rPr>
              <w:t>Frequency of New Programs</w:t>
            </w:r>
          </w:p>
        </w:tc>
        <w:tc>
          <w:tcPr>
            <w:tcW w:w="1660" w:type="dxa"/>
            <w:hideMark/>
          </w:tcPr>
          <w:p w:rsidR="00020D70" w:rsidRPr="00B33673" w:rsidRDefault="00020D70" w:rsidP="00A72AFA">
            <w:pPr>
              <w:pStyle w:val="Content"/>
              <w:rPr>
                <w:rFonts w:cs="Times New Roman"/>
                <w:sz w:val="16"/>
                <w:szCs w:val="16"/>
              </w:rPr>
            </w:pPr>
            <w:r w:rsidRPr="00B33673">
              <w:rPr>
                <w:rFonts w:cs="Times New Roman"/>
                <w:sz w:val="16"/>
                <w:szCs w:val="16"/>
              </w:rPr>
              <w:t>Availability and Transparency</w:t>
            </w:r>
          </w:p>
        </w:tc>
        <w:tc>
          <w:tcPr>
            <w:tcW w:w="1740" w:type="dxa"/>
            <w:hideMark/>
          </w:tcPr>
          <w:p w:rsidR="00020D70" w:rsidRPr="00B33673" w:rsidRDefault="00020D70" w:rsidP="00A72AFA">
            <w:pPr>
              <w:pStyle w:val="Content"/>
              <w:rPr>
                <w:rFonts w:cs="Times New Roman"/>
                <w:sz w:val="16"/>
                <w:szCs w:val="16"/>
              </w:rPr>
            </w:pPr>
            <w:r w:rsidRPr="00B33673">
              <w:rPr>
                <w:rFonts w:cs="Times New Roman"/>
                <w:sz w:val="16"/>
                <w:szCs w:val="16"/>
              </w:rPr>
              <w:t>Improvement in Work</w:t>
            </w:r>
          </w:p>
        </w:tc>
        <w:tc>
          <w:tcPr>
            <w:tcW w:w="2480" w:type="dxa"/>
            <w:hideMark/>
          </w:tcPr>
          <w:p w:rsidR="00020D70" w:rsidRPr="00B33673" w:rsidRDefault="00020D70" w:rsidP="00A72AFA">
            <w:pPr>
              <w:pStyle w:val="Content"/>
              <w:rPr>
                <w:rFonts w:cs="Times New Roman"/>
                <w:sz w:val="16"/>
                <w:szCs w:val="16"/>
              </w:rPr>
            </w:pPr>
            <w:r w:rsidRPr="00B33673">
              <w:rPr>
                <w:rFonts w:cs="Times New Roman"/>
                <w:sz w:val="16"/>
                <w:szCs w:val="16"/>
              </w:rPr>
              <w:t>Interpersonal and Strategic Skills</w:t>
            </w:r>
          </w:p>
        </w:tc>
        <w:tc>
          <w:tcPr>
            <w:tcW w:w="1240" w:type="dxa"/>
            <w:hideMark/>
          </w:tcPr>
          <w:p w:rsidR="00020D70" w:rsidRPr="00B33673" w:rsidRDefault="00020D70" w:rsidP="00A72AFA">
            <w:pPr>
              <w:pStyle w:val="Content"/>
              <w:rPr>
                <w:rFonts w:cs="Times New Roman"/>
                <w:sz w:val="16"/>
                <w:szCs w:val="16"/>
              </w:rPr>
            </w:pPr>
            <w:r w:rsidRPr="00B33673">
              <w:rPr>
                <w:rFonts w:cs="Times New Roman"/>
                <w:sz w:val="16"/>
                <w:szCs w:val="16"/>
              </w:rPr>
              <w:t>Building Stronger Working Relationships</w:t>
            </w:r>
          </w:p>
        </w:tc>
        <w:tc>
          <w:tcPr>
            <w:tcW w:w="2120" w:type="dxa"/>
            <w:hideMark/>
          </w:tcPr>
          <w:p w:rsidR="00020D70" w:rsidRPr="00B33673" w:rsidRDefault="00020D70" w:rsidP="00A72AFA">
            <w:pPr>
              <w:pStyle w:val="Content"/>
              <w:rPr>
                <w:rFonts w:cs="Times New Roman"/>
                <w:sz w:val="16"/>
                <w:szCs w:val="16"/>
              </w:rPr>
            </w:pPr>
            <w:r w:rsidRPr="00B33673">
              <w:rPr>
                <w:rFonts w:cs="Times New Roman"/>
                <w:sz w:val="16"/>
                <w:szCs w:val="16"/>
              </w:rPr>
              <w:t>Employee Motivation Levels</w:t>
            </w:r>
          </w:p>
        </w:tc>
      </w:tr>
      <w:tr w:rsidR="00020D70" w:rsidRPr="00B33673" w:rsidTr="00A72AFA">
        <w:trPr>
          <w:trHeight w:val="528"/>
        </w:trPr>
        <w:tc>
          <w:tcPr>
            <w:tcW w:w="1780" w:type="dxa"/>
            <w:hideMark/>
          </w:tcPr>
          <w:p w:rsidR="00020D70" w:rsidRPr="00B33673" w:rsidRDefault="00020D70" w:rsidP="00A72AFA">
            <w:pPr>
              <w:pStyle w:val="Content"/>
              <w:rPr>
                <w:rFonts w:cs="Times New Roman"/>
                <w:sz w:val="16"/>
                <w:szCs w:val="16"/>
              </w:rPr>
            </w:pPr>
            <w:r w:rsidRPr="00B33673">
              <w:rPr>
                <w:rFonts w:cs="Times New Roman"/>
                <w:sz w:val="16"/>
                <w:szCs w:val="16"/>
              </w:rPr>
              <w:t>Mentoring Opportunities</w:t>
            </w:r>
          </w:p>
        </w:tc>
        <w:tc>
          <w:tcPr>
            <w:tcW w:w="1760" w:type="dxa"/>
            <w:hideMark/>
          </w:tcPr>
          <w:p w:rsidR="00020D70" w:rsidRPr="00B33673" w:rsidRDefault="00020D70" w:rsidP="00A72AFA">
            <w:pPr>
              <w:pStyle w:val="Content"/>
              <w:rPr>
                <w:rFonts w:cs="Times New Roman"/>
                <w:sz w:val="16"/>
                <w:szCs w:val="16"/>
              </w:rPr>
            </w:pPr>
            <w:r w:rsidRPr="00B33673">
              <w:rPr>
                <w:rFonts w:cs="Times New Roman"/>
                <w:sz w:val="16"/>
                <w:szCs w:val="16"/>
              </w:rPr>
              <w:t>1</w:t>
            </w:r>
          </w:p>
        </w:tc>
        <w:tc>
          <w:tcPr>
            <w:tcW w:w="1600" w:type="dxa"/>
            <w:hideMark/>
          </w:tcPr>
          <w:p w:rsidR="00020D70" w:rsidRPr="00B33673" w:rsidRDefault="00020D70" w:rsidP="00A72AFA">
            <w:pPr>
              <w:pStyle w:val="Content"/>
              <w:rPr>
                <w:rFonts w:cs="Times New Roman"/>
                <w:sz w:val="16"/>
                <w:szCs w:val="16"/>
              </w:rPr>
            </w:pPr>
            <w:r w:rsidRPr="00B33673">
              <w:rPr>
                <w:rFonts w:cs="Times New Roman"/>
                <w:sz w:val="16"/>
                <w:szCs w:val="16"/>
              </w:rPr>
              <w:t> </w:t>
            </w:r>
          </w:p>
        </w:tc>
        <w:tc>
          <w:tcPr>
            <w:tcW w:w="1660" w:type="dxa"/>
            <w:hideMark/>
          </w:tcPr>
          <w:p w:rsidR="00020D70" w:rsidRPr="00B33673" w:rsidRDefault="00020D70" w:rsidP="00A72AFA">
            <w:pPr>
              <w:pStyle w:val="Content"/>
              <w:rPr>
                <w:rFonts w:cs="Times New Roman"/>
                <w:sz w:val="16"/>
                <w:szCs w:val="16"/>
              </w:rPr>
            </w:pPr>
            <w:r w:rsidRPr="00B33673">
              <w:rPr>
                <w:rFonts w:cs="Times New Roman"/>
                <w:sz w:val="16"/>
                <w:szCs w:val="16"/>
              </w:rPr>
              <w:t> </w:t>
            </w:r>
          </w:p>
        </w:tc>
        <w:tc>
          <w:tcPr>
            <w:tcW w:w="1740" w:type="dxa"/>
            <w:hideMark/>
          </w:tcPr>
          <w:p w:rsidR="00020D70" w:rsidRPr="00B33673" w:rsidRDefault="00020D70" w:rsidP="00A72AFA">
            <w:pPr>
              <w:pStyle w:val="Content"/>
              <w:rPr>
                <w:rFonts w:cs="Times New Roman"/>
                <w:sz w:val="16"/>
                <w:szCs w:val="16"/>
              </w:rPr>
            </w:pPr>
            <w:r w:rsidRPr="00B33673">
              <w:rPr>
                <w:rFonts w:cs="Times New Roman"/>
                <w:sz w:val="16"/>
                <w:szCs w:val="16"/>
              </w:rPr>
              <w:t> </w:t>
            </w:r>
          </w:p>
        </w:tc>
        <w:tc>
          <w:tcPr>
            <w:tcW w:w="2480" w:type="dxa"/>
            <w:hideMark/>
          </w:tcPr>
          <w:p w:rsidR="00020D70" w:rsidRPr="00B33673" w:rsidRDefault="00020D70" w:rsidP="00A72AFA">
            <w:pPr>
              <w:pStyle w:val="Content"/>
              <w:rPr>
                <w:rFonts w:cs="Times New Roman"/>
                <w:sz w:val="16"/>
                <w:szCs w:val="16"/>
              </w:rPr>
            </w:pPr>
            <w:r w:rsidRPr="00B33673">
              <w:rPr>
                <w:rFonts w:cs="Times New Roman"/>
                <w:sz w:val="16"/>
                <w:szCs w:val="16"/>
              </w:rPr>
              <w:t> </w:t>
            </w:r>
          </w:p>
        </w:tc>
        <w:tc>
          <w:tcPr>
            <w:tcW w:w="1240" w:type="dxa"/>
            <w:hideMark/>
          </w:tcPr>
          <w:p w:rsidR="00020D70" w:rsidRPr="00B33673" w:rsidRDefault="00020D70" w:rsidP="00A72AFA">
            <w:pPr>
              <w:pStyle w:val="Content"/>
              <w:rPr>
                <w:rFonts w:cs="Times New Roman"/>
                <w:sz w:val="16"/>
                <w:szCs w:val="16"/>
              </w:rPr>
            </w:pPr>
            <w:r w:rsidRPr="00B33673">
              <w:rPr>
                <w:rFonts w:cs="Times New Roman"/>
                <w:sz w:val="16"/>
                <w:szCs w:val="16"/>
              </w:rPr>
              <w:t> </w:t>
            </w:r>
          </w:p>
        </w:tc>
        <w:tc>
          <w:tcPr>
            <w:tcW w:w="2120" w:type="dxa"/>
            <w:hideMark/>
          </w:tcPr>
          <w:p w:rsidR="00020D70" w:rsidRPr="00B33673" w:rsidRDefault="00020D70" w:rsidP="00A72AFA">
            <w:pPr>
              <w:pStyle w:val="Content"/>
              <w:rPr>
                <w:rFonts w:cs="Times New Roman"/>
                <w:sz w:val="16"/>
                <w:szCs w:val="16"/>
              </w:rPr>
            </w:pPr>
            <w:r w:rsidRPr="00B33673">
              <w:rPr>
                <w:rFonts w:cs="Times New Roman"/>
                <w:sz w:val="16"/>
                <w:szCs w:val="16"/>
              </w:rPr>
              <w:t> </w:t>
            </w:r>
          </w:p>
        </w:tc>
      </w:tr>
      <w:tr w:rsidR="00020D70" w:rsidRPr="00B33673" w:rsidTr="00A72AFA">
        <w:trPr>
          <w:trHeight w:val="528"/>
        </w:trPr>
        <w:tc>
          <w:tcPr>
            <w:tcW w:w="1780" w:type="dxa"/>
            <w:hideMark/>
          </w:tcPr>
          <w:p w:rsidR="00020D70" w:rsidRPr="00B33673" w:rsidRDefault="00020D70" w:rsidP="00A72AFA">
            <w:pPr>
              <w:pStyle w:val="Content"/>
              <w:rPr>
                <w:rFonts w:cs="Times New Roman"/>
                <w:sz w:val="16"/>
                <w:szCs w:val="16"/>
              </w:rPr>
            </w:pPr>
            <w:r w:rsidRPr="00B33673">
              <w:rPr>
                <w:rFonts w:cs="Times New Roman"/>
                <w:sz w:val="16"/>
                <w:szCs w:val="16"/>
              </w:rPr>
              <w:t>Frequency of New Programs</w:t>
            </w:r>
          </w:p>
        </w:tc>
        <w:tc>
          <w:tcPr>
            <w:tcW w:w="1760" w:type="dxa"/>
            <w:hideMark/>
          </w:tcPr>
          <w:p w:rsidR="00020D70" w:rsidRPr="00B33673" w:rsidRDefault="00020D70" w:rsidP="00A72AFA">
            <w:pPr>
              <w:pStyle w:val="Content"/>
              <w:rPr>
                <w:rFonts w:cs="Times New Roman"/>
                <w:sz w:val="16"/>
                <w:szCs w:val="16"/>
              </w:rPr>
            </w:pPr>
            <w:r w:rsidRPr="00B33673">
              <w:rPr>
                <w:rFonts w:cs="Times New Roman"/>
                <w:sz w:val="16"/>
                <w:szCs w:val="16"/>
              </w:rPr>
              <w:t>-0.355987067</w:t>
            </w:r>
          </w:p>
        </w:tc>
        <w:tc>
          <w:tcPr>
            <w:tcW w:w="1600" w:type="dxa"/>
            <w:hideMark/>
          </w:tcPr>
          <w:p w:rsidR="00020D70" w:rsidRPr="00B33673" w:rsidRDefault="00020D70" w:rsidP="00A72AFA">
            <w:pPr>
              <w:pStyle w:val="Content"/>
              <w:rPr>
                <w:rFonts w:cs="Times New Roman"/>
                <w:sz w:val="16"/>
                <w:szCs w:val="16"/>
              </w:rPr>
            </w:pPr>
            <w:r w:rsidRPr="00B33673">
              <w:rPr>
                <w:rFonts w:cs="Times New Roman"/>
                <w:sz w:val="16"/>
                <w:szCs w:val="16"/>
              </w:rPr>
              <w:t>1</w:t>
            </w:r>
          </w:p>
        </w:tc>
        <w:tc>
          <w:tcPr>
            <w:tcW w:w="1660" w:type="dxa"/>
            <w:hideMark/>
          </w:tcPr>
          <w:p w:rsidR="00020D70" w:rsidRPr="00B33673" w:rsidRDefault="00020D70" w:rsidP="00A72AFA">
            <w:pPr>
              <w:pStyle w:val="Content"/>
              <w:rPr>
                <w:rFonts w:cs="Times New Roman"/>
                <w:sz w:val="16"/>
                <w:szCs w:val="16"/>
              </w:rPr>
            </w:pPr>
            <w:r w:rsidRPr="00B33673">
              <w:rPr>
                <w:rFonts w:cs="Times New Roman"/>
                <w:sz w:val="16"/>
                <w:szCs w:val="16"/>
              </w:rPr>
              <w:t> </w:t>
            </w:r>
          </w:p>
        </w:tc>
        <w:tc>
          <w:tcPr>
            <w:tcW w:w="1740" w:type="dxa"/>
            <w:hideMark/>
          </w:tcPr>
          <w:p w:rsidR="00020D70" w:rsidRPr="00B33673" w:rsidRDefault="00020D70" w:rsidP="00A72AFA">
            <w:pPr>
              <w:pStyle w:val="Content"/>
              <w:rPr>
                <w:rFonts w:cs="Times New Roman"/>
                <w:sz w:val="16"/>
                <w:szCs w:val="16"/>
              </w:rPr>
            </w:pPr>
            <w:r w:rsidRPr="00B33673">
              <w:rPr>
                <w:rFonts w:cs="Times New Roman"/>
                <w:sz w:val="16"/>
                <w:szCs w:val="16"/>
              </w:rPr>
              <w:t> </w:t>
            </w:r>
          </w:p>
        </w:tc>
        <w:tc>
          <w:tcPr>
            <w:tcW w:w="2480" w:type="dxa"/>
            <w:hideMark/>
          </w:tcPr>
          <w:p w:rsidR="00020D70" w:rsidRPr="00B33673" w:rsidRDefault="00020D70" w:rsidP="00A72AFA">
            <w:pPr>
              <w:pStyle w:val="Content"/>
              <w:rPr>
                <w:rFonts w:cs="Times New Roman"/>
                <w:sz w:val="16"/>
                <w:szCs w:val="16"/>
              </w:rPr>
            </w:pPr>
            <w:r w:rsidRPr="00B33673">
              <w:rPr>
                <w:rFonts w:cs="Times New Roman"/>
                <w:sz w:val="16"/>
                <w:szCs w:val="16"/>
              </w:rPr>
              <w:t> </w:t>
            </w:r>
          </w:p>
        </w:tc>
        <w:tc>
          <w:tcPr>
            <w:tcW w:w="1240" w:type="dxa"/>
            <w:hideMark/>
          </w:tcPr>
          <w:p w:rsidR="00020D70" w:rsidRPr="00B33673" w:rsidRDefault="00020D70" w:rsidP="00A72AFA">
            <w:pPr>
              <w:pStyle w:val="Content"/>
              <w:rPr>
                <w:rFonts w:cs="Times New Roman"/>
                <w:sz w:val="16"/>
                <w:szCs w:val="16"/>
              </w:rPr>
            </w:pPr>
            <w:r w:rsidRPr="00B33673">
              <w:rPr>
                <w:rFonts w:cs="Times New Roman"/>
                <w:sz w:val="16"/>
                <w:szCs w:val="16"/>
              </w:rPr>
              <w:t> </w:t>
            </w:r>
          </w:p>
        </w:tc>
        <w:tc>
          <w:tcPr>
            <w:tcW w:w="2120" w:type="dxa"/>
            <w:hideMark/>
          </w:tcPr>
          <w:p w:rsidR="00020D70" w:rsidRPr="00B33673" w:rsidRDefault="00020D70" w:rsidP="00A72AFA">
            <w:pPr>
              <w:pStyle w:val="Content"/>
              <w:rPr>
                <w:rFonts w:cs="Times New Roman"/>
                <w:sz w:val="16"/>
                <w:szCs w:val="16"/>
              </w:rPr>
            </w:pPr>
            <w:r w:rsidRPr="00B33673">
              <w:rPr>
                <w:rFonts w:cs="Times New Roman"/>
                <w:sz w:val="16"/>
                <w:szCs w:val="16"/>
              </w:rPr>
              <w:t> </w:t>
            </w:r>
          </w:p>
        </w:tc>
      </w:tr>
      <w:tr w:rsidR="00020D70" w:rsidRPr="00B33673" w:rsidTr="00A72AFA">
        <w:trPr>
          <w:trHeight w:val="528"/>
        </w:trPr>
        <w:tc>
          <w:tcPr>
            <w:tcW w:w="1780" w:type="dxa"/>
            <w:hideMark/>
          </w:tcPr>
          <w:p w:rsidR="00020D70" w:rsidRPr="00B33673" w:rsidRDefault="00020D70" w:rsidP="00A72AFA">
            <w:pPr>
              <w:pStyle w:val="Content"/>
              <w:rPr>
                <w:rFonts w:cs="Times New Roman"/>
                <w:sz w:val="16"/>
                <w:szCs w:val="16"/>
              </w:rPr>
            </w:pPr>
            <w:r w:rsidRPr="00B33673">
              <w:rPr>
                <w:rFonts w:cs="Times New Roman"/>
                <w:sz w:val="16"/>
                <w:szCs w:val="16"/>
              </w:rPr>
              <w:t>Availability and Transparency</w:t>
            </w:r>
          </w:p>
        </w:tc>
        <w:tc>
          <w:tcPr>
            <w:tcW w:w="1760" w:type="dxa"/>
            <w:hideMark/>
          </w:tcPr>
          <w:p w:rsidR="00020D70" w:rsidRPr="00B33673" w:rsidRDefault="00020D70" w:rsidP="00A72AFA">
            <w:pPr>
              <w:pStyle w:val="Content"/>
              <w:rPr>
                <w:rFonts w:cs="Times New Roman"/>
                <w:sz w:val="16"/>
                <w:szCs w:val="16"/>
              </w:rPr>
            </w:pPr>
            <w:r w:rsidRPr="00B33673">
              <w:rPr>
                <w:rFonts w:cs="Times New Roman"/>
                <w:sz w:val="16"/>
                <w:szCs w:val="16"/>
              </w:rPr>
              <w:t>0.536978564</w:t>
            </w:r>
          </w:p>
        </w:tc>
        <w:tc>
          <w:tcPr>
            <w:tcW w:w="1600" w:type="dxa"/>
            <w:hideMark/>
          </w:tcPr>
          <w:p w:rsidR="00020D70" w:rsidRPr="00B33673" w:rsidRDefault="00020D70" w:rsidP="00A72AFA">
            <w:pPr>
              <w:pStyle w:val="Content"/>
              <w:rPr>
                <w:rFonts w:cs="Times New Roman"/>
                <w:sz w:val="16"/>
                <w:szCs w:val="16"/>
              </w:rPr>
            </w:pPr>
            <w:r w:rsidRPr="00B33673">
              <w:rPr>
                <w:rFonts w:cs="Times New Roman"/>
                <w:sz w:val="16"/>
                <w:szCs w:val="16"/>
              </w:rPr>
              <w:t>-0.019741978</w:t>
            </w:r>
          </w:p>
        </w:tc>
        <w:tc>
          <w:tcPr>
            <w:tcW w:w="1660" w:type="dxa"/>
            <w:hideMark/>
          </w:tcPr>
          <w:p w:rsidR="00020D70" w:rsidRPr="00B33673" w:rsidRDefault="00020D70" w:rsidP="00A72AFA">
            <w:pPr>
              <w:pStyle w:val="Content"/>
              <w:rPr>
                <w:rFonts w:cs="Times New Roman"/>
                <w:sz w:val="16"/>
                <w:szCs w:val="16"/>
              </w:rPr>
            </w:pPr>
            <w:r w:rsidRPr="00B33673">
              <w:rPr>
                <w:rFonts w:cs="Times New Roman"/>
                <w:sz w:val="16"/>
                <w:szCs w:val="16"/>
              </w:rPr>
              <w:t>1</w:t>
            </w:r>
          </w:p>
        </w:tc>
        <w:tc>
          <w:tcPr>
            <w:tcW w:w="1740" w:type="dxa"/>
            <w:hideMark/>
          </w:tcPr>
          <w:p w:rsidR="00020D70" w:rsidRPr="00B33673" w:rsidRDefault="00020D70" w:rsidP="00A72AFA">
            <w:pPr>
              <w:pStyle w:val="Content"/>
              <w:rPr>
                <w:rFonts w:cs="Times New Roman"/>
                <w:sz w:val="16"/>
                <w:szCs w:val="16"/>
              </w:rPr>
            </w:pPr>
            <w:r w:rsidRPr="00B33673">
              <w:rPr>
                <w:rFonts w:cs="Times New Roman"/>
                <w:sz w:val="16"/>
                <w:szCs w:val="16"/>
              </w:rPr>
              <w:t> </w:t>
            </w:r>
          </w:p>
        </w:tc>
        <w:tc>
          <w:tcPr>
            <w:tcW w:w="2480" w:type="dxa"/>
            <w:hideMark/>
          </w:tcPr>
          <w:p w:rsidR="00020D70" w:rsidRPr="00B33673" w:rsidRDefault="00020D70" w:rsidP="00A72AFA">
            <w:pPr>
              <w:pStyle w:val="Content"/>
              <w:rPr>
                <w:rFonts w:cs="Times New Roman"/>
                <w:sz w:val="16"/>
                <w:szCs w:val="16"/>
              </w:rPr>
            </w:pPr>
            <w:r w:rsidRPr="00B33673">
              <w:rPr>
                <w:rFonts w:cs="Times New Roman"/>
                <w:sz w:val="16"/>
                <w:szCs w:val="16"/>
              </w:rPr>
              <w:t> </w:t>
            </w:r>
          </w:p>
        </w:tc>
        <w:tc>
          <w:tcPr>
            <w:tcW w:w="1240" w:type="dxa"/>
            <w:hideMark/>
          </w:tcPr>
          <w:p w:rsidR="00020D70" w:rsidRPr="00B33673" w:rsidRDefault="00020D70" w:rsidP="00A72AFA">
            <w:pPr>
              <w:pStyle w:val="Content"/>
              <w:rPr>
                <w:rFonts w:cs="Times New Roman"/>
                <w:sz w:val="16"/>
                <w:szCs w:val="16"/>
              </w:rPr>
            </w:pPr>
            <w:r w:rsidRPr="00B33673">
              <w:rPr>
                <w:rFonts w:cs="Times New Roman"/>
                <w:sz w:val="16"/>
                <w:szCs w:val="16"/>
              </w:rPr>
              <w:t> </w:t>
            </w:r>
          </w:p>
        </w:tc>
        <w:tc>
          <w:tcPr>
            <w:tcW w:w="2120" w:type="dxa"/>
            <w:hideMark/>
          </w:tcPr>
          <w:p w:rsidR="00020D70" w:rsidRPr="00B33673" w:rsidRDefault="00020D70" w:rsidP="00A72AFA">
            <w:pPr>
              <w:pStyle w:val="Content"/>
              <w:rPr>
                <w:rFonts w:cs="Times New Roman"/>
                <w:sz w:val="16"/>
                <w:szCs w:val="16"/>
              </w:rPr>
            </w:pPr>
            <w:r w:rsidRPr="00B33673">
              <w:rPr>
                <w:rFonts w:cs="Times New Roman"/>
                <w:sz w:val="16"/>
                <w:szCs w:val="16"/>
              </w:rPr>
              <w:t> </w:t>
            </w:r>
          </w:p>
        </w:tc>
      </w:tr>
      <w:tr w:rsidR="00020D70" w:rsidRPr="00B33673" w:rsidTr="00A72AFA">
        <w:trPr>
          <w:trHeight w:val="528"/>
        </w:trPr>
        <w:tc>
          <w:tcPr>
            <w:tcW w:w="1780" w:type="dxa"/>
            <w:hideMark/>
          </w:tcPr>
          <w:p w:rsidR="00020D70" w:rsidRPr="00B33673" w:rsidRDefault="00020D70" w:rsidP="00A72AFA">
            <w:pPr>
              <w:pStyle w:val="Content"/>
              <w:rPr>
                <w:rFonts w:cs="Times New Roman"/>
                <w:sz w:val="16"/>
                <w:szCs w:val="16"/>
              </w:rPr>
            </w:pPr>
            <w:r w:rsidRPr="00B33673">
              <w:rPr>
                <w:rFonts w:cs="Times New Roman"/>
                <w:sz w:val="16"/>
                <w:szCs w:val="16"/>
              </w:rPr>
              <w:t>Improvement in Work</w:t>
            </w:r>
          </w:p>
        </w:tc>
        <w:tc>
          <w:tcPr>
            <w:tcW w:w="1760" w:type="dxa"/>
            <w:hideMark/>
          </w:tcPr>
          <w:p w:rsidR="00020D70" w:rsidRPr="00B33673" w:rsidRDefault="00020D70" w:rsidP="00A72AFA">
            <w:pPr>
              <w:pStyle w:val="Content"/>
              <w:rPr>
                <w:rFonts w:cs="Times New Roman"/>
                <w:sz w:val="16"/>
                <w:szCs w:val="16"/>
              </w:rPr>
            </w:pPr>
            <w:r w:rsidRPr="00B33673">
              <w:rPr>
                <w:rFonts w:cs="Times New Roman"/>
                <w:sz w:val="16"/>
                <w:szCs w:val="16"/>
              </w:rPr>
              <w:t>0.229048429</w:t>
            </w:r>
          </w:p>
        </w:tc>
        <w:tc>
          <w:tcPr>
            <w:tcW w:w="1600" w:type="dxa"/>
            <w:hideMark/>
          </w:tcPr>
          <w:p w:rsidR="00020D70" w:rsidRPr="00B33673" w:rsidRDefault="00020D70" w:rsidP="00A72AFA">
            <w:pPr>
              <w:pStyle w:val="Content"/>
              <w:rPr>
                <w:rFonts w:cs="Times New Roman"/>
                <w:sz w:val="16"/>
                <w:szCs w:val="16"/>
              </w:rPr>
            </w:pPr>
            <w:r w:rsidRPr="00B33673">
              <w:rPr>
                <w:rFonts w:cs="Times New Roman"/>
                <w:sz w:val="16"/>
                <w:szCs w:val="16"/>
              </w:rPr>
              <w:t>-0.378332365</w:t>
            </w:r>
          </w:p>
        </w:tc>
        <w:tc>
          <w:tcPr>
            <w:tcW w:w="1660" w:type="dxa"/>
            <w:hideMark/>
          </w:tcPr>
          <w:p w:rsidR="00020D70" w:rsidRPr="00B33673" w:rsidRDefault="00020D70" w:rsidP="00A72AFA">
            <w:pPr>
              <w:pStyle w:val="Content"/>
              <w:rPr>
                <w:rFonts w:cs="Times New Roman"/>
                <w:sz w:val="16"/>
                <w:szCs w:val="16"/>
              </w:rPr>
            </w:pPr>
            <w:r w:rsidRPr="00B33673">
              <w:rPr>
                <w:rFonts w:cs="Times New Roman"/>
                <w:sz w:val="16"/>
                <w:szCs w:val="16"/>
              </w:rPr>
              <w:t>0.512363336</w:t>
            </w:r>
          </w:p>
        </w:tc>
        <w:tc>
          <w:tcPr>
            <w:tcW w:w="1740" w:type="dxa"/>
            <w:hideMark/>
          </w:tcPr>
          <w:p w:rsidR="00020D70" w:rsidRPr="00B33673" w:rsidRDefault="00020D70" w:rsidP="00A72AFA">
            <w:pPr>
              <w:pStyle w:val="Content"/>
              <w:rPr>
                <w:rFonts w:cs="Times New Roman"/>
                <w:sz w:val="16"/>
                <w:szCs w:val="16"/>
              </w:rPr>
            </w:pPr>
            <w:r w:rsidRPr="00B33673">
              <w:rPr>
                <w:rFonts w:cs="Times New Roman"/>
                <w:sz w:val="16"/>
                <w:szCs w:val="16"/>
              </w:rPr>
              <w:t>1</w:t>
            </w:r>
          </w:p>
        </w:tc>
        <w:tc>
          <w:tcPr>
            <w:tcW w:w="2480" w:type="dxa"/>
            <w:hideMark/>
          </w:tcPr>
          <w:p w:rsidR="00020D70" w:rsidRPr="00B33673" w:rsidRDefault="00020D70" w:rsidP="00A72AFA">
            <w:pPr>
              <w:pStyle w:val="Content"/>
              <w:rPr>
                <w:rFonts w:cs="Times New Roman"/>
                <w:sz w:val="16"/>
                <w:szCs w:val="16"/>
              </w:rPr>
            </w:pPr>
            <w:r w:rsidRPr="00B33673">
              <w:rPr>
                <w:rFonts w:cs="Times New Roman"/>
                <w:sz w:val="16"/>
                <w:szCs w:val="16"/>
              </w:rPr>
              <w:t> </w:t>
            </w:r>
          </w:p>
        </w:tc>
        <w:tc>
          <w:tcPr>
            <w:tcW w:w="1240" w:type="dxa"/>
            <w:hideMark/>
          </w:tcPr>
          <w:p w:rsidR="00020D70" w:rsidRPr="00B33673" w:rsidRDefault="00020D70" w:rsidP="00A72AFA">
            <w:pPr>
              <w:pStyle w:val="Content"/>
              <w:rPr>
                <w:rFonts w:cs="Times New Roman"/>
                <w:sz w:val="16"/>
                <w:szCs w:val="16"/>
              </w:rPr>
            </w:pPr>
            <w:r w:rsidRPr="00B33673">
              <w:rPr>
                <w:rFonts w:cs="Times New Roman"/>
                <w:sz w:val="16"/>
                <w:szCs w:val="16"/>
              </w:rPr>
              <w:t> </w:t>
            </w:r>
          </w:p>
        </w:tc>
        <w:tc>
          <w:tcPr>
            <w:tcW w:w="2120" w:type="dxa"/>
            <w:hideMark/>
          </w:tcPr>
          <w:p w:rsidR="00020D70" w:rsidRPr="00B33673" w:rsidRDefault="00020D70" w:rsidP="00A72AFA">
            <w:pPr>
              <w:pStyle w:val="Content"/>
              <w:rPr>
                <w:rFonts w:cs="Times New Roman"/>
                <w:sz w:val="16"/>
                <w:szCs w:val="16"/>
              </w:rPr>
            </w:pPr>
            <w:r w:rsidRPr="00B33673">
              <w:rPr>
                <w:rFonts w:cs="Times New Roman"/>
                <w:sz w:val="16"/>
                <w:szCs w:val="16"/>
              </w:rPr>
              <w:t> </w:t>
            </w:r>
          </w:p>
        </w:tc>
      </w:tr>
      <w:tr w:rsidR="00020D70" w:rsidRPr="00B33673" w:rsidTr="00A72AFA">
        <w:trPr>
          <w:trHeight w:val="528"/>
        </w:trPr>
        <w:tc>
          <w:tcPr>
            <w:tcW w:w="1780" w:type="dxa"/>
            <w:hideMark/>
          </w:tcPr>
          <w:p w:rsidR="00020D70" w:rsidRPr="00B33673" w:rsidRDefault="00020D70" w:rsidP="00A72AFA">
            <w:pPr>
              <w:pStyle w:val="Content"/>
              <w:rPr>
                <w:rFonts w:cs="Times New Roman"/>
                <w:sz w:val="16"/>
                <w:szCs w:val="16"/>
              </w:rPr>
            </w:pPr>
            <w:r w:rsidRPr="00B33673">
              <w:rPr>
                <w:rFonts w:cs="Times New Roman"/>
                <w:sz w:val="16"/>
                <w:szCs w:val="16"/>
              </w:rPr>
              <w:t>Interpersonal and Strategic Skills</w:t>
            </w:r>
          </w:p>
        </w:tc>
        <w:tc>
          <w:tcPr>
            <w:tcW w:w="1760" w:type="dxa"/>
            <w:hideMark/>
          </w:tcPr>
          <w:p w:rsidR="00020D70" w:rsidRPr="00B33673" w:rsidRDefault="00020D70" w:rsidP="00A72AFA">
            <w:pPr>
              <w:pStyle w:val="Content"/>
              <w:rPr>
                <w:rFonts w:cs="Times New Roman"/>
                <w:sz w:val="16"/>
                <w:szCs w:val="16"/>
              </w:rPr>
            </w:pPr>
            <w:r w:rsidRPr="00B33673">
              <w:rPr>
                <w:rFonts w:cs="Times New Roman"/>
                <w:sz w:val="16"/>
                <w:szCs w:val="16"/>
              </w:rPr>
              <w:t>0.034888955</w:t>
            </w:r>
          </w:p>
        </w:tc>
        <w:tc>
          <w:tcPr>
            <w:tcW w:w="1600" w:type="dxa"/>
            <w:hideMark/>
          </w:tcPr>
          <w:p w:rsidR="00020D70" w:rsidRPr="00B33673" w:rsidRDefault="00020D70" w:rsidP="00A72AFA">
            <w:pPr>
              <w:pStyle w:val="Content"/>
              <w:rPr>
                <w:rFonts w:cs="Times New Roman"/>
                <w:sz w:val="16"/>
                <w:szCs w:val="16"/>
              </w:rPr>
            </w:pPr>
            <w:r w:rsidRPr="00B33673">
              <w:rPr>
                <w:rFonts w:cs="Times New Roman"/>
                <w:sz w:val="16"/>
                <w:szCs w:val="16"/>
              </w:rPr>
              <w:t>-0.462111946</w:t>
            </w:r>
          </w:p>
        </w:tc>
        <w:tc>
          <w:tcPr>
            <w:tcW w:w="1660" w:type="dxa"/>
            <w:hideMark/>
          </w:tcPr>
          <w:p w:rsidR="00020D70" w:rsidRPr="00B33673" w:rsidRDefault="00020D70" w:rsidP="00A72AFA">
            <w:pPr>
              <w:pStyle w:val="Content"/>
              <w:rPr>
                <w:rFonts w:cs="Times New Roman"/>
                <w:sz w:val="16"/>
                <w:szCs w:val="16"/>
              </w:rPr>
            </w:pPr>
            <w:r w:rsidRPr="00B33673">
              <w:rPr>
                <w:rFonts w:cs="Times New Roman"/>
                <w:sz w:val="16"/>
                <w:szCs w:val="16"/>
              </w:rPr>
              <w:t>-0.109456499</w:t>
            </w:r>
          </w:p>
        </w:tc>
        <w:tc>
          <w:tcPr>
            <w:tcW w:w="1740" w:type="dxa"/>
            <w:hideMark/>
          </w:tcPr>
          <w:p w:rsidR="00020D70" w:rsidRPr="00B33673" w:rsidRDefault="00020D70" w:rsidP="00A72AFA">
            <w:pPr>
              <w:pStyle w:val="Content"/>
              <w:rPr>
                <w:rFonts w:cs="Times New Roman"/>
                <w:sz w:val="16"/>
                <w:szCs w:val="16"/>
              </w:rPr>
            </w:pPr>
            <w:r w:rsidRPr="00B33673">
              <w:rPr>
                <w:rFonts w:cs="Times New Roman"/>
                <w:sz w:val="16"/>
                <w:szCs w:val="16"/>
              </w:rPr>
              <w:t>0.029849707</w:t>
            </w:r>
          </w:p>
        </w:tc>
        <w:tc>
          <w:tcPr>
            <w:tcW w:w="2480" w:type="dxa"/>
            <w:hideMark/>
          </w:tcPr>
          <w:p w:rsidR="00020D70" w:rsidRPr="00B33673" w:rsidRDefault="00020D70" w:rsidP="00A72AFA">
            <w:pPr>
              <w:pStyle w:val="Content"/>
              <w:rPr>
                <w:rFonts w:cs="Times New Roman"/>
                <w:sz w:val="16"/>
                <w:szCs w:val="16"/>
              </w:rPr>
            </w:pPr>
            <w:r w:rsidRPr="00B33673">
              <w:rPr>
                <w:rFonts w:cs="Times New Roman"/>
                <w:sz w:val="16"/>
                <w:szCs w:val="16"/>
              </w:rPr>
              <w:t>1</w:t>
            </w:r>
          </w:p>
        </w:tc>
        <w:tc>
          <w:tcPr>
            <w:tcW w:w="1240" w:type="dxa"/>
            <w:hideMark/>
          </w:tcPr>
          <w:p w:rsidR="00020D70" w:rsidRPr="00B33673" w:rsidRDefault="00020D70" w:rsidP="00A72AFA">
            <w:pPr>
              <w:pStyle w:val="Content"/>
              <w:rPr>
                <w:rFonts w:cs="Times New Roman"/>
                <w:sz w:val="16"/>
                <w:szCs w:val="16"/>
              </w:rPr>
            </w:pPr>
            <w:r w:rsidRPr="00B33673">
              <w:rPr>
                <w:rFonts w:cs="Times New Roman"/>
                <w:sz w:val="16"/>
                <w:szCs w:val="16"/>
              </w:rPr>
              <w:t> </w:t>
            </w:r>
          </w:p>
        </w:tc>
        <w:tc>
          <w:tcPr>
            <w:tcW w:w="2120" w:type="dxa"/>
            <w:hideMark/>
          </w:tcPr>
          <w:p w:rsidR="00020D70" w:rsidRPr="00B33673" w:rsidRDefault="00020D70" w:rsidP="00A72AFA">
            <w:pPr>
              <w:pStyle w:val="Content"/>
              <w:rPr>
                <w:rFonts w:cs="Times New Roman"/>
                <w:sz w:val="16"/>
                <w:szCs w:val="16"/>
              </w:rPr>
            </w:pPr>
            <w:r w:rsidRPr="00B33673">
              <w:rPr>
                <w:rFonts w:cs="Times New Roman"/>
                <w:sz w:val="16"/>
                <w:szCs w:val="16"/>
              </w:rPr>
              <w:t> </w:t>
            </w:r>
          </w:p>
        </w:tc>
      </w:tr>
      <w:tr w:rsidR="00020D70" w:rsidRPr="00B33673" w:rsidTr="00A72AFA">
        <w:trPr>
          <w:trHeight w:val="792"/>
        </w:trPr>
        <w:tc>
          <w:tcPr>
            <w:tcW w:w="1780" w:type="dxa"/>
            <w:hideMark/>
          </w:tcPr>
          <w:p w:rsidR="00020D70" w:rsidRPr="00B33673" w:rsidRDefault="00020D70" w:rsidP="00A72AFA">
            <w:pPr>
              <w:pStyle w:val="Content"/>
              <w:rPr>
                <w:rFonts w:cs="Times New Roman"/>
                <w:sz w:val="16"/>
                <w:szCs w:val="16"/>
              </w:rPr>
            </w:pPr>
            <w:r w:rsidRPr="00B33673">
              <w:rPr>
                <w:rFonts w:cs="Times New Roman"/>
                <w:sz w:val="16"/>
                <w:szCs w:val="16"/>
              </w:rPr>
              <w:t xml:space="preserve">Building Stronger Working </w:t>
            </w:r>
            <w:r w:rsidRPr="00B33673">
              <w:rPr>
                <w:rFonts w:cs="Times New Roman"/>
                <w:sz w:val="16"/>
                <w:szCs w:val="16"/>
              </w:rPr>
              <w:lastRenderedPageBreak/>
              <w:t>Relationships</w:t>
            </w:r>
          </w:p>
        </w:tc>
        <w:tc>
          <w:tcPr>
            <w:tcW w:w="1760" w:type="dxa"/>
            <w:hideMark/>
          </w:tcPr>
          <w:p w:rsidR="00020D70" w:rsidRPr="00B33673" w:rsidRDefault="00020D70" w:rsidP="00A72AFA">
            <w:pPr>
              <w:pStyle w:val="Content"/>
              <w:rPr>
                <w:rFonts w:cs="Times New Roman"/>
                <w:sz w:val="16"/>
                <w:szCs w:val="16"/>
              </w:rPr>
            </w:pPr>
            <w:r w:rsidRPr="00B33673">
              <w:rPr>
                <w:rFonts w:cs="Times New Roman"/>
                <w:sz w:val="16"/>
                <w:szCs w:val="16"/>
              </w:rPr>
              <w:lastRenderedPageBreak/>
              <w:t>0.423652265</w:t>
            </w:r>
          </w:p>
        </w:tc>
        <w:tc>
          <w:tcPr>
            <w:tcW w:w="1600" w:type="dxa"/>
            <w:hideMark/>
          </w:tcPr>
          <w:p w:rsidR="00020D70" w:rsidRPr="00B33673" w:rsidRDefault="00020D70" w:rsidP="00A72AFA">
            <w:pPr>
              <w:pStyle w:val="Content"/>
              <w:rPr>
                <w:rFonts w:cs="Times New Roman"/>
                <w:sz w:val="16"/>
                <w:szCs w:val="16"/>
              </w:rPr>
            </w:pPr>
            <w:r w:rsidRPr="00B33673">
              <w:rPr>
                <w:rFonts w:cs="Times New Roman"/>
                <w:sz w:val="16"/>
                <w:szCs w:val="16"/>
              </w:rPr>
              <w:t>0</w:t>
            </w:r>
          </w:p>
        </w:tc>
        <w:tc>
          <w:tcPr>
            <w:tcW w:w="1660" w:type="dxa"/>
            <w:hideMark/>
          </w:tcPr>
          <w:p w:rsidR="00020D70" w:rsidRPr="00B33673" w:rsidRDefault="00020D70" w:rsidP="00A72AFA">
            <w:pPr>
              <w:pStyle w:val="Content"/>
              <w:rPr>
                <w:rFonts w:cs="Times New Roman"/>
                <w:sz w:val="16"/>
                <w:szCs w:val="16"/>
              </w:rPr>
            </w:pPr>
            <w:r w:rsidRPr="00B33673">
              <w:rPr>
                <w:rFonts w:cs="Times New Roman"/>
                <w:sz w:val="16"/>
                <w:szCs w:val="16"/>
              </w:rPr>
              <w:t>0.665900916</w:t>
            </w:r>
          </w:p>
        </w:tc>
        <w:tc>
          <w:tcPr>
            <w:tcW w:w="1740" w:type="dxa"/>
            <w:hideMark/>
          </w:tcPr>
          <w:p w:rsidR="00020D70" w:rsidRPr="00B33673" w:rsidRDefault="00020D70" w:rsidP="00A72AFA">
            <w:pPr>
              <w:pStyle w:val="Content"/>
              <w:rPr>
                <w:rFonts w:cs="Times New Roman"/>
                <w:sz w:val="16"/>
                <w:szCs w:val="16"/>
              </w:rPr>
            </w:pPr>
            <w:r w:rsidRPr="00B33673">
              <w:rPr>
                <w:rFonts w:cs="Times New Roman"/>
                <w:sz w:val="16"/>
                <w:szCs w:val="16"/>
              </w:rPr>
              <w:t>0.434953569</w:t>
            </w:r>
          </w:p>
        </w:tc>
        <w:tc>
          <w:tcPr>
            <w:tcW w:w="2480" w:type="dxa"/>
            <w:hideMark/>
          </w:tcPr>
          <w:p w:rsidR="00020D70" w:rsidRPr="00B33673" w:rsidRDefault="00020D70" w:rsidP="00A72AFA">
            <w:pPr>
              <w:pStyle w:val="Content"/>
              <w:rPr>
                <w:rFonts w:cs="Times New Roman"/>
                <w:sz w:val="16"/>
                <w:szCs w:val="16"/>
              </w:rPr>
            </w:pPr>
            <w:r w:rsidRPr="00B33673">
              <w:rPr>
                <w:rFonts w:cs="Times New Roman"/>
                <w:sz w:val="16"/>
                <w:szCs w:val="16"/>
              </w:rPr>
              <w:t>-0.093857982</w:t>
            </w:r>
          </w:p>
        </w:tc>
        <w:tc>
          <w:tcPr>
            <w:tcW w:w="1240" w:type="dxa"/>
            <w:hideMark/>
          </w:tcPr>
          <w:p w:rsidR="00020D70" w:rsidRPr="00B33673" w:rsidRDefault="00020D70" w:rsidP="00A72AFA">
            <w:pPr>
              <w:pStyle w:val="Content"/>
              <w:rPr>
                <w:rFonts w:cs="Times New Roman"/>
                <w:sz w:val="16"/>
                <w:szCs w:val="16"/>
              </w:rPr>
            </w:pPr>
            <w:r w:rsidRPr="00B33673">
              <w:rPr>
                <w:rFonts w:cs="Times New Roman"/>
                <w:sz w:val="16"/>
                <w:szCs w:val="16"/>
              </w:rPr>
              <w:t>1</w:t>
            </w:r>
          </w:p>
        </w:tc>
        <w:tc>
          <w:tcPr>
            <w:tcW w:w="2120" w:type="dxa"/>
            <w:hideMark/>
          </w:tcPr>
          <w:p w:rsidR="00020D70" w:rsidRPr="00B33673" w:rsidRDefault="00020D70" w:rsidP="00A72AFA">
            <w:pPr>
              <w:pStyle w:val="Content"/>
              <w:rPr>
                <w:rFonts w:cs="Times New Roman"/>
                <w:sz w:val="16"/>
                <w:szCs w:val="16"/>
              </w:rPr>
            </w:pPr>
            <w:r w:rsidRPr="00B33673">
              <w:rPr>
                <w:rFonts w:cs="Times New Roman"/>
                <w:sz w:val="16"/>
                <w:szCs w:val="16"/>
              </w:rPr>
              <w:t> </w:t>
            </w:r>
          </w:p>
        </w:tc>
      </w:tr>
      <w:tr w:rsidR="00020D70" w:rsidRPr="00B33673" w:rsidTr="00A72AFA">
        <w:trPr>
          <w:trHeight w:val="528"/>
        </w:trPr>
        <w:tc>
          <w:tcPr>
            <w:tcW w:w="1780" w:type="dxa"/>
            <w:hideMark/>
          </w:tcPr>
          <w:p w:rsidR="00020D70" w:rsidRPr="00B33673" w:rsidRDefault="00020D70" w:rsidP="00A72AFA">
            <w:pPr>
              <w:pStyle w:val="Content"/>
              <w:rPr>
                <w:rFonts w:cs="Times New Roman"/>
                <w:sz w:val="16"/>
                <w:szCs w:val="16"/>
              </w:rPr>
            </w:pPr>
            <w:r w:rsidRPr="00B33673">
              <w:rPr>
                <w:rFonts w:cs="Times New Roman"/>
                <w:sz w:val="16"/>
                <w:szCs w:val="16"/>
              </w:rPr>
              <w:lastRenderedPageBreak/>
              <w:t>Employee Motivation Levels</w:t>
            </w:r>
          </w:p>
        </w:tc>
        <w:tc>
          <w:tcPr>
            <w:tcW w:w="1760" w:type="dxa"/>
            <w:hideMark/>
          </w:tcPr>
          <w:p w:rsidR="00020D70" w:rsidRPr="00B33673" w:rsidRDefault="00020D70" w:rsidP="00A72AFA">
            <w:pPr>
              <w:pStyle w:val="Content"/>
              <w:rPr>
                <w:rFonts w:cs="Times New Roman"/>
                <w:sz w:val="16"/>
                <w:szCs w:val="16"/>
              </w:rPr>
            </w:pPr>
            <w:r w:rsidRPr="00B33673">
              <w:rPr>
                <w:rFonts w:cs="Times New Roman"/>
                <w:sz w:val="16"/>
                <w:szCs w:val="16"/>
              </w:rPr>
              <w:t>0.234716059</w:t>
            </w:r>
          </w:p>
        </w:tc>
        <w:tc>
          <w:tcPr>
            <w:tcW w:w="1600" w:type="dxa"/>
            <w:hideMark/>
          </w:tcPr>
          <w:p w:rsidR="00020D70" w:rsidRPr="00B33673" w:rsidRDefault="00020D70" w:rsidP="00A72AFA">
            <w:pPr>
              <w:pStyle w:val="Content"/>
              <w:rPr>
                <w:rFonts w:cs="Times New Roman"/>
                <w:sz w:val="16"/>
                <w:szCs w:val="16"/>
              </w:rPr>
            </w:pPr>
            <w:r w:rsidRPr="00B33673">
              <w:rPr>
                <w:rFonts w:cs="Times New Roman"/>
                <w:sz w:val="16"/>
                <w:szCs w:val="16"/>
              </w:rPr>
              <w:t>-0.164756795</w:t>
            </w:r>
          </w:p>
        </w:tc>
        <w:tc>
          <w:tcPr>
            <w:tcW w:w="1660" w:type="dxa"/>
            <w:hideMark/>
          </w:tcPr>
          <w:p w:rsidR="00020D70" w:rsidRPr="00B33673" w:rsidRDefault="00020D70" w:rsidP="00A72AFA">
            <w:pPr>
              <w:pStyle w:val="Content"/>
              <w:rPr>
                <w:rFonts w:cs="Times New Roman"/>
                <w:sz w:val="16"/>
                <w:szCs w:val="16"/>
              </w:rPr>
            </w:pPr>
            <w:r w:rsidRPr="00B33673">
              <w:rPr>
                <w:rFonts w:cs="Times New Roman"/>
                <w:sz w:val="16"/>
                <w:szCs w:val="16"/>
              </w:rPr>
              <w:t>0.533282535</w:t>
            </w:r>
          </w:p>
        </w:tc>
        <w:tc>
          <w:tcPr>
            <w:tcW w:w="1740" w:type="dxa"/>
            <w:hideMark/>
          </w:tcPr>
          <w:p w:rsidR="00020D70" w:rsidRPr="00B33673" w:rsidRDefault="00020D70" w:rsidP="00A72AFA">
            <w:pPr>
              <w:pStyle w:val="Content"/>
              <w:rPr>
                <w:rFonts w:cs="Times New Roman"/>
                <w:sz w:val="16"/>
                <w:szCs w:val="16"/>
              </w:rPr>
            </w:pPr>
            <w:r w:rsidRPr="00B33673">
              <w:rPr>
                <w:rFonts w:cs="Times New Roman"/>
                <w:sz w:val="16"/>
                <w:szCs w:val="16"/>
              </w:rPr>
              <w:t>0.476616535</w:t>
            </w:r>
          </w:p>
        </w:tc>
        <w:tc>
          <w:tcPr>
            <w:tcW w:w="2480" w:type="dxa"/>
            <w:hideMark/>
          </w:tcPr>
          <w:p w:rsidR="00020D70" w:rsidRPr="00B33673" w:rsidRDefault="00020D70" w:rsidP="00A72AFA">
            <w:pPr>
              <w:pStyle w:val="Content"/>
              <w:rPr>
                <w:rFonts w:cs="Times New Roman"/>
                <w:sz w:val="16"/>
                <w:szCs w:val="16"/>
              </w:rPr>
            </w:pPr>
            <w:r w:rsidRPr="00B33673">
              <w:rPr>
                <w:rFonts w:cs="Times New Roman"/>
                <w:sz w:val="16"/>
                <w:szCs w:val="16"/>
              </w:rPr>
              <w:t>0.057595088</w:t>
            </w:r>
          </w:p>
        </w:tc>
        <w:tc>
          <w:tcPr>
            <w:tcW w:w="1240" w:type="dxa"/>
            <w:hideMark/>
          </w:tcPr>
          <w:p w:rsidR="00020D70" w:rsidRPr="00B33673" w:rsidRDefault="00020D70" w:rsidP="00A72AFA">
            <w:pPr>
              <w:pStyle w:val="Content"/>
              <w:rPr>
                <w:rFonts w:cs="Times New Roman"/>
                <w:sz w:val="16"/>
                <w:szCs w:val="16"/>
              </w:rPr>
            </w:pPr>
            <w:r w:rsidRPr="00B33673">
              <w:rPr>
                <w:rFonts w:cs="Times New Roman"/>
                <w:sz w:val="16"/>
                <w:szCs w:val="16"/>
              </w:rPr>
              <w:t>0.31971202</w:t>
            </w:r>
          </w:p>
        </w:tc>
        <w:tc>
          <w:tcPr>
            <w:tcW w:w="2120" w:type="dxa"/>
            <w:hideMark/>
          </w:tcPr>
          <w:p w:rsidR="00020D70" w:rsidRPr="00B33673" w:rsidRDefault="00020D70" w:rsidP="00A72AFA">
            <w:pPr>
              <w:pStyle w:val="Content"/>
              <w:rPr>
                <w:rFonts w:cs="Times New Roman"/>
                <w:sz w:val="16"/>
                <w:szCs w:val="16"/>
              </w:rPr>
            </w:pPr>
            <w:r w:rsidRPr="00B33673">
              <w:rPr>
                <w:rFonts w:cs="Times New Roman"/>
                <w:sz w:val="16"/>
                <w:szCs w:val="16"/>
              </w:rPr>
              <w:t>1</w:t>
            </w:r>
          </w:p>
        </w:tc>
      </w:tr>
    </w:tbl>
    <w:p w:rsidR="00020D70" w:rsidRDefault="00020D70" w:rsidP="00020D70">
      <w:pPr>
        <w:pStyle w:val="Content"/>
      </w:pPr>
    </w:p>
    <w:p w:rsidR="00020D70" w:rsidRDefault="00020D70" w:rsidP="00020D70">
      <w:pPr>
        <w:pStyle w:val="Heading2"/>
      </w:pPr>
      <w:bookmarkStart w:id="60" w:name="_Toc156990277"/>
      <w:r>
        <w:t>Regression Analysis</w:t>
      </w:r>
      <w:bookmarkEnd w:id="60"/>
    </w:p>
    <w:p w:rsidR="00020D70" w:rsidRDefault="00020D70" w:rsidP="00020D70">
      <w:pPr>
        <w:pStyle w:val="Content"/>
      </w:pPr>
      <w:r>
        <w:t>The regression analysis results provide insights into the relationship between various factors related to training and development programs and their impact on enhancing employee relations at Amazon. The key findings are:</w:t>
      </w:r>
    </w:p>
    <w:p w:rsidR="00020D70" w:rsidRDefault="00020D70" w:rsidP="00020D70">
      <w:pPr>
        <w:pStyle w:val="Content"/>
      </w:pPr>
    </w:p>
    <w:p w:rsidR="00020D70" w:rsidRDefault="00020D70" w:rsidP="00020D70">
      <w:pPr>
        <w:pStyle w:val="Content"/>
      </w:pPr>
    </w:p>
    <w:p w:rsidR="00020D70" w:rsidRPr="0065621A" w:rsidRDefault="00020D70" w:rsidP="00020D70">
      <w:pPr>
        <w:pStyle w:val="Content"/>
        <w:jc w:val="center"/>
        <w:rPr>
          <w:sz w:val="20"/>
          <w:szCs w:val="20"/>
        </w:rPr>
      </w:pPr>
      <w:bookmarkStart w:id="61" w:name="_Toc156952094"/>
      <w:r w:rsidRPr="0065621A">
        <w:rPr>
          <w:sz w:val="20"/>
          <w:szCs w:val="20"/>
        </w:rPr>
        <w:t xml:space="preserve">Table </w:t>
      </w:r>
      <w:r w:rsidRPr="0065621A">
        <w:rPr>
          <w:sz w:val="20"/>
          <w:szCs w:val="20"/>
        </w:rPr>
        <w:fldChar w:fldCharType="begin"/>
      </w:r>
      <w:r w:rsidRPr="0065621A">
        <w:rPr>
          <w:sz w:val="20"/>
          <w:szCs w:val="20"/>
        </w:rPr>
        <w:instrText xml:space="preserve"> SEQ Table \* ARABIC </w:instrText>
      </w:r>
      <w:r w:rsidRPr="0065621A">
        <w:rPr>
          <w:sz w:val="20"/>
          <w:szCs w:val="20"/>
        </w:rPr>
        <w:fldChar w:fldCharType="separate"/>
      </w:r>
      <w:r w:rsidRPr="0065621A">
        <w:rPr>
          <w:noProof/>
          <w:sz w:val="20"/>
          <w:szCs w:val="20"/>
        </w:rPr>
        <w:t>2</w:t>
      </w:r>
      <w:r w:rsidRPr="0065621A">
        <w:rPr>
          <w:sz w:val="20"/>
          <w:szCs w:val="20"/>
        </w:rPr>
        <w:fldChar w:fldCharType="end"/>
      </w:r>
      <w:r w:rsidRPr="0065621A">
        <w:rPr>
          <w:sz w:val="20"/>
          <w:szCs w:val="20"/>
        </w:rPr>
        <w:t>: Regression Analysis</w:t>
      </w:r>
      <w:bookmarkEnd w:id="61"/>
    </w:p>
    <w:p w:rsidR="00020D70" w:rsidRDefault="00020D70" w:rsidP="00020D70">
      <w:pPr>
        <w:pStyle w:val="Content"/>
      </w:pPr>
      <w:r w:rsidRPr="0065621A">
        <w:rPr>
          <w:noProof/>
          <w:lang w:val="en-US" w:bidi="gu-IN"/>
        </w:rPr>
        <w:drawing>
          <wp:inline distT="0" distB="0" distL="0" distR="0" wp14:anchorId="26CBB802" wp14:editId="705EEA1C">
            <wp:extent cx="5731510" cy="2494280"/>
            <wp:effectExtent l="0" t="0" r="2540" b="1270"/>
            <wp:docPr id="67679771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494280"/>
                    </a:xfrm>
                    <a:prstGeom prst="rect">
                      <a:avLst/>
                    </a:prstGeom>
                    <a:noFill/>
                    <a:ln>
                      <a:noFill/>
                    </a:ln>
                  </pic:spPr>
                </pic:pic>
              </a:graphicData>
            </a:graphic>
          </wp:inline>
        </w:drawing>
      </w:r>
    </w:p>
    <w:p w:rsidR="00020D70" w:rsidRDefault="00020D70" w:rsidP="00020D70">
      <w:pPr>
        <w:pStyle w:val="Content"/>
      </w:pPr>
      <w:r w:rsidRPr="000D5874">
        <w:rPr>
          <w:b/>
          <w:bCs/>
        </w:rPr>
        <w:t>Multiple R and R Square:</w:t>
      </w:r>
      <w:r>
        <w:t xml:space="preserve"> The Multiple R (correlation coefficient) is 0.7417, indicating a strong positive correlation between the independent variables and the dependent variable (employee relations). The R Square value of 0.5501 suggests that approximately 55.01% of the variability in employee relations can be explained by the independent variables included in the model.</w:t>
      </w:r>
    </w:p>
    <w:p w:rsidR="00020D70" w:rsidRDefault="00020D70" w:rsidP="00020D70">
      <w:pPr>
        <w:pStyle w:val="Content"/>
      </w:pPr>
      <w:r w:rsidRPr="000D5874">
        <w:rPr>
          <w:b/>
          <w:bCs/>
        </w:rPr>
        <w:lastRenderedPageBreak/>
        <w:t>ANOVA:</w:t>
      </w:r>
      <w:r>
        <w:t xml:space="preserve"> The ANOVA table tests the overall significance of the regression model. The F-statistic is 4.8902 with a p-value of 0.0021, indicating that the model is statistically significant at the 0.05 significance level. This suggests that at least one of the independent variables significantly contributes to explaining the variance in employee relations.</w:t>
      </w:r>
    </w:p>
    <w:p w:rsidR="00020D70" w:rsidRDefault="00020D70" w:rsidP="00020D70">
      <w:pPr>
        <w:pStyle w:val="Content"/>
      </w:pPr>
      <w:r w:rsidRPr="000D5874">
        <w:rPr>
          <w:b/>
          <w:bCs/>
        </w:rPr>
        <w:t>Coefficients:</w:t>
      </w:r>
      <w:r>
        <w:t xml:space="preserve"> The intercept is 0.0426, representing the estimated employee relations level when all independent variables are zero. Among the independent variables, "Improvement in Work" (0.3362), "Interpersonal and Strategic Skills" (0.3499), and "Availability and Transparency" (0.2091) have positive coefficients. This indicates that higher scores in these areas are associated with increased employee relations. However, none of the coefficients are statistically significant individually at the conventional 0.05 significance level.</w:t>
      </w:r>
    </w:p>
    <w:p w:rsidR="00020D70" w:rsidRDefault="00020D70" w:rsidP="00020D70">
      <w:pPr>
        <w:pStyle w:val="Content"/>
      </w:pPr>
      <w:r w:rsidRPr="000D5874">
        <w:rPr>
          <w:b/>
          <w:bCs/>
        </w:rPr>
        <w:t>P-values and Confidence Intervals:</w:t>
      </w:r>
      <w:r>
        <w:t xml:space="preserve"> The p-values associated with the coefficients provide a measure of their individual significance. While none of the coefficients are statistically significant at the 0.05 significance level, "Improvement in Work" and "Interpersonal and Strategic Skills" have p-values close to the threshold (0.097 and 0.082, respectively). The confidence intervals for the coefficients indicate the range within which the true population parameter is likely to fall.</w:t>
      </w:r>
    </w:p>
    <w:p w:rsidR="00020D70" w:rsidRDefault="00020D70" w:rsidP="00020D70">
      <w:pPr>
        <w:pStyle w:val="Content"/>
      </w:pPr>
      <w:r w:rsidRPr="000D5874">
        <w:rPr>
          <w:b/>
          <w:bCs/>
        </w:rPr>
        <w:t>Adjusted R Square:</w:t>
      </w:r>
      <w:r>
        <w:t xml:space="preserve"> The Adjusted R Square is 0.4376, suggesting that about 43.76% of the variability in employee relations is explained by the independent variables when accounting for the number of predictors.</w:t>
      </w:r>
    </w:p>
    <w:p w:rsidR="00020D70" w:rsidRDefault="00020D70" w:rsidP="00020D70">
      <w:pPr>
        <w:pStyle w:val="Content"/>
      </w:pPr>
      <w:r>
        <w:t>In summary, the regression model indicates that the overall set of independent variables has a significant impact on explaining the variability in employee relations. However, when looking at individual factors, only "Improvement in Work" and "Interpersonal and Strategic Skills" show a potential association with enhanced employee relations, albeit not at a statistically significant level. This suggests that while training and development programs may have an impact on employee relations, specific areas such as work improvement and interpersonal skills may be particularly influential in fostering positive employee relations at Amazon. Further investigation and refinement of the model may provide additional insights into the nuanced relationship between training programs and employee relations.</w:t>
      </w:r>
    </w:p>
    <w:p w:rsidR="00020D70" w:rsidRDefault="00020D70" w:rsidP="00020D70">
      <w:pPr>
        <w:pStyle w:val="Content"/>
      </w:pPr>
    </w:p>
    <w:p w:rsidR="00020D70" w:rsidRDefault="00020D70" w:rsidP="00020D70">
      <w:pPr>
        <w:pStyle w:val="Content"/>
      </w:pPr>
    </w:p>
    <w:p w:rsidR="00020D70" w:rsidRDefault="00020D70" w:rsidP="00020D70">
      <w:pPr>
        <w:pStyle w:val="Heading1"/>
      </w:pPr>
      <w:bookmarkStart w:id="62" w:name="_Toc156990278"/>
      <w:r>
        <w:lastRenderedPageBreak/>
        <w:t>Research Discussion</w:t>
      </w:r>
      <w:bookmarkEnd w:id="62"/>
    </w:p>
    <w:p w:rsidR="00020D70" w:rsidRDefault="00020D70" w:rsidP="00020D70">
      <w:pPr>
        <w:pStyle w:val="Content"/>
      </w:pPr>
      <w:r>
        <w:t>The research discussion chapter provides a multi-faceted interpretation of the key survey findings to derive practical recommendations for advancing Amazon's employee relations strategy. It examines descriptive statistics and modeling outcomes to highlight alignments and anomalies versus original hypotheses. After summarizing theoretical and practical implications, targeted evidence-based suggestions are presented for enriching training programs, boosting usability, strengthening mentoring, and tracking metrics - all aimed at sustainably improving workforce experiences and productivity. Methodology limitations are acknowledged before outlining future research trajectories focused on qualitative insights that can further optimize training initiatives tailored for Amazon's context. Ultimately, the discussion synthesizes academic rigor, managerial relevance, and results-driven planning to translate empirical insights into an actionable framework with collaborative solutions designed to motivate employee relations - the central driver of organizational prosperity.</w:t>
      </w:r>
    </w:p>
    <w:p w:rsidR="00020D70" w:rsidRDefault="00020D70" w:rsidP="00020D70">
      <w:pPr>
        <w:pStyle w:val="Heading2"/>
      </w:pPr>
      <w:bookmarkStart w:id="63" w:name="_Toc156990279"/>
      <w:r>
        <w:t>Summary of Key Results</w:t>
      </w:r>
      <w:bookmarkEnd w:id="63"/>
    </w:p>
    <w:p w:rsidR="00020D70" w:rsidRDefault="00020D70" w:rsidP="00020D70">
      <w:pPr>
        <w:pStyle w:val="Heading3"/>
      </w:pPr>
      <w:bookmarkStart w:id="64" w:name="_Toc156990280"/>
      <w:r>
        <w:t>Overview of Employees Profile</w:t>
      </w:r>
      <w:bookmarkEnd w:id="64"/>
    </w:p>
    <w:p w:rsidR="00020D70" w:rsidRDefault="00020D70" w:rsidP="00020D70">
      <w:pPr>
        <w:pStyle w:val="Content"/>
      </w:pPr>
      <w:r>
        <w:t>The respondent profile reveals a concentration of relatively junior employees with Amazon tenure less than 5 years across customer service and operations functions. Over 50% were trainees and executives, while over 70% have been working at Amazon for 5 or fewer years. The prevalence of new hires suggests training perceptions are anchored around onboarding experiences. Specifically, the most common role held by respondents was Trainee Business Consultant, at 35.5%, followed by Customer Support Executive at 29%. Together with Junior Customer Executives, these more junior roles comprised over 80% of the surveyed sample. The inclusion of some interspersed Business Associate Trainees and Customer Support Executive Trainees further indicates the primary respondent pool consisted of new hires and trainees. Regarding tenure, 32.3% employees had less than 1 year at Amazon, while 38.7% had 1-5 years’ experience. Combined, around 70% participants were relatively recent hires with 5 or less years at the company. Only 6.4% respondents were long-tenured with over 15 years at Amazon, pointing to low representation of seasoned professionals.</w:t>
      </w:r>
    </w:p>
    <w:p w:rsidR="00020D70" w:rsidRDefault="00020D70" w:rsidP="00020D70">
      <w:pPr>
        <w:pStyle w:val="Content"/>
      </w:pPr>
      <w:r>
        <w:t xml:space="preserve">In terms of functions, 55.17% respondents were from Customer Service and 44.83% from Operations. Though there was useful variance across customer-facing and internal process areas, there was a 10% skew indicating moderately uneven coverage. For location, almost two-thirds i.e. 64.52% participating employees were stationed in London. The major UK </w:t>
      </w:r>
      <w:r>
        <w:lastRenderedPageBreak/>
        <w:t>presences of Manchester and Glasgow together accounted for 29% between them. Just 6.45% respondents were from smaller Scottish offices. This spotlights inputs predominantly reflecting perceptions from Amazon's large London business hub, supplemented by Manchester and Glasgow teams. In totality, the respondent profile signals a concentration of customer service and operations trainees, junior executives and new hires with less than 5 years Amazon tenure based out of London, Manchester and Glasgow offices. Their training perceptions likely emphasize early onboarding interventions rather than specialized upskilling programs.</w:t>
      </w:r>
    </w:p>
    <w:p w:rsidR="00020D70" w:rsidRDefault="00020D70" w:rsidP="00020D70">
      <w:pPr>
        <w:pStyle w:val="Heading3"/>
      </w:pPr>
      <w:bookmarkStart w:id="65" w:name="_Toc156990281"/>
      <w:r>
        <w:t>Training Perceptions</w:t>
      </w:r>
      <w:bookmarkEnd w:id="65"/>
    </w:p>
    <w:p w:rsidR="00020D70" w:rsidRDefault="00020D70" w:rsidP="00020D70">
      <w:pPr>
        <w:pStyle w:val="Content"/>
      </w:pPr>
      <w:r>
        <w:t>The descriptive perception patterns demonstrate that nearly 70% of employees view mentoring facilities beyond formal training as very or extremely useful. This indicates supplemental individualized support systems are perceived as playing an integral developmental role. Regarding new program updates, over 60% report moderate frequencies of 2-5 new interventions annually, enabling gradual capability refreshment. Though over 65% rate overall communication transparency as largely adequate, the 30% combined detractors highlight ongoing visibility gaps that can impede training navigation. In terms of self-reported core training impact areas, over 80% confirm strong or moderate improvements in work quality, affirming employee relations premises of skill-building leading to performance upside. However, an equal 6.45% also surprisingly indicate minimal work enhancements counterintuitively post-training. For interpersonal competencies, over 75% acknowledge reasonable to significant betterment, but 3.45% deny any positive tactfulness differences from learning exposure. On peer relationships, nearly 80% note strengthened team coordination, alignment, and compatibility - but 3.33% observe negligible change. Regarding motivation, 75% convey definite to high engagement boosts from training support. Worryingly though, 9.68% state no drive increments and 3.23% admit potential demotivation triggers, contrasting theoretical links. While the overall patterns validly reflect hypothesized boosts across work productivity, strategic expertise, relationship-building and motivation tied to training initiatives, the segments of employees citing limited or negative changes frame critical areas for investigation. The broad affirmation of employee relations advances is tempered by subsets of missing or unconstructive consequences demanding consolidation in Amazon's learning configuration, delivery and outcome measurement.</w:t>
      </w:r>
    </w:p>
    <w:p w:rsidR="00020D70" w:rsidRDefault="00020D70" w:rsidP="00020D70">
      <w:pPr>
        <w:pStyle w:val="Heading3"/>
      </w:pPr>
      <w:bookmarkStart w:id="66" w:name="_Toc156990282"/>
      <w:r>
        <w:lastRenderedPageBreak/>
        <w:t>Correlation Analysis Insights</w:t>
      </w:r>
      <w:bookmarkEnd w:id="66"/>
    </w:p>
    <w:p w:rsidR="00020D70" w:rsidRDefault="00020D70" w:rsidP="00020D70">
      <w:pPr>
        <w:pStyle w:val="Content"/>
      </w:pPr>
      <w:r>
        <w:t>The correlation analysis reveals multiple noteworthy positive relationships between training ecosystem facets and employee relations indicators. Specifically, mentorship opportunities exhibit a strong correlation (r = 0.54) with transparency around program information. This suggests that enrichment of supplemental personalized guidance systems enables better discovery of developmental options. However, increased mentoring shows a negative linkage (r = -0.36) regarding frequency of new interventions, potentially signalling a trade-off for targeted support at the expense of launching newer content. Additionally, transparency demonstrates significant positive correlations with work quality improvements (r = 0.51) and team relationship strengthening (r = 0.67). Therefore, efforts towards higher visibility of training requirements, offerings and objectives may enable enhanced workforce performance and connectivity payoffs. Further, both work quality and skill upgrades have positive correlations around r = 0.23 with employee dedication markers. This affirms that Amazon's training focus on competency advancements incubates tangible individual productivity and group cohesion gains. The correlations analysis validates those investments in supplemental mentoring structures, transparency practices, and competency-based skill building through training interventions cultivate a mutually reinforcing cycle with discernible upgrades in work excellence, team coordination and employee fulfilment. While causal mechanisms cannot be conclusively established, these relationships align with employee relations theoretical premises regarding how organizations can unlock workforce and profitability gains by nurturing training ecosystems tailored to their strategic priorities. For Amazon, the data signals that further optimizing transparency, personal guidance channels and competency growth within their training architecture and content can sustainably strengthen employee relations and retention objectives.</w:t>
      </w:r>
    </w:p>
    <w:p w:rsidR="00020D70" w:rsidRDefault="00020D70" w:rsidP="00020D70">
      <w:pPr>
        <w:pStyle w:val="Heading3"/>
      </w:pPr>
      <w:bookmarkStart w:id="67" w:name="_Toc156990283"/>
      <w:r>
        <w:t>Key Regression Modeling Outcomes</w:t>
      </w:r>
      <w:bookmarkEnd w:id="67"/>
    </w:p>
    <w:p w:rsidR="00020D70" w:rsidRDefault="00020D70" w:rsidP="00020D70">
      <w:pPr>
        <w:pStyle w:val="Content"/>
      </w:pPr>
      <w:r>
        <w:t>The regression analysis indicates that collectively, the training program parameters explain 55.01% of the variability in employee relations, demonstrating a statistically significant overall connection. This affiliation supports employee relations theorizations regarding developmental investments leading to motivational improvements. Individually, work quality enhancements, interpersonal skills growth, and transparency around training demonstrate positive linkages with employee relations indicators like dedication, retention and coordination. Though not statistically significant independently, these predictors having p-</w:t>
      </w:r>
      <w:r>
        <w:lastRenderedPageBreak/>
        <w:t>values proximate to the 0.05 threshold suggest potential areas for targeted training focus. Combined with the moderate R-squared value, the current model offers a promising baseline structure for additional nuancing to further trace evidence-based pathways using Amazon's training ecosystem to nurture workforce performance, bonding and fulfilment. Supplementary data inputs and factor additions can expand explanatory power over time. The regression model confirms proposed theories around competency advancement and informational availability cultivating improved organizational commitment and interlinkages. Isolating the salient success levers offers actionable directionality for Amazon to double down on customer excellence, communication, and transparency training modules as primary conduits for leveraging learning spend to boost employee experiences. Though not conclusively causal, the indicators definitively validate rethinking training contours to homogeneously propagate positive individual and operating advances.</w:t>
      </w:r>
    </w:p>
    <w:p w:rsidR="00020D70" w:rsidRPr="00A56946" w:rsidRDefault="00020D70" w:rsidP="00020D70">
      <w:pPr>
        <w:pStyle w:val="Heading3"/>
      </w:pPr>
      <w:bookmarkStart w:id="68" w:name="_Toc156990284"/>
      <w:r>
        <w:t>Linkage to Hypothesized relationships</w:t>
      </w:r>
      <w:bookmarkEnd w:id="68"/>
    </w:p>
    <w:p w:rsidR="00020D70" w:rsidRDefault="00020D70" w:rsidP="00020D70">
      <w:pPr>
        <w:pStyle w:val="Content"/>
      </w:pPr>
      <w:r>
        <w:t xml:space="preserve">The positive correlations and predictive connections uncovered between incremental skill development avenues, transparency around such offerings, and corresponding employee relations markers including coordination, output and engagement - align with and validate the original hypotheses framed using established employee relations (Bhattacharya &amp; Wright, 2005) and organizational learning schools of thought (Jiménez-Jiménez &amp; Sanz-Valle, 2011).  </w:t>
      </w:r>
    </w:p>
    <w:p w:rsidR="00020D70" w:rsidRDefault="00020D70" w:rsidP="00020D70">
      <w:pPr>
        <w:pStyle w:val="Content"/>
      </w:pPr>
      <w:r>
        <w:t>Specifically, the broad tendencies support theorized dynamics wherein organizational investments in structural training, mentoring supplements and informational accessibility regarding such learning initiatives nurture improvement across productivity, relationship-building and motivational aspects - culminating in enhanced workforce performance and corporate success (Minbaeva et al., 2003). Employees acknowledging upgrades across work excellence, coordination, drive and fulfilment post-training exposures substantiate key assumptions held at the research design phase anchoring on these strategic human resource and institutional capability advancement models.</w:t>
      </w:r>
    </w:p>
    <w:p w:rsidR="00020D70" w:rsidRDefault="00020D70" w:rsidP="00020D70">
      <w:pPr>
        <w:pStyle w:val="Content"/>
      </w:pPr>
      <w:r>
        <w:t>However, segments of employees surprisingly displaying negligible, muted or negative reactions counter the projected uni-directional hypotheses of training interventions stimulating uniform productivity, tactical and engagement upshifts. Though not widespread, the ineffectual or detrimental sub-clusters warrant investigation regarding deficiencies impeding the realization of expected outcomes driving Amazon's substantial focus and allocation across its range of instructor-led, virtual, simulated, on-the-job and upskilling-</w:t>
      </w:r>
      <w:r>
        <w:lastRenderedPageBreak/>
        <w:t xml:space="preserve">oriented training and development modules targeting consultative, operations and tech-focused roles.  </w:t>
      </w:r>
    </w:p>
    <w:p w:rsidR="00020D70" w:rsidRDefault="00020D70" w:rsidP="00020D70">
      <w:pPr>
        <w:pStyle w:val="Heading2"/>
      </w:pPr>
      <w:bookmarkStart w:id="69" w:name="_Toc156990285"/>
      <w:r>
        <w:t>Discussion of Results</w:t>
      </w:r>
      <w:bookmarkEnd w:id="69"/>
    </w:p>
    <w:p w:rsidR="00020D70" w:rsidRPr="007051E9" w:rsidRDefault="00020D70" w:rsidP="00020D70">
      <w:pPr>
        <w:pStyle w:val="Content"/>
      </w:pPr>
      <w:r>
        <w:t>The empirical evidence on training impacts deviates from original predictions of consistent positive effects grounded in employee relations (Minbaeva, 2003) and organizational learning theories. Though sizeable majorities validated supposed performance, skill, coordination and motivational upgrades aligning with initial expectations, notable subsets displayed negligible or negative reactions contrasting assumptions of universal improvements (Blume et al., 2010; Colquitt et al., 2000). Approximately 80% confirmed substantive work quality, tactical aptitude, peer connectedness and engagement boosts. However, nearly 10% highlighted no discernible differentiation or motivational diminutions post-training, conflicting with hypotheses. Positively correlated enablements like information transparency, mentoring ecosystems and competency building with productivity, relationships and dedication markers validate learning culture models (Jiang et al., 2012). Fundamentally, while competency cultivation links with employee relations, enhancements remain partial rather than uniform, bounded by motivation constraints, implementation inconsistencies and training climate barriers. Despite overall conformity with employee relations and organizational learning schools, non-standardized reactions necessitate consolidating learning configurations, delivery mechanisms and contextual aspects to optimize training efficacy. Sizeable confirmation of projected upgrades coexists with noteworthy negative subgroups, signaling analysis, and refinement requirements for learning systems to address motivated capability building and skill activation gaps underpinning predicted performance linkages. Further examination targeting optimal training design and consistent evaluative processes can help resolve implementation aberrations.</w:t>
      </w:r>
    </w:p>
    <w:p w:rsidR="00020D70" w:rsidRDefault="00020D70" w:rsidP="00020D70">
      <w:pPr>
        <w:pStyle w:val="Heading2"/>
      </w:pPr>
      <w:bookmarkStart w:id="70" w:name="_Toc156990286"/>
      <w:r>
        <w:t>Practical Implications</w:t>
      </w:r>
      <w:bookmarkEnd w:id="70"/>
    </w:p>
    <w:p w:rsidR="00020D70" w:rsidRDefault="00020D70" w:rsidP="00020D70">
      <w:pPr>
        <w:pStyle w:val="Content"/>
      </w:pPr>
      <w:r w:rsidRPr="00514807">
        <w:t xml:space="preserve">The study results provide three core practical recommendations for enhancing Amazon’s training ecosystem to continually boost employee engagement, performance and retention tied to </w:t>
      </w:r>
      <w:r>
        <w:t>employee relations</w:t>
      </w:r>
      <w:r w:rsidRPr="00514807">
        <w:t xml:space="preserve"> development. Firstly, conducting regular learning needs analyses through interactive forums to map competency gaps can allow personalized content tailoring addressing subgroups displaying inhibited training reactions (Aguinis &amp; Kraiger, 2009). Secondly, emphasizing transferred learning principles in instructional design through simulations, role-plays and post-training redeployment can bridge skill activation barriers </w:t>
      </w:r>
      <w:r w:rsidRPr="00514807">
        <w:lastRenderedPageBreak/>
        <w:t>(Blume et al., 2010). Thirdly, expanding formal and informal mentoring channels via peer communities and manager-monitored progress tracking can sustain motivation gains via contextual reinforcement. Fundamentally, persistent optimization across alignment of training investments with role-based requirements, seamless on-job application enablement via formative learning approaches and consistent guidance ecosystems can compound employee relations returns over the long-term.</w:t>
      </w:r>
    </w:p>
    <w:p w:rsidR="00020D70" w:rsidRDefault="00020D70" w:rsidP="00020D70">
      <w:pPr>
        <w:pStyle w:val="Heading2"/>
      </w:pPr>
      <w:bookmarkStart w:id="71" w:name="_Toc156990287"/>
      <w:r>
        <w:t>Limitations of the Research</w:t>
      </w:r>
      <w:bookmarkEnd w:id="71"/>
    </w:p>
    <w:p w:rsidR="00020D70" w:rsidRDefault="00020D70" w:rsidP="00020D70">
      <w:pPr>
        <w:pStyle w:val="Content"/>
      </w:pPr>
      <w:r>
        <w:t>While the study design enabled a quantitative evaluation of training perceptions and effects using surveys, the methodology also imposes certain inherent constraints. Firstly, the reliance on cross-sectional self-reported assessments from a single observation period limits the ability to definitively ascertain causal mechanisms over time. Longitudinal tracking can better account for evolving trajectories. Secondly, the exclusive use of questionnaire-based inquiry risks common method biases like consistency motifs and social desirability distortions seeping into response patterns. Multi-modal mixed methods data can counterbalance subjective inputs. Thirdly, the non-probability purposive sampling focused on UK employees precludes blanket universal generalizability of findings across Amazon's global workforce. Comparative analyses across geographic regions can alleviate localization limitations. Fourthly, the sample concentration of relatively junior customer service and operations staff's training perceptions may not represent experiences of specialized technical or strategy-focused learning initiatives targeting more seasoned professionals. Finally, the inclusion of multiple interconnected employee relations markers like dedication, coordination and output as outcomes restrains granular isolation of specific micro-level processes underpinning reported training impacts. While the adopted design enabled insightful questionnaire-based inquiry aligned to study scale, integrating methodological and sampling triangulation techniques can enrich validity and reveal additional nuances within Amazon's learning sub-systems.</w:t>
      </w:r>
    </w:p>
    <w:p w:rsidR="00020D70" w:rsidRDefault="00020D70" w:rsidP="00020D70">
      <w:pPr>
        <w:pStyle w:val="Heading2"/>
      </w:pPr>
      <w:bookmarkStart w:id="72" w:name="_Toc156990288"/>
      <w:r>
        <w:t>Research Gap</w:t>
      </w:r>
      <w:bookmarkEnd w:id="72"/>
    </w:p>
    <w:p w:rsidR="00020D70" w:rsidRDefault="00020D70" w:rsidP="00020D70">
      <w:pPr>
        <w:pStyle w:val="Content"/>
      </w:pPr>
      <w:r>
        <w:t>The review of existing literature and methodology reveals some key research gaps regarding investigating the impacts of training on employee relations at Amazon that the current study aims, but only partially manages to address:</w:t>
      </w:r>
    </w:p>
    <w:p w:rsidR="00020D70" w:rsidRDefault="00020D70" w:rsidP="00020D70">
      <w:pPr>
        <w:pStyle w:val="Content"/>
        <w:numPr>
          <w:ilvl w:val="0"/>
          <w:numId w:val="9"/>
        </w:numPr>
      </w:pPr>
      <w:r>
        <w:lastRenderedPageBreak/>
        <w:t xml:space="preserve">There is limited empirical evidence using large-scale, multi-modal data techniques to systematically examine the specific mechanisms and processes by which Amazon's extensive investments in training initiatives shape interlinked employee performance, coordination, development, and dedication aspects in a quantifiable manner over time amid rapid expansion. </w:t>
      </w:r>
    </w:p>
    <w:p w:rsidR="00020D70" w:rsidRDefault="00020D70" w:rsidP="00020D70">
      <w:pPr>
        <w:pStyle w:val="Content"/>
        <w:numPr>
          <w:ilvl w:val="0"/>
          <w:numId w:val="9"/>
        </w:numPr>
      </w:pPr>
      <w:r>
        <w:t>While the adopted positivist, survey-based approach facilitates large sample hypothesis testing around learning inputs affecting attitudinal outcomes, the reliance on cross-sectional self-reported assessments constrains conclusively determining complex, evolving training impact chains. Integrative longitudinal tracking remains relatively underexplored.</w:t>
      </w:r>
    </w:p>
    <w:p w:rsidR="00020D70" w:rsidRDefault="00020D70" w:rsidP="00020D70">
      <w:pPr>
        <w:pStyle w:val="Content"/>
        <w:numPr>
          <w:ilvl w:val="0"/>
          <w:numId w:val="9"/>
        </w:numPr>
      </w:pPr>
      <w:r>
        <w:t>Context-specific research concentrating the consistency between training scale/scope and corresponding employee gains specifically for Amazon is currently sparse, with available studies on learning systems focused more on SMEs or traditional sectors. Replication research situated in Amazon's unique high-technology, internet retailing ecosystem is limited.</w:t>
      </w:r>
    </w:p>
    <w:p w:rsidR="00020D70" w:rsidRPr="00D4123F" w:rsidRDefault="00020D70" w:rsidP="00020D70">
      <w:pPr>
        <w:pStyle w:val="Content"/>
      </w:pPr>
      <w:r>
        <w:t>Integrating large-scale, context-specific empirical research concentrated on the multidimensional impacts of training inputs tailored for Amazon holds value for both expanding academic literature and guiding corporate learning prioritization for enriching exponentially expanding workforces. The current study offers initial foundations along these lines, though deeper investigations are warranted.</w:t>
      </w:r>
    </w:p>
    <w:p w:rsidR="00020D70" w:rsidRDefault="00020D70" w:rsidP="00020D70">
      <w:pPr>
        <w:pStyle w:val="Heading2"/>
      </w:pPr>
      <w:bookmarkStart w:id="73" w:name="_Toc156990289"/>
      <w:r>
        <w:t>Recommendations</w:t>
      </w:r>
      <w:bookmarkEnd w:id="73"/>
    </w:p>
    <w:p w:rsidR="00020D70" w:rsidRDefault="00020D70" w:rsidP="00020D70">
      <w:pPr>
        <w:pStyle w:val="Content"/>
        <w:numPr>
          <w:ilvl w:val="0"/>
          <w:numId w:val="2"/>
        </w:numPr>
      </w:pPr>
      <w:r>
        <w:t>Institute personalized development plans outlining individual competency goals mapped to roles, learning pathways to bridge gaps, and progress milestones to promote self-directed capability building aligned with organizational objectives.</w:t>
      </w:r>
    </w:p>
    <w:p w:rsidR="00020D70" w:rsidRDefault="00020D70" w:rsidP="00020D70">
      <w:pPr>
        <w:pStyle w:val="Content"/>
        <w:numPr>
          <w:ilvl w:val="0"/>
          <w:numId w:val="2"/>
        </w:numPr>
      </w:pPr>
      <w:r>
        <w:t>Integrate managerial involvement through formalized mentor assignments, coaching check-ins and training needs discussions to motivate learners through organizational support and guidance.</w:t>
      </w:r>
    </w:p>
    <w:p w:rsidR="00020D70" w:rsidRDefault="00020D70" w:rsidP="00020D70">
      <w:pPr>
        <w:pStyle w:val="Content"/>
        <w:numPr>
          <w:ilvl w:val="0"/>
          <w:numId w:val="2"/>
        </w:numPr>
      </w:pPr>
      <w:r>
        <w:t>Enhance LMS portals and apps to offer transparent discovery, ambient access and streamlined navigation of all training content, prerequisites and completion credentials to improve engagement.</w:t>
      </w:r>
    </w:p>
    <w:p w:rsidR="00020D70" w:rsidRDefault="00020D70" w:rsidP="00020D70">
      <w:pPr>
        <w:pStyle w:val="Content"/>
        <w:numPr>
          <w:ilvl w:val="0"/>
          <w:numId w:val="2"/>
        </w:numPr>
      </w:pPr>
      <w:r>
        <w:lastRenderedPageBreak/>
        <w:t>Develop online training forums, workshops and help groups facilitated by high performers to cultivate peer learning and best practice sharing building collaborative competency advancement across the workforce.</w:t>
      </w:r>
    </w:p>
    <w:p w:rsidR="00020D70" w:rsidRDefault="00020D70" w:rsidP="00020D70">
      <w:pPr>
        <w:pStyle w:val="Content"/>
        <w:numPr>
          <w:ilvl w:val="0"/>
          <w:numId w:val="2"/>
        </w:numPr>
      </w:pPr>
      <w:r>
        <w:t>Institutionalize post-training certification protocols connecting capability building to career development pathways to incentivize participation and skill application.</w:t>
      </w:r>
    </w:p>
    <w:p w:rsidR="00020D70" w:rsidRDefault="00020D70" w:rsidP="00020D70">
      <w:pPr>
        <w:pStyle w:val="Content"/>
        <w:numPr>
          <w:ilvl w:val="0"/>
          <w:numId w:val="2"/>
        </w:numPr>
      </w:pPr>
      <w:r>
        <w:t>Establish routine training needs analysis processes using focus group discussions and questionnaire-based surveys to systematically gather employee input to identify evolving competency gaps and customize program curriculum accordingly.</w:t>
      </w:r>
    </w:p>
    <w:p w:rsidR="00020D70" w:rsidRDefault="00020D70" w:rsidP="00020D70">
      <w:pPr>
        <w:pStyle w:val="Content"/>
        <w:numPr>
          <w:ilvl w:val="0"/>
          <w:numId w:val="2"/>
        </w:numPr>
      </w:pPr>
      <w:r>
        <w:t>Adopt embedded e-learning through microlearning nuggets, mobile apps and virtual reality exposure to provide flexible, accessible bite-sized capability building aligned with continuous reskilling requirements of the future workforce.</w:t>
      </w:r>
    </w:p>
    <w:p w:rsidR="00020D70" w:rsidRDefault="00020D70" w:rsidP="00020D70">
      <w:pPr>
        <w:pStyle w:val="Content"/>
        <w:numPr>
          <w:ilvl w:val="0"/>
          <w:numId w:val="2"/>
        </w:numPr>
      </w:pPr>
      <w:r>
        <w:t>Introduce peer-to-peer social learning opportunities through collaborative document sharing portals, team discussion boards and networked workgroups to drive informal knowledge diffusion through communities of practice.</w:t>
      </w:r>
    </w:p>
    <w:p w:rsidR="00020D70" w:rsidRDefault="00020D70" w:rsidP="00020D70">
      <w:pPr>
        <w:pStyle w:val="Content"/>
        <w:numPr>
          <w:ilvl w:val="0"/>
          <w:numId w:val="2"/>
        </w:numPr>
      </w:pPr>
      <w:r>
        <w:t>Develop integrated skill development analytics using multi-source indicators from participation metrics to competency adoption rates to business impact scorecards framed at individual and organizational levels to enable data-driven training enhancement planning.</w:t>
      </w:r>
    </w:p>
    <w:p w:rsidR="00020D70" w:rsidRDefault="00020D70" w:rsidP="00020D70">
      <w:pPr>
        <w:pStyle w:val="Content"/>
        <w:numPr>
          <w:ilvl w:val="0"/>
          <w:numId w:val="2"/>
        </w:numPr>
      </w:pPr>
      <w:r>
        <w:t>Leverage external best practice case research, industry partnerships and annual training conferences to continually expand world-class learning infrastructure through content refreshing, instructional innovation and technology integration.</w:t>
      </w:r>
    </w:p>
    <w:p w:rsidR="00020D70" w:rsidRDefault="00020D70" w:rsidP="00020D70">
      <w:pPr>
        <w:pStyle w:val="Heading2"/>
      </w:pPr>
      <w:bookmarkStart w:id="74" w:name="_Toc156990290"/>
      <w:r>
        <w:t>Future Research Directions</w:t>
      </w:r>
      <w:bookmarkEnd w:id="74"/>
    </w:p>
    <w:p w:rsidR="00020D70" w:rsidRDefault="00020D70" w:rsidP="00020D70">
      <w:pPr>
        <w:pStyle w:val="Content"/>
        <w:numPr>
          <w:ilvl w:val="0"/>
          <w:numId w:val="3"/>
        </w:numPr>
      </w:pPr>
      <w:r>
        <w:t>Longitudinal tracking studies following employee cohorts over extended time periods to assess evolving impact trajectories of training interventions on engagement and performance metrics.</w:t>
      </w:r>
    </w:p>
    <w:p w:rsidR="00020D70" w:rsidRDefault="00020D70" w:rsidP="00020D70">
      <w:pPr>
        <w:pStyle w:val="Content"/>
        <w:numPr>
          <w:ilvl w:val="0"/>
          <w:numId w:val="3"/>
        </w:numPr>
      </w:pPr>
      <w:r>
        <w:t xml:space="preserve">In-depth qualitative evaluations through interviews and focus group discussions to capture contextualized, descriptive experiences and meanings employees associate with training exposures. </w:t>
      </w:r>
    </w:p>
    <w:p w:rsidR="00020D70" w:rsidRDefault="00020D70" w:rsidP="00020D70">
      <w:pPr>
        <w:pStyle w:val="Content"/>
        <w:numPr>
          <w:ilvl w:val="0"/>
          <w:numId w:val="3"/>
        </w:numPr>
      </w:pPr>
      <w:r>
        <w:lastRenderedPageBreak/>
        <w:t>Multi-source data collection from peer and manager inputs alongside self-reports to enable 360-degree feedback and mitigate subjective biases.</w:t>
      </w:r>
    </w:p>
    <w:p w:rsidR="00020D70" w:rsidRDefault="00020D70" w:rsidP="00020D70">
      <w:pPr>
        <w:pStyle w:val="Content"/>
        <w:numPr>
          <w:ilvl w:val="0"/>
          <w:numId w:val="3"/>
        </w:numPr>
      </w:pPr>
      <w:r>
        <w:t>Comparative analysis of training perceptions across geographic regions and business functions to evaluate localization nuances and customize accordingly.</w:t>
      </w:r>
    </w:p>
    <w:p w:rsidR="00020D70" w:rsidRDefault="00020D70" w:rsidP="00020D70">
      <w:pPr>
        <w:pStyle w:val="Content"/>
        <w:numPr>
          <w:ilvl w:val="0"/>
          <w:numId w:val="3"/>
        </w:numPr>
      </w:pPr>
      <w:r>
        <w:t>Mediation analysis to empirically assess intermediate linkages through which training programs enhance proximal engagement outcomes translating subsequently into distal performance gains.</w:t>
      </w:r>
    </w:p>
    <w:p w:rsidR="00020D70" w:rsidRDefault="00020D70" w:rsidP="00020D70">
      <w:pPr>
        <w:pStyle w:val="Content"/>
        <w:numPr>
          <w:ilvl w:val="0"/>
          <w:numId w:val="3"/>
        </w:numPr>
      </w:pPr>
      <w:r>
        <w:t>Social network analysis examining whether peers train together exhibit better coordination gains compared to disparate isolated learning.</w:t>
      </w:r>
    </w:p>
    <w:p w:rsidR="00020D70" w:rsidRDefault="00020D70" w:rsidP="00020D70">
      <w:pPr>
        <w:pStyle w:val="Content"/>
        <w:numPr>
          <w:ilvl w:val="0"/>
          <w:numId w:val="3"/>
        </w:numPr>
      </w:pPr>
      <w:r>
        <w:t xml:space="preserve">Group-level training optimizations assessing how team composition balance with aggregated individual upgrades shape overall unit-level productivity. </w:t>
      </w:r>
    </w:p>
    <w:p w:rsidR="00020D70" w:rsidRDefault="00020D70" w:rsidP="00020D70">
      <w:pPr>
        <w:pStyle w:val="Content"/>
        <w:numPr>
          <w:ilvl w:val="0"/>
          <w:numId w:val="3"/>
        </w:numPr>
      </w:pPr>
      <w:r>
        <w:t>Training simulations using virtual reality to identify specific content, delivery and environmental attributes inhibiting positive reactions for targeted interventions.</w:t>
      </w:r>
    </w:p>
    <w:p w:rsidR="00020D70" w:rsidRDefault="00020D70" w:rsidP="00020D70">
      <w:pPr>
        <w:pStyle w:val="Content"/>
        <w:numPr>
          <w:ilvl w:val="0"/>
          <w:numId w:val="3"/>
        </w:numPr>
      </w:pPr>
      <w:r>
        <w:t>Real-time embedded analytics via apps and wearables to track capability activation rates following learning sessions along with sustainability.</w:t>
      </w:r>
    </w:p>
    <w:p w:rsidR="00020D70" w:rsidRPr="00440A10" w:rsidRDefault="00020D70" w:rsidP="00020D70">
      <w:pPr>
        <w:pStyle w:val="Content"/>
      </w:pPr>
      <w:r>
        <w:t>The focus areas emphasize multi-paradigm, temporally expanded evaluations assessing individualized and collaborative impacts over time using metrics linkage to help optimize future training effectiveness.</w:t>
      </w:r>
    </w:p>
    <w:p w:rsidR="00020D70" w:rsidRDefault="00020D70" w:rsidP="00020D70">
      <w:pPr>
        <w:pStyle w:val="Heading1"/>
      </w:pPr>
      <w:bookmarkStart w:id="75" w:name="_Toc156990291"/>
      <w:r>
        <w:t>Conclusion</w:t>
      </w:r>
      <w:bookmarkEnd w:id="75"/>
    </w:p>
    <w:p w:rsidR="00020D70" w:rsidRDefault="00020D70" w:rsidP="00020D70">
      <w:pPr>
        <w:pStyle w:val="Content"/>
      </w:pPr>
      <w:r>
        <w:t xml:space="preserve">In conclusion, this study offers valuable insights into the current state of Amazon's training ecosystem while isolating avenues for incremental enrichments targeting improved workforce experiences. The survey-based empirical analysis confirms existing alignment between developmental systems proficiency and gains reported across individual productivity, strategic expertise, peer coordination and motivation levels as projected by employee relations advancement theories. Descriptive self-reporting coupled with statistically modeled associations between learning inputs and employee relations outputs validate continued investments in mentoring structures, engagement tracking and role-based content building as crucial for nurturing human assets essential for organizational prosperity. However, the </w:t>
      </w:r>
      <w:r>
        <w:lastRenderedPageBreak/>
        <w:t>presence of non-negligible subgroups displaying muted or negative training reactions frames vital areas for consolidation around learning needs analysis, formative skill-building, climate adaptation and integrated measurement practices to actualize universally constructive outcomes. Though not undermining the topic relevance, implementation aberrations provoke re-evaluating training and mentoring system contours including configurations, content formats, progress monitoring and continual enhancements responsive to emerging competence requirements within Amazon's distinctive context. Executing the specific suggestions around development planning, managerial involvement, portal streamlining, peer exchanges, microlearning and scorecards can drive targeted, evidence-driven improvements addressing subgroups displaying training process or adoption barriers.</w:t>
      </w:r>
    </w:p>
    <w:p w:rsidR="00020D70" w:rsidRDefault="00020D70" w:rsidP="00020D70">
      <w:pPr>
        <w:pStyle w:val="Content"/>
      </w:pPr>
      <w:r>
        <w:t>Fundamentally, enriching visibility, accessibility, personalization and measurement surrounding existing training mechanisms can activate a positive self-reinforcing cycle accelerating capability building and its corresponding coordination, performance and motivational gains. This underscores strategic learning's role in nurturing fulfilling employment experiences, productive work ecosystems and ultimately organizational prosperity. Essentially, the study affirms training's pivotal influence while stressing persistent, collaborative design optimizations informed by multi-lens diagnostics to address marginal groups resisting expected transformations, thus benefiting all through progress measurement enabling sustainable maximize workforce experience and effectiveness enhancements at Amazon.</w:t>
      </w: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Pr="0081262B" w:rsidRDefault="00020D70" w:rsidP="00020D70">
      <w:pPr>
        <w:pStyle w:val="Content"/>
      </w:pPr>
    </w:p>
    <w:p w:rsidR="00020D70" w:rsidRDefault="00020D70" w:rsidP="00020D70">
      <w:pPr>
        <w:pStyle w:val="Heading1"/>
      </w:pPr>
      <w:bookmarkStart w:id="76" w:name="_Toc156990292"/>
      <w:r>
        <w:lastRenderedPageBreak/>
        <w:t>References</w:t>
      </w:r>
      <w:bookmarkEnd w:id="76"/>
    </w:p>
    <w:p w:rsidR="00020D70" w:rsidRPr="003C1A4A" w:rsidRDefault="00020D70" w:rsidP="00020D70">
      <w:pPr>
        <w:pStyle w:val="content0"/>
        <w:spacing w:line="360" w:lineRule="auto"/>
      </w:pPr>
      <w:r w:rsidRPr="0034666D">
        <w:t>Abogsesa, A.S. and Kaushik, G., 2017. Impact of training and development on employee performance: A study of Libyan Bank. International Journal of Civic Engagement and Social Change (IJCESC), 4(3), pp.53-68.</w:t>
      </w:r>
    </w:p>
    <w:p w:rsidR="00020D70" w:rsidRDefault="00020D70" w:rsidP="00020D70">
      <w:pPr>
        <w:pStyle w:val="Content"/>
      </w:pPr>
      <w:r w:rsidRPr="00514807">
        <w:t>Aguinis, H. and Kraiger, K., 2009. Benefits of training and development for individuals and teams, organizations, and society. Annual review of psychology, 60, pp.451-474.</w:t>
      </w:r>
    </w:p>
    <w:sdt>
      <w:sdtPr>
        <w:rPr>
          <w:rFonts w:ascii="Times New Roman" w:hAnsi="Times New Roman"/>
          <w:color w:val="000000" w:themeColor="text1"/>
        </w:rPr>
        <w:id w:val="-1129315414"/>
        <w:bibliography/>
      </w:sdtPr>
      <w:sdtContent>
        <w:p w:rsidR="00020D70" w:rsidRPr="00E85422" w:rsidRDefault="00020D70" w:rsidP="00020D70">
          <w:pPr>
            <w:pStyle w:val="Bibliography"/>
            <w:spacing w:line="360" w:lineRule="auto"/>
            <w:rPr>
              <w:rFonts w:ascii="Times New Roman" w:hAnsi="Times New Roman" w:cs="Times New Roman"/>
              <w:noProof/>
              <w:kern w:val="0"/>
              <w14:ligatures w14:val="none"/>
            </w:rPr>
          </w:pPr>
          <w:r w:rsidRPr="00E85422">
            <w:rPr>
              <w:rFonts w:ascii="Times New Roman" w:hAnsi="Times New Roman" w:cs="Times New Roman"/>
            </w:rPr>
            <w:fldChar w:fldCharType="begin"/>
          </w:r>
          <w:r w:rsidRPr="00E85422">
            <w:rPr>
              <w:rFonts w:ascii="Times New Roman" w:hAnsi="Times New Roman" w:cs="Times New Roman"/>
            </w:rPr>
            <w:instrText xml:space="preserve"> BIBLIOGRAPHY </w:instrText>
          </w:r>
          <w:r w:rsidRPr="00E85422">
            <w:rPr>
              <w:rFonts w:ascii="Times New Roman" w:hAnsi="Times New Roman" w:cs="Times New Roman"/>
            </w:rPr>
            <w:fldChar w:fldCharType="separate"/>
          </w:r>
          <w:r w:rsidRPr="00E85422">
            <w:rPr>
              <w:rFonts w:ascii="Times New Roman" w:hAnsi="Times New Roman" w:cs="Times New Roman"/>
              <w:noProof/>
            </w:rPr>
            <w:t xml:space="preserve">Amazon, 2019. Amazon Pledges to Upskill 100,000 U.S. Employees for In-Demand Jobs by 2025. [Online] </w:t>
          </w:r>
          <w:r w:rsidRPr="00E85422">
            <w:rPr>
              <w:rFonts w:ascii="Times New Roman" w:hAnsi="Times New Roman" w:cs="Times New Roman"/>
              <w:noProof/>
            </w:rPr>
            <w:br/>
            <w:t xml:space="preserve">Available at: </w:t>
          </w:r>
          <w:r w:rsidRPr="00E85422">
            <w:rPr>
              <w:rFonts w:ascii="Times New Roman" w:hAnsi="Times New Roman" w:cs="Times New Roman"/>
              <w:noProof/>
              <w:u w:val="single"/>
            </w:rPr>
            <w:t>https://press.aboutamazon.com/2019/7/amazon-pledges-to-upskill-100-000-u-s-employees-for-in-demand-jobs-by-2025#:~:text=11%2C%202019%2D%2D%20Amazon%20(NASDAQ,that%20will%20help%20them%20move</w:t>
          </w:r>
          <w:r w:rsidRPr="00E85422">
            <w:rPr>
              <w:rFonts w:ascii="Times New Roman" w:hAnsi="Times New Roman" w:cs="Times New Roman"/>
              <w:noProof/>
            </w:rPr>
            <w:br/>
            <w:t>[Accessed 04 January 2024].</w:t>
          </w:r>
        </w:p>
        <w:p w:rsidR="00020D70" w:rsidRPr="00E85422" w:rsidRDefault="00020D70" w:rsidP="00020D70">
          <w:pPr>
            <w:pStyle w:val="Bibliography"/>
            <w:spacing w:line="360" w:lineRule="auto"/>
            <w:rPr>
              <w:rFonts w:ascii="Times New Roman" w:hAnsi="Times New Roman" w:cs="Times New Roman"/>
              <w:noProof/>
            </w:rPr>
          </w:pPr>
          <w:r w:rsidRPr="00E85422">
            <w:rPr>
              <w:rFonts w:ascii="Times New Roman" w:hAnsi="Times New Roman" w:cs="Times New Roman"/>
              <w:noProof/>
            </w:rPr>
            <w:t xml:space="preserve">Amazon, 2023. About Amazon. [Online] </w:t>
          </w:r>
          <w:r w:rsidRPr="00E85422">
            <w:rPr>
              <w:rFonts w:ascii="Times New Roman" w:hAnsi="Times New Roman" w:cs="Times New Roman"/>
              <w:noProof/>
            </w:rPr>
            <w:br/>
            <w:t xml:space="preserve">Available at: </w:t>
          </w:r>
          <w:r w:rsidRPr="00E85422">
            <w:rPr>
              <w:rFonts w:ascii="Times New Roman" w:hAnsi="Times New Roman" w:cs="Times New Roman"/>
              <w:noProof/>
              <w:u w:val="single"/>
            </w:rPr>
            <w:t>https://www.aboutamazon.com</w:t>
          </w:r>
          <w:r w:rsidRPr="00E85422">
            <w:rPr>
              <w:rFonts w:ascii="Times New Roman" w:hAnsi="Times New Roman" w:cs="Times New Roman"/>
              <w:noProof/>
            </w:rPr>
            <w:br/>
            <w:t>[Accessed 04 2024 2024].</w:t>
          </w:r>
        </w:p>
        <w:p w:rsidR="00020D70" w:rsidRDefault="00020D70" w:rsidP="00020D70">
          <w:pPr>
            <w:pStyle w:val="Bibliography"/>
            <w:spacing w:line="360" w:lineRule="auto"/>
            <w:rPr>
              <w:rFonts w:ascii="Times New Roman" w:hAnsi="Times New Roman" w:cs="Times New Roman"/>
              <w:noProof/>
            </w:rPr>
          </w:pPr>
          <w:r w:rsidRPr="00E85422">
            <w:rPr>
              <w:rFonts w:ascii="Times New Roman" w:hAnsi="Times New Roman" w:cs="Times New Roman"/>
              <w:noProof/>
            </w:rPr>
            <w:t xml:space="preserve">Amazon, 2023. How Amazon is working to close the skills gap and train employees for jobs of the future. [Online] </w:t>
          </w:r>
          <w:r w:rsidRPr="00E85422">
            <w:rPr>
              <w:rFonts w:ascii="Times New Roman" w:hAnsi="Times New Roman" w:cs="Times New Roman"/>
              <w:noProof/>
            </w:rPr>
            <w:br/>
            <w:t xml:space="preserve">Available at: </w:t>
          </w:r>
          <w:r w:rsidRPr="00E85422">
            <w:rPr>
              <w:rFonts w:ascii="Times New Roman" w:hAnsi="Times New Roman" w:cs="Times New Roman"/>
              <w:noProof/>
              <w:u w:val="single"/>
            </w:rPr>
            <w:t>https://www.aboutamazon.com/news/workplace/amazon-provides-on-the-job-learning-opportunities</w:t>
          </w:r>
          <w:r w:rsidRPr="00E85422">
            <w:rPr>
              <w:rFonts w:ascii="Times New Roman" w:hAnsi="Times New Roman" w:cs="Times New Roman"/>
              <w:noProof/>
            </w:rPr>
            <w:br/>
            <w:t>[Accessed 04 January 2024].</w:t>
          </w:r>
        </w:p>
        <w:p w:rsidR="00020D70" w:rsidRDefault="00020D70" w:rsidP="00020D70">
          <w:pPr>
            <w:pStyle w:val="Content"/>
          </w:pPr>
          <w:r w:rsidRPr="00E85422">
            <w:rPr>
              <w:rFonts w:cs="Times New Roman"/>
              <w:b/>
              <w:bCs/>
              <w:noProof/>
            </w:rPr>
            <w:fldChar w:fldCharType="end"/>
          </w:r>
          <w:r w:rsidRPr="00503714">
            <w:t>Appelbaum, E. and Batt, R., 2020. Private equity buyouts in healthcare: who wins, who loses?. Institute for New Economic Thinking Working Paper Series, (118).</w:t>
          </w:r>
        </w:p>
      </w:sdtContent>
    </w:sdt>
    <w:p w:rsidR="00020D70" w:rsidRDefault="00020D70" w:rsidP="00020D70">
      <w:pPr>
        <w:pStyle w:val="Content"/>
      </w:pPr>
      <w:r w:rsidRPr="00556C1D">
        <w:t>Barrick, M.R., Thurgood, G.R., Smith, T.A. and Courtright, S.H., 2015. Collective organizational engagement: Linking motivational antecedents, strategic implementation, and firm performance. Academy of Management journal, 58(1), pp.111-135.</w:t>
      </w:r>
    </w:p>
    <w:p w:rsidR="00020D70" w:rsidRPr="00514807" w:rsidRDefault="00020D70" w:rsidP="00020D70">
      <w:pPr>
        <w:pStyle w:val="Content"/>
      </w:pPr>
      <w:r w:rsidRPr="00503714">
        <w:t>Bandiera, O., Prat, A., Hansen, S. and Sadun, R., 2020. CEO behavior and firm performance. Journal of Political Economy, 128(4), pp.1325-1369.</w:t>
      </w:r>
    </w:p>
    <w:p w:rsidR="00020D70" w:rsidRDefault="00020D70" w:rsidP="00020D70">
      <w:pPr>
        <w:pStyle w:val="Content"/>
      </w:pPr>
      <w:r w:rsidRPr="0082019C">
        <w:lastRenderedPageBreak/>
        <w:t>Bhattacharya, M. and Wright, P.M., 2005. Managing human assets in an uncertain world: Applying real options theory to HRM. The International Journal of Human Resource Management, 16(6), pp.929-948.</w:t>
      </w:r>
    </w:p>
    <w:p w:rsidR="00020D70" w:rsidRDefault="00020D70" w:rsidP="00020D70">
      <w:pPr>
        <w:pStyle w:val="Content"/>
      </w:pPr>
      <w:r w:rsidRPr="0035094B">
        <w:t>Blanchard, P.N. and Thacker, J.W., 2023. Effective training: Systems, strategies, and practices. SAGE Publications.</w:t>
      </w:r>
    </w:p>
    <w:p w:rsidR="00020D70" w:rsidRDefault="00020D70" w:rsidP="00020D70">
      <w:pPr>
        <w:pStyle w:val="Content"/>
      </w:pPr>
      <w:r>
        <w:t>Blau, P. M. (1964). Justice in social exchange. Sociological Inquiry, 34(2), 193-206.</w:t>
      </w:r>
    </w:p>
    <w:p w:rsidR="00020D70" w:rsidRDefault="00020D70" w:rsidP="00020D70">
      <w:pPr>
        <w:pStyle w:val="Content"/>
      </w:pPr>
      <w:r w:rsidRPr="00440A10">
        <w:t>Blume, B.D., Ford, J.K., Baldwin, T.T. and Huang, J.L., 2010. Transfer of training: A meta-analytic review. Journal of management, 36(4), pp.1065-1105.</w:t>
      </w:r>
    </w:p>
    <w:p w:rsidR="00020D70" w:rsidRPr="0082019C" w:rsidRDefault="00020D70" w:rsidP="00020D70">
      <w:pPr>
        <w:pStyle w:val="Content"/>
      </w:pPr>
      <w:r w:rsidRPr="000F5AD3">
        <w:t>Bratton, J., Gold, J., Bratton, A. and Steele, L., 2021. Human resource management. Bloomsbury Publishing.</w:t>
      </w:r>
    </w:p>
    <w:p w:rsidR="00020D70" w:rsidRDefault="00020D70" w:rsidP="00020D70">
      <w:pPr>
        <w:pStyle w:val="Content"/>
      </w:pPr>
      <w:r w:rsidRPr="00DD21A3">
        <w:t xml:space="preserve">Bryman, A., 2016. Social research methods. Oxford university press. </w:t>
      </w:r>
    </w:p>
    <w:p w:rsidR="00020D70" w:rsidRDefault="00020D70" w:rsidP="00020D70">
      <w:pPr>
        <w:pStyle w:val="Content"/>
      </w:pPr>
      <w:r w:rsidRPr="00793284">
        <w:t>Burton-Jones, A. and Spender, J.C. eds., 2012. The Oxford handbook of human capital. OUP Oxford.</w:t>
      </w:r>
    </w:p>
    <w:p w:rsidR="00020D70" w:rsidRDefault="00020D70" w:rsidP="00020D70">
      <w:pPr>
        <w:pStyle w:val="Content"/>
      </w:pPr>
      <w:r w:rsidRPr="00B56DC5">
        <w:t>Cannon, J.A. and Mcgee, R., 2011. Talent management and succession planning (Vol. 151). London: Chartered Institute of Personnel and Development.</w:t>
      </w:r>
    </w:p>
    <w:p w:rsidR="00020D70" w:rsidRDefault="00020D70" w:rsidP="00020D70">
      <w:pPr>
        <w:pStyle w:val="Content"/>
      </w:pPr>
      <w:r w:rsidRPr="00151C1C">
        <w:t>Cappelli, P. and Keller, J.R., 2014. Talent management: Conceptual approaches and practical challenges. Annu. Rev. Organ. Psychol. Organ. Behav., 1(1), pp.305-331.</w:t>
      </w:r>
    </w:p>
    <w:p w:rsidR="00020D70" w:rsidRDefault="00020D70" w:rsidP="00020D70">
      <w:pPr>
        <w:pStyle w:val="Content"/>
      </w:pPr>
      <w:r w:rsidRPr="002843D3">
        <w:t>Collins, C.S. and Stockton, C.M., 2018. The central role of theory in qualitative research. International journal of qualitative methods, 17(1), p.1609406918797475.</w:t>
      </w:r>
    </w:p>
    <w:p w:rsidR="00020D70" w:rsidRDefault="00020D70" w:rsidP="00020D70">
      <w:pPr>
        <w:pStyle w:val="Content"/>
      </w:pPr>
      <w:r w:rsidRPr="00440A10">
        <w:t>Colquitt, J.A., LePine, J.A. and Noe, R.A., 2000. Toward an integrative theory of training motivation: a meta-analytic path analysis of 20 years of research. Journal of applied psychology, 85(5), p.678.</w:t>
      </w:r>
    </w:p>
    <w:p w:rsidR="00020D70" w:rsidRDefault="00020D70" w:rsidP="00020D70">
      <w:pPr>
        <w:pStyle w:val="Content"/>
      </w:pPr>
      <w:r w:rsidRPr="0017044D">
        <w:t>Cook, K.S., Cheshire, C., Rice, E.R. and Nakagawa, S., 2013. Social exchange theory. Handbook of social psychology, pp.61-88.</w:t>
      </w:r>
    </w:p>
    <w:p w:rsidR="00020D70" w:rsidRPr="00DD21A3" w:rsidRDefault="00020D70" w:rsidP="00020D70">
      <w:pPr>
        <w:pStyle w:val="Content"/>
      </w:pPr>
      <w:r w:rsidRPr="00DD21A3">
        <w:t xml:space="preserve">Creswell, J.W. and Creswell, J.D., 2017. Research design: Qualitative, quantitative, and mixed methods approaches. Sage publications. </w:t>
      </w:r>
    </w:p>
    <w:p w:rsidR="00020D70" w:rsidRDefault="00020D70" w:rsidP="00020D70">
      <w:pPr>
        <w:pStyle w:val="Content"/>
      </w:pPr>
      <w:r w:rsidRPr="00C3503B">
        <w:lastRenderedPageBreak/>
        <w:t xml:space="preserve">DeVellis, R.F. and Thorpe, C.T., 2021. Scale development: Theory and applications. Sage publications. </w:t>
      </w:r>
    </w:p>
    <w:p w:rsidR="00020D70" w:rsidRDefault="00020D70" w:rsidP="00020D70">
      <w:pPr>
        <w:pStyle w:val="Content"/>
      </w:pPr>
      <w:r w:rsidRPr="00DD21A3">
        <w:t>Edmondson, A.C. and McManus, S.E., 2007. Methodological fit in management field research. Academy of management review, 32(4), pp.1246-1264.</w:t>
      </w:r>
    </w:p>
    <w:p w:rsidR="00020D70" w:rsidRDefault="00020D70" w:rsidP="00020D70">
      <w:pPr>
        <w:pStyle w:val="Content"/>
      </w:pPr>
      <w:r w:rsidRPr="0017044D">
        <w:t>Eisenberger, R., Huntington, R., Hutchison, S., &amp; Sowa, D. (1986). Perceived organizational support. Journal of Applied Psychology, 71(3), 500-507.</w:t>
      </w:r>
    </w:p>
    <w:p w:rsidR="00020D70" w:rsidRDefault="00020D70" w:rsidP="00020D70">
      <w:pPr>
        <w:pStyle w:val="content0"/>
        <w:spacing w:line="360" w:lineRule="auto"/>
      </w:pPr>
      <w:r w:rsidRPr="00F74B23">
        <w:t>Elnaga, A. and Imran, A., 2013. The effect of training on employee performance. European journal of Business and Management, 5(4), pp.137-147.</w:t>
      </w:r>
    </w:p>
    <w:p w:rsidR="00020D70" w:rsidRDefault="00020D70" w:rsidP="00020D70">
      <w:pPr>
        <w:pStyle w:val="Content"/>
      </w:pPr>
      <w:r w:rsidRPr="006D27C6">
        <w:t>Etikan, I., Musa, S.A. and Alkassim, R.S., 2016. Comparison of convenience sampling and purposive sampling. American journal of theoretical and applied statistics, 5(1), pp.1-4.</w:t>
      </w:r>
    </w:p>
    <w:p w:rsidR="00020D70" w:rsidRDefault="00020D70" w:rsidP="00020D70">
      <w:pPr>
        <w:pStyle w:val="Content"/>
      </w:pPr>
      <w:r w:rsidRPr="00556C1D">
        <w:t>Frenkel, S., Sanders, K. and Bednall, T., 2013. Employee perceptions of management relations as influences on job satisfaction and quit intentions. Asia pacific journal of management, 30(1), pp.7-29.</w:t>
      </w:r>
    </w:p>
    <w:p w:rsidR="00020D70" w:rsidRDefault="00020D70" w:rsidP="00020D70">
      <w:pPr>
        <w:pStyle w:val="Content"/>
      </w:pPr>
      <w:r w:rsidRPr="0035094B">
        <w:t>Goldstein, I.L., 1993. Training in organizations: Needs assessment, development, and evaluation. Thomson Brooks/Cole Publishing Co.</w:t>
      </w:r>
    </w:p>
    <w:p w:rsidR="00020D70" w:rsidRDefault="00020D70" w:rsidP="00020D70">
      <w:pPr>
        <w:pStyle w:val="Content"/>
      </w:pPr>
      <w:r w:rsidRPr="0017044D">
        <w:t xml:space="preserve">Gouldner, A. W. (1960). The norm of reciprocity: A preliminary statement. American </w:t>
      </w:r>
      <w:r w:rsidRPr="00793284">
        <w:t>sociological review, 161-178.</w:t>
      </w:r>
    </w:p>
    <w:p w:rsidR="00020D70" w:rsidRPr="00793284" w:rsidRDefault="00020D70" w:rsidP="00020D70">
      <w:pPr>
        <w:pStyle w:val="Content"/>
      </w:pPr>
      <w:r w:rsidRPr="0081281D">
        <w:t>Gorman, C.A., Meriac, J.P., Roch, S.G., Ray, J.L. and Gamble, J.S., 2017. An exploratory study of current performance management practices: Human resource executives’ perspectives. International Journal of Selection and Assessment, 25(2), pp.193-202.</w:t>
      </w:r>
    </w:p>
    <w:p w:rsidR="00020D70" w:rsidRDefault="00020D70" w:rsidP="00020D70">
      <w:pPr>
        <w:pStyle w:val="Content"/>
      </w:pPr>
      <w:r w:rsidRPr="00793284">
        <w:t>Gupta, O. and Roos, G., 2001. Mergers and acquisitions through an intellectual capital perspective. Journal of Intellectual capital, 2(3), pp.297-309.</w:t>
      </w:r>
    </w:p>
    <w:p w:rsidR="00020D70" w:rsidRPr="00793284" w:rsidRDefault="00020D70" w:rsidP="00020D70">
      <w:pPr>
        <w:pStyle w:val="Content"/>
      </w:pPr>
      <w:r w:rsidRPr="00556C1D">
        <w:t>Hackman, J. R., &amp; Oldham, G. R. (1976). Motivation through the design of work: Test of a theory. Organizational behavior and human performance, 16(2), 250-279.</w:t>
      </w:r>
    </w:p>
    <w:p w:rsidR="00020D70" w:rsidRDefault="00020D70" w:rsidP="00020D70">
      <w:pPr>
        <w:pStyle w:val="Content"/>
      </w:pPr>
      <w:r w:rsidRPr="0017044D">
        <w:t>Hochwarter, W.A., Ferris, G.R., Perrewé, P.L., Witt, L.A. and Kiewitz, C., 2001. A note on the nonlinearity of the age‐job‐satisfaction relationship. Journal of Applied Social Psychology, 31(6), pp.1223-1237.</w:t>
      </w:r>
    </w:p>
    <w:p w:rsidR="00020D70" w:rsidRDefault="00020D70" w:rsidP="00020D70">
      <w:pPr>
        <w:pStyle w:val="Content"/>
      </w:pPr>
      <w:r w:rsidRPr="00C44459">
        <w:lastRenderedPageBreak/>
        <w:t>Huang, J., Baptista, J. and Newell, S., 2015. Communicational ambidexterity as a new capability to manage social media communication within organizations. The Journal of Strategic Information Systems, 24(2), pp.49-64.</w:t>
      </w:r>
    </w:p>
    <w:p w:rsidR="00020D70" w:rsidRDefault="00020D70" w:rsidP="00020D70">
      <w:pPr>
        <w:pStyle w:val="Content"/>
      </w:pPr>
      <w:r w:rsidRPr="00556C1D">
        <w:t>Humphrey, S.E., Nahrgang, J.D. and Morgeson, F.P., 2007. Integrating motivational, social, and contextual work design features: a meta-analytic summary and theoretical extension of the work design literature. Journal of applied psychology, 92(5), p.1332.</w:t>
      </w:r>
    </w:p>
    <w:p w:rsidR="00020D70" w:rsidRDefault="00020D70" w:rsidP="00020D70">
      <w:pPr>
        <w:pStyle w:val="Content"/>
      </w:pPr>
      <w:r w:rsidRPr="0035094B">
        <w:t>Janev, I., Hadzi-Vasileva, G. and Sofijanova, E., 2018. Benefits of Training and Development for Individuals, Teams and Organizations. Journal of Economics, 3(1), pp.12-18.</w:t>
      </w:r>
    </w:p>
    <w:p w:rsidR="00020D70" w:rsidRDefault="00020D70" w:rsidP="00020D70">
      <w:pPr>
        <w:pStyle w:val="Content"/>
      </w:pPr>
      <w:r w:rsidRPr="000F5AD3">
        <w:t>Jayaweera, T., 2015. Impact of work environmental factors on job performance, mediating role of work motivation: A study of hotel sector in England. International journal of business and management, 10(3), p.271.</w:t>
      </w:r>
    </w:p>
    <w:p w:rsidR="00020D70" w:rsidRDefault="00020D70" w:rsidP="00020D70">
      <w:pPr>
        <w:pStyle w:val="Content"/>
      </w:pPr>
      <w:r w:rsidRPr="00440A10">
        <w:t>Jiang, K., Lepak, D.P., Hu, J. and Baer, J.C., 2012. How does human resource management influence organizational outcomes? A meta-analytic investigation of mediating mechanisms. Academy of management Journal, 55(6), pp.1264-1294.</w:t>
      </w:r>
    </w:p>
    <w:p w:rsidR="00020D70" w:rsidRDefault="00020D70" w:rsidP="00020D70">
      <w:pPr>
        <w:pStyle w:val="Content"/>
      </w:pPr>
      <w:r w:rsidRPr="0082019C">
        <w:t>Jiménez-Jiménez, D. and Sanz-Valle, R., 2011. Innovation, organizational learning, and performance. Journal of business research, 64(4), pp.408-417.</w:t>
      </w:r>
    </w:p>
    <w:p w:rsidR="00020D70" w:rsidRDefault="00020D70" w:rsidP="00020D70">
      <w:pPr>
        <w:pStyle w:val="Content"/>
      </w:pPr>
      <w:r w:rsidRPr="00503714">
        <w:t>Kantor, J. and Streitfeld, D., 2015. Inside Amazon: Wrestling big ideas in a bruising workplace. The New York Times, 15(08), pp.1-19.</w:t>
      </w:r>
    </w:p>
    <w:p w:rsidR="00020D70" w:rsidRDefault="00020D70" w:rsidP="00020D70">
      <w:pPr>
        <w:pStyle w:val="Content"/>
      </w:pPr>
      <w:r w:rsidRPr="00F823B8">
        <w:t>Kim, S., 2009. Revising Perry's measurement scale of public service motivation. The American Review of Public Administration, 39(2), pp.149-163.</w:t>
      </w:r>
    </w:p>
    <w:p w:rsidR="00020D70" w:rsidRDefault="00020D70" w:rsidP="00020D70">
      <w:pPr>
        <w:pStyle w:val="content0"/>
        <w:spacing w:line="360" w:lineRule="auto"/>
      </w:pPr>
      <w:r w:rsidRPr="00527313">
        <w:t>Kim, S., Egan, T.M. and Tolson, H. (2015) ‘Examining the dimensions of organizational learning culture that facilitate workforce retraining and redeployment’, The International Journal of Human Resource Management, 26(17), pp. 2222–2242. doi: 10.1080/09585192.2015.1004359.</w:t>
      </w:r>
    </w:p>
    <w:p w:rsidR="00020D70" w:rsidRDefault="00020D70" w:rsidP="00020D70">
      <w:pPr>
        <w:pStyle w:val="Content"/>
      </w:pPr>
      <w:r w:rsidRPr="00DB74D4">
        <w:t>Lievens, F. and Slaughter, J.E., 2016. Employer image and employer branding: What we know and what we need to know. Annual review of organizational psychology and organizational behavior, 3, pp.407-440.</w:t>
      </w:r>
    </w:p>
    <w:p w:rsidR="00020D70" w:rsidRDefault="00020D70" w:rsidP="00020D70">
      <w:pPr>
        <w:pStyle w:val="Content"/>
      </w:pPr>
      <w:r w:rsidRPr="00F009E4">
        <w:lastRenderedPageBreak/>
        <w:t>Locke, E.A. and Latham, G.P., 2013. Goal setting theory: The current state. In New developments in goal setting and task performance (pp. 623-630). Routledge.</w:t>
      </w:r>
    </w:p>
    <w:p w:rsidR="00020D70" w:rsidRDefault="00020D70" w:rsidP="00020D70">
      <w:pPr>
        <w:pStyle w:val="Content"/>
      </w:pPr>
      <w:r w:rsidRPr="0017044D">
        <w:t>Lynch, P.D., Eisenberger, R. and Armeli, S., 1999. Perceived organizational support: Inferior versus superior performance by wary employees. Journal of applied psychology, 84(4), p.467.</w:t>
      </w:r>
    </w:p>
    <w:p w:rsidR="00020D70" w:rsidRDefault="00020D70" w:rsidP="00020D70">
      <w:pPr>
        <w:pStyle w:val="Content"/>
      </w:pPr>
      <w:r w:rsidRPr="00556C1D">
        <w:t>Maden, C., Ozcelik, H. and Karacay, G., 2016. Exploring employees’ responses to unmet job expectations: The moderating role of future job expectations and efficacy beliefs. Personnel Review, 45(1), pp.4-28.</w:t>
      </w:r>
    </w:p>
    <w:p w:rsidR="00020D70" w:rsidRDefault="00020D70" w:rsidP="00020D70">
      <w:pPr>
        <w:pStyle w:val="Content"/>
      </w:pPr>
      <w:r w:rsidRPr="000F5AD3">
        <w:t>Markey, R. and Townsend, K., 2013. Contemporary trends in employee involvement and participation. Journal of Industrial Relations, 55(4), pp.475-487.</w:t>
      </w:r>
    </w:p>
    <w:p w:rsidR="00020D70" w:rsidRDefault="00020D70" w:rsidP="00020D70">
      <w:pPr>
        <w:pStyle w:val="Content"/>
      </w:pPr>
      <w:r w:rsidRPr="00F823B8">
        <w:t>Marquardt, M. and Loan, P., 2005. The manager as mentor. Bloomsbury Publishing USA.</w:t>
      </w:r>
    </w:p>
    <w:p w:rsidR="00020D70" w:rsidRDefault="00020D70" w:rsidP="00020D70">
      <w:pPr>
        <w:pStyle w:val="Content"/>
      </w:pPr>
      <w:r w:rsidRPr="00793284">
        <w:t>McCracken, M., McIvor, R., Treacy, R. and Wall, T., 2017. Human capital theory: assessing the evidence for the value and importance of people to organisational success. Chartered Institute of Personnel and Development: Belfast, Northern Ireland, 42(1), pp.130-141.</w:t>
      </w:r>
    </w:p>
    <w:p w:rsidR="00020D70" w:rsidRDefault="00020D70" w:rsidP="00020D70">
      <w:pPr>
        <w:pStyle w:val="Content"/>
      </w:pPr>
      <w:r w:rsidRPr="0082019C">
        <w:t>Minbaeva, D., Pedersen, T., Björkman, I., Fey, C.F. and Park, H.J., 2003. MNC knowledge transfer, subsidiary absorptive capacity, and HRM. Journal of international business studies, 34, pp.586-599.</w:t>
      </w:r>
    </w:p>
    <w:p w:rsidR="00020D70" w:rsidRDefault="00020D70" w:rsidP="00020D70">
      <w:pPr>
        <w:pStyle w:val="Content"/>
      </w:pPr>
      <w:r w:rsidRPr="007E2E68">
        <w:t>Mitchell, M. and Jolley, J., 1988. Research design explained. Holt, Rinehart &amp; Winston Inc.</w:t>
      </w:r>
    </w:p>
    <w:p w:rsidR="00020D70" w:rsidRDefault="00020D70" w:rsidP="00020D70">
      <w:pPr>
        <w:pStyle w:val="Content"/>
      </w:pPr>
      <w:r w:rsidRPr="0035094B">
        <w:t>Noe, R.A., Clarke, A.D. and Klein, H.J., 2014. Learning in the twenty-first-century workplace. Annu. Rev. Organ. Psychol. Organ. Behav., 1(1), pp.245-275.</w:t>
      </w:r>
    </w:p>
    <w:p w:rsidR="00020D70" w:rsidRDefault="00020D70" w:rsidP="00020D70">
      <w:pPr>
        <w:pStyle w:val="content0"/>
        <w:spacing w:line="360" w:lineRule="auto"/>
      </w:pPr>
      <w:r w:rsidRPr="00527313">
        <w:t>O’Connor, W. and Crowley-Henry, M. (2019) ‘Exploring the relationship between exclusive talent management, perceived organizational justice and employee engagement: Bridging the literature’, Journal of Business Ethics, 156(4), pp. 903–917. doi: 10.1007/s10551-017-3543-1.</w:t>
      </w:r>
    </w:p>
    <w:p w:rsidR="00020D70" w:rsidRDefault="00020D70" w:rsidP="00020D70">
      <w:pPr>
        <w:pStyle w:val="Content"/>
      </w:pPr>
      <w:r w:rsidRPr="006D27C6">
        <w:t>Orb, A., Eisenhauer, L. and Wynaden, D., 2001. Ethics in qualitative research. Journal of nursing scholarship, 33(1), pp.93-96.</w:t>
      </w:r>
    </w:p>
    <w:p w:rsidR="00020D70" w:rsidRDefault="00020D70" w:rsidP="00020D70">
      <w:pPr>
        <w:pStyle w:val="content0"/>
        <w:spacing w:line="360" w:lineRule="auto"/>
      </w:pPr>
      <w:r w:rsidRPr="00F74B23">
        <w:lastRenderedPageBreak/>
        <w:t>Owoyemi, O., Oyelere, M., Elegbede, T. and Gbajumo-Sheriff, M., 2011. Enhancing employees’ commitment to organisation through training. International Journal of Business and Management, 6(7), pp.280-286.</w:t>
      </w:r>
    </w:p>
    <w:p w:rsidR="00020D70" w:rsidRDefault="00020D70" w:rsidP="00020D70">
      <w:pPr>
        <w:pStyle w:val="Content"/>
      </w:pPr>
      <w:r w:rsidRPr="00C0160F">
        <w:t>Park, Y.S., Konge, L. and Artino Jr, A.R., 2020. The positivism paradigm of research. Academic medicine, 95(5), pp.690-694.</w:t>
      </w:r>
    </w:p>
    <w:p w:rsidR="00020D70" w:rsidRDefault="00020D70" w:rsidP="00020D70">
      <w:pPr>
        <w:pStyle w:val="Content"/>
      </w:pPr>
      <w:r w:rsidRPr="00C0160F">
        <w:t>Ponelis, S.R., 2015. Using interpretive qualitative case studies for exploratory research in doctoral studies: A case of information systems research in small and medium enterprises. International Journal of Doctoral Studies, 10, p.535.</w:t>
      </w:r>
    </w:p>
    <w:p w:rsidR="00020D70" w:rsidRDefault="00020D70" w:rsidP="00020D70">
      <w:pPr>
        <w:pStyle w:val="content0"/>
        <w:spacing w:line="360" w:lineRule="auto"/>
      </w:pPr>
      <w:r w:rsidRPr="00527313">
        <w:t>Quinton, S. and Fennemore, P. (2013) ‘Missing a strategic marketing trick? The use of online social networks by UK charities’, International Journal of Nonprofit and Voluntary Sector Marketing, 18(1), pp. 36–51. doi: 10.1002/nvsm.1450.</w:t>
      </w:r>
    </w:p>
    <w:p w:rsidR="00020D70" w:rsidRDefault="00020D70" w:rsidP="00020D70">
      <w:pPr>
        <w:pStyle w:val="Content"/>
      </w:pPr>
      <w:r w:rsidRPr="0017044D">
        <w:t>Rhoades, L. and Eisenberger, R., 2002. Perceived organizational support: a review of the literature. Journal of applied psychology, 87(4), p.698.</w:t>
      </w:r>
    </w:p>
    <w:p w:rsidR="00020D70" w:rsidRDefault="00020D70" w:rsidP="00020D70">
      <w:pPr>
        <w:pStyle w:val="Content"/>
      </w:pPr>
      <w:r w:rsidRPr="00B56DC5">
        <w:t>Rothwell, W.J., Hohne, C.K. and King, S.B., 2012. Human performance improvement. Routledge.</w:t>
      </w:r>
    </w:p>
    <w:p w:rsidR="00020D70" w:rsidRDefault="00020D70" w:rsidP="00020D70">
      <w:pPr>
        <w:pStyle w:val="Content"/>
      </w:pPr>
      <w:r w:rsidRPr="006D27C6">
        <w:t>Schaufeli, W. and Bakker, A., 2003. Utrecht work engagement scale: Preliminary manual. Utrecht: Occupational Health Psychology Unit. Utrecht University.</w:t>
      </w:r>
    </w:p>
    <w:p w:rsidR="00020D70" w:rsidRDefault="00020D70" w:rsidP="00020D70">
      <w:pPr>
        <w:pStyle w:val="Content"/>
      </w:pPr>
      <w:r w:rsidRPr="00566126">
        <w:t>Seijts, G.H. and Latham, G.P., 2011. The effect of commitment to a learning goal, self-efficacy, and the interaction between learning goal difficulty and commitment on performance in a business simulation. Human Performance, 24(3), pp.189-204.</w:t>
      </w:r>
    </w:p>
    <w:p w:rsidR="00020D70" w:rsidRDefault="00020D70" w:rsidP="00020D70">
      <w:pPr>
        <w:pStyle w:val="Content"/>
      </w:pPr>
      <w:r w:rsidRPr="00C44459">
        <w:t xml:space="preserve">Shaw, J.D., Park, T.Y. and Kim, E., 2013. A resource‐based perspective on </w:t>
      </w:r>
      <w:r>
        <w:t>employee relations</w:t>
      </w:r>
      <w:r w:rsidRPr="00C44459">
        <w:t xml:space="preserve"> losses, HRM investments, and organizational performance. Strategic management journal, 34(5), pp.572-589.</w:t>
      </w:r>
    </w:p>
    <w:p w:rsidR="00020D70" w:rsidRDefault="00020D70" w:rsidP="00020D70">
      <w:pPr>
        <w:pStyle w:val="Content"/>
      </w:pPr>
      <w:r w:rsidRPr="0017044D">
        <w:t>Shore, L. M., &amp; Coyle‐Shapiro, J. A. M. (2003). New developments in the employee–organization relationship. Journal of Organizational Behavior, 24(5), 443-450.</w:t>
      </w:r>
    </w:p>
    <w:p w:rsidR="00020D70" w:rsidRDefault="00020D70" w:rsidP="00020D70">
      <w:pPr>
        <w:pStyle w:val="Content"/>
      </w:pPr>
      <w:r w:rsidRPr="00556C1D">
        <w:t>Shuck, B. and Reio Jr, T.G., 2014. Employee engagement and well-being: A moderation model and implications for practice. Journal of Leadership &amp; Organizational Studies, 21(1), pp.43-58.</w:t>
      </w:r>
    </w:p>
    <w:p w:rsidR="00020D70" w:rsidRDefault="00020D70" w:rsidP="00020D70">
      <w:pPr>
        <w:pStyle w:val="Content"/>
      </w:pPr>
      <w:r w:rsidRPr="00DD21A3">
        <w:lastRenderedPageBreak/>
        <w:t>Sreejesh, S., Mohapatra, S. and Anusree, M.R., 2014. Business research methods: An applied orientation. Springer.</w:t>
      </w:r>
    </w:p>
    <w:p w:rsidR="00020D70" w:rsidRDefault="00020D70" w:rsidP="00020D70">
      <w:pPr>
        <w:pStyle w:val="Content"/>
      </w:pPr>
      <w:r w:rsidRPr="00E92498">
        <w:t>Stone, B., 2013. The everything store: Jeff Bezos and the age of Amazon. Random House.</w:t>
      </w:r>
    </w:p>
    <w:p w:rsidR="00020D70" w:rsidRDefault="00020D70" w:rsidP="00020D70">
      <w:pPr>
        <w:pStyle w:val="Content"/>
      </w:pPr>
      <w:r w:rsidRPr="00DB74D4">
        <w:t>Thibault Landry, A., Schweyer, A. and Whillans, A., 2017. Winning the war for talent: Modern motivational methods for attracting and retaining employees. Compensation &amp; Benefits Review, 49(4), pp.230-246.</w:t>
      </w:r>
    </w:p>
    <w:p w:rsidR="00020D70" w:rsidRDefault="00020D70" w:rsidP="00020D70">
      <w:pPr>
        <w:pStyle w:val="Content"/>
      </w:pPr>
      <w:r w:rsidRPr="00DD21A3">
        <w:t>Williams, C., 2007. Research methods. Journal of Business &amp; Economics Research (JBER), 5(3).</w:t>
      </w:r>
    </w:p>
    <w:p w:rsidR="00020D70" w:rsidRDefault="00020D70" w:rsidP="00020D70">
      <w:pPr>
        <w:pStyle w:val="Content"/>
      </w:pPr>
      <w:r w:rsidRPr="00DD21A3">
        <w:t>Wright, K.B., 2005. Researching Internet-based populations: Advantages and disadvantages of online survey research, online questionnaire authoring software packages, and web survey services. Journal of computer-mediated communication, 10(3), p.JCMC1034.</w:t>
      </w:r>
    </w:p>
    <w:p w:rsidR="00020D70" w:rsidRDefault="00020D70" w:rsidP="00020D70">
      <w:pPr>
        <w:pStyle w:val="Bibliography"/>
        <w:spacing w:line="360" w:lineRule="auto"/>
        <w:rPr>
          <w:rFonts w:ascii="Times New Roman" w:hAnsi="Times New Roman" w:cs="Times New Roman"/>
          <w:noProof/>
        </w:rPr>
      </w:pPr>
      <w:r w:rsidRPr="00E85422">
        <w:rPr>
          <w:rFonts w:ascii="Times New Roman" w:hAnsi="Times New Roman" w:cs="Times New Roman"/>
          <w:noProof/>
        </w:rPr>
        <w:t xml:space="preserve">World Economic Forum, 2024. Reskilling Revolution: Preparing 1 billion people for tomorrow’s economy. [Online] </w:t>
      </w:r>
      <w:r w:rsidRPr="00E85422">
        <w:rPr>
          <w:rFonts w:ascii="Times New Roman" w:hAnsi="Times New Roman" w:cs="Times New Roman"/>
          <w:noProof/>
        </w:rPr>
        <w:br/>
        <w:t xml:space="preserve">Available at: </w:t>
      </w:r>
      <w:r w:rsidRPr="00E85422">
        <w:rPr>
          <w:rFonts w:ascii="Times New Roman" w:hAnsi="Times New Roman" w:cs="Times New Roman"/>
          <w:noProof/>
          <w:u w:val="single"/>
        </w:rPr>
        <w:t>https://www.weforum.org/impact/reskilling-revolution-reaching-600-million-people-by-2030/</w:t>
      </w:r>
      <w:r w:rsidRPr="00E85422">
        <w:rPr>
          <w:rFonts w:ascii="Times New Roman" w:hAnsi="Times New Roman" w:cs="Times New Roman"/>
          <w:noProof/>
        </w:rPr>
        <w:br/>
        <w:t>[Accessed 17 January 2024].</w:t>
      </w:r>
    </w:p>
    <w:p w:rsidR="00020D70" w:rsidRDefault="00020D70" w:rsidP="00020D70">
      <w:pPr>
        <w:pStyle w:val="Content"/>
      </w:pPr>
      <w:r w:rsidRPr="00793284">
        <w:t>Wright, P.M. and McMahan, G.C., 2011. Exploring human capital: putting ‘human’back into strategic human resource management. Human resource management journal, 21(2), pp.93-104.</w:t>
      </w:r>
    </w:p>
    <w:p w:rsidR="00020D70" w:rsidRDefault="00020D70" w:rsidP="00020D70">
      <w:pPr>
        <w:pStyle w:val="Content"/>
      </w:pPr>
      <w:r w:rsidRPr="00DE2FE1">
        <w:t>Yamkovenko, B. and Hatala, J.P., 2015. Methods for analysis of social networks data in HRD research. Advances in Developing Human Resources, 17(1), pp.40-56.</w:t>
      </w:r>
    </w:p>
    <w:p w:rsidR="00020D70" w:rsidRDefault="00020D70" w:rsidP="00020D70">
      <w:pPr>
        <w:pStyle w:val="Content"/>
      </w:pPr>
      <w:r w:rsidRPr="00503714">
        <w:t>Zheng, C., Hyland, P. and Soosay, C., 2007. Training practices of multinational companies in Asia. Journal of european industrial training, 31(6), pp.472-494.</w:t>
      </w: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Default="00020D70" w:rsidP="00020D70">
      <w:pPr>
        <w:pStyle w:val="Content"/>
      </w:pPr>
    </w:p>
    <w:p w:rsidR="00020D70" w:rsidRDefault="00020D70" w:rsidP="00020D70">
      <w:pPr>
        <w:pStyle w:val="Heading1"/>
        <w:numPr>
          <w:ilvl w:val="0"/>
          <w:numId w:val="0"/>
        </w:numPr>
      </w:pPr>
      <w:bookmarkStart w:id="77" w:name="_Toc156990293"/>
      <w:r>
        <w:t>Appendix</w:t>
      </w:r>
      <w:bookmarkEnd w:id="77"/>
    </w:p>
    <w:p w:rsidR="00020D70" w:rsidRDefault="00020D70" w:rsidP="00020D70">
      <w:pPr>
        <w:pStyle w:val="Heading2"/>
        <w:numPr>
          <w:ilvl w:val="0"/>
          <w:numId w:val="0"/>
        </w:numPr>
      </w:pPr>
      <w:bookmarkStart w:id="78" w:name="_Toc156990294"/>
      <w:r>
        <w:t>Appendix A - Questionnaire</w:t>
      </w:r>
      <w:bookmarkEnd w:id="78"/>
    </w:p>
    <w:p w:rsidR="00020D70" w:rsidRDefault="00020D70" w:rsidP="00020D70">
      <w:pPr>
        <w:pStyle w:val="Content"/>
        <w:jc w:val="center"/>
      </w:pPr>
      <w:r w:rsidRPr="002A3ABF">
        <w:rPr>
          <w:noProof/>
          <w:lang w:val="en-US" w:bidi="gu-IN"/>
        </w:rPr>
        <w:drawing>
          <wp:inline distT="0" distB="0" distL="0" distR="0" wp14:anchorId="044815A8" wp14:editId="5C738DA5">
            <wp:extent cx="4801016" cy="6713802"/>
            <wp:effectExtent l="0" t="0" r="0" b="0"/>
            <wp:docPr id="583539490" name="Picture 1"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539490" name="Picture 1" descr="A questionnaire with black text&#10;&#10;Description automatically generated"/>
                    <pic:cNvPicPr/>
                  </pic:nvPicPr>
                  <pic:blipFill>
                    <a:blip r:embed="rId26"/>
                    <a:stretch>
                      <a:fillRect/>
                    </a:stretch>
                  </pic:blipFill>
                  <pic:spPr>
                    <a:xfrm>
                      <a:off x="0" y="0"/>
                      <a:ext cx="4801016" cy="6713802"/>
                    </a:xfrm>
                    <a:prstGeom prst="rect">
                      <a:avLst/>
                    </a:prstGeom>
                  </pic:spPr>
                </pic:pic>
              </a:graphicData>
            </a:graphic>
          </wp:inline>
        </w:drawing>
      </w:r>
    </w:p>
    <w:p w:rsidR="00020D70" w:rsidRDefault="00020D70" w:rsidP="00020D70">
      <w:pPr>
        <w:pStyle w:val="Content"/>
        <w:jc w:val="center"/>
      </w:pPr>
    </w:p>
    <w:p w:rsidR="00020D70" w:rsidRDefault="00020D70" w:rsidP="00020D70">
      <w:pPr>
        <w:pStyle w:val="Content"/>
        <w:jc w:val="center"/>
      </w:pPr>
      <w:r w:rsidRPr="002A3ABF">
        <w:rPr>
          <w:noProof/>
          <w:lang w:val="en-US" w:bidi="gu-IN"/>
        </w:rPr>
        <w:lastRenderedPageBreak/>
        <w:drawing>
          <wp:inline distT="0" distB="0" distL="0" distR="0" wp14:anchorId="580DD4F2" wp14:editId="25AF383C">
            <wp:extent cx="4724809" cy="6706181"/>
            <wp:effectExtent l="0" t="0" r="0" b="0"/>
            <wp:docPr id="1358224405" name="Picture 1"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224405" name="Picture 1" descr="A questionnaire with black text&#10;&#10;Description automatically generated"/>
                    <pic:cNvPicPr/>
                  </pic:nvPicPr>
                  <pic:blipFill>
                    <a:blip r:embed="rId27"/>
                    <a:stretch>
                      <a:fillRect/>
                    </a:stretch>
                  </pic:blipFill>
                  <pic:spPr>
                    <a:xfrm>
                      <a:off x="0" y="0"/>
                      <a:ext cx="4724809" cy="6706181"/>
                    </a:xfrm>
                    <a:prstGeom prst="rect">
                      <a:avLst/>
                    </a:prstGeom>
                  </pic:spPr>
                </pic:pic>
              </a:graphicData>
            </a:graphic>
          </wp:inline>
        </w:drawing>
      </w:r>
    </w:p>
    <w:p w:rsidR="00020D70" w:rsidRDefault="00020D70" w:rsidP="00020D70">
      <w:pPr>
        <w:pStyle w:val="Content"/>
        <w:jc w:val="center"/>
      </w:pPr>
      <w:r w:rsidRPr="00323153">
        <w:rPr>
          <w:noProof/>
          <w:lang w:val="en-US" w:bidi="gu-IN"/>
        </w:rPr>
        <w:lastRenderedPageBreak/>
        <w:drawing>
          <wp:inline distT="0" distB="0" distL="0" distR="0" wp14:anchorId="4E0D13FD" wp14:editId="66C4A19B">
            <wp:extent cx="4625741" cy="6569009"/>
            <wp:effectExtent l="0" t="0" r="3810" b="3810"/>
            <wp:docPr id="1001492728" name="Picture 1"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492728" name="Picture 1" descr="A questionnaire with black text&#10;&#10;Description automatically generated"/>
                    <pic:cNvPicPr/>
                  </pic:nvPicPr>
                  <pic:blipFill>
                    <a:blip r:embed="rId28"/>
                    <a:stretch>
                      <a:fillRect/>
                    </a:stretch>
                  </pic:blipFill>
                  <pic:spPr>
                    <a:xfrm>
                      <a:off x="0" y="0"/>
                      <a:ext cx="4625741" cy="6569009"/>
                    </a:xfrm>
                    <a:prstGeom prst="rect">
                      <a:avLst/>
                    </a:prstGeom>
                  </pic:spPr>
                </pic:pic>
              </a:graphicData>
            </a:graphic>
          </wp:inline>
        </w:drawing>
      </w:r>
      <w:r w:rsidRPr="00323153">
        <w:rPr>
          <w:noProof/>
          <w:lang w:val="en-US" w:bidi="gu-IN"/>
        </w:rPr>
        <w:lastRenderedPageBreak/>
        <w:drawing>
          <wp:inline distT="0" distB="0" distL="0" distR="0" wp14:anchorId="2078A934" wp14:editId="4FFFE6F6">
            <wp:extent cx="4572396" cy="6454699"/>
            <wp:effectExtent l="0" t="0" r="0" b="3810"/>
            <wp:docPr id="1704418650" name="Picture 1" descr="A questionnaire with many op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418650" name="Picture 1" descr="A questionnaire with many options&#10;&#10;Description automatically generated with medium confidence"/>
                    <pic:cNvPicPr/>
                  </pic:nvPicPr>
                  <pic:blipFill>
                    <a:blip r:embed="rId29"/>
                    <a:stretch>
                      <a:fillRect/>
                    </a:stretch>
                  </pic:blipFill>
                  <pic:spPr>
                    <a:xfrm>
                      <a:off x="0" y="0"/>
                      <a:ext cx="4572396" cy="6454699"/>
                    </a:xfrm>
                    <a:prstGeom prst="rect">
                      <a:avLst/>
                    </a:prstGeom>
                  </pic:spPr>
                </pic:pic>
              </a:graphicData>
            </a:graphic>
          </wp:inline>
        </w:drawing>
      </w:r>
      <w:r w:rsidRPr="00323153">
        <w:rPr>
          <w:noProof/>
          <w:lang w:val="en-US" w:bidi="gu-IN"/>
        </w:rPr>
        <w:lastRenderedPageBreak/>
        <w:drawing>
          <wp:inline distT="0" distB="0" distL="0" distR="0" wp14:anchorId="274C589D" wp14:editId="36F0526E">
            <wp:extent cx="4397121" cy="6309907"/>
            <wp:effectExtent l="0" t="0" r="3810" b="0"/>
            <wp:docPr id="717067100"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067100" name="Picture 1" descr="A screenshot of a questionnaire&#10;&#10;Description automatically generated"/>
                    <pic:cNvPicPr/>
                  </pic:nvPicPr>
                  <pic:blipFill>
                    <a:blip r:embed="rId30"/>
                    <a:stretch>
                      <a:fillRect/>
                    </a:stretch>
                  </pic:blipFill>
                  <pic:spPr>
                    <a:xfrm>
                      <a:off x="0" y="0"/>
                      <a:ext cx="4397121" cy="6309907"/>
                    </a:xfrm>
                    <a:prstGeom prst="rect">
                      <a:avLst/>
                    </a:prstGeom>
                  </pic:spPr>
                </pic:pic>
              </a:graphicData>
            </a:graphic>
          </wp:inline>
        </w:drawing>
      </w:r>
      <w:r w:rsidRPr="00323153">
        <w:rPr>
          <w:noProof/>
          <w:lang w:val="en-US" w:bidi="gu-IN"/>
        </w:rPr>
        <w:lastRenderedPageBreak/>
        <w:drawing>
          <wp:inline distT="0" distB="0" distL="0" distR="0" wp14:anchorId="3C97262B" wp14:editId="0DA02228">
            <wp:extent cx="4305673" cy="6248942"/>
            <wp:effectExtent l="0" t="0" r="0" b="0"/>
            <wp:docPr id="538527315"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527315" name="Picture 1" descr="A screenshot of a questionnaire&#10;&#10;Description automatically generated"/>
                    <pic:cNvPicPr/>
                  </pic:nvPicPr>
                  <pic:blipFill>
                    <a:blip r:embed="rId31"/>
                    <a:stretch>
                      <a:fillRect/>
                    </a:stretch>
                  </pic:blipFill>
                  <pic:spPr>
                    <a:xfrm>
                      <a:off x="0" y="0"/>
                      <a:ext cx="4305673" cy="6248942"/>
                    </a:xfrm>
                    <a:prstGeom prst="rect">
                      <a:avLst/>
                    </a:prstGeom>
                  </pic:spPr>
                </pic:pic>
              </a:graphicData>
            </a:graphic>
          </wp:inline>
        </w:drawing>
      </w:r>
      <w:r w:rsidRPr="00323153">
        <w:rPr>
          <w:noProof/>
          <w:lang w:val="en-US" w:bidi="gu-IN"/>
        </w:rPr>
        <w:lastRenderedPageBreak/>
        <w:drawing>
          <wp:inline distT="0" distB="0" distL="0" distR="0" wp14:anchorId="534B0689" wp14:editId="0046A3D8">
            <wp:extent cx="4366638" cy="6271803"/>
            <wp:effectExtent l="0" t="0" r="0" b="0"/>
            <wp:docPr id="261255220"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255220" name="Picture 1" descr="A screenshot of a questionnaire&#10;&#10;Description automatically generated"/>
                    <pic:cNvPicPr/>
                  </pic:nvPicPr>
                  <pic:blipFill>
                    <a:blip r:embed="rId32"/>
                    <a:stretch>
                      <a:fillRect/>
                    </a:stretch>
                  </pic:blipFill>
                  <pic:spPr>
                    <a:xfrm>
                      <a:off x="0" y="0"/>
                      <a:ext cx="4366638" cy="6271803"/>
                    </a:xfrm>
                    <a:prstGeom prst="rect">
                      <a:avLst/>
                    </a:prstGeom>
                  </pic:spPr>
                </pic:pic>
              </a:graphicData>
            </a:graphic>
          </wp:inline>
        </w:drawing>
      </w:r>
      <w:r w:rsidRPr="00323153">
        <w:rPr>
          <w:noProof/>
          <w:lang w:val="en-US" w:bidi="gu-IN"/>
        </w:rPr>
        <w:lastRenderedPageBreak/>
        <w:drawing>
          <wp:inline distT="0" distB="0" distL="0" distR="0" wp14:anchorId="3108426D" wp14:editId="24E928D7">
            <wp:extent cx="4381500" cy="4541520"/>
            <wp:effectExtent l="0" t="0" r="0" b="0"/>
            <wp:docPr id="257751553"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751553" name="Picture 1" descr="A screenshot of a questionnaire&#10;&#10;Description automatically generated"/>
                    <pic:cNvPicPr/>
                  </pic:nvPicPr>
                  <pic:blipFill>
                    <a:blip r:embed="rId33"/>
                    <a:stretch>
                      <a:fillRect/>
                    </a:stretch>
                  </pic:blipFill>
                  <pic:spPr>
                    <a:xfrm>
                      <a:off x="0" y="0"/>
                      <a:ext cx="4381883" cy="4541917"/>
                    </a:xfrm>
                    <a:prstGeom prst="rect">
                      <a:avLst/>
                    </a:prstGeom>
                  </pic:spPr>
                </pic:pic>
              </a:graphicData>
            </a:graphic>
          </wp:inline>
        </w:drawing>
      </w:r>
    </w:p>
    <w:p w:rsidR="00020D70" w:rsidRDefault="00020D70" w:rsidP="00020D70">
      <w:pPr>
        <w:pStyle w:val="Content"/>
        <w:jc w:val="center"/>
      </w:pPr>
      <w:r w:rsidRPr="00323153">
        <w:rPr>
          <w:noProof/>
          <w:lang w:val="en-US" w:bidi="gu-IN"/>
        </w:rPr>
        <w:drawing>
          <wp:inline distT="0" distB="0" distL="0" distR="0" wp14:anchorId="1FD08EC8" wp14:editId="1F025DDC">
            <wp:extent cx="4396740" cy="4023360"/>
            <wp:effectExtent l="0" t="0" r="3810" b="0"/>
            <wp:docPr id="29151778"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51778" name="Picture 1" descr="A screenshot of a survey&#10;&#10;Description automatically generated"/>
                    <pic:cNvPicPr/>
                  </pic:nvPicPr>
                  <pic:blipFill>
                    <a:blip r:embed="rId34"/>
                    <a:stretch>
                      <a:fillRect/>
                    </a:stretch>
                  </pic:blipFill>
                  <pic:spPr>
                    <a:xfrm>
                      <a:off x="0" y="0"/>
                      <a:ext cx="4397129" cy="4023716"/>
                    </a:xfrm>
                    <a:prstGeom prst="rect">
                      <a:avLst/>
                    </a:prstGeom>
                  </pic:spPr>
                </pic:pic>
              </a:graphicData>
            </a:graphic>
          </wp:inline>
        </w:drawing>
      </w:r>
    </w:p>
    <w:p w:rsidR="00020D70" w:rsidRDefault="00020D70" w:rsidP="00020D70">
      <w:pPr>
        <w:pStyle w:val="Content"/>
        <w:jc w:val="center"/>
      </w:pPr>
      <w:r w:rsidRPr="00323153">
        <w:rPr>
          <w:noProof/>
          <w:lang w:val="en-US" w:bidi="gu-IN"/>
        </w:rPr>
        <w:lastRenderedPageBreak/>
        <w:drawing>
          <wp:inline distT="0" distB="0" distL="0" distR="0" wp14:anchorId="38D7742C" wp14:editId="3C909F1D">
            <wp:extent cx="4511040" cy="4823460"/>
            <wp:effectExtent l="0" t="0" r="3810" b="0"/>
            <wp:docPr id="1583683778" name="Picture 1"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683778" name="Picture 1" descr="A questionnaire with black text&#10;&#10;Description automatically generated"/>
                    <pic:cNvPicPr/>
                  </pic:nvPicPr>
                  <pic:blipFill>
                    <a:blip r:embed="rId35"/>
                    <a:stretch>
                      <a:fillRect/>
                    </a:stretch>
                  </pic:blipFill>
                  <pic:spPr>
                    <a:xfrm>
                      <a:off x="0" y="0"/>
                      <a:ext cx="4511040" cy="4823460"/>
                    </a:xfrm>
                    <a:prstGeom prst="rect">
                      <a:avLst/>
                    </a:prstGeom>
                  </pic:spPr>
                </pic:pic>
              </a:graphicData>
            </a:graphic>
          </wp:inline>
        </w:drawing>
      </w:r>
    </w:p>
    <w:p w:rsidR="00020D70" w:rsidRDefault="00020D70" w:rsidP="00020D70">
      <w:pPr>
        <w:pStyle w:val="Content"/>
        <w:jc w:val="center"/>
      </w:pPr>
      <w:r w:rsidRPr="00323153">
        <w:rPr>
          <w:noProof/>
          <w:lang w:val="en-US" w:bidi="gu-IN"/>
        </w:rPr>
        <w:drawing>
          <wp:inline distT="0" distB="0" distL="0" distR="0" wp14:anchorId="1335014A" wp14:editId="737F40FB">
            <wp:extent cx="4168501" cy="1988992"/>
            <wp:effectExtent l="0" t="0" r="3810" b="0"/>
            <wp:docPr id="9978332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833243" name="Picture 1" descr="A screenshot of a computer&#10;&#10;Description automatically generated"/>
                    <pic:cNvPicPr/>
                  </pic:nvPicPr>
                  <pic:blipFill>
                    <a:blip r:embed="rId36"/>
                    <a:stretch>
                      <a:fillRect/>
                    </a:stretch>
                  </pic:blipFill>
                  <pic:spPr>
                    <a:xfrm>
                      <a:off x="0" y="0"/>
                      <a:ext cx="4168501" cy="1988992"/>
                    </a:xfrm>
                    <a:prstGeom prst="rect">
                      <a:avLst/>
                    </a:prstGeom>
                  </pic:spPr>
                </pic:pic>
              </a:graphicData>
            </a:graphic>
          </wp:inline>
        </w:drawing>
      </w:r>
    </w:p>
    <w:p w:rsidR="00020D70" w:rsidRDefault="00020D70" w:rsidP="00020D70">
      <w:pPr>
        <w:pStyle w:val="Content"/>
        <w:jc w:val="center"/>
      </w:pPr>
    </w:p>
    <w:p w:rsidR="00020D70" w:rsidRDefault="00020D70" w:rsidP="00020D70">
      <w:pPr>
        <w:pStyle w:val="Content"/>
        <w:jc w:val="center"/>
      </w:pPr>
    </w:p>
    <w:p w:rsidR="00020D70" w:rsidRDefault="00020D70" w:rsidP="00020D70">
      <w:pPr>
        <w:pStyle w:val="Content"/>
        <w:jc w:val="center"/>
      </w:pPr>
    </w:p>
    <w:p w:rsidR="00020D70" w:rsidRDefault="00020D70" w:rsidP="00020D70">
      <w:pPr>
        <w:pStyle w:val="Content"/>
      </w:pPr>
    </w:p>
    <w:p w:rsidR="00020D70" w:rsidRDefault="00020D70" w:rsidP="00020D70">
      <w:pPr>
        <w:pStyle w:val="Heading2"/>
        <w:numPr>
          <w:ilvl w:val="0"/>
          <w:numId w:val="0"/>
        </w:numPr>
      </w:pPr>
      <w:bookmarkStart w:id="79" w:name="_Toc156990295"/>
      <w:r>
        <w:lastRenderedPageBreak/>
        <w:t>Appendix B - Gantt Chart</w:t>
      </w:r>
      <w:bookmarkEnd w:id="79"/>
    </w:p>
    <w:p w:rsidR="00020D70" w:rsidRDefault="00020D70" w:rsidP="00020D70">
      <w:pPr>
        <w:pStyle w:val="Content"/>
        <w:jc w:val="center"/>
      </w:pPr>
      <w:r w:rsidRPr="00D22246">
        <w:rPr>
          <w:noProof/>
          <w:lang w:val="en-US" w:bidi="gu-IN"/>
        </w:rPr>
        <w:drawing>
          <wp:inline distT="0" distB="0" distL="0" distR="0" wp14:anchorId="73ECD9DD" wp14:editId="606ED6B7">
            <wp:extent cx="4663844" cy="4511431"/>
            <wp:effectExtent l="0" t="0" r="3810" b="3810"/>
            <wp:docPr id="1030689840" name="Picture 1" descr="A pink and white research project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689840" name="Picture 1" descr="A pink and white research project plan&#10;&#10;Description automatically generated"/>
                    <pic:cNvPicPr/>
                  </pic:nvPicPr>
                  <pic:blipFill>
                    <a:blip r:embed="rId37"/>
                    <a:stretch>
                      <a:fillRect/>
                    </a:stretch>
                  </pic:blipFill>
                  <pic:spPr>
                    <a:xfrm>
                      <a:off x="0" y="0"/>
                      <a:ext cx="4663844" cy="4511431"/>
                    </a:xfrm>
                    <a:prstGeom prst="rect">
                      <a:avLst/>
                    </a:prstGeom>
                  </pic:spPr>
                </pic:pic>
              </a:graphicData>
            </a:graphic>
          </wp:inline>
        </w:drawing>
      </w:r>
    </w:p>
    <w:p w:rsidR="00020D70" w:rsidRPr="00793284" w:rsidRDefault="00020D70" w:rsidP="00020D70"/>
    <w:p w:rsidR="00020D70" w:rsidRPr="001F6F59" w:rsidRDefault="00020D70" w:rsidP="00020D70"/>
    <w:p w:rsidR="00020D70" w:rsidRDefault="00020D70" w:rsidP="00020D70">
      <w:pPr>
        <w:pStyle w:val="Content"/>
      </w:pPr>
    </w:p>
    <w:p w:rsidR="00020D70" w:rsidRPr="00C3503B" w:rsidRDefault="00020D70" w:rsidP="00020D70">
      <w:pPr>
        <w:pStyle w:val="Content"/>
      </w:pPr>
    </w:p>
    <w:p w:rsidR="00754E7F" w:rsidRDefault="00754E7F">
      <w:bookmarkStart w:id="80" w:name="_GoBack"/>
      <w:bookmarkEnd w:id="80"/>
    </w:p>
    <w:sectPr w:rsidR="00754E7F">
      <w:footerReference w:type="default" r:id="rId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99268364"/>
      <w:docPartObj>
        <w:docPartGallery w:val="Page Numbers (Bottom of Page)"/>
        <w:docPartUnique/>
      </w:docPartObj>
    </w:sdtPr>
    <w:sdtEndPr/>
    <w:sdtContent>
      <w:p w:rsidR="00816BF1" w:rsidRDefault="00020D70">
        <w:pPr>
          <w:pStyle w:val="Footer"/>
          <w:jc w:val="right"/>
        </w:pPr>
        <w:r>
          <w:t xml:space="preserve">Page | </w:t>
        </w:r>
        <w:r>
          <w:fldChar w:fldCharType="begin"/>
        </w:r>
        <w:r>
          <w:instrText xml:space="preserve"> PAGE   \* MERGEFORMAT </w:instrText>
        </w:r>
        <w:r>
          <w:fldChar w:fldCharType="separate"/>
        </w:r>
        <w:r>
          <w:rPr>
            <w:noProof/>
          </w:rPr>
          <w:t>1</w:t>
        </w:r>
        <w:r>
          <w:rPr>
            <w:noProof/>
          </w:rPr>
          <w:fldChar w:fldCharType="end"/>
        </w:r>
        <w:r>
          <w:t xml:space="preserve"> </w:t>
        </w:r>
      </w:p>
    </w:sdtContent>
  </w:sdt>
  <w:p w:rsidR="00816BF1" w:rsidRDefault="00020D70">
    <w:pPr>
      <w:pStyle w:val="Foote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E20E19"/>
    <w:multiLevelType w:val="hybridMultilevel"/>
    <w:tmpl w:val="FDE61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9053F3B"/>
    <w:multiLevelType w:val="hybridMultilevel"/>
    <w:tmpl w:val="E78EE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C76331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nsid w:val="3C886D9F"/>
    <w:multiLevelType w:val="hybridMultilevel"/>
    <w:tmpl w:val="5ADE5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F567E54"/>
    <w:multiLevelType w:val="hybridMultilevel"/>
    <w:tmpl w:val="5E903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F2E6248"/>
    <w:multiLevelType w:val="hybridMultilevel"/>
    <w:tmpl w:val="5A8E9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1817841"/>
    <w:multiLevelType w:val="hybridMultilevel"/>
    <w:tmpl w:val="3EBE5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36C2B3F"/>
    <w:multiLevelType w:val="hybridMultilevel"/>
    <w:tmpl w:val="D3D4F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C45046A"/>
    <w:multiLevelType w:val="hybridMultilevel"/>
    <w:tmpl w:val="F7564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E193D74"/>
    <w:multiLevelType w:val="hybridMultilevel"/>
    <w:tmpl w:val="7ED8B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0"/>
  </w:num>
  <w:num w:numId="5">
    <w:abstractNumId w:val="5"/>
  </w:num>
  <w:num w:numId="6">
    <w:abstractNumId w:val="1"/>
  </w:num>
  <w:num w:numId="7">
    <w:abstractNumId w:val="9"/>
  </w:num>
  <w:num w:numId="8">
    <w:abstractNumId w:val="8"/>
  </w:num>
  <w:num w:numId="9">
    <w:abstractNumId w:val="6"/>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0D70"/>
    <w:rsid w:val="00020D70"/>
    <w:rsid w:val="00754E7F"/>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gu-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0D70"/>
    <w:pPr>
      <w:spacing w:after="160" w:line="278" w:lineRule="auto"/>
    </w:pPr>
    <w:rPr>
      <w:kern w:val="2"/>
      <w:sz w:val="24"/>
      <w:szCs w:val="24"/>
      <w:lang w:val="en-GB" w:bidi="ar-SA"/>
      <w14:ligatures w14:val="standardContextual"/>
    </w:rPr>
  </w:style>
  <w:style w:type="paragraph" w:styleId="Heading1">
    <w:name w:val="heading 1"/>
    <w:basedOn w:val="Normal"/>
    <w:next w:val="Content"/>
    <w:link w:val="Heading1Char"/>
    <w:uiPriority w:val="9"/>
    <w:qFormat/>
    <w:rsid w:val="00020D70"/>
    <w:pPr>
      <w:keepNext/>
      <w:keepLines/>
      <w:numPr>
        <w:numId w:val="1"/>
      </w:numPr>
      <w:spacing w:before="120" w:after="240" w:line="240" w:lineRule="auto"/>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Content"/>
    <w:link w:val="Heading2Char"/>
    <w:uiPriority w:val="9"/>
    <w:unhideWhenUsed/>
    <w:qFormat/>
    <w:rsid w:val="00020D70"/>
    <w:pPr>
      <w:keepNext/>
      <w:keepLines/>
      <w:numPr>
        <w:ilvl w:val="1"/>
        <w:numId w:val="1"/>
      </w:numPr>
      <w:spacing w:before="120" w:after="240" w:line="240" w:lineRule="auto"/>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unhideWhenUsed/>
    <w:qFormat/>
    <w:rsid w:val="00020D70"/>
    <w:pPr>
      <w:keepNext/>
      <w:keepLines/>
      <w:numPr>
        <w:ilvl w:val="2"/>
        <w:numId w:val="1"/>
      </w:numPr>
      <w:spacing w:before="120" w:after="240" w:line="240" w:lineRule="auto"/>
      <w:outlineLvl w:val="2"/>
    </w:pPr>
    <w:rPr>
      <w:rFonts w:ascii="Times New Roman" w:eastAsiaTheme="majorEastAsia" w:hAnsi="Times New Roman" w:cstheme="majorBidi"/>
      <w:b/>
      <w:color w:val="000000" w:themeColor="text1"/>
      <w:szCs w:val="28"/>
    </w:rPr>
  </w:style>
  <w:style w:type="paragraph" w:styleId="Heading4">
    <w:name w:val="heading 4"/>
    <w:basedOn w:val="Normal"/>
    <w:next w:val="Normal"/>
    <w:link w:val="Heading4Char"/>
    <w:uiPriority w:val="9"/>
    <w:semiHidden/>
    <w:unhideWhenUsed/>
    <w:qFormat/>
    <w:rsid w:val="00020D70"/>
    <w:pPr>
      <w:keepNext/>
      <w:keepLines/>
      <w:numPr>
        <w:ilvl w:val="3"/>
        <w:numId w:val="1"/>
      </w:numPr>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020D70"/>
    <w:pPr>
      <w:keepNext/>
      <w:keepLines/>
      <w:numPr>
        <w:ilvl w:val="4"/>
        <w:numId w:val="1"/>
      </w:numPr>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020D70"/>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0D70"/>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0D70"/>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0D70"/>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0D70"/>
    <w:rPr>
      <w:rFonts w:ascii="Times New Roman" w:eastAsiaTheme="majorEastAsia" w:hAnsi="Times New Roman" w:cstheme="majorBidi"/>
      <w:b/>
      <w:color w:val="000000" w:themeColor="text1"/>
      <w:kern w:val="2"/>
      <w:sz w:val="28"/>
      <w:szCs w:val="40"/>
      <w:lang w:val="en-GB" w:bidi="ar-SA"/>
      <w14:ligatures w14:val="standardContextual"/>
    </w:rPr>
  </w:style>
  <w:style w:type="character" w:customStyle="1" w:styleId="Heading2Char">
    <w:name w:val="Heading 2 Char"/>
    <w:basedOn w:val="DefaultParagraphFont"/>
    <w:link w:val="Heading2"/>
    <w:uiPriority w:val="9"/>
    <w:rsid w:val="00020D70"/>
    <w:rPr>
      <w:rFonts w:ascii="Times New Roman" w:eastAsiaTheme="majorEastAsia" w:hAnsi="Times New Roman" w:cstheme="majorBidi"/>
      <w:b/>
      <w:color w:val="000000" w:themeColor="text1"/>
      <w:kern w:val="2"/>
      <w:sz w:val="24"/>
      <w:szCs w:val="32"/>
      <w:lang w:val="en-GB" w:bidi="ar-SA"/>
      <w14:ligatures w14:val="standardContextual"/>
    </w:rPr>
  </w:style>
  <w:style w:type="character" w:customStyle="1" w:styleId="Heading3Char">
    <w:name w:val="Heading 3 Char"/>
    <w:basedOn w:val="DefaultParagraphFont"/>
    <w:link w:val="Heading3"/>
    <w:uiPriority w:val="9"/>
    <w:rsid w:val="00020D70"/>
    <w:rPr>
      <w:rFonts w:ascii="Times New Roman" w:eastAsiaTheme="majorEastAsia" w:hAnsi="Times New Roman" w:cstheme="majorBidi"/>
      <w:b/>
      <w:color w:val="000000" w:themeColor="text1"/>
      <w:kern w:val="2"/>
      <w:sz w:val="24"/>
      <w:szCs w:val="28"/>
      <w:lang w:val="en-GB" w:bidi="ar-SA"/>
      <w14:ligatures w14:val="standardContextual"/>
    </w:rPr>
  </w:style>
  <w:style w:type="character" w:customStyle="1" w:styleId="Heading4Char">
    <w:name w:val="Heading 4 Char"/>
    <w:basedOn w:val="DefaultParagraphFont"/>
    <w:link w:val="Heading4"/>
    <w:uiPriority w:val="9"/>
    <w:semiHidden/>
    <w:rsid w:val="00020D70"/>
    <w:rPr>
      <w:rFonts w:eastAsiaTheme="majorEastAsia" w:cstheme="majorBidi"/>
      <w:i/>
      <w:iCs/>
      <w:color w:val="365F91" w:themeColor="accent1" w:themeShade="BF"/>
      <w:kern w:val="2"/>
      <w:sz w:val="24"/>
      <w:szCs w:val="24"/>
      <w:lang w:val="en-GB" w:bidi="ar-SA"/>
      <w14:ligatures w14:val="standardContextual"/>
    </w:rPr>
  </w:style>
  <w:style w:type="character" w:customStyle="1" w:styleId="Heading5Char">
    <w:name w:val="Heading 5 Char"/>
    <w:basedOn w:val="DefaultParagraphFont"/>
    <w:link w:val="Heading5"/>
    <w:uiPriority w:val="9"/>
    <w:semiHidden/>
    <w:rsid w:val="00020D70"/>
    <w:rPr>
      <w:rFonts w:eastAsiaTheme="majorEastAsia" w:cstheme="majorBidi"/>
      <w:color w:val="365F91" w:themeColor="accent1" w:themeShade="BF"/>
      <w:kern w:val="2"/>
      <w:sz w:val="24"/>
      <w:szCs w:val="24"/>
      <w:lang w:val="en-GB" w:bidi="ar-SA"/>
      <w14:ligatures w14:val="standardContextual"/>
    </w:rPr>
  </w:style>
  <w:style w:type="character" w:customStyle="1" w:styleId="Heading6Char">
    <w:name w:val="Heading 6 Char"/>
    <w:basedOn w:val="DefaultParagraphFont"/>
    <w:link w:val="Heading6"/>
    <w:uiPriority w:val="9"/>
    <w:semiHidden/>
    <w:rsid w:val="00020D70"/>
    <w:rPr>
      <w:rFonts w:eastAsiaTheme="majorEastAsia" w:cstheme="majorBidi"/>
      <w:i/>
      <w:iCs/>
      <w:color w:val="595959" w:themeColor="text1" w:themeTint="A6"/>
      <w:kern w:val="2"/>
      <w:sz w:val="24"/>
      <w:szCs w:val="24"/>
      <w:lang w:val="en-GB" w:bidi="ar-SA"/>
      <w14:ligatures w14:val="standardContextual"/>
    </w:rPr>
  </w:style>
  <w:style w:type="character" w:customStyle="1" w:styleId="Heading7Char">
    <w:name w:val="Heading 7 Char"/>
    <w:basedOn w:val="DefaultParagraphFont"/>
    <w:link w:val="Heading7"/>
    <w:uiPriority w:val="9"/>
    <w:semiHidden/>
    <w:rsid w:val="00020D70"/>
    <w:rPr>
      <w:rFonts w:eastAsiaTheme="majorEastAsia" w:cstheme="majorBidi"/>
      <w:color w:val="595959" w:themeColor="text1" w:themeTint="A6"/>
      <w:kern w:val="2"/>
      <w:sz w:val="24"/>
      <w:szCs w:val="24"/>
      <w:lang w:val="en-GB" w:bidi="ar-SA"/>
      <w14:ligatures w14:val="standardContextual"/>
    </w:rPr>
  </w:style>
  <w:style w:type="character" w:customStyle="1" w:styleId="Heading8Char">
    <w:name w:val="Heading 8 Char"/>
    <w:basedOn w:val="DefaultParagraphFont"/>
    <w:link w:val="Heading8"/>
    <w:uiPriority w:val="9"/>
    <w:semiHidden/>
    <w:rsid w:val="00020D70"/>
    <w:rPr>
      <w:rFonts w:eastAsiaTheme="majorEastAsia" w:cstheme="majorBidi"/>
      <w:i/>
      <w:iCs/>
      <w:color w:val="272727" w:themeColor="text1" w:themeTint="D8"/>
      <w:kern w:val="2"/>
      <w:sz w:val="24"/>
      <w:szCs w:val="24"/>
      <w:lang w:val="en-GB" w:bidi="ar-SA"/>
      <w14:ligatures w14:val="standardContextual"/>
    </w:rPr>
  </w:style>
  <w:style w:type="character" w:customStyle="1" w:styleId="Heading9Char">
    <w:name w:val="Heading 9 Char"/>
    <w:basedOn w:val="DefaultParagraphFont"/>
    <w:link w:val="Heading9"/>
    <w:uiPriority w:val="9"/>
    <w:semiHidden/>
    <w:rsid w:val="00020D70"/>
    <w:rPr>
      <w:rFonts w:eastAsiaTheme="majorEastAsia" w:cstheme="majorBidi"/>
      <w:color w:val="272727" w:themeColor="text1" w:themeTint="D8"/>
      <w:kern w:val="2"/>
      <w:sz w:val="24"/>
      <w:szCs w:val="24"/>
      <w:lang w:val="en-GB" w:bidi="ar-SA"/>
      <w14:ligatures w14:val="standardContextual"/>
    </w:rPr>
  </w:style>
  <w:style w:type="paragraph" w:styleId="Title">
    <w:name w:val="Title"/>
    <w:basedOn w:val="Normal"/>
    <w:next w:val="Normal"/>
    <w:link w:val="TitleChar"/>
    <w:uiPriority w:val="10"/>
    <w:qFormat/>
    <w:rsid w:val="00020D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0D70"/>
    <w:rPr>
      <w:rFonts w:asciiTheme="majorHAnsi" w:eastAsiaTheme="majorEastAsia" w:hAnsiTheme="majorHAnsi" w:cstheme="majorBidi"/>
      <w:spacing w:val="-10"/>
      <w:kern w:val="28"/>
      <w:sz w:val="56"/>
      <w:szCs w:val="56"/>
      <w:lang w:val="en-GB" w:bidi="ar-SA"/>
      <w14:ligatures w14:val="standardContextual"/>
    </w:rPr>
  </w:style>
  <w:style w:type="paragraph" w:styleId="Subtitle">
    <w:name w:val="Subtitle"/>
    <w:basedOn w:val="Normal"/>
    <w:next w:val="Normal"/>
    <w:link w:val="SubtitleChar"/>
    <w:uiPriority w:val="11"/>
    <w:qFormat/>
    <w:rsid w:val="00020D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0D70"/>
    <w:rPr>
      <w:rFonts w:eastAsiaTheme="majorEastAsia" w:cstheme="majorBidi"/>
      <w:color w:val="595959" w:themeColor="text1" w:themeTint="A6"/>
      <w:spacing w:val="15"/>
      <w:kern w:val="2"/>
      <w:sz w:val="28"/>
      <w:szCs w:val="28"/>
      <w:lang w:val="en-GB" w:bidi="ar-SA"/>
      <w14:ligatures w14:val="standardContextual"/>
    </w:rPr>
  </w:style>
  <w:style w:type="paragraph" w:styleId="Quote">
    <w:name w:val="Quote"/>
    <w:basedOn w:val="Normal"/>
    <w:next w:val="Normal"/>
    <w:link w:val="QuoteChar"/>
    <w:uiPriority w:val="29"/>
    <w:qFormat/>
    <w:rsid w:val="00020D70"/>
    <w:pPr>
      <w:spacing w:before="160"/>
      <w:jc w:val="center"/>
    </w:pPr>
    <w:rPr>
      <w:i/>
      <w:iCs/>
      <w:color w:val="404040" w:themeColor="text1" w:themeTint="BF"/>
    </w:rPr>
  </w:style>
  <w:style w:type="character" w:customStyle="1" w:styleId="QuoteChar">
    <w:name w:val="Quote Char"/>
    <w:basedOn w:val="DefaultParagraphFont"/>
    <w:link w:val="Quote"/>
    <w:uiPriority w:val="29"/>
    <w:rsid w:val="00020D70"/>
    <w:rPr>
      <w:i/>
      <w:iCs/>
      <w:color w:val="404040" w:themeColor="text1" w:themeTint="BF"/>
      <w:kern w:val="2"/>
      <w:sz w:val="24"/>
      <w:szCs w:val="24"/>
      <w:lang w:val="en-GB" w:bidi="ar-SA"/>
      <w14:ligatures w14:val="standardContextual"/>
    </w:rPr>
  </w:style>
  <w:style w:type="paragraph" w:styleId="ListParagraph">
    <w:name w:val="List Paragraph"/>
    <w:basedOn w:val="Normal"/>
    <w:uiPriority w:val="34"/>
    <w:qFormat/>
    <w:rsid w:val="00020D70"/>
    <w:pPr>
      <w:ind w:left="720"/>
      <w:contextualSpacing/>
    </w:pPr>
  </w:style>
  <w:style w:type="character" w:styleId="IntenseEmphasis">
    <w:name w:val="Intense Emphasis"/>
    <w:basedOn w:val="DefaultParagraphFont"/>
    <w:uiPriority w:val="21"/>
    <w:qFormat/>
    <w:rsid w:val="00020D70"/>
    <w:rPr>
      <w:i/>
      <w:iCs/>
      <w:color w:val="365F91" w:themeColor="accent1" w:themeShade="BF"/>
    </w:rPr>
  </w:style>
  <w:style w:type="paragraph" w:styleId="IntenseQuote">
    <w:name w:val="Intense Quote"/>
    <w:basedOn w:val="Normal"/>
    <w:next w:val="Normal"/>
    <w:link w:val="IntenseQuoteChar"/>
    <w:uiPriority w:val="30"/>
    <w:qFormat/>
    <w:rsid w:val="00020D7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20D70"/>
    <w:rPr>
      <w:i/>
      <w:iCs/>
      <w:color w:val="365F91" w:themeColor="accent1" w:themeShade="BF"/>
      <w:kern w:val="2"/>
      <w:sz w:val="24"/>
      <w:szCs w:val="24"/>
      <w:lang w:val="en-GB" w:bidi="ar-SA"/>
      <w14:ligatures w14:val="standardContextual"/>
    </w:rPr>
  </w:style>
  <w:style w:type="character" w:styleId="IntenseReference">
    <w:name w:val="Intense Reference"/>
    <w:basedOn w:val="DefaultParagraphFont"/>
    <w:uiPriority w:val="32"/>
    <w:qFormat/>
    <w:rsid w:val="00020D70"/>
    <w:rPr>
      <w:b/>
      <w:bCs/>
      <w:smallCaps/>
      <w:color w:val="365F91" w:themeColor="accent1" w:themeShade="BF"/>
      <w:spacing w:val="5"/>
    </w:rPr>
  </w:style>
  <w:style w:type="paragraph" w:customStyle="1" w:styleId="Content">
    <w:name w:val="Content"/>
    <w:basedOn w:val="Normal"/>
    <w:qFormat/>
    <w:rsid w:val="00020D70"/>
    <w:pPr>
      <w:spacing w:before="120" w:after="240" w:line="360" w:lineRule="auto"/>
      <w:jc w:val="both"/>
    </w:pPr>
    <w:rPr>
      <w:rFonts w:ascii="Times New Roman" w:hAnsi="Times New Roman"/>
      <w:color w:val="000000" w:themeColor="text1"/>
    </w:rPr>
  </w:style>
  <w:style w:type="paragraph" w:customStyle="1" w:styleId="content0">
    <w:name w:val="content"/>
    <w:basedOn w:val="Normal"/>
    <w:qFormat/>
    <w:rsid w:val="00020D70"/>
    <w:pPr>
      <w:spacing w:line="256" w:lineRule="auto"/>
      <w:jc w:val="both"/>
    </w:pPr>
    <w:rPr>
      <w:rFonts w:ascii="Times New Roman" w:hAnsi="Times New Roman"/>
      <w:color w:val="000000" w:themeColor="text1"/>
      <w:szCs w:val="22"/>
    </w:rPr>
  </w:style>
  <w:style w:type="paragraph" w:styleId="Header">
    <w:name w:val="header"/>
    <w:basedOn w:val="Normal"/>
    <w:link w:val="HeaderChar"/>
    <w:uiPriority w:val="99"/>
    <w:unhideWhenUsed/>
    <w:rsid w:val="00020D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0D70"/>
    <w:rPr>
      <w:kern w:val="2"/>
      <w:sz w:val="24"/>
      <w:szCs w:val="24"/>
      <w:lang w:val="en-GB" w:bidi="ar-SA"/>
      <w14:ligatures w14:val="standardContextual"/>
    </w:rPr>
  </w:style>
  <w:style w:type="paragraph" w:styleId="Footer">
    <w:name w:val="footer"/>
    <w:basedOn w:val="Normal"/>
    <w:link w:val="FooterChar"/>
    <w:uiPriority w:val="99"/>
    <w:unhideWhenUsed/>
    <w:rsid w:val="00020D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0D70"/>
    <w:rPr>
      <w:kern w:val="2"/>
      <w:sz w:val="24"/>
      <w:szCs w:val="24"/>
      <w:lang w:val="en-GB" w:bidi="ar-SA"/>
      <w14:ligatures w14:val="standardContextual"/>
    </w:rPr>
  </w:style>
  <w:style w:type="paragraph" w:styleId="Caption">
    <w:name w:val="caption"/>
    <w:basedOn w:val="Normal"/>
    <w:next w:val="Normal"/>
    <w:uiPriority w:val="35"/>
    <w:unhideWhenUsed/>
    <w:qFormat/>
    <w:rsid w:val="00020D70"/>
    <w:pPr>
      <w:spacing w:after="200" w:line="240" w:lineRule="auto"/>
    </w:pPr>
    <w:rPr>
      <w:i/>
      <w:iCs/>
      <w:color w:val="1F497D" w:themeColor="text2"/>
      <w:sz w:val="18"/>
      <w:szCs w:val="18"/>
    </w:rPr>
  </w:style>
  <w:style w:type="table" w:styleId="TableGrid">
    <w:name w:val="Table Grid"/>
    <w:basedOn w:val="TableNormal"/>
    <w:uiPriority w:val="39"/>
    <w:rsid w:val="00020D70"/>
    <w:pPr>
      <w:spacing w:after="0" w:line="240" w:lineRule="auto"/>
    </w:pPr>
    <w:rPr>
      <w:kern w:val="2"/>
      <w:sz w:val="24"/>
      <w:szCs w:val="24"/>
      <w:lang w:val="en-GB" w:bidi="ar-SA"/>
      <w14:ligatures w14:val="standardContextual"/>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1">
    <w:name w:val="Plain Table 1"/>
    <w:basedOn w:val="TableNormal"/>
    <w:uiPriority w:val="41"/>
    <w:rsid w:val="00020D70"/>
    <w:pPr>
      <w:spacing w:after="0" w:line="240" w:lineRule="auto"/>
    </w:pPr>
    <w:rPr>
      <w:kern w:val="2"/>
      <w:sz w:val="24"/>
      <w:szCs w:val="24"/>
      <w:lang w:val="en-GB" w:bidi="ar-SA"/>
      <w14:ligatures w14:val="standardContextual"/>
    </w:r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020D70"/>
  </w:style>
  <w:style w:type="character" w:styleId="Hyperlink">
    <w:name w:val="Hyperlink"/>
    <w:basedOn w:val="DefaultParagraphFont"/>
    <w:uiPriority w:val="99"/>
    <w:unhideWhenUsed/>
    <w:rsid w:val="00020D70"/>
    <w:rPr>
      <w:color w:val="0000FF" w:themeColor="hyperlink"/>
      <w:u w:val="single"/>
    </w:rPr>
  </w:style>
  <w:style w:type="character" w:customStyle="1" w:styleId="UnresolvedMention">
    <w:name w:val="Unresolved Mention"/>
    <w:basedOn w:val="DefaultParagraphFont"/>
    <w:uiPriority w:val="99"/>
    <w:semiHidden/>
    <w:unhideWhenUsed/>
    <w:rsid w:val="00020D70"/>
    <w:rPr>
      <w:color w:val="605E5C"/>
      <w:shd w:val="clear" w:color="auto" w:fill="E1DFDD"/>
    </w:rPr>
  </w:style>
  <w:style w:type="paragraph" w:styleId="TOCHeading">
    <w:name w:val="TOC Heading"/>
    <w:basedOn w:val="Heading1"/>
    <w:next w:val="Normal"/>
    <w:uiPriority w:val="39"/>
    <w:unhideWhenUsed/>
    <w:qFormat/>
    <w:rsid w:val="00020D70"/>
    <w:pPr>
      <w:numPr>
        <w:numId w:val="0"/>
      </w:numPr>
      <w:spacing w:before="240" w:after="0" w:line="259" w:lineRule="auto"/>
      <w:outlineLvl w:val="9"/>
    </w:pPr>
    <w:rPr>
      <w:rFonts w:asciiTheme="majorHAnsi" w:hAnsiTheme="majorHAnsi"/>
      <w:b w:val="0"/>
      <w:color w:val="365F91" w:themeColor="accent1" w:themeShade="BF"/>
      <w:kern w:val="0"/>
      <w:sz w:val="32"/>
      <w:szCs w:val="32"/>
      <w:lang w:val="en-US"/>
      <w14:ligatures w14:val="none"/>
    </w:rPr>
  </w:style>
  <w:style w:type="paragraph" w:styleId="TOC1">
    <w:name w:val="toc 1"/>
    <w:basedOn w:val="Normal"/>
    <w:next w:val="Normal"/>
    <w:autoRedefine/>
    <w:uiPriority w:val="39"/>
    <w:unhideWhenUsed/>
    <w:rsid w:val="00020D70"/>
    <w:pPr>
      <w:spacing w:after="100"/>
    </w:pPr>
  </w:style>
  <w:style w:type="paragraph" w:styleId="TOC2">
    <w:name w:val="toc 2"/>
    <w:basedOn w:val="Normal"/>
    <w:next w:val="Normal"/>
    <w:autoRedefine/>
    <w:uiPriority w:val="39"/>
    <w:unhideWhenUsed/>
    <w:rsid w:val="00020D70"/>
    <w:pPr>
      <w:spacing w:after="100"/>
      <w:ind w:left="240"/>
    </w:pPr>
  </w:style>
  <w:style w:type="paragraph" w:styleId="TOC3">
    <w:name w:val="toc 3"/>
    <w:basedOn w:val="Normal"/>
    <w:next w:val="Normal"/>
    <w:autoRedefine/>
    <w:uiPriority w:val="39"/>
    <w:unhideWhenUsed/>
    <w:rsid w:val="00020D70"/>
    <w:pPr>
      <w:spacing w:after="100"/>
      <w:ind w:left="480"/>
    </w:pPr>
  </w:style>
  <w:style w:type="paragraph" w:styleId="TableofFigures">
    <w:name w:val="table of figures"/>
    <w:basedOn w:val="Normal"/>
    <w:next w:val="Normal"/>
    <w:uiPriority w:val="99"/>
    <w:unhideWhenUsed/>
    <w:rsid w:val="00020D70"/>
    <w:pPr>
      <w:spacing w:after="0"/>
    </w:pPr>
  </w:style>
  <w:style w:type="character" w:customStyle="1" w:styleId="m7eme">
    <w:name w:val="m7eme"/>
    <w:basedOn w:val="DefaultParagraphFont"/>
    <w:rsid w:val="00020D70"/>
  </w:style>
  <w:style w:type="character" w:customStyle="1" w:styleId="adtyne">
    <w:name w:val="adtyne"/>
    <w:basedOn w:val="DefaultParagraphFont"/>
    <w:rsid w:val="00020D70"/>
  </w:style>
  <w:style w:type="paragraph" w:styleId="BalloonText">
    <w:name w:val="Balloon Text"/>
    <w:basedOn w:val="Normal"/>
    <w:link w:val="BalloonTextChar"/>
    <w:uiPriority w:val="99"/>
    <w:semiHidden/>
    <w:unhideWhenUsed/>
    <w:rsid w:val="00020D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0D70"/>
    <w:rPr>
      <w:rFonts w:ascii="Tahoma" w:hAnsi="Tahoma" w:cs="Tahoma"/>
      <w:kern w:val="2"/>
      <w:sz w:val="16"/>
      <w:szCs w:val="16"/>
      <w:lang w:val="en-GB" w:bidi="ar-SA"/>
      <w14:ligatures w14:val="standardContextual"/>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gu-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0D70"/>
    <w:pPr>
      <w:spacing w:after="160" w:line="278" w:lineRule="auto"/>
    </w:pPr>
    <w:rPr>
      <w:kern w:val="2"/>
      <w:sz w:val="24"/>
      <w:szCs w:val="24"/>
      <w:lang w:val="en-GB" w:bidi="ar-SA"/>
      <w14:ligatures w14:val="standardContextual"/>
    </w:rPr>
  </w:style>
  <w:style w:type="paragraph" w:styleId="Heading1">
    <w:name w:val="heading 1"/>
    <w:basedOn w:val="Normal"/>
    <w:next w:val="Content"/>
    <w:link w:val="Heading1Char"/>
    <w:uiPriority w:val="9"/>
    <w:qFormat/>
    <w:rsid w:val="00020D70"/>
    <w:pPr>
      <w:keepNext/>
      <w:keepLines/>
      <w:numPr>
        <w:numId w:val="1"/>
      </w:numPr>
      <w:spacing w:before="120" w:after="240" w:line="240" w:lineRule="auto"/>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Content"/>
    <w:link w:val="Heading2Char"/>
    <w:uiPriority w:val="9"/>
    <w:unhideWhenUsed/>
    <w:qFormat/>
    <w:rsid w:val="00020D70"/>
    <w:pPr>
      <w:keepNext/>
      <w:keepLines/>
      <w:numPr>
        <w:ilvl w:val="1"/>
        <w:numId w:val="1"/>
      </w:numPr>
      <w:spacing w:before="120" w:after="240" w:line="240" w:lineRule="auto"/>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unhideWhenUsed/>
    <w:qFormat/>
    <w:rsid w:val="00020D70"/>
    <w:pPr>
      <w:keepNext/>
      <w:keepLines/>
      <w:numPr>
        <w:ilvl w:val="2"/>
        <w:numId w:val="1"/>
      </w:numPr>
      <w:spacing w:before="120" w:after="240" w:line="240" w:lineRule="auto"/>
      <w:outlineLvl w:val="2"/>
    </w:pPr>
    <w:rPr>
      <w:rFonts w:ascii="Times New Roman" w:eastAsiaTheme="majorEastAsia" w:hAnsi="Times New Roman" w:cstheme="majorBidi"/>
      <w:b/>
      <w:color w:val="000000" w:themeColor="text1"/>
      <w:szCs w:val="28"/>
    </w:rPr>
  </w:style>
  <w:style w:type="paragraph" w:styleId="Heading4">
    <w:name w:val="heading 4"/>
    <w:basedOn w:val="Normal"/>
    <w:next w:val="Normal"/>
    <w:link w:val="Heading4Char"/>
    <w:uiPriority w:val="9"/>
    <w:semiHidden/>
    <w:unhideWhenUsed/>
    <w:qFormat/>
    <w:rsid w:val="00020D70"/>
    <w:pPr>
      <w:keepNext/>
      <w:keepLines/>
      <w:numPr>
        <w:ilvl w:val="3"/>
        <w:numId w:val="1"/>
      </w:numPr>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020D70"/>
    <w:pPr>
      <w:keepNext/>
      <w:keepLines/>
      <w:numPr>
        <w:ilvl w:val="4"/>
        <w:numId w:val="1"/>
      </w:numPr>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020D70"/>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0D70"/>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0D70"/>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0D70"/>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0D70"/>
    <w:rPr>
      <w:rFonts w:ascii="Times New Roman" w:eastAsiaTheme="majorEastAsia" w:hAnsi="Times New Roman" w:cstheme="majorBidi"/>
      <w:b/>
      <w:color w:val="000000" w:themeColor="text1"/>
      <w:kern w:val="2"/>
      <w:sz w:val="28"/>
      <w:szCs w:val="40"/>
      <w:lang w:val="en-GB" w:bidi="ar-SA"/>
      <w14:ligatures w14:val="standardContextual"/>
    </w:rPr>
  </w:style>
  <w:style w:type="character" w:customStyle="1" w:styleId="Heading2Char">
    <w:name w:val="Heading 2 Char"/>
    <w:basedOn w:val="DefaultParagraphFont"/>
    <w:link w:val="Heading2"/>
    <w:uiPriority w:val="9"/>
    <w:rsid w:val="00020D70"/>
    <w:rPr>
      <w:rFonts w:ascii="Times New Roman" w:eastAsiaTheme="majorEastAsia" w:hAnsi="Times New Roman" w:cstheme="majorBidi"/>
      <w:b/>
      <w:color w:val="000000" w:themeColor="text1"/>
      <w:kern w:val="2"/>
      <w:sz w:val="24"/>
      <w:szCs w:val="32"/>
      <w:lang w:val="en-GB" w:bidi="ar-SA"/>
      <w14:ligatures w14:val="standardContextual"/>
    </w:rPr>
  </w:style>
  <w:style w:type="character" w:customStyle="1" w:styleId="Heading3Char">
    <w:name w:val="Heading 3 Char"/>
    <w:basedOn w:val="DefaultParagraphFont"/>
    <w:link w:val="Heading3"/>
    <w:uiPriority w:val="9"/>
    <w:rsid w:val="00020D70"/>
    <w:rPr>
      <w:rFonts w:ascii="Times New Roman" w:eastAsiaTheme="majorEastAsia" w:hAnsi="Times New Roman" w:cstheme="majorBidi"/>
      <w:b/>
      <w:color w:val="000000" w:themeColor="text1"/>
      <w:kern w:val="2"/>
      <w:sz w:val="24"/>
      <w:szCs w:val="28"/>
      <w:lang w:val="en-GB" w:bidi="ar-SA"/>
      <w14:ligatures w14:val="standardContextual"/>
    </w:rPr>
  </w:style>
  <w:style w:type="character" w:customStyle="1" w:styleId="Heading4Char">
    <w:name w:val="Heading 4 Char"/>
    <w:basedOn w:val="DefaultParagraphFont"/>
    <w:link w:val="Heading4"/>
    <w:uiPriority w:val="9"/>
    <w:semiHidden/>
    <w:rsid w:val="00020D70"/>
    <w:rPr>
      <w:rFonts w:eastAsiaTheme="majorEastAsia" w:cstheme="majorBidi"/>
      <w:i/>
      <w:iCs/>
      <w:color w:val="365F91" w:themeColor="accent1" w:themeShade="BF"/>
      <w:kern w:val="2"/>
      <w:sz w:val="24"/>
      <w:szCs w:val="24"/>
      <w:lang w:val="en-GB" w:bidi="ar-SA"/>
      <w14:ligatures w14:val="standardContextual"/>
    </w:rPr>
  </w:style>
  <w:style w:type="character" w:customStyle="1" w:styleId="Heading5Char">
    <w:name w:val="Heading 5 Char"/>
    <w:basedOn w:val="DefaultParagraphFont"/>
    <w:link w:val="Heading5"/>
    <w:uiPriority w:val="9"/>
    <w:semiHidden/>
    <w:rsid w:val="00020D70"/>
    <w:rPr>
      <w:rFonts w:eastAsiaTheme="majorEastAsia" w:cstheme="majorBidi"/>
      <w:color w:val="365F91" w:themeColor="accent1" w:themeShade="BF"/>
      <w:kern w:val="2"/>
      <w:sz w:val="24"/>
      <w:szCs w:val="24"/>
      <w:lang w:val="en-GB" w:bidi="ar-SA"/>
      <w14:ligatures w14:val="standardContextual"/>
    </w:rPr>
  </w:style>
  <w:style w:type="character" w:customStyle="1" w:styleId="Heading6Char">
    <w:name w:val="Heading 6 Char"/>
    <w:basedOn w:val="DefaultParagraphFont"/>
    <w:link w:val="Heading6"/>
    <w:uiPriority w:val="9"/>
    <w:semiHidden/>
    <w:rsid w:val="00020D70"/>
    <w:rPr>
      <w:rFonts w:eastAsiaTheme="majorEastAsia" w:cstheme="majorBidi"/>
      <w:i/>
      <w:iCs/>
      <w:color w:val="595959" w:themeColor="text1" w:themeTint="A6"/>
      <w:kern w:val="2"/>
      <w:sz w:val="24"/>
      <w:szCs w:val="24"/>
      <w:lang w:val="en-GB" w:bidi="ar-SA"/>
      <w14:ligatures w14:val="standardContextual"/>
    </w:rPr>
  </w:style>
  <w:style w:type="character" w:customStyle="1" w:styleId="Heading7Char">
    <w:name w:val="Heading 7 Char"/>
    <w:basedOn w:val="DefaultParagraphFont"/>
    <w:link w:val="Heading7"/>
    <w:uiPriority w:val="9"/>
    <w:semiHidden/>
    <w:rsid w:val="00020D70"/>
    <w:rPr>
      <w:rFonts w:eastAsiaTheme="majorEastAsia" w:cstheme="majorBidi"/>
      <w:color w:val="595959" w:themeColor="text1" w:themeTint="A6"/>
      <w:kern w:val="2"/>
      <w:sz w:val="24"/>
      <w:szCs w:val="24"/>
      <w:lang w:val="en-GB" w:bidi="ar-SA"/>
      <w14:ligatures w14:val="standardContextual"/>
    </w:rPr>
  </w:style>
  <w:style w:type="character" w:customStyle="1" w:styleId="Heading8Char">
    <w:name w:val="Heading 8 Char"/>
    <w:basedOn w:val="DefaultParagraphFont"/>
    <w:link w:val="Heading8"/>
    <w:uiPriority w:val="9"/>
    <w:semiHidden/>
    <w:rsid w:val="00020D70"/>
    <w:rPr>
      <w:rFonts w:eastAsiaTheme="majorEastAsia" w:cstheme="majorBidi"/>
      <w:i/>
      <w:iCs/>
      <w:color w:val="272727" w:themeColor="text1" w:themeTint="D8"/>
      <w:kern w:val="2"/>
      <w:sz w:val="24"/>
      <w:szCs w:val="24"/>
      <w:lang w:val="en-GB" w:bidi="ar-SA"/>
      <w14:ligatures w14:val="standardContextual"/>
    </w:rPr>
  </w:style>
  <w:style w:type="character" w:customStyle="1" w:styleId="Heading9Char">
    <w:name w:val="Heading 9 Char"/>
    <w:basedOn w:val="DefaultParagraphFont"/>
    <w:link w:val="Heading9"/>
    <w:uiPriority w:val="9"/>
    <w:semiHidden/>
    <w:rsid w:val="00020D70"/>
    <w:rPr>
      <w:rFonts w:eastAsiaTheme="majorEastAsia" w:cstheme="majorBidi"/>
      <w:color w:val="272727" w:themeColor="text1" w:themeTint="D8"/>
      <w:kern w:val="2"/>
      <w:sz w:val="24"/>
      <w:szCs w:val="24"/>
      <w:lang w:val="en-GB" w:bidi="ar-SA"/>
      <w14:ligatures w14:val="standardContextual"/>
    </w:rPr>
  </w:style>
  <w:style w:type="paragraph" w:styleId="Title">
    <w:name w:val="Title"/>
    <w:basedOn w:val="Normal"/>
    <w:next w:val="Normal"/>
    <w:link w:val="TitleChar"/>
    <w:uiPriority w:val="10"/>
    <w:qFormat/>
    <w:rsid w:val="00020D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0D70"/>
    <w:rPr>
      <w:rFonts w:asciiTheme="majorHAnsi" w:eastAsiaTheme="majorEastAsia" w:hAnsiTheme="majorHAnsi" w:cstheme="majorBidi"/>
      <w:spacing w:val="-10"/>
      <w:kern w:val="28"/>
      <w:sz w:val="56"/>
      <w:szCs w:val="56"/>
      <w:lang w:val="en-GB" w:bidi="ar-SA"/>
      <w14:ligatures w14:val="standardContextual"/>
    </w:rPr>
  </w:style>
  <w:style w:type="paragraph" w:styleId="Subtitle">
    <w:name w:val="Subtitle"/>
    <w:basedOn w:val="Normal"/>
    <w:next w:val="Normal"/>
    <w:link w:val="SubtitleChar"/>
    <w:uiPriority w:val="11"/>
    <w:qFormat/>
    <w:rsid w:val="00020D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0D70"/>
    <w:rPr>
      <w:rFonts w:eastAsiaTheme="majorEastAsia" w:cstheme="majorBidi"/>
      <w:color w:val="595959" w:themeColor="text1" w:themeTint="A6"/>
      <w:spacing w:val="15"/>
      <w:kern w:val="2"/>
      <w:sz w:val="28"/>
      <w:szCs w:val="28"/>
      <w:lang w:val="en-GB" w:bidi="ar-SA"/>
      <w14:ligatures w14:val="standardContextual"/>
    </w:rPr>
  </w:style>
  <w:style w:type="paragraph" w:styleId="Quote">
    <w:name w:val="Quote"/>
    <w:basedOn w:val="Normal"/>
    <w:next w:val="Normal"/>
    <w:link w:val="QuoteChar"/>
    <w:uiPriority w:val="29"/>
    <w:qFormat/>
    <w:rsid w:val="00020D70"/>
    <w:pPr>
      <w:spacing w:before="160"/>
      <w:jc w:val="center"/>
    </w:pPr>
    <w:rPr>
      <w:i/>
      <w:iCs/>
      <w:color w:val="404040" w:themeColor="text1" w:themeTint="BF"/>
    </w:rPr>
  </w:style>
  <w:style w:type="character" w:customStyle="1" w:styleId="QuoteChar">
    <w:name w:val="Quote Char"/>
    <w:basedOn w:val="DefaultParagraphFont"/>
    <w:link w:val="Quote"/>
    <w:uiPriority w:val="29"/>
    <w:rsid w:val="00020D70"/>
    <w:rPr>
      <w:i/>
      <w:iCs/>
      <w:color w:val="404040" w:themeColor="text1" w:themeTint="BF"/>
      <w:kern w:val="2"/>
      <w:sz w:val="24"/>
      <w:szCs w:val="24"/>
      <w:lang w:val="en-GB" w:bidi="ar-SA"/>
      <w14:ligatures w14:val="standardContextual"/>
    </w:rPr>
  </w:style>
  <w:style w:type="paragraph" w:styleId="ListParagraph">
    <w:name w:val="List Paragraph"/>
    <w:basedOn w:val="Normal"/>
    <w:uiPriority w:val="34"/>
    <w:qFormat/>
    <w:rsid w:val="00020D70"/>
    <w:pPr>
      <w:ind w:left="720"/>
      <w:contextualSpacing/>
    </w:pPr>
  </w:style>
  <w:style w:type="character" w:styleId="IntenseEmphasis">
    <w:name w:val="Intense Emphasis"/>
    <w:basedOn w:val="DefaultParagraphFont"/>
    <w:uiPriority w:val="21"/>
    <w:qFormat/>
    <w:rsid w:val="00020D70"/>
    <w:rPr>
      <w:i/>
      <w:iCs/>
      <w:color w:val="365F91" w:themeColor="accent1" w:themeShade="BF"/>
    </w:rPr>
  </w:style>
  <w:style w:type="paragraph" w:styleId="IntenseQuote">
    <w:name w:val="Intense Quote"/>
    <w:basedOn w:val="Normal"/>
    <w:next w:val="Normal"/>
    <w:link w:val="IntenseQuoteChar"/>
    <w:uiPriority w:val="30"/>
    <w:qFormat/>
    <w:rsid w:val="00020D7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20D70"/>
    <w:rPr>
      <w:i/>
      <w:iCs/>
      <w:color w:val="365F91" w:themeColor="accent1" w:themeShade="BF"/>
      <w:kern w:val="2"/>
      <w:sz w:val="24"/>
      <w:szCs w:val="24"/>
      <w:lang w:val="en-GB" w:bidi="ar-SA"/>
      <w14:ligatures w14:val="standardContextual"/>
    </w:rPr>
  </w:style>
  <w:style w:type="character" w:styleId="IntenseReference">
    <w:name w:val="Intense Reference"/>
    <w:basedOn w:val="DefaultParagraphFont"/>
    <w:uiPriority w:val="32"/>
    <w:qFormat/>
    <w:rsid w:val="00020D70"/>
    <w:rPr>
      <w:b/>
      <w:bCs/>
      <w:smallCaps/>
      <w:color w:val="365F91" w:themeColor="accent1" w:themeShade="BF"/>
      <w:spacing w:val="5"/>
    </w:rPr>
  </w:style>
  <w:style w:type="paragraph" w:customStyle="1" w:styleId="Content">
    <w:name w:val="Content"/>
    <w:basedOn w:val="Normal"/>
    <w:qFormat/>
    <w:rsid w:val="00020D70"/>
    <w:pPr>
      <w:spacing w:before="120" w:after="240" w:line="360" w:lineRule="auto"/>
      <w:jc w:val="both"/>
    </w:pPr>
    <w:rPr>
      <w:rFonts w:ascii="Times New Roman" w:hAnsi="Times New Roman"/>
      <w:color w:val="000000" w:themeColor="text1"/>
    </w:rPr>
  </w:style>
  <w:style w:type="paragraph" w:customStyle="1" w:styleId="content0">
    <w:name w:val="content"/>
    <w:basedOn w:val="Normal"/>
    <w:qFormat/>
    <w:rsid w:val="00020D70"/>
    <w:pPr>
      <w:spacing w:line="256" w:lineRule="auto"/>
      <w:jc w:val="both"/>
    </w:pPr>
    <w:rPr>
      <w:rFonts w:ascii="Times New Roman" w:hAnsi="Times New Roman"/>
      <w:color w:val="000000" w:themeColor="text1"/>
      <w:szCs w:val="22"/>
    </w:rPr>
  </w:style>
  <w:style w:type="paragraph" w:styleId="Header">
    <w:name w:val="header"/>
    <w:basedOn w:val="Normal"/>
    <w:link w:val="HeaderChar"/>
    <w:uiPriority w:val="99"/>
    <w:unhideWhenUsed/>
    <w:rsid w:val="00020D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0D70"/>
    <w:rPr>
      <w:kern w:val="2"/>
      <w:sz w:val="24"/>
      <w:szCs w:val="24"/>
      <w:lang w:val="en-GB" w:bidi="ar-SA"/>
      <w14:ligatures w14:val="standardContextual"/>
    </w:rPr>
  </w:style>
  <w:style w:type="paragraph" w:styleId="Footer">
    <w:name w:val="footer"/>
    <w:basedOn w:val="Normal"/>
    <w:link w:val="FooterChar"/>
    <w:uiPriority w:val="99"/>
    <w:unhideWhenUsed/>
    <w:rsid w:val="00020D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0D70"/>
    <w:rPr>
      <w:kern w:val="2"/>
      <w:sz w:val="24"/>
      <w:szCs w:val="24"/>
      <w:lang w:val="en-GB" w:bidi="ar-SA"/>
      <w14:ligatures w14:val="standardContextual"/>
    </w:rPr>
  </w:style>
  <w:style w:type="paragraph" w:styleId="Caption">
    <w:name w:val="caption"/>
    <w:basedOn w:val="Normal"/>
    <w:next w:val="Normal"/>
    <w:uiPriority w:val="35"/>
    <w:unhideWhenUsed/>
    <w:qFormat/>
    <w:rsid w:val="00020D70"/>
    <w:pPr>
      <w:spacing w:after="200" w:line="240" w:lineRule="auto"/>
    </w:pPr>
    <w:rPr>
      <w:i/>
      <w:iCs/>
      <w:color w:val="1F497D" w:themeColor="text2"/>
      <w:sz w:val="18"/>
      <w:szCs w:val="18"/>
    </w:rPr>
  </w:style>
  <w:style w:type="table" w:styleId="TableGrid">
    <w:name w:val="Table Grid"/>
    <w:basedOn w:val="TableNormal"/>
    <w:uiPriority w:val="39"/>
    <w:rsid w:val="00020D70"/>
    <w:pPr>
      <w:spacing w:after="0" w:line="240" w:lineRule="auto"/>
    </w:pPr>
    <w:rPr>
      <w:kern w:val="2"/>
      <w:sz w:val="24"/>
      <w:szCs w:val="24"/>
      <w:lang w:val="en-GB" w:bidi="ar-SA"/>
      <w14:ligatures w14:val="standardContextual"/>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1">
    <w:name w:val="Plain Table 1"/>
    <w:basedOn w:val="TableNormal"/>
    <w:uiPriority w:val="41"/>
    <w:rsid w:val="00020D70"/>
    <w:pPr>
      <w:spacing w:after="0" w:line="240" w:lineRule="auto"/>
    </w:pPr>
    <w:rPr>
      <w:kern w:val="2"/>
      <w:sz w:val="24"/>
      <w:szCs w:val="24"/>
      <w:lang w:val="en-GB" w:bidi="ar-SA"/>
      <w14:ligatures w14:val="standardContextual"/>
    </w:r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020D70"/>
  </w:style>
  <w:style w:type="character" w:styleId="Hyperlink">
    <w:name w:val="Hyperlink"/>
    <w:basedOn w:val="DefaultParagraphFont"/>
    <w:uiPriority w:val="99"/>
    <w:unhideWhenUsed/>
    <w:rsid w:val="00020D70"/>
    <w:rPr>
      <w:color w:val="0000FF" w:themeColor="hyperlink"/>
      <w:u w:val="single"/>
    </w:rPr>
  </w:style>
  <w:style w:type="character" w:customStyle="1" w:styleId="UnresolvedMention">
    <w:name w:val="Unresolved Mention"/>
    <w:basedOn w:val="DefaultParagraphFont"/>
    <w:uiPriority w:val="99"/>
    <w:semiHidden/>
    <w:unhideWhenUsed/>
    <w:rsid w:val="00020D70"/>
    <w:rPr>
      <w:color w:val="605E5C"/>
      <w:shd w:val="clear" w:color="auto" w:fill="E1DFDD"/>
    </w:rPr>
  </w:style>
  <w:style w:type="paragraph" w:styleId="TOCHeading">
    <w:name w:val="TOC Heading"/>
    <w:basedOn w:val="Heading1"/>
    <w:next w:val="Normal"/>
    <w:uiPriority w:val="39"/>
    <w:unhideWhenUsed/>
    <w:qFormat/>
    <w:rsid w:val="00020D70"/>
    <w:pPr>
      <w:numPr>
        <w:numId w:val="0"/>
      </w:numPr>
      <w:spacing w:before="240" w:after="0" w:line="259" w:lineRule="auto"/>
      <w:outlineLvl w:val="9"/>
    </w:pPr>
    <w:rPr>
      <w:rFonts w:asciiTheme="majorHAnsi" w:hAnsiTheme="majorHAnsi"/>
      <w:b w:val="0"/>
      <w:color w:val="365F91" w:themeColor="accent1" w:themeShade="BF"/>
      <w:kern w:val="0"/>
      <w:sz w:val="32"/>
      <w:szCs w:val="32"/>
      <w:lang w:val="en-US"/>
      <w14:ligatures w14:val="none"/>
    </w:rPr>
  </w:style>
  <w:style w:type="paragraph" w:styleId="TOC1">
    <w:name w:val="toc 1"/>
    <w:basedOn w:val="Normal"/>
    <w:next w:val="Normal"/>
    <w:autoRedefine/>
    <w:uiPriority w:val="39"/>
    <w:unhideWhenUsed/>
    <w:rsid w:val="00020D70"/>
    <w:pPr>
      <w:spacing w:after="100"/>
    </w:pPr>
  </w:style>
  <w:style w:type="paragraph" w:styleId="TOC2">
    <w:name w:val="toc 2"/>
    <w:basedOn w:val="Normal"/>
    <w:next w:val="Normal"/>
    <w:autoRedefine/>
    <w:uiPriority w:val="39"/>
    <w:unhideWhenUsed/>
    <w:rsid w:val="00020D70"/>
    <w:pPr>
      <w:spacing w:after="100"/>
      <w:ind w:left="240"/>
    </w:pPr>
  </w:style>
  <w:style w:type="paragraph" w:styleId="TOC3">
    <w:name w:val="toc 3"/>
    <w:basedOn w:val="Normal"/>
    <w:next w:val="Normal"/>
    <w:autoRedefine/>
    <w:uiPriority w:val="39"/>
    <w:unhideWhenUsed/>
    <w:rsid w:val="00020D70"/>
    <w:pPr>
      <w:spacing w:after="100"/>
      <w:ind w:left="480"/>
    </w:pPr>
  </w:style>
  <w:style w:type="paragraph" w:styleId="TableofFigures">
    <w:name w:val="table of figures"/>
    <w:basedOn w:val="Normal"/>
    <w:next w:val="Normal"/>
    <w:uiPriority w:val="99"/>
    <w:unhideWhenUsed/>
    <w:rsid w:val="00020D70"/>
    <w:pPr>
      <w:spacing w:after="0"/>
    </w:pPr>
  </w:style>
  <w:style w:type="character" w:customStyle="1" w:styleId="m7eme">
    <w:name w:val="m7eme"/>
    <w:basedOn w:val="DefaultParagraphFont"/>
    <w:rsid w:val="00020D70"/>
  </w:style>
  <w:style w:type="character" w:customStyle="1" w:styleId="adtyne">
    <w:name w:val="adtyne"/>
    <w:basedOn w:val="DefaultParagraphFont"/>
    <w:rsid w:val="00020D70"/>
  </w:style>
  <w:style w:type="paragraph" w:styleId="BalloonText">
    <w:name w:val="Balloon Text"/>
    <w:basedOn w:val="Normal"/>
    <w:link w:val="BalloonTextChar"/>
    <w:uiPriority w:val="99"/>
    <w:semiHidden/>
    <w:unhideWhenUsed/>
    <w:rsid w:val="00020D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0D70"/>
    <w:rPr>
      <w:rFonts w:ascii="Tahoma" w:hAnsi="Tahoma" w:cs="Tahoma"/>
      <w:kern w:val="2"/>
      <w:sz w:val="16"/>
      <w:szCs w:val="16"/>
      <w:lang w:val="en-GB" w:bidi="ar-SA"/>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emf"/><Relationship Id="rId33" Type="http://schemas.openxmlformats.org/officeDocument/2006/relationships/image" Target="media/image27.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Ama22</b:Tag>
    <b:SourceType>InternetSite</b:SourceType>
    <b:Guid>{E44E94F4-FC59-4CF6-BCEB-0329CB59C178}</b:Guid>
    <b:Title>About Amazon</b:Title>
    <b:Year>2023</b:Year>
    <b:Author>
      <b:Author>
        <b:Corporate>Amazon</b:Corporate>
      </b:Author>
    </b:Author>
    <b:YearAccessed>2024</b:YearAccessed>
    <b:MonthAccessed>2024</b:MonthAccessed>
    <b:DayAccessed>04</b:DayAccessed>
    <b:URL>https://www.aboutamazon.com</b:URL>
    <b:RefOrder>1</b:RefOrder>
  </b:Source>
  <b:Source>
    <b:Tag>Ama23</b:Tag>
    <b:SourceType>InternetSite</b:SourceType>
    <b:Guid>{1AC7725C-7341-4269-B365-0ECBA7827632}</b:Guid>
    <b:Author>
      <b:Author>
        <b:Corporate>Amazon</b:Corporate>
      </b:Author>
    </b:Author>
    <b:Title>How Amazon is working to close the skills gap and train employees for jobs of the future</b:Title>
    <b:Year>2023</b:Year>
    <b:YearAccessed>2024</b:YearAccessed>
    <b:MonthAccessed>January</b:MonthAccessed>
    <b:DayAccessed>04</b:DayAccessed>
    <b:URL>https://www.aboutamazon.com/news/workplace/amazon-provides-on-the-job-learning-opportunities</b:URL>
    <b:RefOrder>2</b:RefOrder>
  </b:Source>
  <b:Source>
    <b:Tag>Ama19</b:Tag>
    <b:SourceType>InternetSite</b:SourceType>
    <b:Guid>{752CECFB-4AF4-4F66-B169-4B2F877A4277}</b:Guid>
    <b:Author>
      <b:Author>
        <b:Corporate>Amazon</b:Corporate>
      </b:Author>
    </b:Author>
    <b:Title>Amazon Pledges to Upskill 100,000 U.S. Employees for In-Demand Jobs by 2025</b:Title>
    <b:Year>2019</b:Year>
    <b:YearAccessed>2024</b:YearAccessed>
    <b:MonthAccessed>January</b:MonthAccessed>
    <b:DayAccessed>04</b:DayAccessed>
    <b:URL>https://press.aboutamazon.com/2019/7/amazon-pledges-to-upskill-100-000-u-s-employees-for-in-demand-jobs-by-2025#:~:text=11%2C%202019%2D%2D%20Amazon%20(NASDAQ,that%20will%20help%20them%20move</b:URL>
    <b:RefOrder>3</b:RefOrder>
  </b:Source>
  <b:Source>
    <b:Tag>Wor24</b:Tag>
    <b:SourceType>InternetSite</b:SourceType>
    <b:Guid>{8E6915C4-72E9-4E0E-9C48-4F45A1F2C0A2}</b:Guid>
    <b:Author>
      <b:Author>
        <b:Corporate>World Economic Forum</b:Corporate>
      </b:Author>
    </b:Author>
    <b:Title>Reskilling Revolution: Preparing 1 billion people for tomorrow’s economy</b:Title>
    <b:Year>2024</b:Year>
    <b:YearAccessed>2024</b:YearAccessed>
    <b:MonthAccessed>January</b:MonthAccessed>
    <b:DayAccessed>17</b:DayAccessed>
    <b:URL>https://www.weforum.org/impact/reskilling-revolution-reaching-600-million-people-by-2030/</b:URL>
    <b:RefOrder>4</b:RefOrder>
  </b:Source>
  <b:Source>
    <b:Tag>The213</b:Tag>
    <b:SourceType>InternetSite</b:SourceType>
    <b:Guid>{84905238-EB07-4415-891D-98FD8DCDFAF6}</b:Guid>
    <b:Author>
      <b:Author>
        <b:Corporate>The New York Times</b:Corporate>
      </b:Author>
    </b:Author>
    <b:Title>Amazon's Great Labor Awakening. </b:Title>
    <b:Year>2021</b:Year>
    <b:YearAccessed>2024</b:YearAccessed>
    <b:MonthAccessed>January </b:MonthAccessed>
    <b:DayAccessed>05</b:DayAccessed>
    <b:URL>https://www.nytimes.com/2021/02/18/magazine/amazon-workers-employees-covid-19.html</b:URL>
    <b:RefOrder>5</b:RefOrder>
  </b:Source>
</b:Sources>
</file>

<file path=customXml/itemProps1.xml><?xml version="1.0" encoding="utf-8"?>
<ds:datastoreItem xmlns:ds="http://schemas.openxmlformats.org/officeDocument/2006/customXml" ds:itemID="{1E3446A0-20A2-49E5-8650-05E2FD03C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76</Pages>
  <Words>19710</Words>
  <Characters>112351</Characters>
  <Application>Microsoft Office Word</Application>
  <DocSecurity>0</DocSecurity>
  <Lines>936</Lines>
  <Paragraphs>263</Paragraphs>
  <ScaleCrop>false</ScaleCrop>
  <Company/>
  <LinksUpToDate>false</LinksUpToDate>
  <CharactersWithSpaces>131798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Akshar</dc:creator>
  <cp:lastModifiedBy>Akshar</cp:lastModifiedBy>
  <cp:revision>1</cp:revision>
  <dcterms:created xsi:type="dcterms:W3CDTF">2024-01-24T13:05:00Z</dcterms:created>
  <dcterms:modified xsi:type="dcterms:W3CDTF">2024-01-24T13:07:00Z</dcterms:modified>
</cp:coreProperties>
</file>