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Pr="0054572F" w:rsidRDefault="00F37B62" w:rsidP="00046E7A">
      <w:pPr>
        <w:spacing w:line="360" w:lineRule="auto"/>
        <w:jc w:val="center"/>
        <w:rPr>
          <w:rFonts w:ascii="Times New Roman" w:hAnsi="Times New Roman" w:cs="Times New Roman"/>
          <w:sz w:val="24"/>
          <w:szCs w:val="24"/>
        </w:rPr>
      </w:pPr>
      <w:r w:rsidRPr="0054572F">
        <w:rPr>
          <w:rFonts w:ascii="Times New Roman" w:hAnsi="Times New Roman" w:cs="Times New Roman"/>
          <w:noProof/>
          <w:sz w:val="24"/>
          <w:szCs w:val="24"/>
        </w:rPr>
        <w:drawing>
          <wp:inline distT="0" distB="0" distL="0" distR="0" wp14:anchorId="319B7E25" wp14:editId="3FF7F55E">
            <wp:extent cx="5334000" cy="17691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37727" cy="1770346"/>
                    </a:xfrm>
                    <a:prstGeom prst="rect">
                      <a:avLst/>
                    </a:prstGeom>
                    <a:noFill/>
                  </pic:spPr>
                </pic:pic>
              </a:graphicData>
            </a:graphic>
          </wp:inline>
        </w:drawing>
      </w:r>
    </w:p>
    <w:p w14:paraId="05A13EAD" w14:textId="15EE3251" w:rsidR="00F37B62" w:rsidRPr="0054572F" w:rsidRDefault="00F37B62" w:rsidP="0054572F">
      <w:pPr>
        <w:spacing w:line="360" w:lineRule="auto"/>
        <w:rPr>
          <w:rFonts w:ascii="Times New Roman" w:hAnsi="Times New Roman" w:cs="Times New Roman"/>
          <w:sz w:val="24"/>
          <w:szCs w:val="24"/>
        </w:rPr>
      </w:pPr>
    </w:p>
    <w:p w14:paraId="5BDFF3BD" w14:textId="5EDF5E29" w:rsidR="00F37B62" w:rsidRPr="0054572F" w:rsidRDefault="00F37B62" w:rsidP="0054572F">
      <w:pPr>
        <w:spacing w:line="360" w:lineRule="auto"/>
        <w:rPr>
          <w:rFonts w:ascii="Times New Roman" w:hAnsi="Times New Roman" w:cs="Times New Roman"/>
          <w:sz w:val="24"/>
          <w:szCs w:val="24"/>
        </w:rPr>
      </w:pPr>
    </w:p>
    <w:p w14:paraId="3A2C342B" w14:textId="4CDA3754" w:rsidR="00F37B62" w:rsidRPr="0054572F" w:rsidRDefault="00F37B62" w:rsidP="0054572F">
      <w:pPr>
        <w:spacing w:line="360" w:lineRule="auto"/>
        <w:rPr>
          <w:rFonts w:ascii="Times New Roman" w:hAnsi="Times New Roman" w:cs="Times New Roman"/>
          <w:sz w:val="24"/>
          <w:szCs w:val="24"/>
        </w:rPr>
      </w:pPr>
    </w:p>
    <w:p w14:paraId="6A8965F5" w14:textId="6843E4A4" w:rsidR="00F37B62" w:rsidRPr="0054572F" w:rsidRDefault="006833D5" w:rsidP="0054572F">
      <w:pPr>
        <w:spacing w:line="360" w:lineRule="auto"/>
        <w:jc w:val="center"/>
        <w:rPr>
          <w:rFonts w:ascii="Times New Roman" w:hAnsi="Times New Roman" w:cs="Times New Roman"/>
          <w:b/>
          <w:bCs/>
          <w:sz w:val="24"/>
          <w:szCs w:val="24"/>
        </w:rPr>
      </w:pPr>
      <w:r w:rsidRPr="0054572F">
        <w:rPr>
          <w:rFonts w:ascii="Times New Roman" w:hAnsi="Times New Roman" w:cs="Times New Roman"/>
          <w:b/>
          <w:bCs/>
          <w:sz w:val="24"/>
          <w:szCs w:val="24"/>
        </w:rPr>
        <w:t>BA (Hons) Leadership and Management</w:t>
      </w:r>
    </w:p>
    <w:p w14:paraId="43FA50BC" w14:textId="77777777" w:rsidR="00F37B62" w:rsidRPr="0054572F" w:rsidRDefault="00F37B62" w:rsidP="0054572F">
      <w:pPr>
        <w:spacing w:line="360" w:lineRule="auto"/>
        <w:jc w:val="center"/>
        <w:rPr>
          <w:rFonts w:ascii="Times New Roman" w:hAnsi="Times New Roman" w:cs="Times New Roman"/>
          <w:i/>
          <w:iCs/>
          <w:sz w:val="24"/>
          <w:szCs w:val="24"/>
        </w:rPr>
      </w:pPr>
    </w:p>
    <w:p w14:paraId="1EE10BBF" w14:textId="5589B2B4" w:rsidR="00F37B62" w:rsidRPr="000E7B52" w:rsidRDefault="00F37B62" w:rsidP="0054572F">
      <w:pPr>
        <w:spacing w:line="360" w:lineRule="auto"/>
        <w:jc w:val="center"/>
        <w:rPr>
          <w:rFonts w:ascii="Times New Roman" w:hAnsi="Times New Roman" w:cs="Times New Roman"/>
          <w:b/>
          <w:bCs/>
          <w:i/>
          <w:iCs/>
          <w:sz w:val="24"/>
          <w:szCs w:val="24"/>
          <w:lang w:val="pt-PT"/>
        </w:rPr>
      </w:pPr>
      <w:proofErr w:type="spellStart"/>
      <w:r w:rsidRPr="000E7B52">
        <w:rPr>
          <w:rFonts w:ascii="Times New Roman" w:hAnsi="Times New Roman" w:cs="Times New Roman"/>
          <w:b/>
          <w:bCs/>
          <w:i/>
          <w:iCs/>
          <w:sz w:val="24"/>
          <w:szCs w:val="24"/>
          <w:lang w:val="pt-PT"/>
        </w:rPr>
        <w:t>Student</w:t>
      </w:r>
      <w:proofErr w:type="spellEnd"/>
      <w:r w:rsidRPr="000E7B52">
        <w:rPr>
          <w:rFonts w:ascii="Times New Roman" w:hAnsi="Times New Roman" w:cs="Times New Roman"/>
          <w:b/>
          <w:bCs/>
          <w:i/>
          <w:iCs/>
          <w:sz w:val="24"/>
          <w:szCs w:val="24"/>
          <w:lang w:val="pt-PT"/>
        </w:rPr>
        <w:t xml:space="preserve"> </w:t>
      </w:r>
      <w:proofErr w:type="spellStart"/>
      <w:r w:rsidRPr="000E7B52">
        <w:rPr>
          <w:rFonts w:ascii="Times New Roman" w:hAnsi="Times New Roman" w:cs="Times New Roman"/>
          <w:b/>
          <w:bCs/>
          <w:i/>
          <w:iCs/>
          <w:sz w:val="24"/>
          <w:szCs w:val="24"/>
          <w:lang w:val="pt-PT"/>
        </w:rPr>
        <w:t>Name</w:t>
      </w:r>
      <w:proofErr w:type="spellEnd"/>
      <w:r w:rsidR="000E7B52" w:rsidRPr="000E7B52">
        <w:rPr>
          <w:rFonts w:ascii="Times New Roman" w:hAnsi="Times New Roman" w:cs="Times New Roman"/>
          <w:b/>
          <w:bCs/>
          <w:i/>
          <w:iCs/>
          <w:sz w:val="24"/>
          <w:szCs w:val="24"/>
          <w:lang w:val="pt-PT"/>
        </w:rPr>
        <w:t xml:space="preserve"> Joaquim Marcos De Sousa Freire </w:t>
      </w:r>
    </w:p>
    <w:p w14:paraId="432CDF3F" w14:textId="7FCFFCD9" w:rsidR="00F37B62" w:rsidRPr="0054572F" w:rsidRDefault="00F37B62" w:rsidP="0054572F">
      <w:pPr>
        <w:spacing w:line="360" w:lineRule="auto"/>
        <w:jc w:val="center"/>
        <w:rPr>
          <w:rFonts w:ascii="Times New Roman" w:hAnsi="Times New Roman" w:cs="Times New Roman"/>
          <w:b/>
          <w:bCs/>
          <w:i/>
          <w:iCs/>
          <w:sz w:val="24"/>
          <w:szCs w:val="24"/>
        </w:rPr>
      </w:pPr>
      <w:r w:rsidRPr="0054572F">
        <w:rPr>
          <w:rFonts w:ascii="Times New Roman" w:hAnsi="Times New Roman" w:cs="Times New Roman"/>
          <w:b/>
          <w:bCs/>
          <w:i/>
          <w:iCs/>
          <w:sz w:val="24"/>
          <w:szCs w:val="24"/>
        </w:rPr>
        <w:t>Student Number:</w:t>
      </w:r>
      <w:r w:rsidR="000E7B52">
        <w:rPr>
          <w:rFonts w:ascii="Times New Roman" w:hAnsi="Times New Roman" w:cs="Times New Roman"/>
          <w:b/>
          <w:bCs/>
          <w:i/>
          <w:iCs/>
          <w:sz w:val="24"/>
          <w:szCs w:val="24"/>
        </w:rPr>
        <w:t>2415568</w:t>
      </w:r>
    </w:p>
    <w:p w14:paraId="777CB569" w14:textId="12655473" w:rsidR="00F37B62" w:rsidRPr="0054572F" w:rsidRDefault="00F37B62" w:rsidP="0054572F">
      <w:pPr>
        <w:spacing w:line="360" w:lineRule="auto"/>
        <w:jc w:val="center"/>
        <w:rPr>
          <w:rFonts w:ascii="Times New Roman" w:hAnsi="Times New Roman" w:cs="Times New Roman"/>
          <w:i/>
          <w:iCs/>
          <w:sz w:val="24"/>
          <w:szCs w:val="24"/>
        </w:rPr>
      </w:pPr>
      <w:r w:rsidRPr="0054572F">
        <w:rPr>
          <w:rFonts w:ascii="Times New Roman" w:hAnsi="Times New Roman" w:cs="Times New Roman"/>
          <w:b/>
          <w:bCs/>
          <w:i/>
          <w:iCs/>
          <w:sz w:val="24"/>
          <w:szCs w:val="24"/>
        </w:rPr>
        <w:t>Course Name:</w:t>
      </w:r>
      <w:r w:rsidRPr="0054572F">
        <w:rPr>
          <w:rFonts w:ascii="Times New Roman" w:hAnsi="Times New Roman" w:cs="Times New Roman"/>
          <w:i/>
          <w:iCs/>
          <w:sz w:val="24"/>
          <w:szCs w:val="24"/>
        </w:rPr>
        <w:t xml:space="preserve"> </w:t>
      </w:r>
      <w:r w:rsidR="006833D5" w:rsidRPr="0054572F">
        <w:rPr>
          <w:rFonts w:ascii="Times New Roman" w:hAnsi="Times New Roman" w:cs="Times New Roman"/>
          <w:i/>
          <w:iCs/>
          <w:sz w:val="24"/>
          <w:szCs w:val="24"/>
        </w:rPr>
        <w:t>Understanding and Engaging stakeholders LCLM5001</w:t>
      </w:r>
    </w:p>
    <w:p w14:paraId="556C6252" w14:textId="0FA762D7" w:rsidR="00F37B62" w:rsidRPr="0054572F" w:rsidRDefault="00F37B62" w:rsidP="0054572F">
      <w:pPr>
        <w:spacing w:line="360" w:lineRule="auto"/>
        <w:jc w:val="center"/>
        <w:rPr>
          <w:rFonts w:ascii="Times New Roman" w:hAnsi="Times New Roman" w:cs="Times New Roman"/>
          <w:i/>
          <w:iCs/>
          <w:sz w:val="24"/>
          <w:szCs w:val="24"/>
        </w:rPr>
      </w:pPr>
      <w:r w:rsidRPr="0054572F">
        <w:rPr>
          <w:rFonts w:ascii="Times New Roman" w:hAnsi="Times New Roman" w:cs="Times New Roman"/>
          <w:b/>
          <w:bCs/>
          <w:i/>
          <w:iCs/>
          <w:sz w:val="24"/>
          <w:szCs w:val="24"/>
        </w:rPr>
        <w:t xml:space="preserve">Lecturer Name: </w:t>
      </w:r>
      <w:r w:rsidR="006833D5" w:rsidRPr="0054572F">
        <w:rPr>
          <w:rFonts w:ascii="Times New Roman" w:hAnsi="Times New Roman" w:cs="Times New Roman"/>
          <w:i/>
          <w:iCs/>
          <w:sz w:val="24"/>
          <w:szCs w:val="24"/>
        </w:rPr>
        <w:t>Mohammad Rahman or Kazeem Oseni</w:t>
      </w:r>
    </w:p>
    <w:p w14:paraId="0CF901E6" w14:textId="23877DDE" w:rsidR="00F37B62" w:rsidRPr="0054572F" w:rsidRDefault="00F37B62" w:rsidP="0054572F">
      <w:pPr>
        <w:spacing w:line="360" w:lineRule="auto"/>
        <w:jc w:val="center"/>
        <w:rPr>
          <w:rFonts w:ascii="Times New Roman" w:hAnsi="Times New Roman" w:cs="Times New Roman"/>
          <w:b/>
          <w:bCs/>
          <w:i/>
          <w:iCs/>
          <w:sz w:val="24"/>
          <w:szCs w:val="24"/>
        </w:rPr>
      </w:pPr>
      <w:r w:rsidRPr="0054572F">
        <w:rPr>
          <w:rFonts w:ascii="Times New Roman" w:hAnsi="Times New Roman" w:cs="Times New Roman"/>
          <w:b/>
          <w:bCs/>
          <w:i/>
          <w:iCs/>
          <w:sz w:val="24"/>
          <w:szCs w:val="24"/>
        </w:rPr>
        <w:t>Session</w:t>
      </w:r>
      <w:r w:rsidRPr="0054572F">
        <w:rPr>
          <w:rFonts w:ascii="Times New Roman" w:hAnsi="Times New Roman" w:cs="Times New Roman"/>
          <w:i/>
          <w:iCs/>
          <w:sz w:val="24"/>
          <w:szCs w:val="24"/>
        </w:rPr>
        <w:t>:</w:t>
      </w:r>
      <w:r w:rsidR="008D1598" w:rsidRPr="0054572F">
        <w:rPr>
          <w:rFonts w:ascii="Times New Roman" w:hAnsi="Times New Roman" w:cs="Times New Roman"/>
          <w:i/>
          <w:iCs/>
          <w:sz w:val="24"/>
          <w:szCs w:val="24"/>
        </w:rPr>
        <w:t xml:space="preserve"> Fe</w:t>
      </w:r>
      <w:r w:rsidR="006833D5" w:rsidRPr="0054572F">
        <w:rPr>
          <w:rFonts w:ascii="Times New Roman" w:hAnsi="Times New Roman" w:cs="Times New Roman"/>
          <w:i/>
          <w:iCs/>
          <w:sz w:val="24"/>
          <w:szCs w:val="24"/>
        </w:rPr>
        <w:t>bruary</w:t>
      </w:r>
      <w:r w:rsidR="008D1598" w:rsidRPr="0054572F">
        <w:rPr>
          <w:rFonts w:ascii="Times New Roman" w:hAnsi="Times New Roman" w:cs="Times New Roman"/>
          <w:i/>
          <w:iCs/>
          <w:sz w:val="24"/>
          <w:szCs w:val="24"/>
        </w:rPr>
        <w:t xml:space="preserve"> </w:t>
      </w:r>
      <w:r w:rsidRPr="0054572F">
        <w:rPr>
          <w:rFonts w:ascii="Times New Roman" w:hAnsi="Times New Roman" w:cs="Times New Roman"/>
          <w:b/>
          <w:bCs/>
          <w:i/>
          <w:iCs/>
          <w:sz w:val="24"/>
          <w:szCs w:val="24"/>
        </w:rPr>
        <w:t>202</w:t>
      </w:r>
      <w:r w:rsidR="008D1598" w:rsidRPr="0054572F">
        <w:rPr>
          <w:rFonts w:ascii="Times New Roman" w:hAnsi="Times New Roman" w:cs="Times New Roman"/>
          <w:b/>
          <w:bCs/>
          <w:i/>
          <w:iCs/>
          <w:sz w:val="24"/>
          <w:szCs w:val="24"/>
        </w:rPr>
        <w:t>5</w:t>
      </w:r>
      <w:r w:rsidRPr="0054572F">
        <w:rPr>
          <w:rFonts w:ascii="Times New Roman" w:hAnsi="Times New Roman" w:cs="Times New Roman"/>
          <w:b/>
          <w:bCs/>
          <w:i/>
          <w:iCs/>
          <w:sz w:val="24"/>
          <w:szCs w:val="24"/>
        </w:rPr>
        <w:t xml:space="preserve"> Term</w:t>
      </w:r>
    </w:p>
    <w:p w14:paraId="5A7D7C48" w14:textId="45598E74" w:rsidR="19DF5ED4" w:rsidRPr="0054572F" w:rsidRDefault="19DF5ED4" w:rsidP="0054572F">
      <w:pPr>
        <w:spacing w:line="360" w:lineRule="auto"/>
        <w:jc w:val="center"/>
        <w:rPr>
          <w:rFonts w:ascii="Times New Roman" w:hAnsi="Times New Roman" w:cs="Times New Roman"/>
          <w:b/>
          <w:bCs/>
          <w:i/>
          <w:iCs/>
          <w:sz w:val="24"/>
          <w:szCs w:val="24"/>
        </w:rPr>
      </w:pPr>
    </w:p>
    <w:p w14:paraId="0A78FB5C" w14:textId="2271F2D6" w:rsidR="19DF5ED4" w:rsidRPr="0054572F" w:rsidRDefault="19DF5ED4" w:rsidP="0054572F">
      <w:pPr>
        <w:spacing w:line="360" w:lineRule="auto"/>
        <w:jc w:val="center"/>
        <w:rPr>
          <w:rFonts w:ascii="Times New Roman" w:hAnsi="Times New Roman" w:cs="Times New Roman"/>
          <w:b/>
          <w:bCs/>
          <w:i/>
          <w:iCs/>
          <w:sz w:val="24"/>
          <w:szCs w:val="24"/>
        </w:rPr>
      </w:pPr>
    </w:p>
    <w:p w14:paraId="22AF23BB" w14:textId="39790727" w:rsidR="19DF5ED4" w:rsidRPr="0054572F" w:rsidRDefault="19DF5ED4" w:rsidP="0054572F">
      <w:pPr>
        <w:spacing w:line="360" w:lineRule="auto"/>
        <w:jc w:val="center"/>
        <w:rPr>
          <w:rFonts w:ascii="Times New Roman" w:hAnsi="Times New Roman" w:cs="Times New Roman"/>
          <w:b/>
          <w:bCs/>
          <w:i/>
          <w:iCs/>
          <w:sz w:val="24"/>
          <w:szCs w:val="24"/>
        </w:rPr>
      </w:pPr>
    </w:p>
    <w:p w14:paraId="6005BE0B" w14:textId="562CEB2F" w:rsidR="19DF5ED4" w:rsidRPr="0054572F" w:rsidRDefault="19DF5ED4" w:rsidP="0054572F">
      <w:pPr>
        <w:spacing w:line="360" w:lineRule="auto"/>
        <w:jc w:val="center"/>
        <w:rPr>
          <w:rFonts w:ascii="Times New Roman" w:hAnsi="Times New Roman" w:cs="Times New Roman"/>
          <w:b/>
          <w:bCs/>
          <w:i/>
          <w:iCs/>
          <w:sz w:val="24"/>
          <w:szCs w:val="24"/>
        </w:rPr>
      </w:pPr>
    </w:p>
    <w:p w14:paraId="390047F9" w14:textId="694B2E1D" w:rsidR="19DF5ED4" w:rsidRPr="0054572F" w:rsidRDefault="19DF5ED4" w:rsidP="0054572F">
      <w:pPr>
        <w:spacing w:line="360" w:lineRule="auto"/>
        <w:rPr>
          <w:rFonts w:ascii="Times New Roman" w:hAnsi="Times New Roman" w:cs="Times New Roman"/>
          <w:b/>
          <w:bCs/>
          <w:i/>
          <w:iCs/>
          <w:sz w:val="24"/>
          <w:szCs w:val="24"/>
        </w:rPr>
      </w:pPr>
    </w:p>
    <w:p w14:paraId="7DB1D51F" w14:textId="77777777" w:rsidR="00214C92" w:rsidRPr="0054572F" w:rsidRDefault="00214C92" w:rsidP="0054572F">
      <w:pPr>
        <w:spacing w:line="360" w:lineRule="auto"/>
        <w:rPr>
          <w:rFonts w:ascii="Times New Roman" w:hAnsi="Times New Roman" w:cs="Times New Roman"/>
          <w:b/>
          <w:bCs/>
          <w:i/>
          <w:iCs/>
          <w:sz w:val="24"/>
          <w:szCs w:val="24"/>
        </w:rPr>
      </w:pPr>
      <w:r w:rsidRPr="0054572F">
        <w:rPr>
          <w:rFonts w:ascii="Times New Roman" w:hAnsi="Times New Roman" w:cs="Times New Roman"/>
          <w:b/>
          <w:bCs/>
          <w:i/>
          <w:iCs/>
          <w:sz w:val="24"/>
          <w:szCs w:val="24"/>
        </w:rPr>
        <w:br w:type="page"/>
      </w:r>
    </w:p>
    <w:sdt>
      <w:sdtPr>
        <w:rPr>
          <w:rFonts w:ascii="Times New Roman" w:eastAsiaTheme="minorEastAsia" w:hAnsi="Times New Roman" w:cs="Times New Roman"/>
          <w:color w:val="auto"/>
          <w:sz w:val="24"/>
          <w:szCs w:val="24"/>
          <w:lang w:eastAsia="zh-CN"/>
        </w:rPr>
        <w:id w:val="-1057779619"/>
        <w:docPartObj>
          <w:docPartGallery w:val="Table of Contents"/>
          <w:docPartUnique/>
        </w:docPartObj>
      </w:sdtPr>
      <w:sdtEndPr>
        <w:rPr>
          <w:b/>
          <w:bCs/>
        </w:rPr>
      </w:sdtEndPr>
      <w:sdtContent>
        <w:p w14:paraId="4833FF4C" w14:textId="3B7B14A1" w:rsidR="00214C92" w:rsidRPr="0054572F" w:rsidRDefault="00214C92" w:rsidP="0054572F">
          <w:pPr>
            <w:pStyle w:val="TOCHeading"/>
            <w:spacing w:line="360" w:lineRule="auto"/>
            <w:jc w:val="center"/>
            <w:rPr>
              <w:rFonts w:ascii="Times New Roman" w:hAnsi="Times New Roman" w:cs="Times New Roman"/>
              <w:b/>
              <w:bCs/>
              <w:color w:val="auto"/>
              <w:sz w:val="24"/>
              <w:szCs w:val="24"/>
            </w:rPr>
          </w:pPr>
          <w:r w:rsidRPr="0054572F">
            <w:rPr>
              <w:rFonts w:ascii="Times New Roman" w:hAnsi="Times New Roman" w:cs="Times New Roman"/>
              <w:b/>
              <w:bCs/>
              <w:color w:val="auto"/>
              <w:sz w:val="24"/>
              <w:szCs w:val="24"/>
            </w:rPr>
            <w:t>Table of Contents</w:t>
          </w:r>
        </w:p>
        <w:p w14:paraId="68F106E0" w14:textId="5EA79469" w:rsidR="00214C92" w:rsidRPr="0054572F" w:rsidRDefault="00214C92" w:rsidP="0054572F">
          <w:pPr>
            <w:pStyle w:val="TOC1"/>
            <w:tabs>
              <w:tab w:val="right" w:leader="dot" w:pos="9016"/>
            </w:tabs>
            <w:spacing w:line="360" w:lineRule="auto"/>
            <w:rPr>
              <w:rFonts w:ascii="Times New Roman" w:hAnsi="Times New Roman" w:cs="Times New Roman"/>
              <w:noProof/>
              <w:sz w:val="24"/>
              <w:szCs w:val="24"/>
            </w:rPr>
          </w:pPr>
          <w:r w:rsidRPr="0054572F">
            <w:rPr>
              <w:rFonts w:ascii="Times New Roman" w:hAnsi="Times New Roman" w:cs="Times New Roman"/>
              <w:sz w:val="24"/>
              <w:szCs w:val="24"/>
            </w:rPr>
            <w:fldChar w:fldCharType="begin"/>
          </w:r>
          <w:r w:rsidRPr="0054572F">
            <w:rPr>
              <w:rFonts w:ascii="Times New Roman" w:hAnsi="Times New Roman" w:cs="Times New Roman"/>
              <w:sz w:val="24"/>
              <w:szCs w:val="24"/>
            </w:rPr>
            <w:instrText xml:space="preserve"> TOC \o "1-3" \h \z \u </w:instrText>
          </w:r>
          <w:r w:rsidRPr="0054572F">
            <w:rPr>
              <w:rFonts w:ascii="Times New Roman" w:hAnsi="Times New Roman" w:cs="Times New Roman"/>
              <w:sz w:val="24"/>
              <w:szCs w:val="24"/>
            </w:rPr>
            <w:fldChar w:fldCharType="separate"/>
          </w:r>
          <w:hyperlink w:anchor="_Toc227403685" w:history="1">
            <w:r w:rsidRPr="0054572F">
              <w:rPr>
                <w:rStyle w:val="Hyperlink"/>
                <w:rFonts w:ascii="Times New Roman" w:hAnsi="Times New Roman" w:cs="Times New Roman"/>
                <w:noProof/>
                <w:sz w:val="24"/>
                <w:szCs w:val="24"/>
              </w:rPr>
              <w:t>1.0 Introduction to the Chosen Organisation</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_Toc227403685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3</w:t>
            </w:r>
            <w:r w:rsidRPr="0054572F">
              <w:rPr>
                <w:rFonts w:ascii="Times New Roman" w:hAnsi="Times New Roman" w:cs="Times New Roman"/>
                <w:noProof/>
                <w:webHidden/>
                <w:sz w:val="24"/>
                <w:szCs w:val="24"/>
              </w:rPr>
              <w:fldChar w:fldCharType="end"/>
            </w:r>
          </w:hyperlink>
        </w:p>
        <w:p w14:paraId="01A1A3B5" w14:textId="2C63DDDD" w:rsidR="00214C92" w:rsidRPr="0054572F" w:rsidRDefault="00214C92" w:rsidP="0054572F">
          <w:pPr>
            <w:pStyle w:val="TOC1"/>
            <w:tabs>
              <w:tab w:val="right" w:leader="dot" w:pos="9016"/>
            </w:tabs>
            <w:spacing w:line="360" w:lineRule="auto"/>
            <w:rPr>
              <w:rFonts w:ascii="Times New Roman" w:hAnsi="Times New Roman" w:cs="Times New Roman"/>
              <w:noProof/>
              <w:sz w:val="24"/>
              <w:szCs w:val="24"/>
            </w:rPr>
          </w:pPr>
          <w:hyperlink w:anchor="_Toc227403686" w:history="1">
            <w:r w:rsidRPr="0054572F">
              <w:rPr>
                <w:rStyle w:val="Hyperlink"/>
                <w:rFonts w:ascii="Times New Roman" w:hAnsi="Times New Roman" w:cs="Times New Roman"/>
                <w:noProof/>
                <w:sz w:val="24"/>
                <w:szCs w:val="24"/>
              </w:rPr>
              <w:t>2.0  SMART Objectives of the Project</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_Toc227403686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4</w:t>
            </w:r>
            <w:r w:rsidRPr="0054572F">
              <w:rPr>
                <w:rFonts w:ascii="Times New Roman" w:hAnsi="Times New Roman" w:cs="Times New Roman"/>
                <w:noProof/>
                <w:webHidden/>
                <w:sz w:val="24"/>
                <w:szCs w:val="24"/>
              </w:rPr>
              <w:fldChar w:fldCharType="end"/>
            </w:r>
          </w:hyperlink>
        </w:p>
        <w:p w14:paraId="3112128C" w14:textId="40385312" w:rsidR="00214C92" w:rsidRPr="0054572F" w:rsidRDefault="00214C92" w:rsidP="0054572F">
          <w:pPr>
            <w:pStyle w:val="TOC1"/>
            <w:tabs>
              <w:tab w:val="right" w:leader="dot" w:pos="9016"/>
            </w:tabs>
            <w:spacing w:line="360" w:lineRule="auto"/>
            <w:rPr>
              <w:rFonts w:ascii="Times New Roman" w:hAnsi="Times New Roman" w:cs="Times New Roman"/>
              <w:noProof/>
              <w:sz w:val="24"/>
              <w:szCs w:val="24"/>
            </w:rPr>
          </w:pPr>
          <w:hyperlink w:anchor="_Toc227403687" w:history="1">
            <w:r w:rsidRPr="0054572F">
              <w:rPr>
                <w:rStyle w:val="Hyperlink"/>
                <w:rFonts w:ascii="Times New Roman" w:hAnsi="Times New Roman" w:cs="Times New Roman"/>
                <w:noProof/>
                <w:sz w:val="24"/>
                <w:szCs w:val="24"/>
              </w:rPr>
              <w:t>3.0  Identifying Key Stakeholders</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_Toc227403687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5</w:t>
            </w:r>
            <w:r w:rsidRPr="0054572F">
              <w:rPr>
                <w:rFonts w:ascii="Times New Roman" w:hAnsi="Times New Roman" w:cs="Times New Roman"/>
                <w:noProof/>
                <w:webHidden/>
                <w:sz w:val="24"/>
                <w:szCs w:val="24"/>
              </w:rPr>
              <w:fldChar w:fldCharType="end"/>
            </w:r>
          </w:hyperlink>
        </w:p>
        <w:p w14:paraId="1D5E5CC1" w14:textId="2DE0F836" w:rsidR="00214C92" w:rsidRPr="0054572F" w:rsidRDefault="00214C92" w:rsidP="0054572F">
          <w:pPr>
            <w:pStyle w:val="TOC2"/>
            <w:tabs>
              <w:tab w:val="right" w:leader="dot" w:pos="9016"/>
            </w:tabs>
            <w:spacing w:line="360" w:lineRule="auto"/>
            <w:rPr>
              <w:rFonts w:ascii="Times New Roman" w:hAnsi="Times New Roman" w:cs="Times New Roman"/>
              <w:noProof/>
              <w:sz w:val="24"/>
              <w:szCs w:val="24"/>
            </w:rPr>
          </w:pPr>
          <w:hyperlink w:anchor="_Toc227403688" w:history="1">
            <w:r w:rsidRPr="0054572F">
              <w:rPr>
                <w:rStyle w:val="Hyperlink"/>
                <w:rFonts w:ascii="Times New Roman" w:hAnsi="Times New Roman" w:cs="Times New Roman"/>
                <w:noProof/>
                <w:sz w:val="24"/>
                <w:szCs w:val="24"/>
              </w:rPr>
              <w:t>3.1  Identification of Stakeholders</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_Toc227403688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5</w:t>
            </w:r>
            <w:r w:rsidRPr="0054572F">
              <w:rPr>
                <w:rFonts w:ascii="Times New Roman" w:hAnsi="Times New Roman" w:cs="Times New Roman"/>
                <w:noProof/>
                <w:webHidden/>
                <w:sz w:val="24"/>
                <w:szCs w:val="24"/>
              </w:rPr>
              <w:fldChar w:fldCharType="end"/>
            </w:r>
          </w:hyperlink>
        </w:p>
        <w:p w14:paraId="48191990" w14:textId="31D603B4" w:rsidR="00214C92" w:rsidRPr="0054572F" w:rsidRDefault="00214C92" w:rsidP="0054572F">
          <w:pPr>
            <w:pStyle w:val="TOC2"/>
            <w:tabs>
              <w:tab w:val="right" w:leader="dot" w:pos="9016"/>
            </w:tabs>
            <w:spacing w:line="360" w:lineRule="auto"/>
            <w:rPr>
              <w:rFonts w:ascii="Times New Roman" w:hAnsi="Times New Roman" w:cs="Times New Roman"/>
              <w:noProof/>
              <w:sz w:val="24"/>
              <w:szCs w:val="24"/>
            </w:rPr>
          </w:pPr>
          <w:hyperlink w:anchor="_Toc227403689" w:history="1">
            <w:r w:rsidRPr="0054572F">
              <w:rPr>
                <w:rStyle w:val="Hyperlink"/>
                <w:rFonts w:ascii="Times New Roman" w:hAnsi="Times New Roman" w:cs="Times New Roman"/>
                <w:noProof/>
                <w:sz w:val="24"/>
                <w:szCs w:val="24"/>
              </w:rPr>
              <w:t>3.2 Benefits and Challenges of Key Stakeholders</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_Toc227403689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7</w:t>
            </w:r>
            <w:r w:rsidRPr="0054572F">
              <w:rPr>
                <w:rFonts w:ascii="Times New Roman" w:hAnsi="Times New Roman" w:cs="Times New Roman"/>
                <w:noProof/>
                <w:webHidden/>
                <w:sz w:val="24"/>
                <w:szCs w:val="24"/>
              </w:rPr>
              <w:fldChar w:fldCharType="end"/>
            </w:r>
          </w:hyperlink>
        </w:p>
        <w:p w14:paraId="05F68969" w14:textId="3EABDBCA" w:rsidR="00214C92" w:rsidRPr="0054572F" w:rsidRDefault="00214C92" w:rsidP="0054572F">
          <w:pPr>
            <w:pStyle w:val="TOC2"/>
            <w:tabs>
              <w:tab w:val="right" w:leader="dot" w:pos="9016"/>
            </w:tabs>
            <w:spacing w:line="360" w:lineRule="auto"/>
            <w:rPr>
              <w:rFonts w:ascii="Times New Roman" w:hAnsi="Times New Roman" w:cs="Times New Roman"/>
              <w:noProof/>
              <w:sz w:val="24"/>
              <w:szCs w:val="24"/>
            </w:rPr>
          </w:pPr>
          <w:hyperlink w:anchor="_Toc227403690" w:history="1">
            <w:r w:rsidRPr="0054572F">
              <w:rPr>
                <w:rStyle w:val="Hyperlink"/>
                <w:rFonts w:ascii="Times New Roman" w:hAnsi="Times New Roman" w:cs="Times New Roman"/>
                <w:noProof/>
                <w:sz w:val="24"/>
                <w:szCs w:val="24"/>
              </w:rPr>
              <w:t>3.3 Stakeholder Analysis Tools</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_Toc227403690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8</w:t>
            </w:r>
            <w:r w:rsidRPr="0054572F">
              <w:rPr>
                <w:rFonts w:ascii="Times New Roman" w:hAnsi="Times New Roman" w:cs="Times New Roman"/>
                <w:noProof/>
                <w:webHidden/>
                <w:sz w:val="24"/>
                <w:szCs w:val="24"/>
              </w:rPr>
              <w:fldChar w:fldCharType="end"/>
            </w:r>
          </w:hyperlink>
        </w:p>
        <w:p w14:paraId="5E024614" w14:textId="5A175C77" w:rsidR="00214C92" w:rsidRPr="0054572F" w:rsidRDefault="00214C92" w:rsidP="0054572F">
          <w:pPr>
            <w:pStyle w:val="TOC1"/>
            <w:tabs>
              <w:tab w:val="right" w:leader="dot" w:pos="9016"/>
            </w:tabs>
            <w:spacing w:line="360" w:lineRule="auto"/>
            <w:rPr>
              <w:rFonts w:ascii="Times New Roman" w:hAnsi="Times New Roman" w:cs="Times New Roman"/>
              <w:noProof/>
              <w:sz w:val="24"/>
              <w:szCs w:val="24"/>
            </w:rPr>
          </w:pPr>
          <w:hyperlink w:anchor="_Toc227403691" w:history="1">
            <w:r w:rsidRPr="0054572F">
              <w:rPr>
                <w:rStyle w:val="Hyperlink"/>
                <w:rFonts w:ascii="Times New Roman" w:hAnsi="Times New Roman" w:cs="Times New Roman"/>
                <w:noProof/>
                <w:sz w:val="24"/>
                <w:szCs w:val="24"/>
              </w:rPr>
              <w:t>4.0 Roles of the Manager in Engaging Stakeholders</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_Toc227403691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10</w:t>
            </w:r>
            <w:r w:rsidRPr="0054572F">
              <w:rPr>
                <w:rFonts w:ascii="Times New Roman" w:hAnsi="Times New Roman" w:cs="Times New Roman"/>
                <w:noProof/>
                <w:webHidden/>
                <w:sz w:val="24"/>
                <w:szCs w:val="24"/>
              </w:rPr>
              <w:fldChar w:fldCharType="end"/>
            </w:r>
          </w:hyperlink>
        </w:p>
        <w:p w14:paraId="18474B4E" w14:textId="248EBAE6" w:rsidR="00214C92" w:rsidRPr="0054572F" w:rsidRDefault="00214C92" w:rsidP="0054572F">
          <w:pPr>
            <w:pStyle w:val="TOC2"/>
            <w:tabs>
              <w:tab w:val="right" w:leader="dot" w:pos="9016"/>
            </w:tabs>
            <w:spacing w:line="360" w:lineRule="auto"/>
            <w:rPr>
              <w:rFonts w:ascii="Times New Roman" w:hAnsi="Times New Roman" w:cs="Times New Roman"/>
              <w:noProof/>
              <w:sz w:val="24"/>
              <w:szCs w:val="24"/>
            </w:rPr>
          </w:pPr>
          <w:hyperlink w:anchor="_Toc227403692" w:history="1">
            <w:r w:rsidRPr="0054572F">
              <w:rPr>
                <w:rStyle w:val="Hyperlink"/>
                <w:rFonts w:ascii="Times New Roman" w:hAnsi="Times New Roman" w:cs="Times New Roman"/>
                <w:noProof/>
                <w:sz w:val="24"/>
                <w:szCs w:val="24"/>
              </w:rPr>
              <w:t>4.1 Communication Plan</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_Toc227403692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10</w:t>
            </w:r>
            <w:r w:rsidRPr="0054572F">
              <w:rPr>
                <w:rFonts w:ascii="Times New Roman" w:hAnsi="Times New Roman" w:cs="Times New Roman"/>
                <w:noProof/>
                <w:webHidden/>
                <w:sz w:val="24"/>
                <w:szCs w:val="24"/>
              </w:rPr>
              <w:fldChar w:fldCharType="end"/>
            </w:r>
          </w:hyperlink>
        </w:p>
        <w:p w14:paraId="0220A13E" w14:textId="5983B912" w:rsidR="00214C92" w:rsidRPr="0054572F" w:rsidRDefault="00214C92" w:rsidP="0054572F">
          <w:pPr>
            <w:pStyle w:val="TOC2"/>
            <w:tabs>
              <w:tab w:val="right" w:leader="dot" w:pos="9016"/>
            </w:tabs>
            <w:spacing w:line="360" w:lineRule="auto"/>
            <w:rPr>
              <w:rFonts w:ascii="Times New Roman" w:hAnsi="Times New Roman" w:cs="Times New Roman"/>
              <w:noProof/>
              <w:sz w:val="24"/>
              <w:szCs w:val="24"/>
            </w:rPr>
          </w:pPr>
          <w:hyperlink w:anchor="_Toc227403693" w:history="1">
            <w:r w:rsidRPr="0054572F">
              <w:rPr>
                <w:rStyle w:val="Hyperlink"/>
                <w:rFonts w:ascii="Times New Roman" w:hAnsi="Times New Roman" w:cs="Times New Roman"/>
                <w:noProof/>
                <w:sz w:val="24"/>
                <w:szCs w:val="24"/>
              </w:rPr>
              <w:t>4.2 Level of Engagement</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_Toc227403693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12</w:t>
            </w:r>
            <w:r w:rsidRPr="0054572F">
              <w:rPr>
                <w:rFonts w:ascii="Times New Roman" w:hAnsi="Times New Roman" w:cs="Times New Roman"/>
                <w:noProof/>
                <w:webHidden/>
                <w:sz w:val="24"/>
                <w:szCs w:val="24"/>
              </w:rPr>
              <w:fldChar w:fldCharType="end"/>
            </w:r>
          </w:hyperlink>
        </w:p>
        <w:p w14:paraId="38D679F3" w14:textId="4FB25F14" w:rsidR="00214C92" w:rsidRPr="0054572F" w:rsidRDefault="00214C92" w:rsidP="0054572F">
          <w:pPr>
            <w:pStyle w:val="TOC2"/>
            <w:tabs>
              <w:tab w:val="right" w:leader="dot" w:pos="9016"/>
            </w:tabs>
            <w:spacing w:line="360" w:lineRule="auto"/>
            <w:rPr>
              <w:rFonts w:ascii="Times New Roman" w:hAnsi="Times New Roman" w:cs="Times New Roman"/>
              <w:noProof/>
              <w:sz w:val="24"/>
              <w:szCs w:val="24"/>
            </w:rPr>
          </w:pPr>
          <w:hyperlink w:anchor="_Toc227403694" w:history="1">
            <w:r w:rsidRPr="0054572F">
              <w:rPr>
                <w:rStyle w:val="Hyperlink"/>
                <w:rFonts w:ascii="Times New Roman" w:hAnsi="Times New Roman" w:cs="Times New Roman"/>
                <w:noProof/>
                <w:sz w:val="24"/>
                <w:szCs w:val="24"/>
              </w:rPr>
              <w:t>4.3 RACI Matrix</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_Toc227403694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13</w:t>
            </w:r>
            <w:r w:rsidRPr="0054572F">
              <w:rPr>
                <w:rFonts w:ascii="Times New Roman" w:hAnsi="Times New Roman" w:cs="Times New Roman"/>
                <w:noProof/>
                <w:webHidden/>
                <w:sz w:val="24"/>
                <w:szCs w:val="24"/>
              </w:rPr>
              <w:fldChar w:fldCharType="end"/>
            </w:r>
          </w:hyperlink>
        </w:p>
        <w:p w14:paraId="1711427D" w14:textId="704EF16C" w:rsidR="00214C92" w:rsidRPr="0054572F" w:rsidRDefault="00214C92" w:rsidP="0054572F">
          <w:pPr>
            <w:pStyle w:val="TOC1"/>
            <w:tabs>
              <w:tab w:val="right" w:leader="dot" w:pos="9016"/>
            </w:tabs>
            <w:spacing w:line="360" w:lineRule="auto"/>
            <w:rPr>
              <w:rFonts w:ascii="Times New Roman" w:hAnsi="Times New Roman" w:cs="Times New Roman"/>
              <w:noProof/>
              <w:sz w:val="24"/>
              <w:szCs w:val="24"/>
            </w:rPr>
          </w:pPr>
          <w:hyperlink w:anchor="_Toc227403695" w:history="1">
            <w:r w:rsidRPr="0054572F">
              <w:rPr>
                <w:rStyle w:val="Hyperlink"/>
                <w:rFonts w:ascii="Times New Roman" w:hAnsi="Times New Roman" w:cs="Times New Roman"/>
                <w:noProof/>
                <w:sz w:val="24"/>
                <w:szCs w:val="24"/>
              </w:rPr>
              <w:t>5.0 Importance of Stakeholder Engagement</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_Toc227403695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14</w:t>
            </w:r>
            <w:r w:rsidRPr="0054572F">
              <w:rPr>
                <w:rFonts w:ascii="Times New Roman" w:hAnsi="Times New Roman" w:cs="Times New Roman"/>
                <w:noProof/>
                <w:webHidden/>
                <w:sz w:val="24"/>
                <w:szCs w:val="24"/>
              </w:rPr>
              <w:fldChar w:fldCharType="end"/>
            </w:r>
          </w:hyperlink>
        </w:p>
        <w:p w14:paraId="0C306C69" w14:textId="0EA565EC" w:rsidR="00214C92" w:rsidRPr="0054572F" w:rsidRDefault="00214C92" w:rsidP="0054572F">
          <w:pPr>
            <w:pStyle w:val="TOC2"/>
            <w:tabs>
              <w:tab w:val="right" w:leader="dot" w:pos="9016"/>
            </w:tabs>
            <w:spacing w:line="360" w:lineRule="auto"/>
            <w:rPr>
              <w:rFonts w:ascii="Times New Roman" w:hAnsi="Times New Roman" w:cs="Times New Roman"/>
              <w:noProof/>
              <w:sz w:val="24"/>
              <w:szCs w:val="24"/>
            </w:rPr>
          </w:pPr>
          <w:hyperlink w:anchor="_Toc227403696" w:history="1">
            <w:r w:rsidRPr="0054572F">
              <w:rPr>
                <w:rStyle w:val="Hyperlink"/>
                <w:rFonts w:ascii="Times New Roman" w:hAnsi="Times New Roman" w:cs="Times New Roman"/>
                <w:noProof/>
                <w:sz w:val="24"/>
                <w:szCs w:val="24"/>
              </w:rPr>
              <w:t>5.1 Justification of Stakeholder Engagement</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_Toc227403696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14</w:t>
            </w:r>
            <w:r w:rsidRPr="0054572F">
              <w:rPr>
                <w:rFonts w:ascii="Times New Roman" w:hAnsi="Times New Roman" w:cs="Times New Roman"/>
                <w:noProof/>
                <w:webHidden/>
                <w:sz w:val="24"/>
                <w:szCs w:val="24"/>
              </w:rPr>
              <w:fldChar w:fldCharType="end"/>
            </w:r>
          </w:hyperlink>
        </w:p>
        <w:p w14:paraId="38BBB80F" w14:textId="1300147E" w:rsidR="00214C92" w:rsidRPr="0054572F" w:rsidRDefault="00214C92" w:rsidP="0054572F">
          <w:pPr>
            <w:pStyle w:val="TOC2"/>
            <w:tabs>
              <w:tab w:val="right" w:leader="dot" w:pos="9016"/>
            </w:tabs>
            <w:spacing w:line="360" w:lineRule="auto"/>
            <w:rPr>
              <w:rFonts w:ascii="Times New Roman" w:hAnsi="Times New Roman" w:cs="Times New Roman"/>
              <w:noProof/>
              <w:sz w:val="24"/>
              <w:szCs w:val="24"/>
            </w:rPr>
          </w:pPr>
          <w:hyperlink w:anchor="_Toc227403697" w:history="1">
            <w:r w:rsidRPr="0054572F">
              <w:rPr>
                <w:rStyle w:val="Hyperlink"/>
                <w:rFonts w:ascii="Times New Roman" w:hAnsi="Times New Roman" w:cs="Times New Roman"/>
                <w:noProof/>
                <w:sz w:val="24"/>
                <w:szCs w:val="24"/>
              </w:rPr>
              <w:t>5.2 Impact of Sustainable Stakeholder Engagement on Organisational Performance</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_Toc227403697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16</w:t>
            </w:r>
            <w:r w:rsidRPr="0054572F">
              <w:rPr>
                <w:rFonts w:ascii="Times New Roman" w:hAnsi="Times New Roman" w:cs="Times New Roman"/>
                <w:noProof/>
                <w:webHidden/>
                <w:sz w:val="24"/>
                <w:szCs w:val="24"/>
              </w:rPr>
              <w:fldChar w:fldCharType="end"/>
            </w:r>
          </w:hyperlink>
        </w:p>
        <w:p w14:paraId="1490EEF8" w14:textId="0D196B90" w:rsidR="00214C92" w:rsidRPr="0054572F" w:rsidRDefault="00214C92" w:rsidP="0054572F">
          <w:pPr>
            <w:pStyle w:val="TOC1"/>
            <w:tabs>
              <w:tab w:val="right" w:leader="dot" w:pos="9016"/>
            </w:tabs>
            <w:spacing w:line="360" w:lineRule="auto"/>
            <w:rPr>
              <w:rFonts w:ascii="Times New Roman" w:hAnsi="Times New Roman" w:cs="Times New Roman"/>
              <w:noProof/>
              <w:sz w:val="24"/>
              <w:szCs w:val="24"/>
            </w:rPr>
          </w:pPr>
          <w:hyperlink w:anchor="_Toc227403698" w:history="1">
            <w:r w:rsidRPr="0054572F">
              <w:rPr>
                <w:rStyle w:val="Hyperlink"/>
                <w:rFonts w:ascii="Times New Roman" w:hAnsi="Times New Roman" w:cs="Times New Roman"/>
                <w:noProof/>
                <w:sz w:val="24"/>
                <w:szCs w:val="24"/>
              </w:rPr>
              <w:t>6.0 Recommendations</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_Toc227403698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17</w:t>
            </w:r>
            <w:r w:rsidRPr="0054572F">
              <w:rPr>
                <w:rFonts w:ascii="Times New Roman" w:hAnsi="Times New Roman" w:cs="Times New Roman"/>
                <w:noProof/>
                <w:webHidden/>
                <w:sz w:val="24"/>
                <w:szCs w:val="24"/>
              </w:rPr>
              <w:fldChar w:fldCharType="end"/>
            </w:r>
          </w:hyperlink>
        </w:p>
        <w:p w14:paraId="172C5991" w14:textId="6D95F6A4" w:rsidR="00214C92" w:rsidRPr="0054572F" w:rsidRDefault="00214C92" w:rsidP="0054572F">
          <w:pPr>
            <w:pStyle w:val="TOC1"/>
            <w:tabs>
              <w:tab w:val="right" w:leader="dot" w:pos="9016"/>
            </w:tabs>
            <w:spacing w:line="360" w:lineRule="auto"/>
            <w:rPr>
              <w:rFonts w:ascii="Times New Roman" w:hAnsi="Times New Roman" w:cs="Times New Roman"/>
              <w:noProof/>
              <w:sz w:val="24"/>
              <w:szCs w:val="24"/>
            </w:rPr>
          </w:pPr>
          <w:hyperlink w:anchor="_Toc227403699" w:history="1">
            <w:r w:rsidRPr="0054572F">
              <w:rPr>
                <w:rStyle w:val="Hyperlink"/>
                <w:rFonts w:ascii="Times New Roman" w:hAnsi="Times New Roman" w:cs="Times New Roman"/>
                <w:noProof/>
                <w:sz w:val="24"/>
                <w:szCs w:val="24"/>
              </w:rPr>
              <w:t>Conclusion</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_Toc227403699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19</w:t>
            </w:r>
            <w:r w:rsidRPr="0054572F">
              <w:rPr>
                <w:rFonts w:ascii="Times New Roman" w:hAnsi="Times New Roman" w:cs="Times New Roman"/>
                <w:noProof/>
                <w:webHidden/>
                <w:sz w:val="24"/>
                <w:szCs w:val="24"/>
              </w:rPr>
              <w:fldChar w:fldCharType="end"/>
            </w:r>
          </w:hyperlink>
        </w:p>
        <w:p w14:paraId="1B74CF5E" w14:textId="54AF320B" w:rsidR="00214C92" w:rsidRPr="0054572F" w:rsidRDefault="00214C92" w:rsidP="0054572F">
          <w:pPr>
            <w:pStyle w:val="TOC1"/>
            <w:tabs>
              <w:tab w:val="right" w:leader="dot" w:pos="9016"/>
            </w:tabs>
            <w:spacing w:line="360" w:lineRule="auto"/>
            <w:rPr>
              <w:rFonts w:ascii="Times New Roman" w:hAnsi="Times New Roman" w:cs="Times New Roman"/>
              <w:noProof/>
              <w:sz w:val="24"/>
              <w:szCs w:val="24"/>
            </w:rPr>
          </w:pPr>
          <w:hyperlink w:anchor="_Toc227403700" w:history="1">
            <w:r w:rsidRPr="0054572F">
              <w:rPr>
                <w:rStyle w:val="Hyperlink"/>
                <w:rFonts w:ascii="Times New Roman" w:hAnsi="Times New Roman" w:cs="Times New Roman"/>
                <w:noProof/>
                <w:sz w:val="24"/>
                <w:szCs w:val="24"/>
              </w:rPr>
              <w:t>References</w:t>
            </w:r>
            <w:r w:rsidRPr="0054572F">
              <w:rPr>
                <w:rFonts w:ascii="Times New Roman" w:hAnsi="Times New Roman" w:cs="Times New Roman"/>
                <w:noProof/>
                <w:webHidden/>
                <w:sz w:val="24"/>
                <w:szCs w:val="24"/>
              </w:rPr>
              <w:tab/>
            </w:r>
            <w:r w:rsidRPr="0054572F">
              <w:rPr>
                <w:rFonts w:ascii="Times New Roman" w:hAnsi="Times New Roman" w:cs="Times New Roman"/>
                <w:noProof/>
                <w:webHidden/>
                <w:sz w:val="24"/>
                <w:szCs w:val="24"/>
              </w:rPr>
              <w:fldChar w:fldCharType="begin"/>
            </w:r>
            <w:r w:rsidRPr="0054572F">
              <w:rPr>
                <w:rFonts w:ascii="Times New Roman" w:hAnsi="Times New Roman" w:cs="Times New Roman"/>
                <w:noProof/>
                <w:webHidden/>
                <w:sz w:val="24"/>
                <w:szCs w:val="24"/>
              </w:rPr>
              <w:instrText xml:space="preserve"> PAGEREF _Toc227403700 \h </w:instrText>
            </w:r>
            <w:r w:rsidRPr="0054572F">
              <w:rPr>
                <w:rFonts w:ascii="Times New Roman" w:hAnsi="Times New Roman" w:cs="Times New Roman"/>
                <w:noProof/>
                <w:webHidden/>
                <w:sz w:val="24"/>
                <w:szCs w:val="24"/>
              </w:rPr>
            </w:r>
            <w:r w:rsidRPr="0054572F">
              <w:rPr>
                <w:rFonts w:ascii="Times New Roman" w:hAnsi="Times New Roman" w:cs="Times New Roman"/>
                <w:noProof/>
                <w:webHidden/>
                <w:sz w:val="24"/>
                <w:szCs w:val="24"/>
              </w:rPr>
              <w:fldChar w:fldCharType="separate"/>
            </w:r>
            <w:r w:rsidRPr="0054572F">
              <w:rPr>
                <w:rFonts w:ascii="Times New Roman" w:hAnsi="Times New Roman" w:cs="Times New Roman"/>
                <w:noProof/>
                <w:webHidden/>
                <w:sz w:val="24"/>
                <w:szCs w:val="24"/>
              </w:rPr>
              <w:t>21</w:t>
            </w:r>
            <w:r w:rsidRPr="0054572F">
              <w:rPr>
                <w:rFonts w:ascii="Times New Roman" w:hAnsi="Times New Roman" w:cs="Times New Roman"/>
                <w:noProof/>
                <w:webHidden/>
                <w:sz w:val="24"/>
                <w:szCs w:val="24"/>
              </w:rPr>
              <w:fldChar w:fldCharType="end"/>
            </w:r>
          </w:hyperlink>
        </w:p>
        <w:p w14:paraId="0DD5D6DC" w14:textId="601FB54C" w:rsidR="00214C92" w:rsidRPr="0054572F" w:rsidRDefault="00214C92" w:rsidP="0054572F">
          <w:pPr>
            <w:spacing w:line="360" w:lineRule="auto"/>
            <w:rPr>
              <w:rFonts w:ascii="Times New Roman" w:hAnsi="Times New Roman" w:cs="Times New Roman"/>
              <w:sz w:val="24"/>
              <w:szCs w:val="24"/>
            </w:rPr>
          </w:pPr>
          <w:r w:rsidRPr="0054572F">
            <w:rPr>
              <w:rFonts w:ascii="Times New Roman" w:hAnsi="Times New Roman" w:cs="Times New Roman"/>
              <w:b/>
              <w:bCs/>
              <w:sz w:val="24"/>
              <w:szCs w:val="24"/>
            </w:rPr>
            <w:fldChar w:fldCharType="end"/>
          </w:r>
        </w:p>
      </w:sdtContent>
    </w:sdt>
    <w:p w14:paraId="695ACE38" w14:textId="1FF46420" w:rsidR="005E0A02" w:rsidRPr="0054572F" w:rsidRDefault="005E0A02" w:rsidP="0054572F">
      <w:pPr>
        <w:spacing w:line="360" w:lineRule="auto"/>
        <w:rPr>
          <w:rFonts w:ascii="Times New Roman" w:hAnsi="Times New Roman" w:cs="Times New Roman"/>
          <w:b/>
          <w:bCs/>
          <w:i/>
          <w:iCs/>
          <w:sz w:val="24"/>
          <w:szCs w:val="24"/>
        </w:rPr>
      </w:pPr>
      <w:r w:rsidRPr="0054572F">
        <w:rPr>
          <w:rFonts w:ascii="Times New Roman" w:hAnsi="Times New Roman" w:cs="Times New Roman"/>
          <w:b/>
          <w:bCs/>
          <w:i/>
          <w:iCs/>
          <w:sz w:val="24"/>
          <w:szCs w:val="24"/>
        </w:rPr>
        <w:br w:type="page"/>
      </w:r>
    </w:p>
    <w:p w14:paraId="3FF91D8D" w14:textId="77777777" w:rsidR="005E0A02" w:rsidRPr="0054572F" w:rsidRDefault="005E0A02" w:rsidP="0054572F">
      <w:pPr>
        <w:pStyle w:val="Heading1"/>
        <w:spacing w:line="360" w:lineRule="auto"/>
        <w:rPr>
          <w:rFonts w:ascii="Times New Roman" w:hAnsi="Times New Roman" w:cs="Times New Roman"/>
          <w:color w:val="auto"/>
          <w:sz w:val="24"/>
          <w:szCs w:val="24"/>
        </w:rPr>
      </w:pPr>
      <w:bookmarkStart w:id="0" w:name="_Toc227403685"/>
      <w:r w:rsidRPr="0054572F">
        <w:rPr>
          <w:rFonts w:ascii="Times New Roman" w:hAnsi="Times New Roman" w:cs="Times New Roman"/>
          <w:color w:val="auto"/>
          <w:sz w:val="24"/>
          <w:szCs w:val="24"/>
        </w:rPr>
        <w:lastRenderedPageBreak/>
        <w:t>1.0 Introduction to the Chosen Organisation</w:t>
      </w:r>
      <w:bookmarkEnd w:id="0"/>
    </w:p>
    <w:p w14:paraId="148B2AF4" w14:textId="218C5520" w:rsidR="00EC290F" w:rsidRPr="0054572F" w:rsidRDefault="00082D71" w:rsidP="0054572F">
      <w:pPr>
        <w:spacing w:line="360" w:lineRule="auto"/>
        <w:jc w:val="both"/>
        <w:rPr>
          <w:rFonts w:ascii="Times New Roman" w:eastAsia="Arial" w:hAnsi="Times New Roman" w:cs="Times New Roman"/>
          <w:sz w:val="24"/>
          <w:szCs w:val="24"/>
        </w:rPr>
      </w:pPr>
      <w:r w:rsidRPr="00082D71">
        <w:rPr>
          <w:rFonts w:ascii="Times New Roman" w:eastAsia="Arial" w:hAnsi="Times New Roman" w:cs="Times New Roman"/>
          <w:sz w:val="24"/>
          <w:szCs w:val="24"/>
        </w:rPr>
        <w:t>Owen Mumford Limited is a British medical devices manufacturer that took its place as one of the leading companies in 1952; it has its headquarters in Woodstock, Oxfordshire, United Kingdom. Owen Mumford has more than 70 years of experience in healthcare technology innovation, being a designer, developer, and manufacturer of drug delivery systems, diagnostics, and patient-centred healthcare products. The organisation has about 1,000 employees worldwide and markets its products to healthcare providers and patients in over 70 countries all over the world (Owen Mumford, 2024</w:t>
      </w:r>
      <w:proofErr w:type="gramStart"/>
      <w:r w:rsidRPr="00082D71">
        <w:rPr>
          <w:rFonts w:ascii="Times New Roman" w:eastAsia="Arial" w:hAnsi="Times New Roman" w:cs="Times New Roman"/>
          <w:sz w:val="24"/>
          <w:szCs w:val="24"/>
        </w:rPr>
        <w:t>).The</w:t>
      </w:r>
      <w:proofErr w:type="gramEnd"/>
      <w:r w:rsidRPr="00082D71">
        <w:rPr>
          <w:rFonts w:ascii="Times New Roman" w:eastAsia="Arial" w:hAnsi="Times New Roman" w:cs="Times New Roman"/>
          <w:sz w:val="24"/>
          <w:szCs w:val="24"/>
        </w:rPr>
        <w:t xml:space="preserve"> company operates as one of the most diversified medical device manufacturers in the United Kingdom because it offers the most extensive range of products, which includes auto-injectors, pen needles, needle-free injection systems, blood-sampling lancets, and wearable drug delivery systems.</w:t>
      </w:r>
    </w:p>
    <w:p w14:paraId="39FB9122" w14:textId="77777777" w:rsidR="00EC290F" w:rsidRPr="0054572F" w:rsidRDefault="00EC290F" w:rsidP="0054572F">
      <w:pPr>
        <w:spacing w:line="360" w:lineRule="auto"/>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Owen Mumford has developed numerous relationships with the pharmaceutical companies of the world, national health services, and patient advocacy organisations, establishing it as an ally that is trustworthy and respected as an entity in the global medical device community. The organisation has recently made a promise to fast-track its digital health, as it has recognised the revolutionary nature of connected health technologies in enhancing patient outcomes and operational efficiency.</w:t>
      </w:r>
    </w:p>
    <w:p w14:paraId="02FB8B90" w14:textId="77777777" w:rsidR="00EC290F" w:rsidRPr="0054572F" w:rsidRDefault="00EC290F" w:rsidP="0054572F">
      <w:pPr>
        <w:spacing w:line="360" w:lineRule="auto"/>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This report is devoted to the introduction of the next-generation smart auto-injector with Bluetooth-enabled patient-monitoring functionality, called ConnectSense 1000, and a companion mobile app. ConnectSense™ can help patients with chronic conditions like Type 1 and Type 2 diabetes to track their doses in real-time, monitor adherence, and communicate with their healthcare professionals by providing support and monitoring. The clinical and commercial strengths of this product are strong, as there are about 4.9 million diabetes patients in the United Kingdom (Diabetes UK, 2023).</w:t>
      </w:r>
    </w:p>
    <w:p w14:paraId="647D32C9" w14:textId="0725CE5C" w:rsidR="005E0A02" w:rsidRPr="0054572F" w:rsidRDefault="00EC290F"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The project will roll out over six months in a number of chosen NHS Trusts in England, with subsequent international expansion into regulated markets, such as the European Union and North America. The Project Manager role includes, as an area of responsibility, the identification and engagement of key stakeholders, the compliance with MHRA regulations, cross-functional team coordination, and successful adoption. This report critically analyses the stakeholder environment, employs the applicable engagement frameworks and analytical instruments, and assesses the effects of stakeholder engagement on business performance, backed up by scholarly theory and industry data.</w:t>
      </w:r>
    </w:p>
    <w:p w14:paraId="3212433B" w14:textId="69604678" w:rsidR="005E0A02" w:rsidRPr="0054572F" w:rsidRDefault="00214C92" w:rsidP="0054572F">
      <w:pPr>
        <w:pStyle w:val="Heading1"/>
        <w:spacing w:line="360" w:lineRule="auto"/>
        <w:rPr>
          <w:rFonts w:ascii="Times New Roman" w:hAnsi="Times New Roman" w:cs="Times New Roman"/>
          <w:color w:val="auto"/>
          <w:sz w:val="24"/>
          <w:szCs w:val="24"/>
        </w:rPr>
      </w:pPr>
      <w:bookmarkStart w:id="1" w:name="_Toc227403686"/>
      <w:r w:rsidRPr="0054572F">
        <w:rPr>
          <w:rFonts w:ascii="Times New Roman" w:hAnsi="Times New Roman" w:cs="Times New Roman"/>
          <w:color w:val="auto"/>
          <w:sz w:val="24"/>
          <w:szCs w:val="24"/>
        </w:rPr>
        <w:lastRenderedPageBreak/>
        <w:t>2.0 SMART</w:t>
      </w:r>
      <w:r w:rsidR="005E0A02" w:rsidRPr="0054572F">
        <w:rPr>
          <w:rFonts w:ascii="Times New Roman" w:hAnsi="Times New Roman" w:cs="Times New Roman"/>
          <w:color w:val="auto"/>
          <w:sz w:val="24"/>
          <w:szCs w:val="24"/>
        </w:rPr>
        <w:t xml:space="preserve"> Objectives of the Project</w:t>
      </w:r>
      <w:bookmarkEnd w:id="1"/>
    </w:p>
    <w:p w14:paraId="01A9EBBB" w14:textId="7630FE95" w:rsidR="005E0A02" w:rsidRPr="0054572F" w:rsidRDefault="000965E0"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The SMART objectives listed below are to be used in the successful implementation of the ConnectSense™ project. Specific, Measurable, Achievable, Relevant, and Time-bound SMART objectives help to keep project goals well-defined and monitor progress (Doran, 1981; Kerzner, 2017).</w:t>
      </w:r>
    </w:p>
    <w:tbl>
      <w:tblPr>
        <w:tblW w:w="98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31"/>
        <w:gridCol w:w="1835"/>
        <w:gridCol w:w="1687"/>
        <w:gridCol w:w="1541"/>
        <w:gridCol w:w="1560"/>
        <w:gridCol w:w="1551"/>
      </w:tblGrid>
      <w:tr w:rsidR="003F0AC7" w:rsidRPr="0054572F" w14:paraId="14DDA846" w14:textId="77777777" w:rsidTr="00214C92">
        <w:tc>
          <w:tcPr>
            <w:tcW w:w="1636" w:type="dxa"/>
            <w:tcBorders>
              <w:top w:val="single" w:sz="4" w:space="0" w:color="9DC3E6"/>
              <w:left w:val="single" w:sz="4" w:space="0" w:color="9DC3E6"/>
              <w:bottom w:val="single" w:sz="4" w:space="0" w:color="9DC3E6"/>
              <w:right w:val="single" w:sz="4" w:space="0" w:color="9DC3E6"/>
            </w:tcBorders>
            <w:shd w:val="clear" w:color="auto" w:fill="222A35" w:themeFill="text2" w:themeFillShade="80"/>
            <w:tcMar>
              <w:top w:w="80" w:type="dxa"/>
              <w:left w:w="120" w:type="dxa"/>
              <w:bottom w:w="80" w:type="dxa"/>
              <w:right w:w="120" w:type="dxa"/>
            </w:tcMar>
            <w:vAlign w:val="center"/>
          </w:tcPr>
          <w:p w14:paraId="6EC5085F" w14:textId="77777777" w:rsidR="005E0A02" w:rsidRPr="0054572F" w:rsidRDefault="005E0A02" w:rsidP="0054572F">
            <w:pPr>
              <w:spacing w:line="360" w:lineRule="auto"/>
              <w:jc w:val="center"/>
              <w:rPr>
                <w:rFonts w:ascii="Times New Roman" w:hAnsi="Times New Roman" w:cs="Times New Roman"/>
                <w:b/>
                <w:bCs/>
                <w:color w:val="FFFFFF" w:themeColor="background1"/>
                <w:sz w:val="24"/>
                <w:szCs w:val="24"/>
              </w:rPr>
            </w:pPr>
            <w:r w:rsidRPr="0054572F">
              <w:rPr>
                <w:rFonts w:ascii="Times New Roman" w:eastAsia="Arial" w:hAnsi="Times New Roman" w:cs="Times New Roman"/>
                <w:b/>
                <w:bCs/>
                <w:color w:val="FFFFFF" w:themeColor="background1"/>
                <w:sz w:val="24"/>
                <w:szCs w:val="24"/>
              </w:rPr>
              <w:t>Objective</w:t>
            </w:r>
          </w:p>
        </w:tc>
        <w:tc>
          <w:tcPr>
            <w:tcW w:w="1835"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17DF217F" w14:textId="77777777" w:rsidR="005E0A02" w:rsidRPr="0054572F" w:rsidRDefault="005E0A02" w:rsidP="0054572F">
            <w:pPr>
              <w:spacing w:line="360" w:lineRule="auto"/>
              <w:jc w:val="center"/>
              <w:rPr>
                <w:rFonts w:ascii="Times New Roman" w:hAnsi="Times New Roman" w:cs="Times New Roman"/>
                <w:b/>
                <w:bCs/>
                <w:color w:val="FFFFFF" w:themeColor="background1"/>
                <w:sz w:val="24"/>
                <w:szCs w:val="24"/>
              </w:rPr>
            </w:pPr>
            <w:r w:rsidRPr="0054572F">
              <w:rPr>
                <w:rFonts w:ascii="Times New Roman" w:eastAsia="Arial" w:hAnsi="Times New Roman" w:cs="Times New Roman"/>
                <w:b/>
                <w:bCs/>
                <w:color w:val="FFFFFF" w:themeColor="background1"/>
                <w:sz w:val="24"/>
                <w:szCs w:val="24"/>
              </w:rPr>
              <w:t>Specific</w:t>
            </w:r>
          </w:p>
        </w:tc>
        <w:tc>
          <w:tcPr>
            <w:tcW w:w="1713" w:type="dxa"/>
            <w:tcBorders>
              <w:top w:val="single" w:sz="4" w:space="0" w:color="9DC3E6"/>
              <w:left w:val="single" w:sz="4" w:space="0" w:color="9DC3E6"/>
              <w:bottom w:val="single" w:sz="4" w:space="0" w:color="9DC3E6"/>
              <w:right w:val="single" w:sz="4" w:space="0" w:color="9DC3E6"/>
            </w:tcBorders>
            <w:shd w:val="clear" w:color="auto" w:fill="833C0B" w:themeFill="accent2" w:themeFillShade="80"/>
            <w:tcMar>
              <w:top w:w="80" w:type="dxa"/>
              <w:left w:w="120" w:type="dxa"/>
              <w:bottom w:w="80" w:type="dxa"/>
              <w:right w:w="120" w:type="dxa"/>
            </w:tcMar>
            <w:vAlign w:val="center"/>
          </w:tcPr>
          <w:p w14:paraId="6614C340" w14:textId="77777777" w:rsidR="005E0A02" w:rsidRPr="0054572F" w:rsidRDefault="005E0A02" w:rsidP="0054572F">
            <w:pPr>
              <w:spacing w:line="360" w:lineRule="auto"/>
              <w:jc w:val="center"/>
              <w:rPr>
                <w:rFonts w:ascii="Times New Roman" w:hAnsi="Times New Roman" w:cs="Times New Roman"/>
                <w:b/>
                <w:bCs/>
                <w:color w:val="FFFFFF" w:themeColor="background1"/>
                <w:sz w:val="24"/>
                <w:szCs w:val="24"/>
              </w:rPr>
            </w:pPr>
            <w:r w:rsidRPr="0054572F">
              <w:rPr>
                <w:rFonts w:ascii="Times New Roman" w:eastAsia="Arial" w:hAnsi="Times New Roman" w:cs="Times New Roman"/>
                <w:b/>
                <w:bCs/>
                <w:color w:val="FFFFFF" w:themeColor="background1"/>
                <w:sz w:val="24"/>
                <w:szCs w:val="24"/>
              </w:rPr>
              <w:t>Measurable</w:t>
            </w:r>
          </w:p>
        </w:tc>
        <w:tc>
          <w:tcPr>
            <w:tcW w:w="1561" w:type="dxa"/>
            <w:tcBorders>
              <w:top w:val="single" w:sz="4" w:space="0" w:color="9DC3E6"/>
              <w:left w:val="single" w:sz="4" w:space="0" w:color="9DC3E6"/>
              <w:bottom w:val="single" w:sz="4" w:space="0" w:color="9DC3E6"/>
              <w:right w:val="single" w:sz="4" w:space="0" w:color="9DC3E6"/>
            </w:tcBorders>
            <w:shd w:val="clear" w:color="auto" w:fill="F4B083" w:themeFill="accent2" w:themeFillTint="99"/>
            <w:tcMar>
              <w:top w:w="80" w:type="dxa"/>
              <w:left w:w="120" w:type="dxa"/>
              <w:bottom w:w="80" w:type="dxa"/>
              <w:right w:w="120" w:type="dxa"/>
            </w:tcMar>
            <w:vAlign w:val="center"/>
          </w:tcPr>
          <w:p w14:paraId="45935E58" w14:textId="77777777" w:rsidR="005E0A02" w:rsidRPr="0054572F" w:rsidRDefault="005E0A02" w:rsidP="0054572F">
            <w:pPr>
              <w:spacing w:line="360" w:lineRule="auto"/>
              <w:jc w:val="center"/>
              <w:rPr>
                <w:rFonts w:ascii="Times New Roman" w:hAnsi="Times New Roman" w:cs="Times New Roman"/>
                <w:b/>
                <w:bCs/>
                <w:color w:val="FFFFFF" w:themeColor="background1"/>
                <w:sz w:val="24"/>
                <w:szCs w:val="24"/>
              </w:rPr>
            </w:pPr>
            <w:r w:rsidRPr="0054572F">
              <w:rPr>
                <w:rFonts w:ascii="Times New Roman" w:eastAsia="Arial" w:hAnsi="Times New Roman" w:cs="Times New Roman"/>
                <w:b/>
                <w:bCs/>
                <w:color w:val="FFFFFF" w:themeColor="background1"/>
                <w:sz w:val="24"/>
                <w:szCs w:val="24"/>
              </w:rPr>
              <w:t>Achievable</w:t>
            </w:r>
          </w:p>
        </w:tc>
        <w:tc>
          <w:tcPr>
            <w:tcW w:w="1415" w:type="dxa"/>
            <w:tcBorders>
              <w:top w:val="single" w:sz="4" w:space="0" w:color="9DC3E6"/>
              <w:left w:val="single" w:sz="4" w:space="0" w:color="9DC3E6"/>
              <w:bottom w:val="single" w:sz="4" w:space="0" w:color="9DC3E6"/>
              <w:right w:val="single" w:sz="4" w:space="0" w:color="9DC3E6"/>
            </w:tcBorders>
            <w:shd w:val="clear" w:color="auto" w:fill="FFC000"/>
            <w:tcMar>
              <w:top w:w="80" w:type="dxa"/>
              <w:left w:w="120" w:type="dxa"/>
              <w:bottom w:w="80" w:type="dxa"/>
              <w:right w:w="120" w:type="dxa"/>
            </w:tcMar>
            <w:vAlign w:val="center"/>
          </w:tcPr>
          <w:p w14:paraId="4197259E" w14:textId="77777777" w:rsidR="005E0A02" w:rsidRPr="0054572F" w:rsidRDefault="005E0A02" w:rsidP="0054572F">
            <w:pPr>
              <w:spacing w:line="360" w:lineRule="auto"/>
              <w:jc w:val="center"/>
              <w:rPr>
                <w:rFonts w:ascii="Times New Roman" w:hAnsi="Times New Roman" w:cs="Times New Roman"/>
                <w:b/>
                <w:bCs/>
                <w:color w:val="FFFFFF" w:themeColor="background1"/>
                <w:sz w:val="24"/>
                <w:szCs w:val="24"/>
              </w:rPr>
            </w:pPr>
            <w:r w:rsidRPr="0054572F">
              <w:rPr>
                <w:rFonts w:ascii="Times New Roman" w:eastAsia="Arial" w:hAnsi="Times New Roman" w:cs="Times New Roman"/>
                <w:b/>
                <w:bCs/>
                <w:color w:val="FFFFFF" w:themeColor="background1"/>
                <w:sz w:val="24"/>
                <w:szCs w:val="24"/>
              </w:rPr>
              <w:t>Relevant</w:t>
            </w:r>
          </w:p>
        </w:tc>
        <w:tc>
          <w:tcPr>
            <w:tcW w:w="1645" w:type="dxa"/>
            <w:tcBorders>
              <w:top w:val="single" w:sz="4" w:space="0" w:color="9DC3E6"/>
              <w:left w:val="single" w:sz="4" w:space="0" w:color="9DC3E6"/>
              <w:bottom w:val="single" w:sz="4" w:space="0" w:color="9DC3E6"/>
              <w:right w:val="single" w:sz="4" w:space="0" w:color="9DC3E6"/>
            </w:tcBorders>
            <w:shd w:val="clear" w:color="auto" w:fill="EE0000"/>
            <w:tcMar>
              <w:top w:w="80" w:type="dxa"/>
              <w:left w:w="120" w:type="dxa"/>
              <w:bottom w:w="80" w:type="dxa"/>
              <w:right w:w="120" w:type="dxa"/>
            </w:tcMar>
            <w:vAlign w:val="center"/>
          </w:tcPr>
          <w:p w14:paraId="5E8AFB75" w14:textId="77777777" w:rsidR="005E0A02" w:rsidRPr="0054572F" w:rsidRDefault="005E0A02" w:rsidP="0054572F">
            <w:pPr>
              <w:spacing w:line="360" w:lineRule="auto"/>
              <w:jc w:val="center"/>
              <w:rPr>
                <w:rFonts w:ascii="Times New Roman" w:hAnsi="Times New Roman" w:cs="Times New Roman"/>
                <w:b/>
                <w:bCs/>
                <w:color w:val="FFFFFF" w:themeColor="background1"/>
                <w:sz w:val="24"/>
                <w:szCs w:val="24"/>
              </w:rPr>
            </w:pPr>
            <w:r w:rsidRPr="0054572F">
              <w:rPr>
                <w:rFonts w:ascii="Times New Roman" w:eastAsia="Arial" w:hAnsi="Times New Roman" w:cs="Times New Roman"/>
                <w:b/>
                <w:bCs/>
                <w:color w:val="FFFFFF" w:themeColor="background1"/>
                <w:sz w:val="24"/>
                <w:szCs w:val="24"/>
              </w:rPr>
              <w:t>Time-Bound</w:t>
            </w:r>
          </w:p>
        </w:tc>
      </w:tr>
      <w:tr w:rsidR="003F0AC7" w:rsidRPr="0054572F" w14:paraId="6CB3F418" w14:textId="77777777" w:rsidTr="00214C92">
        <w:tc>
          <w:tcPr>
            <w:tcW w:w="163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68D471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Regulatory Approval</w:t>
            </w:r>
          </w:p>
        </w:tc>
        <w:tc>
          <w:tcPr>
            <w:tcW w:w="183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4EC3583"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Obtain MHRA Class IIb device certification for ConnectSense™</w:t>
            </w:r>
          </w:p>
        </w:tc>
        <w:tc>
          <w:tcPr>
            <w:tcW w:w="171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4CDB05E"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100% regulatory compliance at submission</w:t>
            </w:r>
          </w:p>
        </w:tc>
        <w:tc>
          <w:tcPr>
            <w:tcW w:w="1561"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1F3CE7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Feasible with dedicated Regulatory Affairs team</w:t>
            </w:r>
          </w:p>
        </w:tc>
        <w:tc>
          <w:tcPr>
            <w:tcW w:w="141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1441CD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Essential for UK market entry</w:t>
            </w:r>
          </w:p>
        </w:tc>
        <w:tc>
          <w:tcPr>
            <w:tcW w:w="164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D13691A"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Within 3 months</w:t>
            </w:r>
          </w:p>
        </w:tc>
      </w:tr>
      <w:tr w:rsidR="003F0AC7" w:rsidRPr="0054572F" w14:paraId="3A1FB863" w14:textId="77777777" w:rsidTr="00214C92">
        <w:tc>
          <w:tcPr>
            <w:tcW w:w="163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EA81B0E"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Stakeholder Engagement</w:t>
            </w:r>
          </w:p>
        </w:tc>
        <w:tc>
          <w:tcPr>
            <w:tcW w:w="183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222B5F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Engage all 8 key stakeholder groups in structured activities</w:t>
            </w:r>
          </w:p>
        </w:tc>
        <w:tc>
          <w:tcPr>
            <w:tcW w:w="171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8AA8777"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Min. 85% satisfaction in stakeholder surveys</w:t>
            </w:r>
          </w:p>
        </w:tc>
        <w:tc>
          <w:tcPr>
            <w:tcW w:w="1561"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11B9A73"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Achievable through structured engagement plan</w:t>
            </w:r>
          </w:p>
        </w:tc>
        <w:tc>
          <w:tcPr>
            <w:tcW w:w="141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B010CCA"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Critical for project alignment</w:t>
            </w:r>
          </w:p>
        </w:tc>
        <w:tc>
          <w:tcPr>
            <w:tcW w:w="164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2546126"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By end of Month 4</w:t>
            </w:r>
          </w:p>
        </w:tc>
      </w:tr>
      <w:tr w:rsidR="003F0AC7" w:rsidRPr="0054572F" w14:paraId="0CACF9A2" w14:textId="77777777" w:rsidTr="00214C92">
        <w:tc>
          <w:tcPr>
            <w:tcW w:w="163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DF16FAD"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Clinical Pilot</w:t>
            </w:r>
          </w:p>
        </w:tc>
        <w:tc>
          <w:tcPr>
            <w:tcW w:w="183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2562526"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Complete pilot testing in 3 NHS Trusts across England</w:t>
            </w:r>
          </w:p>
        </w:tc>
        <w:tc>
          <w:tcPr>
            <w:tcW w:w="171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DDC12D3"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≥80% improvement in patient medication adherence</w:t>
            </w:r>
          </w:p>
        </w:tc>
        <w:tc>
          <w:tcPr>
            <w:tcW w:w="1561"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ECAF156"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Feasible with existing NHS partnerships</w:t>
            </w:r>
          </w:p>
        </w:tc>
        <w:tc>
          <w:tcPr>
            <w:tcW w:w="141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A992B0F"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Demonstrates clinical effectiveness</w:t>
            </w:r>
          </w:p>
        </w:tc>
        <w:tc>
          <w:tcPr>
            <w:tcW w:w="164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115CED8"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Within Month 5</w:t>
            </w:r>
          </w:p>
        </w:tc>
      </w:tr>
      <w:tr w:rsidR="003F0AC7" w:rsidRPr="0054572F" w14:paraId="2D264C1C" w14:textId="77777777" w:rsidTr="00214C92">
        <w:tc>
          <w:tcPr>
            <w:tcW w:w="163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2F1621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Market Launch</w:t>
            </w:r>
          </w:p>
        </w:tc>
        <w:tc>
          <w:tcPr>
            <w:tcW w:w="183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14BF21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Successfully launch ConnectSense™ in UK market</w:t>
            </w:r>
          </w:p>
        </w:tc>
        <w:tc>
          <w:tcPr>
            <w:tcW w:w="171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992C32E"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Onboard minimum 500 patients in first post-launch quarter</w:t>
            </w:r>
          </w:p>
        </w:tc>
        <w:tc>
          <w:tcPr>
            <w:tcW w:w="1561"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E56945A"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Achievable given existing distribution network</w:t>
            </w:r>
          </w:p>
        </w:tc>
        <w:tc>
          <w:tcPr>
            <w:tcW w:w="141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A8615F6"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Drives revenue growth and brand recognition</w:t>
            </w:r>
          </w:p>
        </w:tc>
        <w:tc>
          <w:tcPr>
            <w:tcW w:w="164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5057355"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Month 6</w:t>
            </w:r>
          </w:p>
        </w:tc>
      </w:tr>
      <w:tr w:rsidR="003F0AC7" w:rsidRPr="0054572F" w14:paraId="519DE892" w14:textId="77777777" w:rsidTr="00214C92">
        <w:tc>
          <w:tcPr>
            <w:tcW w:w="163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142ABE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International Readiness</w:t>
            </w:r>
          </w:p>
        </w:tc>
        <w:tc>
          <w:tcPr>
            <w:tcW w:w="183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5C9C60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 xml:space="preserve">Prepare regulatory submissions for </w:t>
            </w:r>
            <w:r w:rsidRPr="0054572F">
              <w:rPr>
                <w:rFonts w:ascii="Times New Roman" w:eastAsia="Arial" w:hAnsi="Times New Roman" w:cs="Times New Roman"/>
                <w:sz w:val="24"/>
                <w:szCs w:val="24"/>
              </w:rPr>
              <w:lastRenderedPageBreak/>
              <w:t>EU MDR and FDA 510(k)</w:t>
            </w:r>
          </w:p>
        </w:tc>
        <w:tc>
          <w:tcPr>
            <w:tcW w:w="171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8BF308C"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lastRenderedPageBreak/>
              <w:t xml:space="preserve">Submissions filed in 2 </w:t>
            </w:r>
            <w:r w:rsidRPr="0054572F">
              <w:rPr>
                <w:rFonts w:ascii="Times New Roman" w:eastAsia="Arial" w:hAnsi="Times New Roman" w:cs="Times New Roman"/>
                <w:sz w:val="24"/>
                <w:szCs w:val="24"/>
              </w:rPr>
              <w:lastRenderedPageBreak/>
              <w:t>international markets</w:t>
            </w:r>
          </w:p>
        </w:tc>
        <w:tc>
          <w:tcPr>
            <w:tcW w:w="1561"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9B6263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lastRenderedPageBreak/>
              <w:t xml:space="preserve">Feasible with external </w:t>
            </w:r>
            <w:r w:rsidRPr="0054572F">
              <w:rPr>
                <w:rFonts w:ascii="Times New Roman" w:eastAsia="Arial" w:hAnsi="Times New Roman" w:cs="Times New Roman"/>
                <w:sz w:val="24"/>
                <w:szCs w:val="24"/>
              </w:rPr>
              <w:lastRenderedPageBreak/>
              <w:t>regulatory consultants</w:t>
            </w:r>
          </w:p>
        </w:tc>
        <w:tc>
          <w:tcPr>
            <w:tcW w:w="141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BE46D56"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lastRenderedPageBreak/>
              <w:t xml:space="preserve">Supports global </w:t>
            </w:r>
            <w:r w:rsidRPr="0054572F">
              <w:rPr>
                <w:rFonts w:ascii="Times New Roman" w:eastAsia="Arial" w:hAnsi="Times New Roman" w:cs="Times New Roman"/>
                <w:sz w:val="24"/>
                <w:szCs w:val="24"/>
              </w:rPr>
              <w:lastRenderedPageBreak/>
              <w:t>expansion strategy</w:t>
            </w:r>
          </w:p>
        </w:tc>
        <w:tc>
          <w:tcPr>
            <w:tcW w:w="164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5434AEB"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lastRenderedPageBreak/>
              <w:t>Within 6 months</w:t>
            </w:r>
          </w:p>
        </w:tc>
      </w:tr>
    </w:tbl>
    <w:p w14:paraId="31F002A8" w14:textId="77777777"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t>Table 1: SMART Objectives for the ConnectSense™ Project (adapted from Doran, 1981)</w:t>
      </w:r>
    </w:p>
    <w:p w14:paraId="5FA2A3CC" w14:textId="45ECF987" w:rsidR="005E0A02" w:rsidRPr="0054572F" w:rsidRDefault="00214C92" w:rsidP="0054572F">
      <w:pPr>
        <w:pStyle w:val="Heading1"/>
        <w:spacing w:line="360" w:lineRule="auto"/>
        <w:rPr>
          <w:rFonts w:ascii="Times New Roman" w:hAnsi="Times New Roman" w:cs="Times New Roman"/>
          <w:color w:val="auto"/>
          <w:sz w:val="24"/>
          <w:szCs w:val="24"/>
        </w:rPr>
      </w:pPr>
      <w:bookmarkStart w:id="2" w:name="_Toc227403687"/>
      <w:r w:rsidRPr="0054572F">
        <w:rPr>
          <w:rFonts w:ascii="Times New Roman" w:hAnsi="Times New Roman" w:cs="Times New Roman"/>
          <w:color w:val="auto"/>
          <w:sz w:val="24"/>
          <w:szCs w:val="24"/>
        </w:rPr>
        <w:t>3.0 Identifying</w:t>
      </w:r>
      <w:r w:rsidR="005E0A02" w:rsidRPr="0054572F">
        <w:rPr>
          <w:rFonts w:ascii="Times New Roman" w:hAnsi="Times New Roman" w:cs="Times New Roman"/>
          <w:color w:val="auto"/>
          <w:sz w:val="24"/>
          <w:szCs w:val="24"/>
        </w:rPr>
        <w:t xml:space="preserve"> Key Stakeholders</w:t>
      </w:r>
      <w:bookmarkEnd w:id="2"/>
    </w:p>
    <w:p w14:paraId="7D72AEDC" w14:textId="038AB832" w:rsidR="005E0A02" w:rsidRPr="0054572F" w:rsidRDefault="00214C92" w:rsidP="0054572F">
      <w:pPr>
        <w:pStyle w:val="Heading2"/>
        <w:spacing w:line="360" w:lineRule="auto"/>
        <w:rPr>
          <w:rFonts w:ascii="Times New Roman" w:hAnsi="Times New Roman" w:cs="Times New Roman"/>
          <w:color w:val="auto"/>
        </w:rPr>
      </w:pPr>
      <w:bookmarkStart w:id="3" w:name="_Toc227403688"/>
      <w:r w:rsidRPr="0054572F">
        <w:rPr>
          <w:rFonts w:ascii="Times New Roman" w:hAnsi="Times New Roman" w:cs="Times New Roman"/>
          <w:color w:val="auto"/>
        </w:rPr>
        <w:t>3.1 Identification</w:t>
      </w:r>
      <w:r w:rsidR="005E0A02" w:rsidRPr="0054572F">
        <w:rPr>
          <w:rFonts w:ascii="Times New Roman" w:hAnsi="Times New Roman" w:cs="Times New Roman"/>
          <w:color w:val="auto"/>
        </w:rPr>
        <w:t xml:space="preserve"> of Stakeholders</w:t>
      </w:r>
      <w:bookmarkEnd w:id="3"/>
    </w:p>
    <w:p w14:paraId="33AB2163" w14:textId="1E45EFDB" w:rsidR="005E0A02" w:rsidRPr="0054572F" w:rsidRDefault="00000C56" w:rsidP="0054572F">
      <w:pPr>
        <w:spacing w:line="360" w:lineRule="auto"/>
        <w:jc w:val="both"/>
        <w:rPr>
          <w:rFonts w:ascii="Times New Roman" w:hAnsi="Times New Roman" w:cs="Times New Roman"/>
          <w:sz w:val="24"/>
          <w:szCs w:val="24"/>
        </w:rPr>
      </w:pPr>
      <w:r w:rsidRPr="00000C56">
        <w:rPr>
          <w:rFonts w:ascii="Times New Roman" w:eastAsia="Arial" w:hAnsi="Times New Roman" w:cs="Times New Roman"/>
          <w:sz w:val="24"/>
          <w:szCs w:val="24"/>
        </w:rPr>
        <w:t>A stakeholder according to Freeman (1984, p. 46) exists as every group or individual who possesses the ability to impact organizational objectives or who experiences effects from organizational success. The ConnectSense ™ project identifies stakeholders from both internal and external groups because each stakeholder possesses distinct interests and levels of power which determine their connection to project success (Mitchell, Agle, and Wood, 1997). The table below shows the stakeholders identified as key, which are aligned with the internal and external categorisation framework shown in Week 3 Slides 36 and 37 of the modules: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083"/>
        <w:gridCol w:w="1187"/>
        <w:gridCol w:w="3282"/>
        <w:gridCol w:w="2474"/>
      </w:tblGrid>
      <w:tr w:rsidR="003F0AC7" w:rsidRPr="0054572F" w14:paraId="552D91E7"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472CA95B"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Stakeholder</w:t>
            </w:r>
          </w:p>
        </w:tc>
        <w:tc>
          <w:tcPr>
            <w:tcW w:w="11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1769F276"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Category</w:t>
            </w:r>
          </w:p>
        </w:tc>
        <w:tc>
          <w:tcPr>
            <w:tcW w:w="3326"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568749A5"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Role in ConnectSense™ Project</w:t>
            </w:r>
          </w:p>
        </w:tc>
        <w:tc>
          <w:tcPr>
            <w:tcW w:w="25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1F21224C"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Responsibility</w:t>
            </w:r>
          </w:p>
        </w:tc>
      </w:tr>
      <w:tr w:rsidR="003F0AC7" w:rsidRPr="0054572F" w14:paraId="69644764"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0433205"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Senior Leadership / Board</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CE2C14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Internal</w:t>
            </w:r>
          </w:p>
        </w:tc>
        <w:tc>
          <w:tcPr>
            <w:tcW w:w="33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21CD9D7"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Provide strategic direction, executive sponsorship, and resource authorisation</w:t>
            </w:r>
          </w:p>
        </w:tc>
        <w:tc>
          <w:tcPr>
            <w:tcW w:w="2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7DDF748"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Evaluate performance and approve major project decisions</w:t>
            </w:r>
          </w:p>
        </w:tc>
      </w:tr>
      <w:tr w:rsidR="003F0AC7" w:rsidRPr="0054572F" w14:paraId="5F88D78D"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713B70C"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Product Development Team</w:t>
            </w:r>
          </w:p>
        </w:tc>
        <w:tc>
          <w:tcPr>
            <w:tcW w:w="1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A621A87"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Internal</w:t>
            </w:r>
          </w:p>
        </w:tc>
        <w:tc>
          <w:tcPr>
            <w:tcW w:w="33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0A09EB7"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Design, develop, and test the ConnectSense™ device and companion app</w:t>
            </w:r>
          </w:p>
        </w:tc>
        <w:tc>
          <w:tcPr>
            <w:tcW w:w="25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CF574A6"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Ensure product meets technical specifications and quality standards</w:t>
            </w:r>
          </w:p>
        </w:tc>
      </w:tr>
      <w:tr w:rsidR="003F0AC7" w:rsidRPr="0054572F" w14:paraId="0901A47B"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FC219FF"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Clinical Affairs Team</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46C1EA8"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Internal</w:t>
            </w:r>
          </w:p>
        </w:tc>
        <w:tc>
          <w:tcPr>
            <w:tcW w:w="33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2E0F6C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Oversee clinical trials, safety evidence, and evidence-based design</w:t>
            </w:r>
          </w:p>
        </w:tc>
        <w:tc>
          <w:tcPr>
            <w:tcW w:w="2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B6767B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Maintain clinical safety standards and generate clinical evidence</w:t>
            </w:r>
          </w:p>
        </w:tc>
      </w:tr>
      <w:tr w:rsidR="003F0AC7" w:rsidRPr="0054572F" w14:paraId="4D8C999C"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1F0FB87C"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lastRenderedPageBreak/>
              <w:t>Regulatory Affairs Team</w:t>
            </w:r>
          </w:p>
        </w:tc>
        <w:tc>
          <w:tcPr>
            <w:tcW w:w="1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925308F"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Internal</w:t>
            </w:r>
          </w:p>
        </w:tc>
        <w:tc>
          <w:tcPr>
            <w:tcW w:w="33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2C4AAAD"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Manage MHRA submission processes and certification</w:t>
            </w:r>
          </w:p>
        </w:tc>
        <w:tc>
          <w:tcPr>
            <w:tcW w:w="25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DD488B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Maintain data integrity and ensure regulatory compliance throughout</w:t>
            </w:r>
          </w:p>
        </w:tc>
      </w:tr>
      <w:tr w:rsidR="003F0AC7" w:rsidRPr="0054572F" w14:paraId="18136196"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5EDCF1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IT / Digital Health Team</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F2D670A"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Internal</w:t>
            </w:r>
          </w:p>
        </w:tc>
        <w:tc>
          <w:tcPr>
            <w:tcW w:w="33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BD6B66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Manage technical integration of wearable data with hospital systems</w:t>
            </w:r>
          </w:p>
        </w:tc>
        <w:tc>
          <w:tcPr>
            <w:tcW w:w="2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71FBFF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Maintain data integrity, storage, and accessibility (Week 3, Slide 36)</w:t>
            </w:r>
          </w:p>
        </w:tc>
      </w:tr>
      <w:tr w:rsidR="003F0AC7" w:rsidRPr="0054572F" w14:paraId="5E9A01F8"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A9373A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Marketing and Sales</w:t>
            </w:r>
          </w:p>
        </w:tc>
        <w:tc>
          <w:tcPr>
            <w:tcW w:w="1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5C8EEC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Internal</w:t>
            </w:r>
          </w:p>
        </w:tc>
        <w:tc>
          <w:tcPr>
            <w:tcW w:w="33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87C9CE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Position product in market; manage pricing and go-to-market strategy</w:t>
            </w:r>
          </w:p>
        </w:tc>
        <w:tc>
          <w:tcPr>
            <w:tcW w:w="25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F9C69F6"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Manage budgets and evaluate market performance outcomes</w:t>
            </w:r>
          </w:p>
        </w:tc>
      </w:tr>
      <w:tr w:rsidR="003F0AC7" w:rsidRPr="0054572F" w14:paraId="207E4E4A"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54A6DD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Patients / End Users</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363EC41"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External</w:t>
            </w:r>
          </w:p>
        </w:tc>
        <w:tc>
          <w:tcPr>
            <w:tcW w:w="33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B6B40B8"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Primary users of the ConnectSense™ device (Week 3, Slide 37)</w:t>
            </w:r>
          </w:p>
        </w:tc>
        <w:tc>
          <w:tcPr>
            <w:tcW w:w="2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C9EBB2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Review own health data and comply with monitoring instructions</w:t>
            </w:r>
          </w:p>
        </w:tc>
      </w:tr>
      <w:tr w:rsidR="003F0AC7" w:rsidRPr="0054572F" w14:paraId="2FD3AA63"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88E2A4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Healthcare Professionals (Physicians / Nurses)</w:t>
            </w:r>
          </w:p>
        </w:tc>
        <w:tc>
          <w:tcPr>
            <w:tcW w:w="1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0F7AA05"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External</w:t>
            </w:r>
          </w:p>
        </w:tc>
        <w:tc>
          <w:tcPr>
            <w:tcW w:w="33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8427AAC"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Interpret device data to support diagnosis and treatment recommendations</w:t>
            </w:r>
          </w:p>
        </w:tc>
        <w:tc>
          <w:tcPr>
            <w:tcW w:w="25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969183C"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Communicate clinical insights to patients ethically and clearly</w:t>
            </w:r>
          </w:p>
        </w:tc>
      </w:tr>
      <w:tr w:rsidR="003F0AC7" w:rsidRPr="0054572F" w14:paraId="7C18F081"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63C63B7"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NHS Trusts / Hospital Trusts</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5CA55D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External</w:t>
            </w:r>
          </w:p>
        </w:tc>
        <w:tc>
          <w:tcPr>
            <w:tcW w:w="33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E4B3A2C"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Provide the infrastructure and patient base for the clinical pilot programme</w:t>
            </w:r>
          </w:p>
        </w:tc>
        <w:tc>
          <w:tcPr>
            <w:tcW w:w="2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7037E8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Facilitate patient access and evaluate clinical and operational outcomes</w:t>
            </w:r>
          </w:p>
        </w:tc>
      </w:tr>
      <w:tr w:rsidR="003F0AC7" w:rsidRPr="0054572F" w14:paraId="4ABCAD4A"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3CF764E"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MHRA (Regulatory Authority)</w:t>
            </w:r>
          </w:p>
        </w:tc>
        <w:tc>
          <w:tcPr>
            <w:tcW w:w="1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8FA687A"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External</w:t>
            </w:r>
          </w:p>
        </w:tc>
        <w:tc>
          <w:tcPr>
            <w:tcW w:w="33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986D781"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Approve, certify, and monitor medical devices and data practices (Week 3, Slide 37)</w:t>
            </w:r>
          </w:p>
        </w:tc>
        <w:tc>
          <w:tcPr>
            <w:tcW w:w="25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50638C5"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Oversee post-market surveillance and compliance obligations</w:t>
            </w:r>
          </w:p>
        </w:tc>
      </w:tr>
      <w:tr w:rsidR="003F0AC7" w:rsidRPr="0054572F" w14:paraId="0784D7EC" w14:textId="77777777" w:rsidTr="00C51021">
        <w:tc>
          <w:tcPr>
            <w:tcW w:w="2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350D3EA"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lastRenderedPageBreak/>
              <w:t>Investors / Funding Partners</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EDE7E4B"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External</w:t>
            </w:r>
          </w:p>
        </w:tc>
        <w:tc>
          <w:tcPr>
            <w:tcW w:w="33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89FC543"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Provide financial backing for product development and healthcare integration</w:t>
            </w:r>
          </w:p>
        </w:tc>
        <w:tc>
          <w:tcPr>
            <w:tcW w:w="2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45F4FC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Monitor outcomes, return on investment (ROI), and scalability</w:t>
            </w:r>
          </w:p>
        </w:tc>
      </w:tr>
    </w:tbl>
    <w:p w14:paraId="0E5C1CA1" w14:textId="40A9F038"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t xml:space="preserve">Table 2: Key Internal and External Stakeholders </w:t>
      </w:r>
      <w:r w:rsidR="0019798C">
        <w:rPr>
          <w:rFonts w:ascii="Times New Roman" w:eastAsia="Arial" w:hAnsi="Times New Roman" w:cs="Times New Roman"/>
          <w:sz w:val="24"/>
          <w:szCs w:val="24"/>
        </w:rPr>
        <w:t>-</w:t>
      </w:r>
      <w:r w:rsidRPr="0054572F">
        <w:rPr>
          <w:rFonts w:ascii="Times New Roman" w:eastAsia="Arial" w:hAnsi="Times New Roman" w:cs="Times New Roman"/>
          <w:sz w:val="24"/>
          <w:szCs w:val="24"/>
        </w:rPr>
        <w:t xml:space="preserve"> ConnectSense™ Project (adapted from Week 3, Slides 36</w:t>
      </w:r>
      <w:r w:rsidR="0019798C">
        <w:rPr>
          <w:rFonts w:ascii="Times New Roman" w:eastAsia="Arial" w:hAnsi="Times New Roman" w:cs="Times New Roman"/>
          <w:sz w:val="24"/>
          <w:szCs w:val="24"/>
        </w:rPr>
        <w:t>-</w:t>
      </w:r>
      <w:r w:rsidRPr="0054572F">
        <w:rPr>
          <w:rFonts w:ascii="Times New Roman" w:eastAsia="Arial" w:hAnsi="Times New Roman" w:cs="Times New Roman"/>
          <w:sz w:val="24"/>
          <w:szCs w:val="24"/>
        </w:rPr>
        <w:t>37; Freeman, 1984)</w:t>
      </w:r>
    </w:p>
    <w:p w14:paraId="7EC3002F" w14:textId="1B1AA54B" w:rsidR="005E0A02" w:rsidRPr="0054572F" w:rsidRDefault="00214C92" w:rsidP="0054572F">
      <w:pPr>
        <w:pStyle w:val="Heading2"/>
        <w:spacing w:line="360" w:lineRule="auto"/>
        <w:rPr>
          <w:rFonts w:ascii="Times New Roman" w:hAnsi="Times New Roman" w:cs="Times New Roman"/>
          <w:color w:val="auto"/>
        </w:rPr>
      </w:pPr>
      <w:bookmarkStart w:id="4" w:name="_Toc227403689"/>
      <w:r w:rsidRPr="0054572F">
        <w:rPr>
          <w:rFonts w:ascii="Times New Roman" w:hAnsi="Times New Roman" w:cs="Times New Roman"/>
          <w:color w:val="auto"/>
        </w:rPr>
        <w:t>3.2 Benefits</w:t>
      </w:r>
      <w:r w:rsidR="005E0A02" w:rsidRPr="0054572F">
        <w:rPr>
          <w:rFonts w:ascii="Times New Roman" w:hAnsi="Times New Roman" w:cs="Times New Roman"/>
          <w:color w:val="auto"/>
        </w:rPr>
        <w:t xml:space="preserve"> and Challenges of Key Stakeholders</w:t>
      </w:r>
      <w:bookmarkEnd w:id="4"/>
    </w:p>
    <w:p w14:paraId="19EB1804" w14:textId="63D20A7C" w:rsidR="005E0A02" w:rsidRPr="0054572F" w:rsidRDefault="00CB7EBF"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The involvement of the stakeholders in medical device projects creates both considerable opportunities and considerable challenges. The quality and depth of the stakeholder relationships are what define the long-term sustainability of any new service or product launch, as Ashcroft (2017) makes it sound, the relational lens framework. Eskerod and Jepsen (2013) characterise the paradox concerning stakeholder engagement: they state that broad stakeholder engagement is a key to project success; however, the variety of interests leads to tensions that need to be managed with special attention to the strategic plan. The following table summarises the main advantages and issues of the stakeholder groups:</w:t>
      </w:r>
    </w:p>
    <w:p w14:paraId="38426F70" w14:textId="4FD18360" w:rsidR="0019798C" w:rsidRDefault="0019798C" w:rsidP="0054572F">
      <w:pPr>
        <w:spacing w:after="200" w:line="360" w:lineRule="auto"/>
        <w:jc w:val="center"/>
        <w:rPr>
          <w:rFonts w:ascii="Times New Roman" w:eastAsia="Arial" w:hAnsi="Times New Roman" w:cs="Times New Roman"/>
          <w:sz w:val="24"/>
          <w:szCs w:val="24"/>
        </w:rPr>
      </w:pPr>
      <w:r w:rsidRPr="0019798C">
        <w:rPr>
          <w:noProof/>
        </w:rPr>
        <w:lastRenderedPageBreak/>
        <w:drawing>
          <wp:inline distT="0" distB="0" distL="0" distR="0" wp14:anchorId="217B1158" wp14:editId="58D4AF9E">
            <wp:extent cx="5684843" cy="6667500"/>
            <wp:effectExtent l="0" t="0" r="0" b="0"/>
            <wp:docPr id="32641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90061" cy="6673620"/>
                    </a:xfrm>
                    <a:prstGeom prst="rect">
                      <a:avLst/>
                    </a:prstGeom>
                    <a:noFill/>
                    <a:ln>
                      <a:noFill/>
                    </a:ln>
                  </pic:spPr>
                </pic:pic>
              </a:graphicData>
            </a:graphic>
          </wp:inline>
        </w:drawing>
      </w:r>
    </w:p>
    <w:p w14:paraId="23619A87" w14:textId="79D33FC5"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t>Table 3: Benefits and Challenges of Stakeholder Engagement (adapted from Ashcroft, 2017; Eskerod and Jepsen, 2013)</w:t>
      </w:r>
    </w:p>
    <w:p w14:paraId="7271FD5D" w14:textId="0B9B64A7" w:rsidR="005E0A02" w:rsidRPr="0054572F" w:rsidRDefault="00DB1056" w:rsidP="0054572F">
      <w:pPr>
        <w:pStyle w:val="Heading2"/>
        <w:spacing w:line="360" w:lineRule="auto"/>
        <w:rPr>
          <w:rFonts w:ascii="Times New Roman" w:hAnsi="Times New Roman" w:cs="Times New Roman"/>
          <w:color w:val="auto"/>
        </w:rPr>
      </w:pPr>
      <w:bookmarkStart w:id="5" w:name="_Toc227403690"/>
      <w:r w:rsidRPr="0054572F">
        <w:rPr>
          <w:rFonts w:ascii="Times New Roman" w:hAnsi="Times New Roman" w:cs="Times New Roman"/>
          <w:color w:val="auto"/>
        </w:rPr>
        <w:t>3.3 Stakeholder</w:t>
      </w:r>
      <w:r w:rsidR="005E0A02" w:rsidRPr="0054572F">
        <w:rPr>
          <w:rFonts w:ascii="Times New Roman" w:hAnsi="Times New Roman" w:cs="Times New Roman"/>
          <w:color w:val="auto"/>
        </w:rPr>
        <w:t xml:space="preserve"> Analysis Tools</w:t>
      </w:r>
      <w:bookmarkEnd w:id="5"/>
    </w:p>
    <w:p w14:paraId="1A11CE33" w14:textId="04CAE103" w:rsidR="005E0A02" w:rsidRPr="0054572F" w:rsidRDefault="00DB1056" w:rsidP="0054572F">
      <w:pPr>
        <w:spacing w:after="120" w:line="360" w:lineRule="auto"/>
        <w:jc w:val="both"/>
        <w:rPr>
          <w:rFonts w:ascii="Times New Roman" w:hAnsi="Times New Roman" w:cs="Times New Roman"/>
          <w:sz w:val="24"/>
          <w:szCs w:val="24"/>
        </w:rPr>
      </w:pPr>
      <w:r w:rsidRPr="0054572F">
        <w:rPr>
          <w:rFonts w:ascii="Times New Roman" w:eastAsia="Arial" w:hAnsi="Times New Roman" w:cs="Times New Roman"/>
          <w:b/>
          <w:bCs/>
          <w:sz w:val="24"/>
          <w:szCs w:val="24"/>
        </w:rPr>
        <w:t>3.3.1 SWOT</w:t>
      </w:r>
      <w:r w:rsidR="005E0A02" w:rsidRPr="0054572F">
        <w:rPr>
          <w:rFonts w:ascii="Times New Roman" w:eastAsia="Arial" w:hAnsi="Times New Roman" w:cs="Times New Roman"/>
          <w:b/>
          <w:bCs/>
          <w:sz w:val="24"/>
          <w:szCs w:val="24"/>
        </w:rPr>
        <w:t xml:space="preserve"> Analysis</w:t>
      </w:r>
    </w:p>
    <w:p w14:paraId="38204648" w14:textId="548F7574" w:rsidR="005E0A02" w:rsidRPr="0054572F" w:rsidRDefault="00D3062A"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SWOT analysis will give a methodical analysis of the internal strengths of Owen Mumford and the external environmental conditions concerning the project of ConnectSense™ (Helms and </w:t>
      </w:r>
      <w:r w:rsidRPr="0054572F">
        <w:rPr>
          <w:rFonts w:ascii="Times New Roman" w:eastAsia="Arial" w:hAnsi="Times New Roman" w:cs="Times New Roman"/>
          <w:sz w:val="24"/>
          <w:szCs w:val="24"/>
        </w:rPr>
        <w:lastRenderedPageBreak/>
        <w:t>Nixon, 2010). By comprehending these dimensions, the project manager can capitalise on organisational strengths, overcome weaknesses, ride the emerging opportunities, and counter potential threats: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513"/>
        <w:gridCol w:w="4513"/>
      </w:tblGrid>
      <w:tr w:rsidR="003F0AC7" w:rsidRPr="0054572F" w14:paraId="36276B51" w14:textId="77777777" w:rsidTr="00C51021">
        <w:tc>
          <w:tcPr>
            <w:tcW w:w="4513"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49350422" w14:textId="77777777" w:rsidR="005E0A02" w:rsidRPr="0054572F" w:rsidRDefault="005E0A02" w:rsidP="0019798C">
            <w:pPr>
              <w:spacing w:line="24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STRENGTHS (Internal)</w:t>
            </w:r>
          </w:p>
        </w:tc>
        <w:tc>
          <w:tcPr>
            <w:tcW w:w="4513"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11EC6D3D" w14:textId="77777777" w:rsidR="005E0A02" w:rsidRPr="0054572F" w:rsidRDefault="005E0A02" w:rsidP="0019798C">
            <w:pPr>
              <w:spacing w:line="24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WEAKNESSES (Internal)</w:t>
            </w:r>
          </w:p>
        </w:tc>
      </w:tr>
      <w:tr w:rsidR="003F0AC7" w:rsidRPr="0054572F" w14:paraId="45208863" w14:textId="77777777" w:rsidTr="00C51021">
        <w:tc>
          <w:tcPr>
            <w:tcW w:w="4513" w:type="dxa"/>
            <w:tcBorders>
              <w:top w:val="single" w:sz="4" w:space="0" w:color="9DC3E6"/>
              <w:left w:val="single" w:sz="4" w:space="0" w:color="9DC3E6"/>
              <w:bottom w:val="single" w:sz="4" w:space="0" w:color="9DC3E6"/>
              <w:right w:val="single" w:sz="4" w:space="0" w:color="9DC3E6"/>
            </w:tcBorders>
            <w:shd w:val="clear" w:color="auto" w:fill="E8F5E9"/>
            <w:tcMar>
              <w:top w:w="80" w:type="dxa"/>
              <w:left w:w="120" w:type="dxa"/>
              <w:bottom w:w="80" w:type="dxa"/>
              <w:right w:w="120" w:type="dxa"/>
            </w:tcMar>
            <w:vAlign w:val="center"/>
          </w:tcPr>
          <w:p w14:paraId="3A9AD08E" w14:textId="77777777" w:rsidR="0019798C" w:rsidRPr="0019798C" w:rsidRDefault="005E0A02" w:rsidP="0019798C">
            <w:pPr>
              <w:pStyle w:val="ListParagraph"/>
              <w:numPr>
                <w:ilvl w:val="0"/>
                <w:numId w:val="2"/>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 xml:space="preserve">70+ years of medical device design and manufacturing </w:t>
            </w:r>
            <w:r w:rsidR="003F0AC7" w:rsidRPr="0019798C">
              <w:rPr>
                <w:rFonts w:ascii="Times New Roman" w:eastAsia="Arial" w:hAnsi="Times New Roman" w:cs="Times New Roman"/>
                <w:sz w:val="24"/>
                <w:szCs w:val="24"/>
              </w:rPr>
              <w:t xml:space="preserve">expertise </w:t>
            </w:r>
          </w:p>
          <w:p w14:paraId="048C8B09" w14:textId="77777777" w:rsidR="0019798C" w:rsidRPr="0019798C" w:rsidRDefault="003F0AC7" w:rsidP="0019798C">
            <w:pPr>
              <w:pStyle w:val="ListParagraph"/>
              <w:numPr>
                <w:ilvl w:val="0"/>
                <w:numId w:val="2"/>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Established</w:t>
            </w:r>
            <w:r w:rsidR="005E0A02" w:rsidRPr="0019798C">
              <w:rPr>
                <w:rFonts w:ascii="Times New Roman" w:eastAsia="Arial" w:hAnsi="Times New Roman" w:cs="Times New Roman"/>
                <w:sz w:val="24"/>
                <w:szCs w:val="24"/>
              </w:rPr>
              <w:t xml:space="preserve"> MHRA-certified manufacturing processes and quality management </w:t>
            </w:r>
            <w:r w:rsidRPr="0019798C">
              <w:rPr>
                <w:rFonts w:ascii="Times New Roman" w:eastAsia="Arial" w:hAnsi="Times New Roman" w:cs="Times New Roman"/>
                <w:sz w:val="24"/>
                <w:szCs w:val="24"/>
              </w:rPr>
              <w:t xml:space="preserve">systems </w:t>
            </w:r>
          </w:p>
          <w:p w14:paraId="0E68B70C" w14:textId="77777777" w:rsidR="0019798C" w:rsidRPr="0019798C" w:rsidRDefault="003F0AC7" w:rsidP="0019798C">
            <w:pPr>
              <w:pStyle w:val="ListParagraph"/>
              <w:numPr>
                <w:ilvl w:val="0"/>
                <w:numId w:val="2"/>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Strong</w:t>
            </w:r>
            <w:r w:rsidR="005E0A02" w:rsidRPr="0019798C">
              <w:rPr>
                <w:rFonts w:ascii="Times New Roman" w:eastAsia="Arial" w:hAnsi="Times New Roman" w:cs="Times New Roman"/>
                <w:sz w:val="24"/>
                <w:szCs w:val="24"/>
              </w:rPr>
              <w:t xml:space="preserve"> existing relationships with NHS Trusts and global pharmaceutical </w:t>
            </w:r>
            <w:r w:rsidRPr="0019798C">
              <w:rPr>
                <w:rFonts w:ascii="Times New Roman" w:eastAsia="Arial" w:hAnsi="Times New Roman" w:cs="Times New Roman"/>
                <w:sz w:val="24"/>
                <w:szCs w:val="24"/>
              </w:rPr>
              <w:t xml:space="preserve">manufacturers </w:t>
            </w:r>
          </w:p>
          <w:p w14:paraId="3D674362" w14:textId="77777777" w:rsidR="0019798C" w:rsidRPr="0019798C" w:rsidRDefault="003F0AC7" w:rsidP="0019798C">
            <w:pPr>
              <w:pStyle w:val="ListParagraph"/>
              <w:numPr>
                <w:ilvl w:val="0"/>
                <w:numId w:val="2"/>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Proven</w:t>
            </w:r>
            <w:r w:rsidR="005E0A02" w:rsidRPr="0019798C">
              <w:rPr>
                <w:rFonts w:ascii="Times New Roman" w:eastAsia="Arial" w:hAnsi="Times New Roman" w:cs="Times New Roman"/>
                <w:sz w:val="24"/>
                <w:szCs w:val="24"/>
              </w:rPr>
              <w:t xml:space="preserve"> track record in auto-injector and drug delivery </w:t>
            </w:r>
            <w:r w:rsidRPr="0019798C">
              <w:rPr>
                <w:rFonts w:ascii="Times New Roman" w:eastAsia="Arial" w:hAnsi="Times New Roman" w:cs="Times New Roman"/>
                <w:sz w:val="24"/>
                <w:szCs w:val="24"/>
              </w:rPr>
              <w:t xml:space="preserve">innovation </w:t>
            </w:r>
          </w:p>
          <w:p w14:paraId="214CD812" w14:textId="6242F2BE" w:rsidR="005E0A02" w:rsidRPr="0019798C" w:rsidRDefault="003F0AC7" w:rsidP="0019798C">
            <w:pPr>
              <w:pStyle w:val="ListParagraph"/>
              <w:numPr>
                <w:ilvl w:val="0"/>
                <w:numId w:val="2"/>
              </w:numPr>
              <w:spacing w:line="240" w:lineRule="auto"/>
              <w:rPr>
                <w:rFonts w:ascii="Times New Roman" w:hAnsi="Times New Roman" w:cs="Times New Roman"/>
                <w:sz w:val="24"/>
                <w:szCs w:val="24"/>
              </w:rPr>
            </w:pPr>
            <w:r w:rsidRPr="0019798C">
              <w:rPr>
                <w:rFonts w:ascii="Times New Roman" w:eastAsia="Arial" w:hAnsi="Times New Roman" w:cs="Times New Roman"/>
                <w:sz w:val="24"/>
                <w:szCs w:val="24"/>
              </w:rPr>
              <w:t>Distribution</w:t>
            </w:r>
            <w:r w:rsidR="005E0A02" w:rsidRPr="0019798C">
              <w:rPr>
                <w:rFonts w:ascii="Times New Roman" w:eastAsia="Arial" w:hAnsi="Times New Roman" w:cs="Times New Roman"/>
                <w:sz w:val="24"/>
                <w:szCs w:val="24"/>
              </w:rPr>
              <w:t xml:space="preserve"> network spanning 70+ countries enabling scalable rollout</w:t>
            </w:r>
          </w:p>
        </w:tc>
        <w:tc>
          <w:tcPr>
            <w:tcW w:w="4513" w:type="dxa"/>
            <w:tcBorders>
              <w:top w:val="single" w:sz="4" w:space="0" w:color="9DC3E6"/>
              <w:left w:val="single" w:sz="4" w:space="0" w:color="9DC3E6"/>
              <w:bottom w:val="single" w:sz="4" w:space="0" w:color="9DC3E6"/>
              <w:right w:val="single" w:sz="4" w:space="0" w:color="9DC3E6"/>
            </w:tcBorders>
            <w:shd w:val="clear" w:color="auto" w:fill="FFF3E0"/>
            <w:tcMar>
              <w:top w:w="80" w:type="dxa"/>
              <w:left w:w="120" w:type="dxa"/>
              <w:bottom w:w="80" w:type="dxa"/>
              <w:right w:w="120" w:type="dxa"/>
            </w:tcMar>
            <w:vAlign w:val="center"/>
          </w:tcPr>
          <w:p w14:paraId="77A37BE1" w14:textId="77777777" w:rsidR="0019798C" w:rsidRPr="0019798C" w:rsidRDefault="005E0A02" w:rsidP="0019798C">
            <w:pPr>
              <w:pStyle w:val="ListParagraph"/>
              <w:numPr>
                <w:ilvl w:val="0"/>
                <w:numId w:val="1"/>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 xml:space="preserve">Limited in-house digital health and app development </w:t>
            </w:r>
            <w:r w:rsidR="003F0AC7" w:rsidRPr="0019798C">
              <w:rPr>
                <w:rFonts w:ascii="Times New Roman" w:eastAsia="Arial" w:hAnsi="Times New Roman" w:cs="Times New Roman"/>
                <w:sz w:val="24"/>
                <w:szCs w:val="24"/>
              </w:rPr>
              <w:t xml:space="preserve">expertise </w:t>
            </w:r>
          </w:p>
          <w:p w14:paraId="4DE31B4D" w14:textId="77777777" w:rsidR="0019798C" w:rsidRPr="0019798C" w:rsidRDefault="003F0AC7" w:rsidP="0019798C">
            <w:pPr>
              <w:pStyle w:val="ListParagraph"/>
              <w:numPr>
                <w:ilvl w:val="0"/>
                <w:numId w:val="1"/>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Relatively</w:t>
            </w:r>
            <w:r w:rsidR="005E0A02" w:rsidRPr="0019798C">
              <w:rPr>
                <w:rFonts w:ascii="Times New Roman" w:eastAsia="Arial" w:hAnsi="Times New Roman" w:cs="Times New Roman"/>
                <w:sz w:val="24"/>
                <w:szCs w:val="24"/>
              </w:rPr>
              <w:t xml:space="preserve"> smaller operational scale compared to global MedTech competitors (e.g., BD, Becton </w:t>
            </w:r>
            <w:r w:rsidRPr="0019798C">
              <w:rPr>
                <w:rFonts w:ascii="Times New Roman" w:eastAsia="Arial" w:hAnsi="Times New Roman" w:cs="Times New Roman"/>
                <w:sz w:val="24"/>
                <w:szCs w:val="24"/>
              </w:rPr>
              <w:t xml:space="preserve">Dickinson) </w:t>
            </w:r>
          </w:p>
          <w:p w14:paraId="09804129" w14:textId="77777777" w:rsidR="0019798C" w:rsidRPr="0019798C" w:rsidRDefault="003F0AC7" w:rsidP="0019798C">
            <w:pPr>
              <w:pStyle w:val="ListParagraph"/>
              <w:numPr>
                <w:ilvl w:val="0"/>
                <w:numId w:val="1"/>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Resource</w:t>
            </w:r>
            <w:r w:rsidR="005E0A02" w:rsidRPr="0019798C">
              <w:rPr>
                <w:rFonts w:ascii="Times New Roman" w:eastAsia="Arial" w:hAnsi="Times New Roman" w:cs="Times New Roman"/>
                <w:sz w:val="24"/>
                <w:szCs w:val="24"/>
              </w:rPr>
              <w:t xml:space="preserve"> constraints when managing simultaneous UK and international regulatory </w:t>
            </w:r>
            <w:r w:rsidRPr="0019798C">
              <w:rPr>
                <w:rFonts w:ascii="Times New Roman" w:eastAsia="Arial" w:hAnsi="Times New Roman" w:cs="Times New Roman"/>
                <w:sz w:val="24"/>
                <w:szCs w:val="24"/>
              </w:rPr>
              <w:t xml:space="preserve">submissions </w:t>
            </w:r>
          </w:p>
          <w:p w14:paraId="1C09F59F" w14:textId="1C9B3656" w:rsidR="005E0A02" w:rsidRPr="0019798C" w:rsidRDefault="003F0AC7" w:rsidP="0019798C">
            <w:pPr>
              <w:pStyle w:val="ListParagraph"/>
              <w:numPr>
                <w:ilvl w:val="0"/>
                <w:numId w:val="1"/>
              </w:numPr>
              <w:spacing w:line="240" w:lineRule="auto"/>
              <w:rPr>
                <w:rFonts w:ascii="Times New Roman" w:hAnsi="Times New Roman" w:cs="Times New Roman"/>
                <w:sz w:val="24"/>
                <w:szCs w:val="24"/>
              </w:rPr>
            </w:pPr>
            <w:r w:rsidRPr="0019798C">
              <w:rPr>
                <w:rFonts w:ascii="Times New Roman" w:eastAsia="Arial" w:hAnsi="Times New Roman" w:cs="Times New Roman"/>
                <w:sz w:val="24"/>
                <w:szCs w:val="24"/>
              </w:rPr>
              <w:t>Dependency</w:t>
            </w:r>
            <w:r w:rsidR="005E0A02" w:rsidRPr="0019798C">
              <w:rPr>
                <w:rFonts w:ascii="Times New Roman" w:eastAsia="Arial" w:hAnsi="Times New Roman" w:cs="Times New Roman"/>
                <w:sz w:val="24"/>
                <w:szCs w:val="24"/>
              </w:rPr>
              <w:t xml:space="preserve"> on third-party software development partners for companion app</w:t>
            </w:r>
          </w:p>
        </w:tc>
      </w:tr>
      <w:tr w:rsidR="003F0AC7" w:rsidRPr="0054572F" w14:paraId="471F2D32" w14:textId="77777777" w:rsidTr="00C51021">
        <w:tc>
          <w:tcPr>
            <w:tcW w:w="4513"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0C1D1D94" w14:textId="77777777" w:rsidR="005E0A02" w:rsidRPr="0054572F" w:rsidRDefault="005E0A02" w:rsidP="0019798C">
            <w:pPr>
              <w:spacing w:line="24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OPPORTUNITIES (External)</w:t>
            </w:r>
          </w:p>
        </w:tc>
        <w:tc>
          <w:tcPr>
            <w:tcW w:w="4513"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5404618C" w14:textId="77777777" w:rsidR="005E0A02" w:rsidRPr="0054572F" w:rsidRDefault="005E0A02" w:rsidP="0019798C">
            <w:pPr>
              <w:spacing w:line="24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THREATS (External)</w:t>
            </w:r>
          </w:p>
        </w:tc>
      </w:tr>
      <w:tr w:rsidR="003F0AC7" w:rsidRPr="0054572F" w14:paraId="348C6683" w14:textId="77777777" w:rsidTr="00C51021">
        <w:tc>
          <w:tcPr>
            <w:tcW w:w="4513" w:type="dxa"/>
            <w:tcBorders>
              <w:top w:val="single" w:sz="4" w:space="0" w:color="9DC3E6"/>
              <w:left w:val="single" w:sz="4" w:space="0" w:color="9DC3E6"/>
              <w:bottom w:val="single" w:sz="4" w:space="0" w:color="9DC3E6"/>
              <w:right w:val="single" w:sz="4" w:space="0" w:color="9DC3E6"/>
            </w:tcBorders>
            <w:shd w:val="clear" w:color="auto" w:fill="E3F2FD"/>
            <w:tcMar>
              <w:top w:w="80" w:type="dxa"/>
              <w:left w:w="120" w:type="dxa"/>
              <w:bottom w:w="80" w:type="dxa"/>
              <w:right w:w="120" w:type="dxa"/>
            </w:tcMar>
            <w:vAlign w:val="center"/>
          </w:tcPr>
          <w:p w14:paraId="1E97F78F" w14:textId="77777777" w:rsidR="0019798C" w:rsidRPr="0019798C" w:rsidRDefault="005E0A02" w:rsidP="0019798C">
            <w:pPr>
              <w:pStyle w:val="ListParagraph"/>
              <w:numPr>
                <w:ilvl w:val="0"/>
                <w:numId w:val="4"/>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Rapidly growing UK digital health and connected device market, with NHS commitment to digital transformation (NHS England, 2019</w:t>
            </w:r>
            <w:r w:rsidR="00C103F9" w:rsidRPr="0019798C">
              <w:rPr>
                <w:rFonts w:ascii="Times New Roman" w:eastAsia="Arial" w:hAnsi="Times New Roman" w:cs="Times New Roman"/>
                <w:sz w:val="24"/>
                <w:szCs w:val="24"/>
              </w:rPr>
              <w:t xml:space="preserve">) </w:t>
            </w:r>
          </w:p>
          <w:p w14:paraId="093A1A92" w14:textId="77777777" w:rsidR="0019798C" w:rsidRPr="0019798C" w:rsidRDefault="00C103F9" w:rsidP="0019798C">
            <w:pPr>
              <w:pStyle w:val="ListParagraph"/>
              <w:numPr>
                <w:ilvl w:val="0"/>
                <w:numId w:val="4"/>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Approximately</w:t>
            </w:r>
            <w:r w:rsidR="005E0A02" w:rsidRPr="0019798C">
              <w:rPr>
                <w:rFonts w:ascii="Times New Roman" w:eastAsia="Arial" w:hAnsi="Times New Roman" w:cs="Times New Roman"/>
                <w:sz w:val="24"/>
                <w:szCs w:val="24"/>
              </w:rPr>
              <w:t xml:space="preserve"> 4.9 million people in the UK diagnosed with diabetes, creating substantial patient demand (Diabetes UK, 2023</w:t>
            </w:r>
            <w:r w:rsidRPr="0019798C">
              <w:rPr>
                <w:rFonts w:ascii="Times New Roman" w:eastAsia="Arial" w:hAnsi="Times New Roman" w:cs="Times New Roman"/>
                <w:sz w:val="24"/>
                <w:szCs w:val="24"/>
              </w:rPr>
              <w:t xml:space="preserve">) </w:t>
            </w:r>
          </w:p>
          <w:p w14:paraId="252D8876" w14:textId="77777777" w:rsidR="0019798C" w:rsidRPr="0019798C" w:rsidRDefault="00C103F9" w:rsidP="0019798C">
            <w:pPr>
              <w:pStyle w:val="ListParagraph"/>
              <w:numPr>
                <w:ilvl w:val="0"/>
                <w:numId w:val="4"/>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MHRA</w:t>
            </w:r>
            <w:r w:rsidR="005E0A02" w:rsidRPr="0019798C">
              <w:rPr>
                <w:rFonts w:ascii="Times New Roman" w:eastAsia="Arial" w:hAnsi="Times New Roman" w:cs="Times New Roman"/>
                <w:sz w:val="24"/>
                <w:szCs w:val="24"/>
              </w:rPr>
              <w:t xml:space="preserve"> ambition to position UK as a global centre of excellence for medical device </w:t>
            </w:r>
            <w:r w:rsidRPr="0019798C">
              <w:rPr>
                <w:rFonts w:ascii="Times New Roman" w:eastAsia="Arial" w:hAnsi="Times New Roman" w:cs="Times New Roman"/>
                <w:sz w:val="24"/>
                <w:szCs w:val="24"/>
              </w:rPr>
              <w:t xml:space="preserve">innovation </w:t>
            </w:r>
          </w:p>
          <w:p w14:paraId="1215C23D" w14:textId="151A1893" w:rsidR="005E0A02" w:rsidRPr="0019798C" w:rsidRDefault="00C103F9" w:rsidP="0019798C">
            <w:pPr>
              <w:pStyle w:val="ListParagraph"/>
              <w:numPr>
                <w:ilvl w:val="0"/>
                <w:numId w:val="4"/>
              </w:numPr>
              <w:spacing w:line="240" w:lineRule="auto"/>
              <w:rPr>
                <w:rFonts w:ascii="Times New Roman" w:hAnsi="Times New Roman" w:cs="Times New Roman"/>
                <w:sz w:val="24"/>
                <w:szCs w:val="24"/>
              </w:rPr>
            </w:pPr>
            <w:r w:rsidRPr="0019798C">
              <w:rPr>
                <w:rFonts w:ascii="Times New Roman" w:eastAsia="Arial" w:hAnsi="Times New Roman" w:cs="Times New Roman"/>
                <w:sz w:val="24"/>
                <w:szCs w:val="24"/>
              </w:rPr>
              <w:t>Increasing</w:t>
            </w:r>
            <w:r w:rsidR="005E0A02" w:rsidRPr="0019798C">
              <w:rPr>
                <w:rFonts w:ascii="Times New Roman" w:eastAsia="Arial" w:hAnsi="Times New Roman" w:cs="Times New Roman"/>
                <w:sz w:val="24"/>
                <w:szCs w:val="24"/>
              </w:rPr>
              <w:t xml:space="preserve"> patient demand for remote monitoring and self-management tools post-COVID-19</w:t>
            </w:r>
          </w:p>
        </w:tc>
        <w:tc>
          <w:tcPr>
            <w:tcW w:w="4513" w:type="dxa"/>
            <w:tcBorders>
              <w:top w:val="single" w:sz="4" w:space="0" w:color="9DC3E6"/>
              <w:left w:val="single" w:sz="4" w:space="0" w:color="9DC3E6"/>
              <w:bottom w:val="single" w:sz="4" w:space="0" w:color="9DC3E6"/>
              <w:right w:val="single" w:sz="4" w:space="0" w:color="9DC3E6"/>
            </w:tcBorders>
            <w:shd w:val="clear" w:color="auto" w:fill="FCE4EC"/>
            <w:tcMar>
              <w:top w:w="80" w:type="dxa"/>
              <w:left w:w="120" w:type="dxa"/>
              <w:bottom w:w="80" w:type="dxa"/>
              <w:right w:w="120" w:type="dxa"/>
            </w:tcMar>
            <w:vAlign w:val="center"/>
          </w:tcPr>
          <w:p w14:paraId="3E69FD0C" w14:textId="77777777" w:rsidR="0019798C" w:rsidRPr="0019798C" w:rsidRDefault="005E0A02" w:rsidP="0019798C">
            <w:pPr>
              <w:pStyle w:val="ListParagraph"/>
              <w:numPr>
                <w:ilvl w:val="0"/>
                <w:numId w:val="4"/>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 xml:space="preserve">Regulatory complexity and divergence post-Brexit between MHRA and EU MDR </w:t>
            </w:r>
            <w:r w:rsidR="003F0AC7" w:rsidRPr="0019798C">
              <w:rPr>
                <w:rFonts w:ascii="Times New Roman" w:eastAsia="Arial" w:hAnsi="Times New Roman" w:cs="Times New Roman"/>
                <w:sz w:val="24"/>
                <w:szCs w:val="24"/>
              </w:rPr>
              <w:t xml:space="preserve">frameworks </w:t>
            </w:r>
          </w:p>
          <w:p w14:paraId="1D39E9AA" w14:textId="77777777" w:rsidR="0019798C" w:rsidRPr="0019798C" w:rsidRDefault="003F0AC7" w:rsidP="0019798C">
            <w:pPr>
              <w:pStyle w:val="ListParagraph"/>
              <w:numPr>
                <w:ilvl w:val="0"/>
                <w:numId w:val="4"/>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Increasing</w:t>
            </w:r>
            <w:r w:rsidR="005E0A02" w:rsidRPr="0019798C">
              <w:rPr>
                <w:rFonts w:ascii="Times New Roman" w:eastAsia="Arial" w:hAnsi="Times New Roman" w:cs="Times New Roman"/>
                <w:sz w:val="24"/>
                <w:szCs w:val="24"/>
              </w:rPr>
              <w:t xml:space="preserve"> competition from technology-enabled device manufacturers and health tech start-</w:t>
            </w:r>
            <w:r w:rsidR="00C103F9" w:rsidRPr="0019798C">
              <w:rPr>
                <w:rFonts w:ascii="Times New Roman" w:eastAsia="Arial" w:hAnsi="Times New Roman" w:cs="Times New Roman"/>
                <w:sz w:val="24"/>
                <w:szCs w:val="24"/>
              </w:rPr>
              <w:t xml:space="preserve">ups </w:t>
            </w:r>
          </w:p>
          <w:p w14:paraId="2CD753B5" w14:textId="77777777" w:rsidR="0019798C" w:rsidRPr="0019798C" w:rsidRDefault="00C103F9" w:rsidP="0019798C">
            <w:pPr>
              <w:pStyle w:val="ListParagraph"/>
              <w:numPr>
                <w:ilvl w:val="0"/>
                <w:numId w:val="4"/>
              </w:numPr>
              <w:spacing w:line="240" w:lineRule="auto"/>
              <w:rPr>
                <w:rFonts w:ascii="Times New Roman" w:eastAsia="Arial" w:hAnsi="Times New Roman" w:cs="Times New Roman"/>
                <w:sz w:val="24"/>
                <w:szCs w:val="24"/>
              </w:rPr>
            </w:pPr>
            <w:r w:rsidRPr="0019798C">
              <w:rPr>
                <w:rFonts w:ascii="Times New Roman" w:eastAsia="Arial" w:hAnsi="Times New Roman" w:cs="Times New Roman"/>
                <w:sz w:val="24"/>
                <w:szCs w:val="24"/>
              </w:rPr>
              <w:t>Data</w:t>
            </w:r>
            <w:r w:rsidR="005E0A02" w:rsidRPr="0019798C">
              <w:rPr>
                <w:rFonts w:ascii="Times New Roman" w:eastAsia="Arial" w:hAnsi="Times New Roman" w:cs="Times New Roman"/>
                <w:sz w:val="24"/>
                <w:szCs w:val="24"/>
              </w:rPr>
              <w:t xml:space="preserve"> security and cybersecurity risks associated with connected medical </w:t>
            </w:r>
            <w:r w:rsidRPr="0019798C">
              <w:rPr>
                <w:rFonts w:ascii="Times New Roman" w:eastAsia="Arial" w:hAnsi="Times New Roman" w:cs="Times New Roman"/>
                <w:sz w:val="24"/>
                <w:szCs w:val="24"/>
              </w:rPr>
              <w:t xml:space="preserve">devices </w:t>
            </w:r>
          </w:p>
          <w:p w14:paraId="67C9674A" w14:textId="51C5D05D" w:rsidR="005E0A02" w:rsidRPr="0019798C" w:rsidRDefault="00C103F9" w:rsidP="0019798C">
            <w:pPr>
              <w:pStyle w:val="ListParagraph"/>
              <w:numPr>
                <w:ilvl w:val="0"/>
                <w:numId w:val="4"/>
              </w:numPr>
              <w:spacing w:line="240" w:lineRule="auto"/>
              <w:rPr>
                <w:rFonts w:ascii="Times New Roman" w:hAnsi="Times New Roman" w:cs="Times New Roman"/>
                <w:sz w:val="24"/>
                <w:szCs w:val="24"/>
              </w:rPr>
            </w:pPr>
            <w:r w:rsidRPr="0019798C">
              <w:rPr>
                <w:rFonts w:ascii="Times New Roman" w:eastAsia="Arial" w:hAnsi="Times New Roman" w:cs="Times New Roman"/>
                <w:sz w:val="24"/>
                <w:szCs w:val="24"/>
              </w:rPr>
              <w:t>Data</w:t>
            </w:r>
            <w:r w:rsidR="005E0A02" w:rsidRPr="0019798C">
              <w:rPr>
                <w:rFonts w:ascii="Times New Roman" w:eastAsia="Arial" w:hAnsi="Times New Roman" w:cs="Times New Roman"/>
                <w:sz w:val="24"/>
                <w:szCs w:val="24"/>
              </w:rPr>
              <w:t xml:space="preserve"> privacy obligations under UK GDPR and potential patient concerns regarding health data usage (MHRA, 2022)</w:t>
            </w:r>
          </w:p>
        </w:tc>
      </w:tr>
    </w:tbl>
    <w:p w14:paraId="09458742" w14:textId="0C804445"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t xml:space="preserve">Table 4: SWOT Analysis </w:t>
      </w:r>
      <w:r w:rsidR="0019798C">
        <w:rPr>
          <w:rFonts w:ascii="Times New Roman" w:eastAsia="Arial" w:hAnsi="Times New Roman" w:cs="Times New Roman"/>
          <w:sz w:val="24"/>
          <w:szCs w:val="24"/>
        </w:rPr>
        <w:t>-</w:t>
      </w:r>
      <w:r w:rsidRPr="0054572F">
        <w:rPr>
          <w:rFonts w:ascii="Times New Roman" w:eastAsia="Arial" w:hAnsi="Times New Roman" w:cs="Times New Roman"/>
          <w:sz w:val="24"/>
          <w:szCs w:val="24"/>
        </w:rPr>
        <w:t>Owen Mumford ConnectSense™ Project (adapted from Helms and Nixon, 2010)</w:t>
      </w:r>
    </w:p>
    <w:p w14:paraId="4B62B662" w14:textId="2E74457C" w:rsidR="005E0A02" w:rsidRPr="0054572F" w:rsidRDefault="00C103F9" w:rsidP="0054572F">
      <w:pPr>
        <w:spacing w:after="120" w:line="360" w:lineRule="auto"/>
        <w:jc w:val="both"/>
        <w:rPr>
          <w:rFonts w:ascii="Times New Roman" w:hAnsi="Times New Roman" w:cs="Times New Roman"/>
          <w:sz w:val="24"/>
          <w:szCs w:val="24"/>
        </w:rPr>
      </w:pPr>
      <w:r w:rsidRPr="0054572F">
        <w:rPr>
          <w:rFonts w:ascii="Times New Roman" w:eastAsia="Arial" w:hAnsi="Times New Roman" w:cs="Times New Roman"/>
          <w:b/>
          <w:bCs/>
          <w:sz w:val="24"/>
          <w:szCs w:val="24"/>
        </w:rPr>
        <w:t>3.3.2 Mendelow’s</w:t>
      </w:r>
      <w:r w:rsidR="005E0A02" w:rsidRPr="0054572F">
        <w:rPr>
          <w:rFonts w:ascii="Times New Roman" w:eastAsia="Arial" w:hAnsi="Times New Roman" w:cs="Times New Roman"/>
          <w:b/>
          <w:bCs/>
          <w:sz w:val="24"/>
          <w:szCs w:val="24"/>
        </w:rPr>
        <w:t xml:space="preserve"> Power/Interest Matrix</w:t>
      </w:r>
    </w:p>
    <w:p w14:paraId="24FBAB6A" w14:textId="7EBFB8D6" w:rsidR="005E0A02" w:rsidRDefault="00881F0D" w:rsidP="0054572F">
      <w:pPr>
        <w:spacing w:line="360" w:lineRule="auto"/>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 xml:space="preserve">The Power/Interest Matrix by Mendelow (1991) is a stakeholder mapping tool that is extensively used to classify stakeholders based on their power and interest in a project so that the project manager can identify the right engagement strategy to employ in a group. This presented tool, Week 5, Slide 13, comes in especially handy when dealing with a complex, </w:t>
      </w:r>
      <w:r w:rsidRPr="0054572F">
        <w:rPr>
          <w:rFonts w:ascii="Times New Roman" w:eastAsia="Arial" w:hAnsi="Times New Roman" w:cs="Times New Roman"/>
          <w:sz w:val="24"/>
          <w:szCs w:val="24"/>
        </w:rPr>
        <w:lastRenderedPageBreak/>
        <w:t>multi-stakeholder project like that of ConnectSense™, in which resource distribution to engage the various stakeholders should be carefully prioritised.</w:t>
      </w:r>
    </w:p>
    <w:p w14:paraId="648496C8" w14:textId="5CAEE631" w:rsidR="00BA6E66" w:rsidRPr="0054572F" w:rsidRDefault="00BA6E66" w:rsidP="0054572F">
      <w:pPr>
        <w:spacing w:line="360" w:lineRule="auto"/>
        <w:jc w:val="both"/>
        <w:rPr>
          <w:rFonts w:ascii="Times New Roman" w:hAnsi="Times New Roman" w:cs="Times New Roman"/>
          <w:sz w:val="24"/>
          <w:szCs w:val="24"/>
        </w:rPr>
      </w:pPr>
      <w:r w:rsidRPr="00BA6E66">
        <w:rPr>
          <w:noProof/>
        </w:rPr>
        <w:drawing>
          <wp:inline distT="0" distB="0" distL="0" distR="0" wp14:anchorId="74963470" wp14:editId="57A1D694">
            <wp:extent cx="5731510" cy="3551555"/>
            <wp:effectExtent l="0" t="0" r="2540" b="0"/>
            <wp:docPr id="3173023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551555"/>
                    </a:xfrm>
                    <a:prstGeom prst="rect">
                      <a:avLst/>
                    </a:prstGeom>
                    <a:noFill/>
                    <a:ln>
                      <a:noFill/>
                    </a:ln>
                  </pic:spPr>
                </pic:pic>
              </a:graphicData>
            </a:graphic>
          </wp:inline>
        </w:drawing>
      </w:r>
    </w:p>
    <w:p w14:paraId="79813D99" w14:textId="77777777"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t>Figure 1: Mendelow’s Power/Interest Matrix applied to ConnectSense™ Project (adapted from Mendelow, 1991; Week 5, Slide 13)</w:t>
      </w:r>
    </w:p>
    <w:p w14:paraId="6E251E0D" w14:textId="64EBEED8" w:rsidR="005E0A02" w:rsidRPr="0054572F" w:rsidRDefault="00DC3CF5"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This mapping has important strategic implications. The MHRA has immense regulatory authority, but is mainly focused on protecting the health of the population, not the commercial interests of Owen Mumford. The tactic is to ensure they are contented by active compliance and open communications. Senior Leadership and NHS Trusts are in the Manage Closely quadrant and need frequent collaborative work, shared governance, and frequent performance reporting. The Keep Informed quadrant places patients and Healthcare Professionals in a situation where regular, readily available, and clinically meaningful communication is required to maintain engagement and earn the trust required to be adopted. Like Christopher, Payne and Ballantyne (2013) argue, with regard to relationship marketing, value-based communication that proves to show real benefit is the best tool to establish long-term stakeholder commitment.</w:t>
      </w:r>
    </w:p>
    <w:p w14:paraId="20FEC226" w14:textId="4CAA46B6" w:rsidR="005E0A02" w:rsidRPr="0054572F" w:rsidRDefault="00DB1056" w:rsidP="0054572F">
      <w:pPr>
        <w:pStyle w:val="Heading1"/>
        <w:spacing w:line="360" w:lineRule="auto"/>
        <w:rPr>
          <w:rFonts w:ascii="Times New Roman" w:hAnsi="Times New Roman" w:cs="Times New Roman"/>
          <w:color w:val="auto"/>
          <w:sz w:val="24"/>
          <w:szCs w:val="24"/>
        </w:rPr>
      </w:pPr>
      <w:bookmarkStart w:id="6" w:name="_Toc227403691"/>
      <w:r w:rsidRPr="0054572F">
        <w:rPr>
          <w:rFonts w:ascii="Times New Roman" w:hAnsi="Times New Roman" w:cs="Times New Roman"/>
          <w:color w:val="auto"/>
          <w:sz w:val="24"/>
          <w:szCs w:val="24"/>
        </w:rPr>
        <w:t>4.0 Roles</w:t>
      </w:r>
      <w:r w:rsidR="005E0A02" w:rsidRPr="0054572F">
        <w:rPr>
          <w:rFonts w:ascii="Times New Roman" w:hAnsi="Times New Roman" w:cs="Times New Roman"/>
          <w:color w:val="auto"/>
          <w:sz w:val="24"/>
          <w:szCs w:val="24"/>
        </w:rPr>
        <w:t xml:space="preserve"> of the Manager in Engaging Stakeholders</w:t>
      </w:r>
      <w:bookmarkEnd w:id="6"/>
    </w:p>
    <w:p w14:paraId="686AF528" w14:textId="0D7BD02A" w:rsidR="005E0A02" w:rsidRPr="0054572F" w:rsidRDefault="00DB1056" w:rsidP="0054572F">
      <w:pPr>
        <w:pStyle w:val="Heading2"/>
        <w:spacing w:line="360" w:lineRule="auto"/>
        <w:rPr>
          <w:rFonts w:ascii="Times New Roman" w:hAnsi="Times New Roman" w:cs="Times New Roman"/>
          <w:color w:val="auto"/>
        </w:rPr>
      </w:pPr>
      <w:bookmarkStart w:id="7" w:name="_Toc227403692"/>
      <w:r w:rsidRPr="0054572F">
        <w:rPr>
          <w:rFonts w:ascii="Times New Roman" w:hAnsi="Times New Roman" w:cs="Times New Roman"/>
          <w:color w:val="auto"/>
        </w:rPr>
        <w:t>4.1 Communication</w:t>
      </w:r>
      <w:r w:rsidR="005E0A02" w:rsidRPr="0054572F">
        <w:rPr>
          <w:rFonts w:ascii="Times New Roman" w:hAnsi="Times New Roman" w:cs="Times New Roman"/>
          <w:color w:val="auto"/>
        </w:rPr>
        <w:t xml:space="preserve"> Plan</w:t>
      </w:r>
      <w:bookmarkEnd w:id="7"/>
    </w:p>
    <w:p w14:paraId="6A4BF910" w14:textId="0B78EBA4" w:rsidR="005E0A02" w:rsidRPr="0054572F" w:rsidRDefault="00BA6E66" w:rsidP="0054572F">
      <w:pPr>
        <w:spacing w:line="360" w:lineRule="auto"/>
        <w:jc w:val="both"/>
        <w:rPr>
          <w:rFonts w:ascii="Times New Roman" w:hAnsi="Times New Roman" w:cs="Times New Roman"/>
          <w:sz w:val="24"/>
          <w:szCs w:val="24"/>
        </w:rPr>
      </w:pPr>
      <w:r w:rsidRPr="00BA6E66">
        <w:rPr>
          <w:rFonts w:ascii="Times New Roman" w:eastAsia="Arial" w:hAnsi="Times New Roman" w:cs="Times New Roman"/>
          <w:sz w:val="24"/>
          <w:szCs w:val="24"/>
        </w:rPr>
        <w:lastRenderedPageBreak/>
        <w:t>Communication serves as the fundamental element which enables stakeholders to successfully engage with each other according to PMI 2021. The most effective engagement strategies which exist will fail to establish trust and project alignment because they need dedicated communication which targets their goals. The communication plan which follows this document will use Week 6 Slide 11 as its base to show how the organization will communicate with each stakeholder group through defined channels at specific times</w:t>
      </w:r>
      <w:r w:rsidR="00896B13" w:rsidRPr="0054572F">
        <w:rPr>
          <w:rFonts w:ascii="Times New Roman" w:eastAsia="Arial" w:hAnsi="Times New Roman" w:cs="Times New Roman"/>
          <w:sz w:val="24"/>
          <w:szCs w:val="24"/>
        </w:rPr>
        <w: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84"/>
        <w:gridCol w:w="1685"/>
        <w:gridCol w:w="1622"/>
        <w:gridCol w:w="1151"/>
        <w:gridCol w:w="1489"/>
        <w:gridCol w:w="1395"/>
      </w:tblGrid>
      <w:tr w:rsidR="003F0AC7" w:rsidRPr="00775205" w14:paraId="67A40DAB" w14:textId="77777777" w:rsidTr="00C51021">
        <w:tc>
          <w:tcPr>
            <w:tcW w:w="17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7F9ECC7A" w14:textId="77777777" w:rsidR="005E0A02" w:rsidRPr="00775205" w:rsidRDefault="005E0A02" w:rsidP="00775205">
            <w:pPr>
              <w:spacing w:line="360" w:lineRule="auto"/>
              <w:jc w:val="center"/>
              <w:rPr>
                <w:rFonts w:ascii="Times New Roman" w:hAnsi="Times New Roman" w:cs="Times New Roman"/>
                <w:color w:val="FFFFFF" w:themeColor="background1"/>
                <w:sz w:val="20"/>
                <w:szCs w:val="20"/>
              </w:rPr>
            </w:pPr>
            <w:r w:rsidRPr="00775205">
              <w:rPr>
                <w:rFonts w:ascii="Times New Roman" w:eastAsia="Arial" w:hAnsi="Times New Roman" w:cs="Times New Roman"/>
                <w:b/>
                <w:bCs/>
                <w:color w:val="FFFFFF" w:themeColor="background1"/>
                <w:sz w:val="20"/>
                <w:szCs w:val="20"/>
              </w:rPr>
              <w:t>Stakeholder</w:t>
            </w:r>
          </w:p>
        </w:tc>
        <w:tc>
          <w:tcPr>
            <w:tcW w:w="17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0A175338" w14:textId="77777777" w:rsidR="005E0A02" w:rsidRPr="00775205" w:rsidRDefault="005E0A02" w:rsidP="00775205">
            <w:pPr>
              <w:spacing w:line="360" w:lineRule="auto"/>
              <w:jc w:val="center"/>
              <w:rPr>
                <w:rFonts w:ascii="Times New Roman" w:hAnsi="Times New Roman" w:cs="Times New Roman"/>
                <w:color w:val="FFFFFF" w:themeColor="background1"/>
                <w:sz w:val="20"/>
                <w:szCs w:val="20"/>
              </w:rPr>
            </w:pPr>
            <w:r w:rsidRPr="00775205">
              <w:rPr>
                <w:rFonts w:ascii="Times New Roman" w:eastAsia="Arial" w:hAnsi="Times New Roman" w:cs="Times New Roman"/>
                <w:b/>
                <w:bCs/>
                <w:color w:val="FFFFFF" w:themeColor="background1"/>
                <w:sz w:val="20"/>
                <w:szCs w:val="20"/>
              </w:rPr>
              <w:t>Key Message</w:t>
            </w:r>
          </w:p>
        </w:tc>
        <w:tc>
          <w:tcPr>
            <w:tcW w:w="1626"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3BE0383A" w14:textId="77777777" w:rsidR="005E0A02" w:rsidRPr="00775205" w:rsidRDefault="005E0A02" w:rsidP="00775205">
            <w:pPr>
              <w:spacing w:line="360" w:lineRule="auto"/>
              <w:jc w:val="center"/>
              <w:rPr>
                <w:rFonts w:ascii="Times New Roman" w:hAnsi="Times New Roman" w:cs="Times New Roman"/>
                <w:color w:val="FFFFFF" w:themeColor="background1"/>
                <w:sz w:val="20"/>
                <w:szCs w:val="20"/>
              </w:rPr>
            </w:pPr>
            <w:r w:rsidRPr="00775205">
              <w:rPr>
                <w:rFonts w:ascii="Times New Roman" w:eastAsia="Arial" w:hAnsi="Times New Roman" w:cs="Times New Roman"/>
                <w:b/>
                <w:bCs/>
                <w:color w:val="FFFFFF" w:themeColor="background1"/>
                <w:sz w:val="20"/>
                <w:szCs w:val="20"/>
              </w:rPr>
              <w:t>Channel</w:t>
            </w:r>
          </w:p>
        </w:tc>
        <w:tc>
          <w:tcPr>
            <w:tcW w:w="11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23D9DB58" w14:textId="77777777" w:rsidR="005E0A02" w:rsidRPr="00775205" w:rsidRDefault="005E0A02" w:rsidP="00775205">
            <w:pPr>
              <w:spacing w:line="360" w:lineRule="auto"/>
              <w:jc w:val="center"/>
              <w:rPr>
                <w:rFonts w:ascii="Times New Roman" w:hAnsi="Times New Roman" w:cs="Times New Roman"/>
                <w:color w:val="FFFFFF" w:themeColor="background1"/>
                <w:sz w:val="20"/>
                <w:szCs w:val="20"/>
              </w:rPr>
            </w:pPr>
            <w:r w:rsidRPr="00775205">
              <w:rPr>
                <w:rFonts w:ascii="Times New Roman" w:eastAsia="Arial" w:hAnsi="Times New Roman" w:cs="Times New Roman"/>
                <w:b/>
                <w:bCs/>
                <w:color w:val="FFFFFF" w:themeColor="background1"/>
                <w:sz w:val="20"/>
                <w:szCs w:val="20"/>
              </w:rPr>
              <w:t>Frequency</w:t>
            </w:r>
          </w:p>
        </w:tc>
        <w:tc>
          <w:tcPr>
            <w:tcW w:w="15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77C08360" w14:textId="77777777" w:rsidR="005E0A02" w:rsidRPr="00775205" w:rsidRDefault="005E0A02" w:rsidP="00775205">
            <w:pPr>
              <w:spacing w:line="360" w:lineRule="auto"/>
              <w:jc w:val="center"/>
              <w:rPr>
                <w:rFonts w:ascii="Times New Roman" w:hAnsi="Times New Roman" w:cs="Times New Roman"/>
                <w:color w:val="FFFFFF" w:themeColor="background1"/>
                <w:sz w:val="20"/>
                <w:szCs w:val="20"/>
              </w:rPr>
            </w:pPr>
            <w:r w:rsidRPr="00775205">
              <w:rPr>
                <w:rFonts w:ascii="Times New Roman" w:eastAsia="Arial" w:hAnsi="Times New Roman" w:cs="Times New Roman"/>
                <w:b/>
                <w:bCs/>
                <w:color w:val="FFFFFF" w:themeColor="background1"/>
                <w:sz w:val="20"/>
                <w:szCs w:val="20"/>
              </w:rPr>
              <w:t>Responsible Party</w:t>
            </w:r>
          </w:p>
        </w:tc>
        <w:tc>
          <w:tcPr>
            <w:tcW w:w="14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2F7CF3DC" w14:textId="77777777" w:rsidR="005E0A02" w:rsidRPr="00775205" w:rsidRDefault="005E0A02" w:rsidP="00775205">
            <w:pPr>
              <w:spacing w:line="360" w:lineRule="auto"/>
              <w:jc w:val="center"/>
              <w:rPr>
                <w:rFonts w:ascii="Times New Roman" w:hAnsi="Times New Roman" w:cs="Times New Roman"/>
                <w:color w:val="FFFFFF" w:themeColor="background1"/>
                <w:sz w:val="20"/>
                <w:szCs w:val="20"/>
              </w:rPr>
            </w:pPr>
            <w:r w:rsidRPr="00775205">
              <w:rPr>
                <w:rFonts w:ascii="Times New Roman" w:eastAsia="Arial" w:hAnsi="Times New Roman" w:cs="Times New Roman"/>
                <w:b/>
                <w:bCs/>
                <w:color w:val="FFFFFF" w:themeColor="background1"/>
                <w:sz w:val="20"/>
                <w:szCs w:val="20"/>
              </w:rPr>
              <w:t>Purpose</w:t>
            </w:r>
          </w:p>
        </w:tc>
      </w:tr>
      <w:tr w:rsidR="003F0AC7" w:rsidRPr="00775205" w14:paraId="357A69C9" w14:textId="77777777" w:rsidTr="00C51021">
        <w:tc>
          <w:tcPr>
            <w:tcW w:w="17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BAD55A8"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b/>
                <w:bCs/>
                <w:sz w:val="20"/>
                <w:szCs w:val="20"/>
              </w:rPr>
              <w:t>Senior Leadership</w:t>
            </w:r>
          </w:p>
        </w:tc>
        <w:tc>
          <w:tcPr>
            <w:tcW w:w="17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3BBBD29"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Project status, KPIs, risk updates, financial performance</w:t>
            </w:r>
          </w:p>
        </w:tc>
        <w:tc>
          <w:tcPr>
            <w:tcW w:w="16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454B166"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Board reports, steering committee meetings</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0267849"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Monthly</w:t>
            </w:r>
          </w:p>
        </w:tc>
        <w:tc>
          <w:tcPr>
            <w:tcW w:w="1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EE16761"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Project Manager</w:t>
            </w:r>
          </w:p>
        </w:tc>
        <w:tc>
          <w:tcPr>
            <w:tcW w:w="14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847CC6E"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Strategic alignment and decision authorisation</w:t>
            </w:r>
          </w:p>
        </w:tc>
      </w:tr>
      <w:tr w:rsidR="003F0AC7" w:rsidRPr="00775205" w14:paraId="620C7F99" w14:textId="77777777" w:rsidTr="00C51021">
        <w:tc>
          <w:tcPr>
            <w:tcW w:w="17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43904FC"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b/>
                <w:bCs/>
                <w:sz w:val="20"/>
                <w:szCs w:val="20"/>
              </w:rPr>
              <w:t>Product Development Team</w:t>
            </w:r>
          </w:p>
        </w:tc>
        <w:tc>
          <w:tcPr>
            <w:tcW w:w="17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A80FD89"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Technical specifications, sprint progress, design changes</w:t>
            </w:r>
          </w:p>
        </w:tc>
        <w:tc>
          <w:tcPr>
            <w:tcW w:w="16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118B16E9"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Agile sprints, MS Teams, weekly standups</w:t>
            </w:r>
          </w:p>
        </w:tc>
        <w:tc>
          <w:tcPr>
            <w:tcW w:w="1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1FFAAD95"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Weekly / Daily</w:t>
            </w:r>
          </w:p>
        </w:tc>
        <w:tc>
          <w:tcPr>
            <w:tcW w:w="15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EE1E4CC"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Product Manager</w:t>
            </w:r>
          </w:p>
        </w:tc>
        <w:tc>
          <w:tcPr>
            <w:tcW w:w="14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B1364BC"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Delivery on time and specification</w:t>
            </w:r>
          </w:p>
        </w:tc>
      </w:tr>
      <w:tr w:rsidR="003F0AC7" w:rsidRPr="00775205" w14:paraId="76F6DCFB" w14:textId="77777777" w:rsidTr="00C51021">
        <w:tc>
          <w:tcPr>
            <w:tcW w:w="17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48801CD"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b/>
                <w:bCs/>
                <w:sz w:val="20"/>
                <w:szCs w:val="20"/>
              </w:rPr>
              <w:t>Clinical Affairs Team</w:t>
            </w:r>
          </w:p>
        </w:tc>
        <w:tc>
          <w:tcPr>
            <w:tcW w:w="17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0B9DA8F"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Trial protocols, safety updates, regulatory evidence</w:t>
            </w:r>
          </w:p>
        </w:tc>
        <w:tc>
          <w:tcPr>
            <w:tcW w:w="16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502658F"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Clinical review meetings, documented reports</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7FEEEF9"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Bi-weekly</w:t>
            </w:r>
          </w:p>
        </w:tc>
        <w:tc>
          <w:tcPr>
            <w:tcW w:w="1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A229FFF"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Clinical Director</w:t>
            </w:r>
          </w:p>
        </w:tc>
        <w:tc>
          <w:tcPr>
            <w:tcW w:w="14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D60D5CD"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Clinical integrity and patient safety assurance</w:t>
            </w:r>
          </w:p>
        </w:tc>
      </w:tr>
      <w:tr w:rsidR="003F0AC7" w:rsidRPr="00775205" w14:paraId="6FAC3F1F" w14:textId="77777777" w:rsidTr="00C51021">
        <w:tc>
          <w:tcPr>
            <w:tcW w:w="17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7887C45"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b/>
                <w:bCs/>
                <w:sz w:val="20"/>
                <w:szCs w:val="20"/>
              </w:rPr>
              <w:t>MHRA</w:t>
            </w:r>
          </w:p>
        </w:tc>
        <w:tc>
          <w:tcPr>
            <w:tcW w:w="17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A146345"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Regulatory submission status, safety reports, compliance updates</w:t>
            </w:r>
          </w:p>
        </w:tc>
        <w:tc>
          <w:tcPr>
            <w:tcW w:w="16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B311FD1"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Formal correspondence, pre-submission meetings</w:t>
            </w:r>
          </w:p>
        </w:tc>
        <w:tc>
          <w:tcPr>
            <w:tcW w:w="1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69E4EEB"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As required</w:t>
            </w:r>
          </w:p>
        </w:tc>
        <w:tc>
          <w:tcPr>
            <w:tcW w:w="15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2467DD7"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Regulatory Affairs Lead</w:t>
            </w:r>
          </w:p>
        </w:tc>
        <w:tc>
          <w:tcPr>
            <w:tcW w:w="14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5566D4E"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Regulatory approval and ongoing compliance</w:t>
            </w:r>
          </w:p>
        </w:tc>
      </w:tr>
      <w:tr w:rsidR="003F0AC7" w:rsidRPr="00775205" w14:paraId="13A72A66" w14:textId="77777777" w:rsidTr="00C51021">
        <w:tc>
          <w:tcPr>
            <w:tcW w:w="17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DFE76C8"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b/>
                <w:bCs/>
                <w:sz w:val="20"/>
                <w:szCs w:val="20"/>
              </w:rPr>
              <w:t>NHS Trusts</w:t>
            </w:r>
          </w:p>
        </w:tc>
        <w:tc>
          <w:tcPr>
            <w:tcW w:w="17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61FAD7F"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Pilot programme updates, integration progress, outcomes data</w:t>
            </w:r>
          </w:p>
        </w:tc>
        <w:tc>
          <w:tcPr>
            <w:tcW w:w="16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84FCEFB"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Quarterly partnership reviews, co-design workshops</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8C457F6"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Quarterly</w:t>
            </w:r>
          </w:p>
        </w:tc>
        <w:tc>
          <w:tcPr>
            <w:tcW w:w="1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F6F5DF7"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Project Manager</w:t>
            </w:r>
          </w:p>
        </w:tc>
        <w:tc>
          <w:tcPr>
            <w:tcW w:w="14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E74D89E"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Maintain NHS partnership and clinical access</w:t>
            </w:r>
          </w:p>
        </w:tc>
      </w:tr>
      <w:tr w:rsidR="003F0AC7" w:rsidRPr="00775205" w14:paraId="4140C446" w14:textId="77777777" w:rsidTr="00C51021">
        <w:tc>
          <w:tcPr>
            <w:tcW w:w="17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F124E6B"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b/>
                <w:bCs/>
                <w:sz w:val="20"/>
                <w:szCs w:val="20"/>
              </w:rPr>
              <w:lastRenderedPageBreak/>
              <w:t>Patients / End Users</w:t>
            </w:r>
          </w:p>
        </w:tc>
        <w:tc>
          <w:tcPr>
            <w:tcW w:w="17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C571DA9"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Device training, app updates, adherence benefits</w:t>
            </w:r>
          </w:p>
        </w:tc>
        <w:tc>
          <w:tcPr>
            <w:tcW w:w="16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519BE7A"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Patient portal, newsletters, helpline support</w:t>
            </w:r>
          </w:p>
        </w:tc>
        <w:tc>
          <w:tcPr>
            <w:tcW w:w="1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7AD1F3F"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Monthly</w:t>
            </w:r>
          </w:p>
        </w:tc>
        <w:tc>
          <w:tcPr>
            <w:tcW w:w="15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17946DF5"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Marketing Team</w:t>
            </w:r>
          </w:p>
        </w:tc>
        <w:tc>
          <w:tcPr>
            <w:tcW w:w="14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44B2114"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Drive adoption, adherence, and patient satisfaction</w:t>
            </w:r>
          </w:p>
        </w:tc>
      </w:tr>
      <w:tr w:rsidR="003F0AC7" w:rsidRPr="00775205" w14:paraId="316EFA13" w14:textId="77777777" w:rsidTr="00C51021">
        <w:tc>
          <w:tcPr>
            <w:tcW w:w="17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CB67A42"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b/>
                <w:bCs/>
                <w:sz w:val="20"/>
                <w:szCs w:val="20"/>
              </w:rPr>
              <w:t>Healthcare Professionals</w:t>
            </w:r>
          </w:p>
        </w:tc>
        <w:tc>
          <w:tcPr>
            <w:tcW w:w="17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F7D2519"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Clinical evidence, prescribing guidance, device efficacy data</w:t>
            </w:r>
          </w:p>
        </w:tc>
        <w:tc>
          <w:tcPr>
            <w:tcW w:w="16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F04F1F1"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Webinars, medical conferences, published evidence</w:t>
            </w:r>
          </w:p>
        </w:tc>
        <w:tc>
          <w:tcPr>
            <w:tcW w:w="1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BC29DCB"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Monthly</w:t>
            </w:r>
          </w:p>
        </w:tc>
        <w:tc>
          <w:tcPr>
            <w:tcW w:w="15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42C364E"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Medical Affairs</w:t>
            </w:r>
          </w:p>
        </w:tc>
        <w:tc>
          <w:tcPr>
            <w:tcW w:w="14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F2C4C12"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Secure prescriber endorsement and clinical advocacy</w:t>
            </w:r>
          </w:p>
        </w:tc>
      </w:tr>
      <w:tr w:rsidR="003F0AC7" w:rsidRPr="00775205" w14:paraId="3E9F1635" w14:textId="77777777" w:rsidTr="00C51021">
        <w:tc>
          <w:tcPr>
            <w:tcW w:w="17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97C72D6"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b/>
                <w:bCs/>
                <w:sz w:val="20"/>
                <w:szCs w:val="20"/>
              </w:rPr>
              <w:t>Investors / Shareholders</w:t>
            </w:r>
          </w:p>
        </w:tc>
        <w:tc>
          <w:tcPr>
            <w:tcW w:w="17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64E3D9C"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Financial performance, market progress, ROI milestones</w:t>
            </w:r>
          </w:p>
        </w:tc>
        <w:tc>
          <w:tcPr>
            <w:tcW w:w="16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29E3030"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Investor reports, AGM, executive presentations</w:t>
            </w:r>
          </w:p>
        </w:tc>
        <w:tc>
          <w:tcPr>
            <w:tcW w:w="1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9AB62DB"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Quarterly</w:t>
            </w:r>
          </w:p>
        </w:tc>
        <w:tc>
          <w:tcPr>
            <w:tcW w:w="15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EFC0EA1"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CEO / Finance Director</w:t>
            </w:r>
          </w:p>
        </w:tc>
        <w:tc>
          <w:tcPr>
            <w:tcW w:w="14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6CA0141" w14:textId="77777777" w:rsidR="005E0A02" w:rsidRPr="00775205" w:rsidRDefault="005E0A02" w:rsidP="00775205">
            <w:pPr>
              <w:spacing w:line="360" w:lineRule="auto"/>
              <w:rPr>
                <w:rFonts w:ascii="Times New Roman" w:hAnsi="Times New Roman" w:cs="Times New Roman"/>
                <w:sz w:val="20"/>
                <w:szCs w:val="20"/>
              </w:rPr>
            </w:pPr>
            <w:r w:rsidRPr="00775205">
              <w:rPr>
                <w:rFonts w:ascii="Times New Roman" w:eastAsia="Arial" w:hAnsi="Times New Roman" w:cs="Times New Roman"/>
                <w:sz w:val="20"/>
                <w:szCs w:val="20"/>
              </w:rPr>
              <w:t>Maintain investor confidence and financial backing</w:t>
            </w:r>
          </w:p>
        </w:tc>
      </w:tr>
    </w:tbl>
    <w:p w14:paraId="7823CD96" w14:textId="77777777"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t>Table 5: Stakeholder Communication Plan (adapted from PMI, 2021; Week 6, Slide 11)</w:t>
      </w:r>
    </w:p>
    <w:p w14:paraId="1092E7A2" w14:textId="3DCF3923" w:rsidR="005E0A02" w:rsidRPr="0054572F" w:rsidRDefault="003F0AC7" w:rsidP="0054572F">
      <w:pPr>
        <w:pStyle w:val="Heading2"/>
        <w:spacing w:line="360" w:lineRule="auto"/>
        <w:rPr>
          <w:rFonts w:ascii="Times New Roman" w:hAnsi="Times New Roman" w:cs="Times New Roman"/>
          <w:color w:val="auto"/>
        </w:rPr>
      </w:pPr>
      <w:bookmarkStart w:id="8" w:name="_Toc227403693"/>
      <w:r w:rsidRPr="0054572F">
        <w:rPr>
          <w:rFonts w:ascii="Times New Roman" w:hAnsi="Times New Roman" w:cs="Times New Roman"/>
          <w:color w:val="auto"/>
        </w:rPr>
        <w:t>4.2 Level</w:t>
      </w:r>
      <w:r w:rsidR="005E0A02" w:rsidRPr="0054572F">
        <w:rPr>
          <w:rFonts w:ascii="Times New Roman" w:hAnsi="Times New Roman" w:cs="Times New Roman"/>
          <w:color w:val="auto"/>
        </w:rPr>
        <w:t xml:space="preserve"> of Engagement</w:t>
      </w:r>
      <w:bookmarkEnd w:id="8"/>
    </w:p>
    <w:p w14:paraId="6ECCFA4E" w14:textId="50D5140B" w:rsidR="005E0A02" w:rsidRPr="0054572F" w:rsidRDefault="001B5F29"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The International Association of Public Participation (IAP2) Spectrum of Public Participation, used in Week 5, Slide 11, offers a progressive tool for identifying the level of engagement that should be used with each group of stakeholders. The five levels Inform, Consult, Involve, Collaborate, and Empower indicate the rising levels of stakeholder involvement and decision-making (IAP2, 2018). Engagement maturity cannot be attained by the same strategy for all stakeholders, but by establishing the level of engagement depending on the stakeholder position, interest, and ability to contribute to the project's success (Bourne 2015).</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108"/>
        <w:gridCol w:w="2219"/>
        <w:gridCol w:w="2108"/>
        <w:gridCol w:w="2591"/>
      </w:tblGrid>
      <w:tr w:rsidR="003F0AC7" w:rsidRPr="0054572F" w14:paraId="530581B8" w14:textId="77777777" w:rsidTr="00C51021">
        <w:tc>
          <w:tcPr>
            <w:tcW w:w="19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48AB74FA"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Engagement Level</w:t>
            </w:r>
          </w:p>
        </w:tc>
        <w:tc>
          <w:tcPr>
            <w:tcW w:w="23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74B3715C"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Definition</w:t>
            </w:r>
          </w:p>
        </w:tc>
        <w:tc>
          <w:tcPr>
            <w:tcW w:w="2163"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2310CEC2"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Stakeholder Group</w:t>
            </w:r>
          </w:p>
        </w:tc>
        <w:tc>
          <w:tcPr>
            <w:tcW w:w="2663"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56D8B786"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Application to ConnectSense™ Project</w:t>
            </w:r>
          </w:p>
        </w:tc>
      </w:tr>
      <w:tr w:rsidR="003F0AC7" w:rsidRPr="0054572F" w14:paraId="094B9BCA" w14:textId="77777777" w:rsidTr="00C51021">
        <w:tc>
          <w:tcPr>
            <w:tcW w:w="1900" w:type="dxa"/>
            <w:tcBorders>
              <w:top w:val="single" w:sz="4" w:space="0" w:color="9DC3E6"/>
              <w:left w:val="single" w:sz="4" w:space="0" w:color="9DC3E6"/>
              <w:bottom w:val="single" w:sz="4" w:space="0" w:color="9DC3E6"/>
              <w:right w:val="single" w:sz="4" w:space="0" w:color="9DC3E6"/>
            </w:tcBorders>
            <w:shd w:val="clear" w:color="auto" w:fill="E3F2FD"/>
            <w:tcMar>
              <w:top w:w="80" w:type="dxa"/>
              <w:left w:w="120" w:type="dxa"/>
              <w:bottom w:w="80" w:type="dxa"/>
              <w:right w:w="120" w:type="dxa"/>
            </w:tcMar>
            <w:vAlign w:val="center"/>
          </w:tcPr>
          <w:p w14:paraId="154E5B38"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INFORM</w:t>
            </w:r>
          </w:p>
        </w:tc>
        <w:tc>
          <w:tcPr>
            <w:tcW w:w="2300" w:type="dxa"/>
            <w:tcBorders>
              <w:top w:val="single" w:sz="4" w:space="0" w:color="9DC3E6"/>
              <w:left w:val="single" w:sz="4" w:space="0" w:color="9DC3E6"/>
              <w:bottom w:val="single" w:sz="4" w:space="0" w:color="9DC3E6"/>
              <w:right w:val="single" w:sz="4" w:space="0" w:color="9DC3E6"/>
            </w:tcBorders>
            <w:shd w:val="clear" w:color="auto" w:fill="E3F2FD"/>
            <w:tcMar>
              <w:top w:w="80" w:type="dxa"/>
              <w:left w:w="120" w:type="dxa"/>
              <w:bottom w:w="80" w:type="dxa"/>
              <w:right w:w="120" w:type="dxa"/>
            </w:tcMar>
            <w:vAlign w:val="center"/>
          </w:tcPr>
          <w:p w14:paraId="7A0E31FB"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 xml:space="preserve">Provide balanced, objective information to enable stakeholders </w:t>
            </w:r>
            <w:r w:rsidRPr="0054572F">
              <w:rPr>
                <w:rFonts w:ascii="Times New Roman" w:eastAsia="Arial" w:hAnsi="Times New Roman" w:cs="Times New Roman"/>
                <w:sz w:val="24"/>
                <w:szCs w:val="24"/>
              </w:rPr>
              <w:lastRenderedPageBreak/>
              <w:t>to understand the project</w:t>
            </w:r>
          </w:p>
        </w:tc>
        <w:tc>
          <w:tcPr>
            <w:tcW w:w="2163" w:type="dxa"/>
            <w:tcBorders>
              <w:top w:val="single" w:sz="4" w:space="0" w:color="9DC3E6"/>
              <w:left w:val="single" w:sz="4" w:space="0" w:color="9DC3E6"/>
              <w:bottom w:val="single" w:sz="4" w:space="0" w:color="9DC3E6"/>
              <w:right w:val="single" w:sz="4" w:space="0" w:color="9DC3E6"/>
            </w:tcBorders>
            <w:shd w:val="clear" w:color="auto" w:fill="E3F2FD"/>
            <w:tcMar>
              <w:top w:w="80" w:type="dxa"/>
              <w:left w:w="120" w:type="dxa"/>
              <w:bottom w:w="80" w:type="dxa"/>
              <w:right w:w="120" w:type="dxa"/>
            </w:tcMar>
            <w:vAlign w:val="center"/>
          </w:tcPr>
          <w:p w14:paraId="0DA064B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lastRenderedPageBreak/>
              <w:t>MHRA, General Public, Media</w:t>
            </w:r>
          </w:p>
        </w:tc>
        <w:tc>
          <w:tcPr>
            <w:tcW w:w="2663" w:type="dxa"/>
            <w:tcBorders>
              <w:top w:val="single" w:sz="4" w:space="0" w:color="9DC3E6"/>
              <w:left w:val="single" w:sz="4" w:space="0" w:color="9DC3E6"/>
              <w:bottom w:val="single" w:sz="4" w:space="0" w:color="9DC3E6"/>
              <w:right w:val="single" w:sz="4" w:space="0" w:color="9DC3E6"/>
            </w:tcBorders>
            <w:shd w:val="clear" w:color="auto" w:fill="E3F2FD"/>
            <w:tcMar>
              <w:top w:w="80" w:type="dxa"/>
              <w:left w:w="120" w:type="dxa"/>
              <w:bottom w:w="80" w:type="dxa"/>
              <w:right w:w="120" w:type="dxa"/>
            </w:tcMar>
            <w:vAlign w:val="center"/>
          </w:tcPr>
          <w:p w14:paraId="5D43B38A"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 xml:space="preserve">Regulatory submissions, press releases, public health </w:t>
            </w:r>
            <w:r w:rsidRPr="0054572F">
              <w:rPr>
                <w:rFonts w:ascii="Times New Roman" w:eastAsia="Arial" w:hAnsi="Times New Roman" w:cs="Times New Roman"/>
                <w:sz w:val="24"/>
                <w:szCs w:val="24"/>
              </w:rPr>
              <w:lastRenderedPageBreak/>
              <w:t>communications and announcements</w:t>
            </w:r>
          </w:p>
        </w:tc>
      </w:tr>
      <w:tr w:rsidR="003F0AC7" w:rsidRPr="0054572F" w14:paraId="37DADE87" w14:textId="77777777" w:rsidTr="00C51021">
        <w:tc>
          <w:tcPr>
            <w:tcW w:w="1900" w:type="dxa"/>
            <w:tcBorders>
              <w:top w:val="single" w:sz="4" w:space="0" w:color="9DC3E6"/>
              <w:left w:val="single" w:sz="4" w:space="0" w:color="9DC3E6"/>
              <w:bottom w:val="single" w:sz="4" w:space="0" w:color="9DC3E6"/>
              <w:right w:val="single" w:sz="4" w:space="0" w:color="9DC3E6"/>
            </w:tcBorders>
            <w:shd w:val="clear" w:color="auto" w:fill="E8F5E9"/>
            <w:tcMar>
              <w:top w:w="80" w:type="dxa"/>
              <w:left w:w="120" w:type="dxa"/>
              <w:bottom w:w="80" w:type="dxa"/>
              <w:right w:w="120" w:type="dxa"/>
            </w:tcMar>
            <w:vAlign w:val="center"/>
          </w:tcPr>
          <w:p w14:paraId="34A4420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lastRenderedPageBreak/>
              <w:t>CONSULT</w:t>
            </w:r>
          </w:p>
        </w:tc>
        <w:tc>
          <w:tcPr>
            <w:tcW w:w="2300" w:type="dxa"/>
            <w:tcBorders>
              <w:top w:val="single" w:sz="4" w:space="0" w:color="9DC3E6"/>
              <w:left w:val="single" w:sz="4" w:space="0" w:color="9DC3E6"/>
              <w:bottom w:val="single" w:sz="4" w:space="0" w:color="9DC3E6"/>
              <w:right w:val="single" w:sz="4" w:space="0" w:color="9DC3E6"/>
            </w:tcBorders>
            <w:shd w:val="clear" w:color="auto" w:fill="E8F5E9"/>
            <w:tcMar>
              <w:top w:w="80" w:type="dxa"/>
              <w:left w:w="120" w:type="dxa"/>
              <w:bottom w:w="80" w:type="dxa"/>
              <w:right w:w="120" w:type="dxa"/>
            </w:tcMar>
            <w:vAlign w:val="center"/>
          </w:tcPr>
          <w:p w14:paraId="1C855EAF"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Obtain stakeholder feedback and input to ensure concerns are understood and considered</w:t>
            </w:r>
          </w:p>
        </w:tc>
        <w:tc>
          <w:tcPr>
            <w:tcW w:w="2163" w:type="dxa"/>
            <w:tcBorders>
              <w:top w:val="single" w:sz="4" w:space="0" w:color="9DC3E6"/>
              <w:left w:val="single" w:sz="4" w:space="0" w:color="9DC3E6"/>
              <w:bottom w:val="single" w:sz="4" w:space="0" w:color="9DC3E6"/>
              <w:right w:val="single" w:sz="4" w:space="0" w:color="9DC3E6"/>
            </w:tcBorders>
            <w:shd w:val="clear" w:color="auto" w:fill="E8F5E9"/>
            <w:tcMar>
              <w:top w:w="80" w:type="dxa"/>
              <w:left w:w="120" w:type="dxa"/>
              <w:bottom w:w="80" w:type="dxa"/>
              <w:right w:w="120" w:type="dxa"/>
            </w:tcMar>
            <w:vAlign w:val="center"/>
          </w:tcPr>
          <w:p w14:paraId="438E2123"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Healthcare Professionals, Patients, NHS Trusts</w:t>
            </w:r>
          </w:p>
        </w:tc>
        <w:tc>
          <w:tcPr>
            <w:tcW w:w="2663" w:type="dxa"/>
            <w:tcBorders>
              <w:top w:val="single" w:sz="4" w:space="0" w:color="9DC3E6"/>
              <w:left w:val="single" w:sz="4" w:space="0" w:color="9DC3E6"/>
              <w:bottom w:val="single" w:sz="4" w:space="0" w:color="9DC3E6"/>
              <w:right w:val="single" w:sz="4" w:space="0" w:color="9DC3E6"/>
            </w:tcBorders>
            <w:shd w:val="clear" w:color="auto" w:fill="E8F5E9"/>
            <w:tcMar>
              <w:top w:w="80" w:type="dxa"/>
              <w:left w:w="120" w:type="dxa"/>
              <w:bottom w:w="80" w:type="dxa"/>
              <w:right w:w="120" w:type="dxa"/>
            </w:tcMar>
            <w:vAlign w:val="center"/>
          </w:tcPr>
          <w:p w14:paraId="3E9A1315"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User experience testing, clinical feasibility consultations, advisory panels</w:t>
            </w:r>
          </w:p>
        </w:tc>
      </w:tr>
      <w:tr w:rsidR="003F0AC7" w:rsidRPr="0054572F" w14:paraId="77817DC1" w14:textId="77777777" w:rsidTr="00C51021">
        <w:tc>
          <w:tcPr>
            <w:tcW w:w="1900" w:type="dxa"/>
            <w:tcBorders>
              <w:top w:val="single" w:sz="4" w:space="0" w:color="9DC3E6"/>
              <w:left w:val="single" w:sz="4" w:space="0" w:color="9DC3E6"/>
              <w:bottom w:val="single" w:sz="4" w:space="0" w:color="9DC3E6"/>
              <w:right w:val="single" w:sz="4" w:space="0" w:color="9DC3E6"/>
            </w:tcBorders>
            <w:shd w:val="clear" w:color="auto" w:fill="FFF3E0"/>
            <w:tcMar>
              <w:top w:w="80" w:type="dxa"/>
              <w:left w:w="120" w:type="dxa"/>
              <w:bottom w:w="80" w:type="dxa"/>
              <w:right w:w="120" w:type="dxa"/>
            </w:tcMar>
            <w:vAlign w:val="center"/>
          </w:tcPr>
          <w:p w14:paraId="6297A8F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INVOLVE</w:t>
            </w:r>
          </w:p>
        </w:tc>
        <w:tc>
          <w:tcPr>
            <w:tcW w:w="2300" w:type="dxa"/>
            <w:tcBorders>
              <w:top w:val="single" w:sz="4" w:space="0" w:color="9DC3E6"/>
              <w:left w:val="single" w:sz="4" w:space="0" w:color="9DC3E6"/>
              <w:bottom w:val="single" w:sz="4" w:space="0" w:color="9DC3E6"/>
              <w:right w:val="single" w:sz="4" w:space="0" w:color="9DC3E6"/>
            </w:tcBorders>
            <w:shd w:val="clear" w:color="auto" w:fill="FFF3E0"/>
            <w:tcMar>
              <w:top w:w="80" w:type="dxa"/>
              <w:left w:w="120" w:type="dxa"/>
              <w:bottom w:w="80" w:type="dxa"/>
              <w:right w:w="120" w:type="dxa"/>
            </w:tcMar>
            <w:vAlign w:val="center"/>
          </w:tcPr>
          <w:p w14:paraId="6F3A40AE"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Work directly with stakeholders throughout the project to incorporate their perspectives</w:t>
            </w:r>
          </w:p>
        </w:tc>
        <w:tc>
          <w:tcPr>
            <w:tcW w:w="2163" w:type="dxa"/>
            <w:tcBorders>
              <w:top w:val="single" w:sz="4" w:space="0" w:color="9DC3E6"/>
              <w:left w:val="single" w:sz="4" w:space="0" w:color="9DC3E6"/>
              <w:bottom w:val="single" w:sz="4" w:space="0" w:color="9DC3E6"/>
              <w:right w:val="single" w:sz="4" w:space="0" w:color="9DC3E6"/>
            </w:tcBorders>
            <w:shd w:val="clear" w:color="auto" w:fill="FFF3E0"/>
            <w:tcMar>
              <w:top w:w="80" w:type="dxa"/>
              <w:left w:w="120" w:type="dxa"/>
              <w:bottom w:w="80" w:type="dxa"/>
              <w:right w:w="120" w:type="dxa"/>
            </w:tcMar>
            <w:vAlign w:val="center"/>
          </w:tcPr>
          <w:p w14:paraId="28D0467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Clinical Affairs Team, IT / Digital Health Team, Marketing</w:t>
            </w:r>
          </w:p>
        </w:tc>
        <w:tc>
          <w:tcPr>
            <w:tcW w:w="2663" w:type="dxa"/>
            <w:tcBorders>
              <w:top w:val="single" w:sz="4" w:space="0" w:color="9DC3E6"/>
              <w:left w:val="single" w:sz="4" w:space="0" w:color="9DC3E6"/>
              <w:bottom w:val="single" w:sz="4" w:space="0" w:color="9DC3E6"/>
              <w:right w:val="single" w:sz="4" w:space="0" w:color="9DC3E6"/>
            </w:tcBorders>
            <w:shd w:val="clear" w:color="auto" w:fill="FFF3E0"/>
            <w:tcMar>
              <w:top w:w="80" w:type="dxa"/>
              <w:left w:w="120" w:type="dxa"/>
              <w:bottom w:w="80" w:type="dxa"/>
              <w:right w:w="120" w:type="dxa"/>
            </w:tcMar>
            <w:vAlign w:val="center"/>
          </w:tcPr>
          <w:p w14:paraId="592B91B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Co-design of clinical protocols, integration architecture reviews, brand co-creation workshops</w:t>
            </w:r>
          </w:p>
        </w:tc>
      </w:tr>
      <w:tr w:rsidR="003F0AC7" w:rsidRPr="0054572F" w14:paraId="6BA2AFEA" w14:textId="77777777" w:rsidTr="00C51021">
        <w:tc>
          <w:tcPr>
            <w:tcW w:w="1900" w:type="dxa"/>
            <w:tcBorders>
              <w:top w:val="single" w:sz="4" w:space="0" w:color="9DC3E6"/>
              <w:left w:val="single" w:sz="4" w:space="0" w:color="9DC3E6"/>
              <w:bottom w:val="single" w:sz="4" w:space="0" w:color="9DC3E6"/>
              <w:right w:val="single" w:sz="4" w:space="0" w:color="9DC3E6"/>
            </w:tcBorders>
            <w:shd w:val="clear" w:color="auto" w:fill="FCE4EC"/>
            <w:tcMar>
              <w:top w:w="80" w:type="dxa"/>
              <w:left w:w="120" w:type="dxa"/>
              <w:bottom w:w="80" w:type="dxa"/>
              <w:right w:w="120" w:type="dxa"/>
            </w:tcMar>
            <w:vAlign w:val="center"/>
          </w:tcPr>
          <w:p w14:paraId="3DC24D6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COLLABORATE</w:t>
            </w:r>
          </w:p>
        </w:tc>
        <w:tc>
          <w:tcPr>
            <w:tcW w:w="2300" w:type="dxa"/>
            <w:tcBorders>
              <w:top w:val="single" w:sz="4" w:space="0" w:color="9DC3E6"/>
              <w:left w:val="single" w:sz="4" w:space="0" w:color="9DC3E6"/>
              <w:bottom w:val="single" w:sz="4" w:space="0" w:color="9DC3E6"/>
              <w:right w:val="single" w:sz="4" w:space="0" w:color="9DC3E6"/>
            </w:tcBorders>
            <w:shd w:val="clear" w:color="auto" w:fill="FCE4EC"/>
            <w:tcMar>
              <w:top w:w="80" w:type="dxa"/>
              <w:left w:w="120" w:type="dxa"/>
              <w:bottom w:w="80" w:type="dxa"/>
              <w:right w:w="120" w:type="dxa"/>
            </w:tcMar>
            <w:vAlign w:val="center"/>
          </w:tcPr>
          <w:p w14:paraId="621F23E1"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Partner with stakeholders in each aspect of the decision-making process, including developing alternatives</w:t>
            </w:r>
          </w:p>
        </w:tc>
        <w:tc>
          <w:tcPr>
            <w:tcW w:w="2163" w:type="dxa"/>
            <w:tcBorders>
              <w:top w:val="single" w:sz="4" w:space="0" w:color="9DC3E6"/>
              <w:left w:val="single" w:sz="4" w:space="0" w:color="9DC3E6"/>
              <w:bottom w:val="single" w:sz="4" w:space="0" w:color="9DC3E6"/>
              <w:right w:val="single" w:sz="4" w:space="0" w:color="9DC3E6"/>
            </w:tcBorders>
            <w:shd w:val="clear" w:color="auto" w:fill="FCE4EC"/>
            <w:tcMar>
              <w:top w:w="80" w:type="dxa"/>
              <w:left w:w="120" w:type="dxa"/>
              <w:bottom w:w="80" w:type="dxa"/>
              <w:right w:w="120" w:type="dxa"/>
            </w:tcMar>
            <w:vAlign w:val="center"/>
          </w:tcPr>
          <w:p w14:paraId="5FB05DEE"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Product Development, Regulatory Affairs, NHS Trust Clinical Leads</w:t>
            </w:r>
          </w:p>
        </w:tc>
        <w:tc>
          <w:tcPr>
            <w:tcW w:w="2663" w:type="dxa"/>
            <w:tcBorders>
              <w:top w:val="single" w:sz="4" w:space="0" w:color="9DC3E6"/>
              <w:left w:val="single" w:sz="4" w:space="0" w:color="9DC3E6"/>
              <w:bottom w:val="single" w:sz="4" w:space="0" w:color="9DC3E6"/>
              <w:right w:val="single" w:sz="4" w:space="0" w:color="9DC3E6"/>
            </w:tcBorders>
            <w:shd w:val="clear" w:color="auto" w:fill="FCE4EC"/>
            <w:tcMar>
              <w:top w:w="80" w:type="dxa"/>
              <w:left w:w="120" w:type="dxa"/>
              <w:bottom w:w="80" w:type="dxa"/>
              <w:right w:w="120" w:type="dxa"/>
            </w:tcMar>
            <w:vAlign w:val="center"/>
          </w:tcPr>
          <w:p w14:paraId="0C106295"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Joint project governance, shared risk registers, co-authored regulatory evidence packages</w:t>
            </w:r>
          </w:p>
        </w:tc>
      </w:tr>
      <w:tr w:rsidR="003F0AC7" w:rsidRPr="0054572F" w14:paraId="2B8BA0E9" w14:textId="77777777" w:rsidTr="00C51021">
        <w:tc>
          <w:tcPr>
            <w:tcW w:w="1900" w:type="dxa"/>
            <w:tcBorders>
              <w:top w:val="single" w:sz="4" w:space="0" w:color="9DC3E6"/>
              <w:left w:val="single" w:sz="4" w:space="0" w:color="9DC3E6"/>
              <w:bottom w:val="single" w:sz="4" w:space="0" w:color="9DC3E6"/>
              <w:right w:val="single" w:sz="4" w:space="0" w:color="9DC3E6"/>
            </w:tcBorders>
            <w:shd w:val="clear" w:color="auto" w:fill="EDE7F6"/>
            <w:tcMar>
              <w:top w:w="80" w:type="dxa"/>
              <w:left w:w="120" w:type="dxa"/>
              <w:bottom w:w="80" w:type="dxa"/>
              <w:right w:w="120" w:type="dxa"/>
            </w:tcMar>
            <w:vAlign w:val="center"/>
          </w:tcPr>
          <w:p w14:paraId="5B439047"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EMPOWER</w:t>
            </w:r>
          </w:p>
        </w:tc>
        <w:tc>
          <w:tcPr>
            <w:tcW w:w="2300" w:type="dxa"/>
            <w:tcBorders>
              <w:top w:val="single" w:sz="4" w:space="0" w:color="9DC3E6"/>
              <w:left w:val="single" w:sz="4" w:space="0" w:color="9DC3E6"/>
              <w:bottom w:val="single" w:sz="4" w:space="0" w:color="9DC3E6"/>
              <w:right w:val="single" w:sz="4" w:space="0" w:color="9DC3E6"/>
            </w:tcBorders>
            <w:shd w:val="clear" w:color="auto" w:fill="EDE7F6"/>
            <w:tcMar>
              <w:top w:w="80" w:type="dxa"/>
              <w:left w:w="120" w:type="dxa"/>
              <w:bottom w:w="80" w:type="dxa"/>
              <w:right w:w="120" w:type="dxa"/>
            </w:tcMar>
            <w:vAlign w:val="center"/>
          </w:tcPr>
          <w:p w14:paraId="4A02DFC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Final decision-making is delegated to the stakeholder group, with commitment to implement their decision</w:t>
            </w:r>
          </w:p>
        </w:tc>
        <w:tc>
          <w:tcPr>
            <w:tcW w:w="2163" w:type="dxa"/>
            <w:tcBorders>
              <w:top w:val="single" w:sz="4" w:space="0" w:color="9DC3E6"/>
              <w:left w:val="single" w:sz="4" w:space="0" w:color="9DC3E6"/>
              <w:bottom w:val="single" w:sz="4" w:space="0" w:color="9DC3E6"/>
              <w:right w:val="single" w:sz="4" w:space="0" w:color="9DC3E6"/>
            </w:tcBorders>
            <w:shd w:val="clear" w:color="auto" w:fill="EDE7F6"/>
            <w:tcMar>
              <w:top w:w="80" w:type="dxa"/>
              <w:left w:w="120" w:type="dxa"/>
              <w:bottom w:w="80" w:type="dxa"/>
              <w:right w:w="120" w:type="dxa"/>
            </w:tcMar>
            <w:vAlign w:val="center"/>
          </w:tcPr>
          <w:p w14:paraId="6B4F323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Senior Leadership / Board</w:t>
            </w:r>
          </w:p>
        </w:tc>
        <w:tc>
          <w:tcPr>
            <w:tcW w:w="2663" w:type="dxa"/>
            <w:tcBorders>
              <w:top w:val="single" w:sz="4" w:space="0" w:color="9DC3E6"/>
              <w:left w:val="single" w:sz="4" w:space="0" w:color="9DC3E6"/>
              <w:bottom w:val="single" w:sz="4" w:space="0" w:color="9DC3E6"/>
              <w:right w:val="single" w:sz="4" w:space="0" w:color="9DC3E6"/>
            </w:tcBorders>
            <w:shd w:val="clear" w:color="auto" w:fill="EDE7F6"/>
            <w:tcMar>
              <w:top w:w="80" w:type="dxa"/>
              <w:left w:w="120" w:type="dxa"/>
              <w:bottom w:w="80" w:type="dxa"/>
              <w:right w:w="120" w:type="dxa"/>
            </w:tcMar>
            <w:vAlign w:val="center"/>
          </w:tcPr>
          <w:p w14:paraId="5846B49C"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Strategic direction, major capital investment decisions, project go/no-go gate approvals</w:t>
            </w:r>
          </w:p>
        </w:tc>
      </w:tr>
    </w:tbl>
    <w:p w14:paraId="26A8D520" w14:textId="77777777"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t>Table 6: Level of Engagement Framework (adapted from IAP2, 2018; Week 5, Slide 11; Bourne, 2015)</w:t>
      </w:r>
    </w:p>
    <w:p w14:paraId="3604F53B" w14:textId="336C0C86" w:rsidR="005E0A02" w:rsidRPr="0054572F" w:rsidRDefault="00FA51F3" w:rsidP="0054572F">
      <w:pPr>
        <w:pStyle w:val="Heading2"/>
        <w:spacing w:line="360" w:lineRule="auto"/>
        <w:rPr>
          <w:rFonts w:ascii="Times New Roman" w:hAnsi="Times New Roman" w:cs="Times New Roman"/>
          <w:color w:val="auto"/>
        </w:rPr>
      </w:pPr>
      <w:bookmarkStart w:id="9" w:name="_Toc227403694"/>
      <w:r w:rsidRPr="0054572F">
        <w:rPr>
          <w:rFonts w:ascii="Times New Roman" w:hAnsi="Times New Roman" w:cs="Times New Roman"/>
          <w:color w:val="auto"/>
        </w:rPr>
        <w:lastRenderedPageBreak/>
        <w:t>4.3 RACI</w:t>
      </w:r>
      <w:r w:rsidR="005E0A02" w:rsidRPr="0054572F">
        <w:rPr>
          <w:rFonts w:ascii="Times New Roman" w:hAnsi="Times New Roman" w:cs="Times New Roman"/>
          <w:color w:val="auto"/>
        </w:rPr>
        <w:t xml:space="preserve"> Matrix</w:t>
      </w:r>
      <w:bookmarkEnd w:id="9"/>
    </w:p>
    <w:p w14:paraId="7740B2A5" w14:textId="3356A5F7" w:rsidR="005E0A02" w:rsidRPr="0054572F" w:rsidRDefault="004C38E6"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RACI Matrix (Responsible, Accountable, Consulted, Informed) is a project management governance model that establishes the roles and responsibilities of each of the stakeholder groups in the most important project activities (Kerzner, 2017). Role assignment provides clarity that avoids duplication of efforts and eradicates the role ambiguity that Turner (2014) lists as one of the primary reasons behind failure in multi-stakeholder complex projects. The following matrix corresponds to the framework in Week 6, Slide 15:</w:t>
      </w:r>
    </w:p>
    <w:tbl>
      <w:tblPr>
        <w:tblW w:w="93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62"/>
        <w:gridCol w:w="1018"/>
        <w:gridCol w:w="1207"/>
        <w:gridCol w:w="929"/>
        <w:gridCol w:w="907"/>
        <w:gridCol w:w="1196"/>
        <w:gridCol w:w="818"/>
        <w:gridCol w:w="1151"/>
        <w:gridCol w:w="796"/>
      </w:tblGrid>
      <w:tr w:rsidR="006A5E46" w:rsidRPr="006A5E46" w14:paraId="37B8C15C" w14:textId="77777777" w:rsidTr="006A5E46">
        <w:trPr>
          <w:trHeight w:val="1153"/>
        </w:trPr>
        <w:tc>
          <w:tcPr>
            <w:tcW w:w="1295"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08125875" w14:textId="77777777" w:rsidR="005E0A02" w:rsidRPr="006A5E46" w:rsidRDefault="005E0A02" w:rsidP="0054572F">
            <w:pPr>
              <w:spacing w:line="360" w:lineRule="auto"/>
              <w:jc w:val="center"/>
              <w:rPr>
                <w:rFonts w:ascii="Times New Roman" w:hAnsi="Times New Roman" w:cs="Times New Roman"/>
                <w:color w:val="FFFFFF" w:themeColor="background1"/>
                <w:sz w:val="20"/>
                <w:szCs w:val="20"/>
              </w:rPr>
            </w:pPr>
            <w:r w:rsidRPr="006A5E46">
              <w:rPr>
                <w:rFonts w:ascii="Times New Roman" w:eastAsia="Arial" w:hAnsi="Times New Roman" w:cs="Times New Roman"/>
                <w:b/>
                <w:bCs/>
                <w:color w:val="FFFFFF" w:themeColor="background1"/>
                <w:sz w:val="20"/>
                <w:szCs w:val="20"/>
              </w:rPr>
              <w:t>Project Activity</w:t>
            </w:r>
          </w:p>
        </w:tc>
        <w:tc>
          <w:tcPr>
            <w:tcW w:w="968"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42D8455D" w14:textId="77777777" w:rsidR="005E0A02" w:rsidRPr="006A5E46" w:rsidRDefault="005E0A02" w:rsidP="0054572F">
            <w:pPr>
              <w:spacing w:line="360" w:lineRule="auto"/>
              <w:jc w:val="center"/>
              <w:rPr>
                <w:rFonts w:ascii="Times New Roman" w:hAnsi="Times New Roman" w:cs="Times New Roman"/>
                <w:color w:val="FFFFFF" w:themeColor="background1"/>
                <w:sz w:val="20"/>
                <w:szCs w:val="20"/>
              </w:rPr>
            </w:pPr>
            <w:r w:rsidRPr="006A5E46">
              <w:rPr>
                <w:rFonts w:ascii="Times New Roman" w:eastAsia="Arial" w:hAnsi="Times New Roman" w:cs="Times New Roman"/>
                <w:b/>
                <w:bCs/>
                <w:color w:val="FFFFFF" w:themeColor="background1"/>
                <w:sz w:val="20"/>
                <w:szCs w:val="20"/>
              </w:rPr>
              <w:t>Project Manager</w:t>
            </w:r>
          </w:p>
        </w:tc>
        <w:tc>
          <w:tcPr>
            <w:tcW w:w="1147"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7DE9D7D9" w14:textId="77777777" w:rsidR="005E0A02" w:rsidRPr="006A5E46" w:rsidRDefault="005E0A02" w:rsidP="0054572F">
            <w:pPr>
              <w:spacing w:line="360" w:lineRule="auto"/>
              <w:jc w:val="center"/>
              <w:rPr>
                <w:rFonts w:ascii="Times New Roman" w:hAnsi="Times New Roman" w:cs="Times New Roman"/>
                <w:color w:val="FFFFFF" w:themeColor="background1"/>
                <w:sz w:val="20"/>
                <w:szCs w:val="20"/>
              </w:rPr>
            </w:pPr>
            <w:r w:rsidRPr="006A5E46">
              <w:rPr>
                <w:rFonts w:ascii="Times New Roman" w:eastAsia="Arial" w:hAnsi="Times New Roman" w:cs="Times New Roman"/>
                <w:b/>
                <w:bCs/>
                <w:color w:val="FFFFFF" w:themeColor="background1"/>
                <w:sz w:val="20"/>
                <w:szCs w:val="20"/>
              </w:rPr>
              <w:t>Senior Leadership</w:t>
            </w:r>
          </w:p>
        </w:tc>
        <w:tc>
          <w:tcPr>
            <w:tcW w:w="883"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0F0AA296" w14:textId="77777777" w:rsidR="005E0A02" w:rsidRPr="006A5E46" w:rsidRDefault="005E0A02" w:rsidP="0054572F">
            <w:pPr>
              <w:spacing w:line="360" w:lineRule="auto"/>
              <w:jc w:val="center"/>
              <w:rPr>
                <w:rFonts w:ascii="Times New Roman" w:hAnsi="Times New Roman" w:cs="Times New Roman"/>
                <w:color w:val="FFFFFF" w:themeColor="background1"/>
                <w:sz w:val="20"/>
                <w:szCs w:val="20"/>
              </w:rPr>
            </w:pPr>
            <w:r w:rsidRPr="006A5E46">
              <w:rPr>
                <w:rFonts w:ascii="Times New Roman" w:eastAsia="Arial" w:hAnsi="Times New Roman" w:cs="Times New Roman"/>
                <w:b/>
                <w:bCs/>
                <w:color w:val="FFFFFF" w:themeColor="background1"/>
                <w:sz w:val="20"/>
                <w:szCs w:val="20"/>
              </w:rPr>
              <w:t>Product Dev.</w:t>
            </w:r>
          </w:p>
        </w:tc>
        <w:tc>
          <w:tcPr>
            <w:tcW w:w="862"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260C069F" w14:textId="77777777" w:rsidR="005E0A02" w:rsidRPr="006A5E46" w:rsidRDefault="005E0A02" w:rsidP="0054572F">
            <w:pPr>
              <w:spacing w:line="360" w:lineRule="auto"/>
              <w:jc w:val="center"/>
              <w:rPr>
                <w:rFonts w:ascii="Times New Roman" w:hAnsi="Times New Roman" w:cs="Times New Roman"/>
                <w:color w:val="FFFFFF" w:themeColor="background1"/>
                <w:sz w:val="20"/>
                <w:szCs w:val="20"/>
              </w:rPr>
            </w:pPr>
            <w:r w:rsidRPr="006A5E46">
              <w:rPr>
                <w:rFonts w:ascii="Times New Roman" w:eastAsia="Arial" w:hAnsi="Times New Roman" w:cs="Times New Roman"/>
                <w:b/>
                <w:bCs/>
                <w:color w:val="FFFFFF" w:themeColor="background1"/>
                <w:sz w:val="20"/>
                <w:szCs w:val="20"/>
              </w:rPr>
              <w:t>Clinical Affairs</w:t>
            </w:r>
          </w:p>
        </w:tc>
        <w:tc>
          <w:tcPr>
            <w:tcW w:w="1137"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3666C918" w14:textId="77777777" w:rsidR="005E0A02" w:rsidRPr="006A5E46" w:rsidRDefault="005E0A02" w:rsidP="0054572F">
            <w:pPr>
              <w:spacing w:line="360" w:lineRule="auto"/>
              <w:jc w:val="center"/>
              <w:rPr>
                <w:rFonts w:ascii="Times New Roman" w:hAnsi="Times New Roman" w:cs="Times New Roman"/>
                <w:color w:val="FFFFFF" w:themeColor="background1"/>
                <w:sz w:val="20"/>
                <w:szCs w:val="20"/>
              </w:rPr>
            </w:pPr>
            <w:r w:rsidRPr="006A5E46">
              <w:rPr>
                <w:rFonts w:ascii="Times New Roman" w:eastAsia="Arial" w:hAnsi="Times New Roman" w:cs="Times New Roman"/>
                <w:b/>
                <w:bCs/>
                <w:color w:val="FFFFFF" w:themeColor="background1"/>
                <w:sz w:val="20"/>
                <w:szCs w:val="20"/>
              </w:rPr>
              <w:t>Regulatory Affairs</w:t>
            </w:r>
          </w:p>
        </w:tc>
        <w:tc>
          <w:tcPr>
            <w:tcW w:w="777"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203D7490" w14:textId="77777777" w:rsidR="005E0A02" w:rsidRPr="006A5E46" w:rsidRDefault="005E0A02" w:rsidP="0054572F">
            <w:pPr>
              <w:spacing w:line="360" w:lineRule="auto"/>
              <w:jc w:val="center"/>
              <w:rPr>
                <w:rFonts w:ascii="Times New Roman" w:hAnsi="Times New Roman" w:cs="Times New Roman"/>
                <w:color w:val="FFFFFF" w:themeColor="background1"/>
                <w:sz w:val="20"/>
                <w:szCs w:val="20"/>
              </w:rPr>
            </w:pPr>
            <w:r w:rsidRPr="006A5E46">
              <w:rPr>
                <w:rFonts w:ascii="Times New Roman" w:eastAsia="Arial" w:hAnsi="Times New Roman" w:cs="Times New Roman"/>
                <w:b/>
                <w:bCs/>
                <w:color w:val="FFFFFF" w:themeColor="background1"/>
                <w:sz w:val="20"/>
                <w:szCs w:val="20"/>
              </w:rPr>
              <w:t>IT / Digital Team</w:t>
            </w:r>
          </w:p>
        </w:tc>
        <w:tc>
          <w:tcPr>
            <w:tcW w:w="1094"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70AD7FCB" w14:textId="77777777" w:rsidR="005E0A02" w:rsidRPr="006A5E46" w:rsidRDefault="005E0A02" w:rsidP="0054572F">
            <w:pPr>
              <w:spacing w:line="360" w:lineRule="auto"/>
              <w:jc w:val="center"/>
              <w:rPr>
                <w:rFonts w:ascii="Times New Roman" w:hAnsi="Times New Roman" w:cs="Times New Roman"/>
                <w:color w:val="FFFFFF" w:themeColor="background1"/>
                <w:sz w:val="20"/>
                <w:szCs w:val="20"/>
              </w:rPr>
            </w:pPr>
            <w:r w:rsidRPr="006A5E46">
              <w:rPr>
                <w:rFonts w:ascii="Times New Roman" w:eastAsia="Arial" w:hAnsi="Times New Roman" w:cs="Times New Roman"/>
                <w:b/>
                <w:bCs/>
                <w:color w:val="FFFFFF" w:themeColor="background1"/>
                <w:sz w:val="20"/>
                <w:szCs w:val="20"/>
              </w:rPr>
              <w:t>Marketing</w:t>
            </w:r>
          </w:p>
        </w:tc>
        <w:tc>
          <w:tcPr>
            <w:tcW w:w="1157"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4B0C7386" w14:textId="77777777" w:rsidR="005E0A02" w:rsidRPr="006A5E46" w:rsidRDefault="005E0A02" w:rsidP="0054572F">
            <w:pPr>
              <w:spacing w:line="360" w:lineRule="auto"/>
              <w:jc w:val="center"/>
              <w:rPr>
                <w:rFonts w:ascii="Times New Roman" w:hAnsi="Times New Roman" w:cs="Times New Roman"/>
                <w:color w:val="FFFFFF" w:themeColor="background1"/>
                <w:sz w:val="20"/>
                <w:szCs w:val="20"/>
              </w:rPr>
            </w:pPr>
            <w:r w:rsidRPr="006A5E46">
              <w:rPr>
                <w:rFonts w:ascii="Times New Roman" w:eastAsia="Arial" w:hAnsi="Times New Roman" w:cs="Times New Roman"/>
                <w:b/>
                <w:bCs/>
                <w:color w:val="FFFFFF" w:themeColor="background1"/>
                <w:sz w:val="20"/>
                <w:szCs w:val="20"/>
              </w:rPr>
              <w:t>NHS Trusts</w:t>
            </w:r>
          </w:p>
        </w:tc>
      </w:tr>
      <w:tr w:rsidR="006A5E46" w:rsidRPr="006A5E46" w14:paraId="08EEA674" w14:textId="77777777" w:rsidTr="006A5E46">
        <w:trPr>
          <w:trHeight w:val="1153"/>
        </w:trPr>
        <w:tc>
          <w:tcPr>
            <w:tcW w:w="129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5DEAC8E" w14:textId="77777777" w:rsidR="005E0A02" w:rsidRPr="006A5E46" w:rsidRDefault="005E0A02" w:rsidP="0054572F">
            <w:pPr>
              <w:spacing w:line="360" w:lineRule="auto"/>
              <w:rPr>
                <w:rFonts w:ascii="Times New Roman" w:hAnsi="Times New Roman" w:cs="Times New Roman"/>
                <w:sz w:val="20"/>
                <w:szCs w:val="20"/>
              </w:rPr>
            </w:pPr>
            <w:r w:rsidRPr="006A5E46">
              <w:rPr>
                <w:rFonts w:ascii="Times New Roman" w:eastAsia="Arial" w:hAnsi="Times New Roman" w:cs="Times New Roman"/>
                <w:b/>
                <w:bCs/>
                <w:sz w:val="20"/>
                <w:szCs w:val="20"/>
              </w:rPr>
              <w:t>Project Planning &amp; Governance</w:t>
            </w:r>
          </w:p>
        </w:tc>
        <w:tc>
          <w:tcPr>
            <w:tcW w:w="968"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A8E9E07"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A</w:t>
            </w:r>
          </w:p>
        </w:tc>
        <w:tc>
          <w:tcPr>
            <w:tcW w:w="114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C512F3D"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88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18DEF94"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862"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D2CF859"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3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1406AA3"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77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F47D63E"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094"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1F2D913"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115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C7E6B7F"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r>
      <w:tr w:rsidR="006A5E46" w:rsidRPr="006A5E46" w14:paraId="36A27BB7" w14:textId="77777777" w:rsidTr="006A5E46">
        <w:trPr>
          <w:trHeight w:val="1153"/>
        </w:trPr>
        <w:tc>
          <w:tcPr>
            <w:tcW w:w="129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6747646" w14:textId="77777777" w:rsidR="005E0A02" w:rsidRPr="006A5E46" w:rsidRDefault="005E0A02" w:rsidP="0054572F">
            <w:pPr>
              <w:spacing w:line="360" w:lineRule="auto"/>
              <w:rPr>
                <w:rFonts w:ascii="Times New Roman" w:hAnsi="Times New Roman" w:cs="Times New Roman"/>
                <w:sz w:val="20"/>
                <w:szCs w:val="20"/>
              </w:rPr>
            </w:pPr>
            <w:r w:rsidRPr="006A5E46">
              <w:rPr>
                <w:rFonts w:ascii="Times New Roman" w:eastAsia="Arial" w:hAnsi="Times New Roman" w:cs="Times New Roman"/>
                <w:b/>
                <w:bCs/>
                <w:sz w:val="20"/>
                <w:szCs w:val="20"/>
              </w:rPr>
              <w:t>Product Design &amp; Development</w:t>
            </w:r>
          </w:p>
        </w:tc>
        <w:tc>
          <w:tcPr>
            <w:tcW w:w="968"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CEA35DD"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4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02168B4"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88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CBAA053"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R/A</w:t>
            </w:r>
          </w:p>
        </w:tc>
        <w:tc>
          <w:tcPr>
            <w:tcW w:w="862"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EA56F4F"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3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BAC1DC4"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77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4FEA99F"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w:t>
            </w:r>
          </w:p>
        </w:tc>
        <w:tc>
          <w:tcPr>
            <w:tcW w:w="1094"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8BDDBD4"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5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6A72E27"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r>
      <w:tr w:rsidR="006A5E46" w:rsidRPr="006A5E46" w14:paraId="73B6D015" w14:textId="77777777" w:rsidTr="006A5E46">
        <w:trPr>
          <w:trHeight w:val="1153"/>
        </w:trPr>
        <w:tc>
          <w:tcPr>
            <w:tcW w:w="129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270E464" w14:textId="77777777" w:rsidR="005E0A02" w:rsidRPr="006A5E46" w:rsidRDefault="005E0A02" w:rsidP="0054572F">
            <w:pPr>
              <w:spacing w:line="360" w:lineRule="auto"/>
              <w:rPr>
                <w:rFonts w:ascii="Times New Roman" w:hAnsi="Times New Roman" w:cs="Times New Roman"/>
                <w:sz w:val="20"/>
                <w:szCs w:val="20"/>
              </w:rPr>
            </w:pPr>
            <w:r w:rsidRPr="006A5E46">
              <w:rPr>
                <w:rFonts w:ascii="Times New Roman" w:eastAsia="Arial" w:hAnsi="Times New Roman" w:cs="Times New Roman"/>
                <w:b/>
                <w:bCs/>
                <w:sz w:val="20"/>
                <w:szCs w:val="20"/>
              </w:rPr>
              <w:t>MHRA Regulatory Submission</w:t>
            </w:r>
          </w:p>
        </w:tc>
        <w:tc>
          <w:tcPr>
            <w:tcW w:w="968"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FF679B1"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4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DA738F7"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88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3414861"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862"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A827366"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3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991F8CF"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R/A</w:t>
            </w:r>
          </w:p>
        </w:tc>
        <w:tc>
          <w:tcPr>
            <w:tcW w:w="77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002CE21"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094"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6AA92EB"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115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8D30D6D"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r>
      <w:tr w:rsidR="006A5E46" w:rsidRPr="006A5E46" w14:paraId="653C662F" w14:textId="77777777" w:rsidTr="006A5E46">
        <w:trPr>
          <w:trHeight w:val="1153"/>
        </w:trPr>
        <w:tc>
          <w:tcPr>
            <w:tcW w:w="129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759AC64" w14:textId="77777777" w:rsidR="005E0A02" w:rsidRPr="006A5E46" w:rsidRDefault="005E0A02" w:rsidP="0054572F">
            <w:pPr>
              <w:spacing w:line="360" w:lineRule="auto"/>
              <w:rPr>
                <w:rFonts w:ascii="Times New Roman" w:hAnsi="Times New Roman" w:cs="Times New Roman"/>
                <w:sz w:val="20"/>
                <w:szCs w:val="20"/>
              </w:rPr>
            </w:pPr>
            <w:r w:rsidRPr="006A5E46">
              <w:rPr>
                <w:rFonts w:ascii="Times New Roman" w:eastAsia="Arial" w:hAnsi="Times New Roman" w:cs="Times New Roman"/>
                <w:b/>
                <w:bCs/>
                <w:sz w:val="20"/>
                <w:szCs w:val="20"/>
              </w:rPr>
              <w:t>NHS Clinical Pilot Programme</w:t>
            </w:r>
          </w:p>
        </w:tc>
        <w:tc>
          <w:tcPr>
            <w:tcW w:w="968"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6374E6B"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w:t>
            </w:r>
          </w:p>
        </w:tc>
        <w:tc>
          <w:tcPr>
            <w:tcW w:w="114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2C853C3"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88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A422119"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862"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5FCC44D"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w:t>
            </w:r>
          </w:p>
        </w:tc>
        <w:tc>
          <w:tcPr>
            <w:tcW w:w="113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D03A080"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77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F31493B"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094"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0D34A81"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115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4DE0A42"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r>
      <w:tr w:rsidR="006A5E46" w:rsidRPr="006A5E46" w14:paraId="007E8816" w14:textId="77777777" w:rsidTr="006A5E46">
        <w:trPr>
          <w:trHeight w:val="1484"/>
        </w:trPr>
        <w:tc>
          <w:tcPr>
            <w:tcW w:w="129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928FB9B" w14:textId="77777777" w:rsidR="005E0A02" w:rsidRPr="006A5E46" w:rsidRDefault="005E0A02" w:rsidP="0054572F">
            <w:pPr>
              <w:spacing w:line="360" w:lineRule="auto"/>
              <w:rPr>
                <w:rFonts w:ascii="Times New Roman" w:hAnsi="Times New Roman" w:cs="Times New Roman"/>
                <w:sz w:val="20"/>
                <w:szCs w:val="20"/>
              </w:rPr>
            </w:pPr>
            <w:r w:rsidRPr="006A5E46">
              <w:rPr>
                <w:rFonts w:ascii="Times New Roman" w:eastAsia="Arial" w:hAnsi="Times New Roman" w:cs="Times New Roman"/>
                <w:b/>
                <w:bCs/>
                <w:sz w:val="20"/>
                <w:szCs w:val="20"/>
              </w:rPr>
              <w:t>IT Integration &amp; App Development</w:t>
            </w:r>
          </w:p>
        </w:tc>
        <w:tc>
          <w:tcPr>
            <w:tcW w:w="968"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4493DAE"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4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8D003EB"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88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F3321B1"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862"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7A05C8B"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113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E0B00C9"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77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729F304"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R/A</w:t>
            </w:r>
          </w:p>
        </w:tc>
        <w:tc>
          <w:tcPr>
            <w:tcW w:w="1094"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F5CABAE"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115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1331A23"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r>
      <w:tr w:rsidR="006A5E46" w:rsidRPr="006A5E46" w14:paraId="62E8B6B2" w14:textId="77777777" w:rsidTr="006A5E46">
        <w:trPr>
          <w:trHeight w:val="1484"/>
        </w:trPr>
        <w:tc>
          <w:tcPr>
            <w:tcW w:w="129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11375F87" w14:textId="77777777" w:rsidR="005E0A02" w:rsidRPr="006A5E46" w:rsidRDefault="005E0A02" w:rsidP="0054572F">
            <w:pPr>
              <w:spacing w:line="360" w:lineRule="auto"/>
              <w:rPr>
                <w:rFonts w:ascii="Times New Roman" w:hAnsi="Times New Roman" w:cs="Times New Roman"/>
                <w:sz w:val="20"/>
                <w:szCs w:val="20"/>
              </w:rPr>
            </w:pPr>
            <w:r w:rsidRPr="006A5E46">
              <w:rPr>
                <w:rFonts w:ascii="Times New Roman" w:eastAsia="Arial" w:hAnsi="Times New Roman" w:cs="Times New Roman"/>
                <w:b/>
                <w:bCs/>
                <w:sz w:val="20"/>
                <w:szCs w:val="20"/>
              </w:rPr>
              <w:t>Marketing &amp; Commercial Launch</w:t>
            </w:r>
          </w:p>
        </w:tc>
        <w:tc>
          <w:tcPr>
            <w:tcW w:w="968"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145885FA"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4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3189530"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A</w:t>
            </w:r>
          </w:p>
        </w:tc>
        <w:tc>
          <w:tcPr>
            <w:tcW w:w="88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120079A"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862"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4D060C5"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113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91D4225"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77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27F413C"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1094"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6F672B1"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R/A</w:t>
            </w:r>
          </w:p>
        </w:tc>
        <w:tc>
          <w:tcPr>
            <w:tcW w:w="115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79AA63F"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r>
      <w:tr w:rsidR="006A5E46" w:rsidRPr="006A5E46" w14:paraId="1BAD8F96" w14:textId="77777777" w:rsidTr="006A5E46">
        <w:trPr>
          <w:trHeight w:val="1153"/>
        </w:trPr>
        <w:tc>
          <w:tcPr>
            <w:tcW w:w="1295"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4B5B584" w14:textId="77777777" w:rsidR="005E0A02" w:rsidRPr="006A5E46" w:rsidRDefault="005E0A02" w:rsidP="0054572F">
            <w:pPr>
              <w:spacing w:line="360" w:lineRule="auto"/>
              <w:rPr>
                <w:rFonts w:ascii="Times New Roman" w:hAnsi="Times New Roman" w:cs="Times New Roman"/>
                <w:sz w:val="20"/>
                <w:szCs w:val="20"/>
              </w:rPr>
            </w:pPr>
            <w:r w:rsidRPr="006A5E46">
              <w:rPr>
                <w:rFonts w:ascii="Times New Roman" w:eastAsia="Arial" w:hAnsi="Times New Roman" w:cs="Times New Roman"/>
                <w:b/>
                <w:bCs/>
                <w:sz w:val="20"/>
                <w:szCs w:val="20"/>
              </w:rPr>
              <w:lastRenderedPageBreak/>
              <w:t>Patient Training &amp; Onboarding</w:t>
            </w:r>
          </w:p>
        </w:tc>
        <w:tc>
          <w:tcPr>
            <w:tcW w:w="968"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A013D2E"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w:t>
            </w:r>
          </w:p>
        </w:tc>
        <w:tc>
          <w:tcPr>
            <w:tcW w:w="114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C94D857"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88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53C5826"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862"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70E7BC6"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3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1AF5032"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77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DA44BE8"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094"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300D089"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A</w:t>
            </w:r>
          </w:p>
        </w:tc>
        <w:tc>
          <w:tcPr>
            <w:tcW w:w="1157"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14CD5AA"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w:t>
            </w:r>
          </w:p>
        </w:tc>
      </w:tr>
      <w:tr w:rsidR="006A5E46" w:rsidRPr="006A5E46" w14:paraId="5921848E" w14:textId="77777777" w:rsidTr="006A5E46">
        <w:trPr>
          <w:trHeight w:val="821"/>
        </w:trPr>
        <w:tc>
          <w:tcPr>
            <w:tcW w:w="1295"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C6A2323" w14:textId="77777777" w:rsidR="005E0A02" w:rsidRPr="006A5E46" w:rsidRDefault="005E0A02" w:rsidP="0054572F">
            <w:pPr>
              <w:spacing w:line="360" w:lineRule="auto"/>
              <w:rPr>
                <w:rFonts w:ascii="Times New Roman" w:hAnsi="Times New Roman" w:cs="Times New Roman"/>
                <w:sz w:val="20"/>
                <w:szCs w:val="20"/>
              </w:rPr>
            </w:pPr>
            <w:r w:rsidRPr="006A5E46">
              <w:rPr>
                <w:rFonts w:ascii="Times New Roman" w:eastAsia="Arial" w:hAnsi="Times New Roman" w:cs="Times New Roman"/>
                <w:b/>
                <w:bCs/>
                <w:sz w:val="20"/>
                <w:szCs w:val="20"/>
              </w:rPr>
              <w:t>Post-Market Surveillance</w:t>
            </w:r>
          </w:p>
        </w:tc>
        <w:tc>
          <w:tcPr>
            <w:tcW w:w="968"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ED2F804"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14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E81867F"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88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A119633"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862"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FBBD0C2"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w:t>
            </w:r>
          </w:p>
        </w:tc>
        <w:tc>
          <w:tcPr>
            <w:tcW w:w="113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3447F17"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R/A</w:t>
            </w:r>
          </w:p>
        </w:tc>
        <w:tc>
          <w:tcPr>
            <w:tcW w:w="77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5CC5C50"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c>
          <w:tcPr>
            <w:tcW w:w="1094"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BFE436C"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I</w:t>
            </w:r>
          </w:p>
        </w:tc>
        <w:tc>
          <w:tcPr>
            <w:tcW w:w="1157"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46D88AF"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sz w:val="20"/>
                <w:szCs w:val="20"/>
              </w:rPr>
              <w:t>C</w:t>
            </w:r>
          </w:p>
        </w:tc>
      </w:tr>
      <w:tr w:rsidR="003F0AC7" w:rsidRPr="006A5E46" w14:paraId="3CE02BC3" w14:textId="77777777" w:rsidTr="006A5E46">
        <w:trPr>
          <w:trHeight w:val="490"/>
        </w:trPr>
        <w:tc>
          <w:tcPr>
            <w:tcW w:w="9325" w:type="dxa"/>
            <w:gridSpan w:val="9"/>
            <w:tcBorders>
              <w:top w:val="single" w:sz="4" w:space="0" w:color="9DC3E6"/>
              <w:left w:val="single" w:sz="4" w:space="0" w:color="9DC3E6"/>
              <w:bottom w:val="single" w:sz="4" w:space="0" w:color="9DC3E6"/>
              <w:right w:val="single" w:sz="4" w:space="0" w:color="9DC3E6"/>
            </w:tcBorders>
            <w:shd w:val="clear" w:color="auto" w:fill="F5F5F5"/>
            <w:tcMar>
              <w:top w:w="80" w:type="dxa"/>
              <w:left w:w="120" w:type="dxa"/>
              <w:bottom w:w="80" w:type="dxa"/>
              <w:right w:w="120" w:type="dxa"/>
            </w:tcMar>
          </w:tcPr>
          <w:p w14:paraId="75E71366" w14:textId="77777777" w:rsidR="005E0A02" w:rsidRPr="006A5E46" w:rsidRDefault="005E0A02" w:rsidP="0054572F">
            <w:pPr>
              <w:spacing w:line="360" w:lineRule="auto"/>
              <w:jc w:val="center"/>
              <w:rPr>
                <w:rFonts w:ascii="Times New Roman" w:hAnsi="Times New Roman" w:cs="Times New Roman"/>
                <w:sz w:val="20"/>
                <w:szCs w:val="20"/>
              </w:rPr>
            </w:pPr>
            <w:r w:rsidRPr="006A5E46">
              <w:rPr>
                <w:rFonts w:ascii="Times New Roman" w:eastAsia="Arial" w:hAnsi="Times New Roman" w:cs="Times New Roman"/>
                <w:b/>
                <w:bCs/>
                <w:sz w:val="20"/>
                <w:szCs w:val="20"/>
              </w:rPr>
              <w:t>Key: R = Responsible | A = Accountable | C = Consulted | I = Informed | R/A = Responsible and Accountable</w:t>
            </w:r>
          </w:p>
        </w:tc>
      </w:tr>
    </w:tbl>
    <w:p w14:paraId="7EFBAD7B" w14:textId="77777777"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t>Table 7: RACI Matrix – ConnectSense™ Project (adapted from Kerzner, 2017; Week 6, Slide 15)</w:t>
      </w:r>
    </w:p>
    <w:p w14:paraId="183B3921" w14:textId="4F66DC6C" w:rsidR="005E0A02" w:rsidRPr="0054572F" w:rsidRDefault="00D122C2" w:rsidP="0054572F">
      <w:pPr>
        <w:pStyle w:val="Heading1"/>
        <w:spacing w:line="360" w:lineRule="auto"/>
        <w:rPr>
          <w:rFonts w:ascii="Times New Roman" w:hAnsi="Times New Roman" w:cs="Times New Roman"/>
          <w:color w:val="auto"/>
          <w:sz w:val="24"/>
          <w:szCs w:val="24"/>
        </w:rPr>
      </w:pPr>
      <w:bookmarkStart w:id="10" w:name="_Toc227403695"/>
      <w:r w:rsidRPr="0054572F">
        <w:rPr>
          <w:rFonts w:ascii="Times New Roman" w:hAnsi="Times New Roman" w:cs="Times New Roman"/>
          <w:color w:val="auto"/>
          <w:sz w:val="24"/>
          <w:szCs w:val="24"/>
        </w:rPr>
        <w:t>5.0 Importance</w:t>
      </w:r>
      <w:r w:rsidR="005E0A02" w:rsidRPr="0054572F">
        <w:rPr>
          <w:rFonts w:ascii="Times New Roman" w:hAnsi="Times New Roman" w:cs="Times New Roman"/>
          <w:color w:val="auto"/>
          <w:sz w:val="24"/>
          <w:szCs w:val="24"/>
        </w:rPr>
        <w:t xml:space="preserve"> of Stakeholder Engagement</w:t>
      </w:r>
      <w:bookmarkEnd w:id="10"/>
    </w:p>
    <w:p w14:paraId="330B5AC4" w14:textId="308DE6A9" w:rsidR="005E0A02" w:rsidRPr="0054572F" w:rsidRDefault="00D122C2" w:rsidP="0054572F">
      <w:pPr>
        <w:pStyle w:val="Heading2"/>
        <w:spacing w:line="360" w:lineRule="auto"/>
        <w:rPr>
          <w:rFonts w:ascii="Times New Roman" w:hAnsi="Times New Roman" w:cs="Times New Roman"/>
          <w:color w:val="auto"/>
        </w:rPr>
      </w:pPr>
      <w:bookmarkStart w:id="11" w:name="_Toc227403696"/>
      <w:r w:rsidRPr="0054572F">
        <w:rPr>
          <w:rFonts w:ascii="Times New Roman" w:hAnsi="Times New Roman" w:cs="Times New Roman"/>
          <w:color w:val="auto"/>
        </w:rPr>
        <w:t>5.1 Justification</w:t>
      </w:r>
      <w:r w:rsidR="005E0A02" w:rsidRPr="0054572F">
        <w:rPr>
          <w:rFonts w:ascii="Times New Roman" w:hAnsi="Times New Roman" w:cs="Times New Roman"/>
          <w:color w:val="auto"/>
        </w:rPr>
        <w:t xml:space="preserve"> of Stakeholder Engagement</w:t>
      </w:r>
      <w:bookmarkEnd w:id="11"/>
    </w:p>
    <w:p w14:paraId="55A5D862" w14:textId="1A559F71" w:rsidR="005E0A02" w:rsidRPr="0054572F" w:rsidRDefault="00A743F8"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Stakeholder engagement is not just a managerial role but a strategic necessity of any project that is being conducted in a multi-interest and complex environment. The classic stakeholder theory developed by Freeman (1984) assumes that organisations should take into account and reconcile the interests of all parties that may influence or be influenced by their actions. The application of this principle in the context of the ConnectSense™ project is especially relevant since the introduction of a connected medical device touches the areas of clinical, regulatory, commercial, and patient welfare at the same time.</w:t>
      </w:r>
    </w:p>
    <w:p w14:paraId="11A7809A" w14:textId="77777777" w:rsidR="006114EC" w:rsidRPr="0054572F" w:rsidRDefault="006114EC" w:rsidP="0054572F">
      <w:pPr>
        <w:spacing w:line="360" w:lineRule="auto"/>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The Stakeholder Salience Model by Mitchell, Agle, and Wood (1997) is an extension of the stakeholder theory that classifies stakeholders based on three key characteristics: power (the capacity to exert will on a given organisation), legitimacy (the perceived validity of claims on the organisation), and urgency (the time-sensitiveness of demands). The MHRA can be seen as the ultimate source of power and authority in the context of the ConnectSense™; NHS Trusts and patients are desperate due to healthcare demand, and investors are a combination of authority and legitimacy. By recognising and ranking these attributes, the project manager can deploy engagement resources strategically and can be sure that the most important relationships with stakeholders are given an equal amount of attention and investment.</w:t>
      </w:r>
    </w:p>
    <w:p w14:paraId="61FD3E81" w14:textId="165EDBA7" w:rsidR="006114EC" w:rsidRPr="0054572F" w:rsidRDefault="006114EC" w:rsidP="0054572F">
      <w:pPr>
        <w:spacing w:line="360" w:lineRule="auto"/>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 xml:space="preserve">The Relational Lens Framework, as described by Ashcroft (2017), explains that a sustainable relationship between stakeholders is established on the foundation of trust, transparency, and value creation. This is especially important in the case of medical equipment introductions, </w:t>
      </w:r>
      <w:r w:rsidRPr="0054572F">
        <w:rPr>
          <w:rFonts w:ascii="Times New Roman" w:eastAsia="Arial" w:hAnsi="Times New Roman" w:cs="Times New Roman"/>
          <w:sz w:val="24"/>
          <w:szCs w:val="24"/>
        </w:rPr>
        <w:lastRenderedPageBreak/>
        <w:t>when effects of not being engaged can lead to regulatory delays, patient safety accidents, or NHS purchasing decisions, the outcomes of which could be disastrous to the operations and reputation of Owen Mumford. The relational approach entails that the project manager should go beyond the transactional and unidirectional relationships to the establishment of long-term partnerships that advance shared value, a concept that Christopher et al., (2013) further expound through their Relationship Marketing framework, which states that sustainability in commercial success resides in the quality of organisational relationships as opposed to the efficiency of individual transactions.</w:t>
      </w:r>
    </w:p>
    <w:p w14:paraId="2AE26854" w14:textId="4B53BB4C" w:rsidR="005E0A02" w:rsidRPr="0054572F" w:rsidRDefault="006114EC"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The stakeholder engagement model of 4Cs Communication, Collaboration, Consultation, and Commitment offers a pragmatic and theoretically-supported operational framework of the approach the project manager can use to engage the stakeholders:</w:t>
      </w:r>
    </w:p>
    <w:p w14:paraId="5C1035F2" w14:textId="77777777" w:rsidR="007B6EE2" w:rsidRPr="0056758D" w:rsidRDefault="007B6EE2" w:rsidP="0054572F">
      <w:pPr>
        <w:spacing w:line="360" w:lineRule="auto"/>
        <w:jc w:val="both"/>
        <w:rPr>
          <w:rFonts w:ascii="Times New Roman" w:hAnsi="Times New Roman" w:cs="Times New Roman"/>
          <w:sz w:val="24"/>
          <w:szCs w:val="24"/>
        </w:rPr>
      </w:pPr>
      <w:r w:rsidRPr="0056758D">
        <w:rPr>
          <w:rFonts w:ascii="Times New Roman" w:hAnsi="Times New Roman" w:cs="Times New Roman"/>
          <w:b/>
          <w:bCs/>
          <w:sz w:val="24"/>
          <w:szCs w:val="24"/>
        </w:rPr>
        <w:t>Communication</w:t>
      </w:r>
      <w:r w:rsidRPr="0056758D">
        <w:rPr>
          <w:rFonts w:ascii="Times New Roman" w:hAnsi="Times New Roman" w:cs="Times New Roman"/>
          <w:sz w:val="24"/>
          <w:szCs w:val="24"/>
        </w:rPr>
        <w:t xml:space="preserve"> entails the creation of direct, specific and consistent communication channels that are specific to each group of stakeholders. In the case of ConnectSense, this involves monthly patient newsletters, healthcare professional clinical webinars, and official regulatory communication with MHRA. According to the Project Management Institute (PMI, 2021), poor communication is the most crucial factor that leads to project failure, with most risks associated with project failures being a result of failures in information channels between the stakeholders. An audience-based, systematic communication strategy is thus essential.</w:t>
      </w:r>
    </w:p>
    <w:p w14:paraId="74F268F1" w14:textId="77777777" w:rsidR="007B6EE2" w:rsidRPr="0056758D" w:rsidRDefault="007B6EE2" w:rsidP="0054572F">
      <w:pPr>
        <w:spacing w:line="360" w:lineRule="auto"/>
        <w:jc w:val="both"/>
        <w:rPr>
          <w:rFonts w:ascii="Times New Roman" w:hAnsi="Times New Roman" w:cs="Times New Roman"/>
          <w:sz w:val="24"/>
          <w:szCs w:val="24"/>
        </w:rPr>
      </w:pPr>
      <w:r w:rsidRPr="0056758D">
        <w:rPr>
          <w:rFonts w:ascii="Times New Roman" w:hAnsi="Times New Roman" w:cs="Times New Roman"/>
          <w:b/>
          <w:bCs/>
          <w:sz w:val="24"/>
          <w:szCs w:val="24"/>
        </w:rPr>
        <w:t>Collaboration</w:t>
      </w:r>
      <w:r w:rsidRPr="0056758D">
        <w:rPr>
          <w:rFonts w:ascii="Times New Roman" w:hAnsi="Times New Roman" w:cs="Times New Roman"/>
          <w:sz w:val="24"/>
          <w:szCs w:val="24"/>
        </w:rPr>
        <w:t xml:space="preserve"> mandates that the project manager develop environments in which stakeholders jointly develop solutions, share project risks, and jointly manage results. In the case of the ConnectSense™, it is operationalised by shared clinical working groups with NHS Trust teams, shared governance steering committees and joint development sprints with Product Development and IT teams. Donaldson and Preston (1995) opine that joint stakeholder involvement produces higher quality decisions and organisational legitimacy than an authoritative, top-down management style.</w:t>
      </w:r>
    </w:p>
    <w:p w14:paraId="12B0D233" w14:textId="77777777" w:rsidR="007B6EE2" w:rsidRPr="0056758D" w:rsidRDefault="007B6EE2" w:rsidP="0054572F">
      <w:pPr>
        <w:spacing w:line="360" w:lineRule="auto"/>
        <w:jc w:val="both"/>
        <w:rPr>
          <w:rFonts w:ascii="Times New Roman" w:hAnsi="Times New Roman" w:cs="Times New Roman"/>
          <w:sz w:val="24"/>
          <w:szCs w:val="24"/>
        </w:rPr>
      </w:pPr>
      <w:r w:rsidRPr="0056758D">
        <w:rPr>
          <w:rFonts w:ascii="Times New Roman" w:hAnsi="Times New Roman" w:cs="Times New Roman"/>
          <w:b/>
          <w:bCs/>
          <w:sz w:val="24"/>
          <w:szCs w:val="24"/>
        </w:rPr>
        <w:t>Consultation</w:t>
      </w:r>
      <w:r w:rsidRPr="0056758D">
        <w:rPr>
          <w:rFonts w:ascii="Times New Roman" w:hAnsi="Times New Roman" w:cs="Times New Roman"/>
          <w:sz w:val="24"/>
          <w:szCs w:val="24"/>
        </w:rPr>
        <w:t xml:space="preserve"> allows the stakeholder views to be actively consulted and sewn into the major decision processes prior to finalisation of commitments. Co-designing workshops with patients, healthcare professional advisory boards, and pre-submission regulatory meetings with MHRA are all formal consultative tools that minimise false expectations and develop the legitimacy to support long-term adoption. According to Eskerod and Jepsen (2013), consultation should be authentic and provably effective; tokenistic consultation brings about a lack of engagement and undermines trust.</w:t>
      </w:r>
    </w:p>
    <w:p w14:paraId="247CB0B1" w14:textId="77777777" w:rsidR="007B6EE2" w:rsidRPr="0056758D" w:rsidRDefault="007B6EE2" w:rsidP="0054572F">
      <w:pPr>
        <w:spacing w:line="360" w:lineRule="auto"/>
        <w:jc w:val="both"/>
        <w:rPr>
          <w:rFonts w:ascii="Times New Roman" w:hAnsi="Times New Roman" w:cs="Times New Roman"/>
          <w:sz w:val="24"/>
          <w:szCs w:val="24"/>
        </w:rPr>
      </w:pPr>
      <w:r w:rsidRPr="0056758D">
        <w:rPr>
          <w:rFonts w:ascii="Times New Roman" w:hAnsi="Times New Roman" w:cs="Times New Roman"/>
          <w:sz w:val="24"/>
          <w:szCs w:val="24"/>
        </w:rPr>
        <w:lastRenderedPageBreak/>
        <w:t>This is done through commitment when the stakeholders feel that they are truly appreciated and change their position from mere spectators to project champions. Bourne (2015) suggests that commitment is achieved gradually over time by delivering on promises, communicating effectively on issues, and acknowledging stakeholders with significance. In the case of the ConnectSense™ project, NHS Trust partners and Healthcare Professionals will play a crucial role in commitment because their agreement to the project will dictate the rate of patient adoption and the extent of the same.</w:t>
      </w:r>
    </w:p>
    <w:p w14:paraId="232C5AB0" w14:textId="5E9338B0" w:rsidR="005E0A02" w:rsidRPr="0054572F" w:rsidRDefault="007B6EE2" w:rsidP="0054572F">
      <w:pPr>
        <w:spacing w:line="360" w:lineRule="auto"/>
        <w:jc w:val="both"/>
        <w:rPr>
          <w:rFonts w:ascii="Times New Roman" w:hAnsi="Times New Roman" w:cs="Times New Roman"/>
          <w:sz w:val="24"/>
          <w:szCs w:val="24"/>
        </w:rPr>
      </w:pPr>
      <w:r w:rsidRPr="0056758D">
        <w:rPr>
          <w:rFonts w:ascii="Times New Roman" w:hAnsi="Times New Roman" w:cs="Times New Roman"/>
          <w:sz w:val="24"/>
          <w:szCs w:val="24"/>
        </w:rPr>
        <w:t>A complex multi-stakeholder project is an unavoidable aspect of conflict management. In the ConnectSense project, there can be a conflict between investors wanting to enter the market as quickly as possible and Clinical Affairs and evidence generation will require more time, or between Regulatory Affairs and Marketing that want to launch the product sooner. Thomas-Kilmann Conflict Mode Instrument (Thomas and Kilmann, 1974) recognises five conflict-handling styles: competing, collaborating, compromising, avoiding and accommodating. In this project, the collaborating strategy is the most suitable since it aims at achieving some mutually advantageous results that would not harm relationships, maintain momentum, and keep stakeholders' interests together due to shared project objectives. Organising structured negotiation meetings, keeping open risk registers and ensuring that all the concerns of the stakeholders are properly documented and addressed are key duties of conflict resolution as the Project Manager.</w:t>
      </w:r>
    </w:p>
    <w:p w14:paraId="779FCA21" w14:textId="4CD8D25B" w:rsidR="005E0A02" w:rsidRPr="0054572F" w:rsidRDefault="003F0AC7" w:rsidP="0054572F">
      <w:pPr>
        <w:pStyle w:val="Heading2"/>
        <w:spacing w:line="360" w:lineRule="auto"/>
        <w:rPr>
          <w:rFonts w:ascii="Times New Roman" w:hAnsi="Times New Roman" w:cs="Times New Roman"/>
          <w:color w:val="auto"/>
        </w:rPr>
      </w:pPr>
      <w:bookmarkStart w:id="12" w:name="_Toc227403697"/>
      <w:r w:rsidRPr="0054572F">
        <w:rPr>
          <w:rFonts w:ascii="Times New Roman" w:hAnsi="Times New Roman" w:cs="Times New Roman"/>
          <w:color w:val="auto"/>
        </w:rPr>
        <w:t>5.2 Impact</w:t>
      </w:r>
      <w:r w:rsidR="005E0A02" w:rsidRPr="0054572F">
        <w:rPr>
          <w:rFonts w:ascii="Times New Roman" w:hAnsi="Times New Roman" w:cs="Times New Roman"/>
          <w:color w:val="auto"/>
        </w:rPr>
        <w:t xml:space="preserve"> of Sustainable Stakeholder Engagement on Organisational Performance</w:t>
      </w:r>
      <w:bookmarkEnd w:id="12"/>
    </w:p>
    <w:p w14:paraId="481A5D08" w14:textId="433393BB" w:rsidR="005E0A02" w:rsidRPr="0054572F" w:rsidRDefault="0031198A"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Effective stakeholder engagement has many dimensions of influence on business performance, including quality of project delivery, regulatory compliance, clinical adoption, patient outcomes, and long-term financial performance. Clarkson (1995) illustrates that those organisations that are able to continue to generate value to their major stakeholders perform better in the long run both financially and operationally as compared to organisations that focus on the selfish interest of the shareholders. The table below critically evaluates the key performance impacts for Owen Mumford's ConnectSense™ project: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300"/>
        <w:gridCol w:w="3563"/>
        <w:gridCol w:w="3163"/>
      </w:tblGrid>
      <w:tr w:rsidR="003F0AC7" w:rsidRPr="0054572F" w14:paraId="5DC25785" w14:textId="77777777" w:rsidTr="00C51021">
        <w:tc>
          <w:tcPr>
            <w:tcW w:w="23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366FDE4A"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Performance Dimension</w:t>
            </w:r>
          </w:p>
        </w:tc>
        <w:tc>
          <w:tcPr>
            <w:tcW w:w="3563"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7CAF8350"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Impact of Effective Stakeholder Engagement</w:t>
            </w:r>
          </w:p>
        </w:tc>
        <w:tc>
          <w:tcPr>
            <w:tcW w:w="3163"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744D8A5F"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Supporting Evidence</w:t>
            </w:r>
          </w:p>
        </w:tc>
      </w:tr>
      <w:tr w:rsidR="003F0AC7" w:rsidRPr="0054572F" w14:paraId="417ACFE1" w14:textId="77777777" w:rsidTr="00C51021">
        <w:tc>
          <w:tcPr>
            <w:tcW w:w="23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3A470A6"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lastRenderedPageBreak/>
              <w:t>Project Delivery Success</w:t>
            </w:r>
          </w:p>
        </w:tc>
        <w:tc>
          <w:tcPr>
            <w:tcW w:w="356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6822FEC"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Improved schedule adherence, reduced scope creep, higher quality project outputs and milestones achieved on time</w:t>
            </w:r>
          </w:p>
        </w:tc>
        <w:tc>
          <w:tcPr>
            <w:tcW w:w="316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B75639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PMI (2021): Projects with active stakeholder engagement are significantly more likely to meet their original objectives and budgets</w:t>
            </w:r>
          </w:p>
        </w:tc>
      </w:tr>
      <w:tr w:rsidR="003F0AC7" w:rsidRPr="0054572F" w14:paraId="240B3DD9" w14:textId="77777777" w:rsidTr="00C51021">
        <w:tc>
          <w:tcPr>
            <w:tcW w:w="23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1F85C8C7"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Regulatory Compliance</w:t>
            </w:r>
          </w:p>
        </w:tc>
        <w:tc>
          <w:tcPr>
            <w:tcW w:w="356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6A742C31"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Proactive MHRA engagement reduces approval delays and ensures first-time certification, protecting commercial timelines</w:t>
            </w:r>
          </w:p>
        </w:tc>
        <w:tc>
          <w:tcPr>
            <w:tcW w:w="316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5D052F5"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MHRA (2022): Early regulatory engagement and transparent communication are explicitly recommended to streamline device approval pathways</w:t>
            </w:r>
          </w:p>
        </w:tc>
      </w:tr>
      <w:tr w:rsidR="003F0AC7" w:rsidRPr="0054572F" w14:paraId="2100CD3E" w14:textId="77777777" w:rsidTr="00C51021">
        <w:tc>
          <w:tcPr>
            <w:tcW w:w="23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E50743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Clinical Adoption Rate</w:t>
            </w:r>
          </w:p>
        </w:tc>
        <w:tc>
          <w:tcPr>
            <w:tcW w:w="356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F8644C8"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NHS Trust and HCP endorsement drives faster clinical integration, increased prescribing rates, and greater patient referrals</w:t>
            </w:r>
          </w:p>
        </w:tc>
        <w:tc>
          <w:tcPr>
            <w:tcW w:w="316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D09835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 xml:space="preserve">NHS England (2019): Clinician co-design and early involvement significantly </w:t>
            </w:r>
            <w:proofErr w:type="gramStart"/>
            <w:r w:rsidRPr="0054572F">
              <w:rPr>
                <w:rFonts w:ascii="Times New Roman" w:eastAsia="Arial" w:hAnsi="Times New Roman" w:cs="Times New Roman"/>
                <w:sz w:val="24"/>
                <w:szCs w:val="24"/>
              </w:rPr>
              <w:t>increases</w:t>
            </w:r>
            <w:proofErr w:type="gramEnd"/>
            <w:r w:rsidRPr="0054572F">
              <w:rPr>
                <w:rFonts w:ascii="Times New Roman" w:eastAsia="Arial" w:hAnsi="Times New Roman" w:cs="Times New Roman"/>
                <w:sz w:val="24"/>
                <w:szCs w:val="24"/>
              </w:rPr>
              <w:t xml:space="preserve"> adoption rates of digital health technologies</w:t>
            </w:r>
          </w:p>
        </w:tc>
      </w:tr>
      <w:tr w:rsidR="003F0AC7" w:rsidRPr="0054572F" w14:paraId="167DC283" w14:textId="77777777" w:rsidTr="00C51021">
        <w:tc>
          <w:tcPr>
            <w:tcW w:w="23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6CE8A2F"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Patient Outcomes &amp; Adherence</w:t>
            </w:r>
          </w:p>
        </w:tc>
        <w:tc>
          <w:tcPr>
            <w:tcW w:w="356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C97EB91"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Engaged patient communities demonstrate improved medication adherence, health literacy, and device compliance rates</w:t>
            </w:r>
          </w:p>
        </w:tc>
        <w:tc>
          <w:tcPr>
            <w:tcW w:w="316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B34DFE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Diabetes UK (2023): Connected health devices have demonstrated measurable improvements in patient self-management and adherence outcomes</w:t>
            </w:r>
          </w:p>
        </w:tc>
      </w:tr>
      <w:tr w:rsidR="003F0AC7" w:rsidRPr="0054572F" w14:paraId="1F4B9C77" w14:textId="77777777" w:rsidTr="00C51021">
        <w:tc>
          <w:tcPr>
            <w:tcW w:w="23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19BD428"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Financial Performance &amp; ROI</w:t>
            </w:r>
          </w:p>
        </w:tc>
        <w:tc>
          <w:tcPr>
            <w:tcW w:w="356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227080F"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Investor confidence is maintained, project risk is reduced, and successful market penetration drives sustainable revenue growth</w:t>
            </w:r>
          </w:p>
        </w:tc>
        <w:tc>
          <w:tcPr>
            <w:tcW w:w="316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E6CCEF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Christopher et al. (2013): Relationship investment yields superior long-term revenue growth and customer lifetime value compared to transactional approaches</w:t>
            </w:r>
          </w:p>
        </w:tc>
      </w:tr>
      <w:tr w:rsidR="003F0AC7" w:rsidRPr="0054572F" w14:paraId="77990BA1" w14:textId="77777777" w:rsidTr="00C51021">
        <w:tc>
          <w:tcPr>
            <w:tcW w:w="23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2BE527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lastRenderedPageBreak/>
              <w:t>Brand Reputation &amp; Trust</w:t>
            </w:r>
          </w:p>
        </w:tc>
        <w:tc>
          <w:tcPr>
            <w:tcW w:w="356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A6E0215"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Positive, collaborative stakeholder relationships enhance brand credibility and competitive differentiation in the medical device market</w:t>
            </w:r>
          </w:p>
        </w:tc>
        <w:tc>
          <w:tcPr>
            <w:tcW w:w="3163"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952C69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Ashcroft (2017): Relational value creation constitutes a sustainable and defensible competitive advantage that transactional competitors cannot easily replicate</w:t>
            </w:r>
          </w:p>
        </w:tc>
      </w:tr>
      <w:tr w:rsidR="003F0AC7" w:rsidRPr="0054572F" w14:paraId="66303FD1" w14:textId="77777777" w:rsidTr="00C51021">
        <w:tc>
          <w:tcPr>
            <w:tcW w:w="23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560270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b/>
                <w:bCs/>
                <w:sz w:val="24"/>
                <w:szCs w:val="24"/>
              </w:rPr>
              <w:t>Organisational Innovation</w:t>
            </w:r>
          </w:p>
        </w:tc>
        <w:tc>
          <w:tcPr>
            <w:tcW w:w="356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4C64E6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Collaborative stakeholder networks generate continuous improvement insights, co-innovation opportunities, and market intelligence</w:t>
            </w:r>
          </w:p>
        </w:tc>
        <w:tc>
          <w:tcPr>
            <w:tcW w:w="3163"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6B98501"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Freeman et al. (2010): Stakeholder-inclusive organisations consistently demonstrate higher rates of product innovation and market responsiveness</w:t>
            </w:r>
          </w:p>
        </w:tc>
      </w:tr>
    </w:tbl>
    <w:p w14:paraId="640D2790" w14:textId="77777777"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t>Table 8: Impact of Stakeholder Engagement on Organisational Performance (adapted from Clarkson, 1995; PMI, 2021; Ashcroft, 2017)</w:t>
      </w:r>
    </w:p>
    <w:p w14:paraId="67B3BC11" w14:textId="092B4926" w:rsidR="005E0A02" w:rsidRPr="0054572F" w:rsidRDefault="0049539E"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t>The above evidence shows clearly that stakeholder engagement is a key driver of organisational performance and not a marginal administrative activity. To Owen Mumford, the inability to engage key stakeholders in an effective manner would not only compromise the timeline of the current project, which is the ConnectSense™, but would also compromise the regulatory status, clinical credibility and long-term market presence of the organisation in the competitive connected health industry.</w:t>
      </w:r>
    </w:p>
    <w:p w14:paraId="7542C292" w14:textId="4666117B" w:rsidR="005E0A02" w:rsidRPr="0054572F" w:rsidRDefault="003F0AC7" w:rsidP="0054572F">
      <w:pPr>
        <w:pStyle w:val="Heading1"/>
        <w:spacing w:line="360" w:lineRule="auto"/>
        <w:rPr>
          <w:rFonts w:ascii="Times New Roman" w:hAnsi="Times New Roman" w:cs="Times New Roman"/>
          <w:color w:val="auto"/>
          <w:sz w:val="24"/>
          <w:szCs w:val="24"/>
        </w:rPr>
      </w:pPr>
      <w:bookmarkStart w:id="13" w:name="_Toc227403698"/>
      <w:r w:rsidRPr="0054572F">
        <w:rPr>
          <w:rFonts w:ascii="Times New Roman" w:hAnsi="Times New Roman" w:cs="Times New Roman"/>
          <w:color w:val="auto"/>
          <w:sz w:val="24"/>
          <w:szCs w:val="24"/>
        </w:rPr>
        <w:t>6.0 Recommendations</w:t>
      </w:r>
      <w:bookmarkEnd w:id="13"/>
    </w:p>
    <w:p w14:paraId="1D2F588C" w14:textId="428F0F03" w:rsidR="005E0A02" w:rsidRPr="0054572F" w:rsidRDefault="005E0A02" w:rsidP="0054572F">
      <w:pPr>
        <w:spacing w:line="360" w:lineRule="auto"/>
        <w:jc w:val="both"/>
        <w:rPr>
          <w:rFonts w:ascii="Times New Roman" w:hAnsi="Times New Roman" w:cs="Times New Roman"/>
          <w:sz w:val="24"/>
          <w:szCs w:val="24"/>
        </w:rPr>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74"/>
        <w:gridCol w:w="2237"/>
        <w:gridCol w:w="2281"/>
        <w:gridCol w:w="1294"/>
        <w:gridCol w:w="1160"/>
        <w:gridCol w:w="1680"/>
      </w:tblGrid>
      <w:tr w:rsidR="003F0AC7" w:rsidRPr="0054572F" w14:paraId="4770D461" w14:textId="77777777" w:rsidTr="00C51021">
        <w:tc>
          <w:tcPr>
            <w:tcW w:w="4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3C64AFED"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w:t>
            </w:r>
          </w:p>
        </w:tc>
        <w:tc>
          <w:tcPr>
            <w:tcW w:w="26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7DBDF25B"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Recommendation</w:t>
            </w:r>
          </w:p>
        </w:tc>
        <w:tc>
          <w:tcPr>
            <w:tcW w:w="31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7B079666"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Rationale &amp; Supporting Theory</w:t>
            </w:r>
          </w:p>
        </w:tc>
        <w:tc>
          <w:tcPr>
            <w:tcW w:w="8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6D21C54E"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Priority</w:t>
            </w:r>
          </w:p>
        </w:tc>
        <w:tc>
          <w:tcPr>
            <w:tcW w:w="900"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439B4416"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Timeline</w:t>
            </w:r>
          </w:p>
        </w:tc>
        <w:tc>
          <w:tcPr>
            <w:tcW w:w="1226" w:type="dxa"/>
            <w:tcBorders>
              <w:top w:val="single" w:sz="4" w:space="0" w:color="9DC3E6"/>
              <w:left w:val="single" w:sz="4" w:space="0" w:color="9DC3E6"/>
              <w:bottom w:val="single" w:sz="4" w:space="0" w:color="9DC3E6"/>
              <w:right w:val="single" w:sz="4" w:space="0" w:color="9DC3E6"/>
            </w:tcBorders>
            <w:shd w:val="clear" w:color="auto" w:fill="1F6591"/>
            <w:tcMar>
              <w:top w:w="80" w:type="dxa"/>
              <w:left w:w="120" w:type="dxa"/>
              <w:bottom w:w="80" w:type="dxa"/>
              <w:right w:w="120" w:type="dxa"/>
            </w:tcMar>
            <w:vAlign w:val="center"/>
          </w:tcPr>
          <w:p w14:paraId="368FD87C" w14:textId="77777777" w:rsidR="005E0A02" w:rsidRPr="0054572F" w:rsidRDefault="005E0A02" w:rsidP="0054572F">
            <w:pPr>
              <w:spacing w:line="360" w:lineRule="auto"/>
              <w:jc w:val="center"/>
              <w:rPr>
                <w:rFonts w:ascii="Times New Roman" w:hAnsi="Times New Roman" w:cs="Times New Roman"/>
                <w:color w:val="FFFFFF" w:themeColor="background1"/>
                <w:sz w:val="24"/>
                <w:szCs w:val="24"/>
              </w:rPr>
            </w:pPr>
            <w:r w:rsidRPr="0054572F">
              <w:rPr>
                <w:rFonts w:ascii="Times New Roman" w:eastAsia="Arial" w:hAnsi="Times New Roman" w:cs="Times New Roman"/>
                <w:b/>
                <w:bCs/>
                <w:color w:val="FFFFFF" w:themeColor="background1"/>
                <w:sz w:val="24"/>
                <w:szCs w:val="24"/>
              </w:rPr>
              <w:t>Expected Outcome</w:t>
            </w:r>
          </w:p>
        </w:tc>
      </w:tr>
      <w:tr w:rsidR="003F0AC7" w:rsidRPr="0054572F" w14:paraId="6DD35305" w14:textId="77777777" w:rsidTr="00C51021">
        <w:tc>
          <w:tcPr>
            <w:tcW w:w="4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E906414"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1</w:t>
            </w:r>
          </w:p>
        </w:tc>
        <w:tc>
          <w:tcPr>
            <w:tcW w:w="26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45C411D"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 xml:space="preserve">Establish a Multi-Stakeholder Governance Board comprising NHS </w:t>
            </w:r>
            <w:r w:rsidRPr="0054572F">
              <w:rPr>
                <w:rFonts w:ascii="Times New Roman" w:eastAsia="Arial" w:hAnsi="Times New Roman" w:cs="Times New Roman"/>
                <w:sz w:val="24"/>
                <w:szCs w:val="24"/>
              </w:rPr>
              <w:lastRenderedPageBreak/>
              <w:t>Trust leads, Patient Advocates, Clinical Advisors, and Regulatory Experts for ConnectSense™ oversight</w:t>
            </w:r>
          </w:p>
        </w:tc>
        <w:tc>
          <w:tcPr>
            <w:tcW w:w="3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23AB3F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lastRenderedPageBreak/>
              <w:t xml:space="preserve">Formalises multi-stakeholder governance, improves decision </w:t>
            </w:r>
            <w:r w:rsidRPr="0054572F">
              <w:rPr>
                <w:rFonts w:ascii="Times New Roman" w:eastAsia="Arial" w:hAnsi="Times New Roman" w:cs="Times New Roman"/>
                <w:sz w:val="24"/>
                <w:szCs w:val="24"/>
              </w:rPr>
              <w:lastRenderedPageBreak/>
              <w:t>quality, and builds institutional trust (Ashcroft, 2017)</w:t>
            </w:r>
          </w:p>
        </w:tc>
        <w:tc>
          <w:tcPr>
            <w:tcW w:w="8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11656E2"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lastRenderedPageBreak/>
              <w:t>HIGH</w:t>
            </w:r>
          </w:p>
        </w:tc>
        <w:tc>
          <w:tcPr>
            <w:tcW w:w="9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10FDB45"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Month 1</w:t>
            </w:r>
          </w:p>
        </w:tc>
        <w:tc>
          <w:tcPr>
            <w:tcW w:w="12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85B9E4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 xml:space="preserve">Aligned strategic direction and </w:t>
            </w:r>
            <w:r w:rsidRPr="0054572F">
              <w:rPr>
                <w:rFonts w:ascii="Times New Roman" w:eastAsia="Arial" w:hAnsi="Times New Roman" w:cs="Times New Roman"/>
                <w:sz w:val="24"/>
                <w:szCs w:val="24"/>
              </w:rPr>
              <w:lastRenderedPageBreak/>
              <w:t>shared accountability</w:t>
            </w:r>
          </w:p>
        </w:tc>
      </w:tr>
      <w:tr w:rsidR="003F0AC7" w:rsidRPr="0054572F" w14:paraId="61E3ECE8" w14:textId="77777777" w:rsidTr="00C51021">
        <w:tc>
          <w:tcPr>
            <w:tcW w:w="4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F24C932"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lastRenderedPageBreak/>
              <w:t>2</w:t>
            </w:r>
          </w:p>
        </w:tc>
        <w:tc>
          <w:tcPr>
            <w:tcW w:w="26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1477009"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Implement a Patient Partnership Programme, co-designing ConnectSense™ app features and interfaces directly with diabetes patient communities</w:t>
            </w:r>
          </w:p>
        </w:tc>
        <w:tc>
          <w:tcPr>
            <w:tcW w:w="3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CA1E03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Ensures product-market fit, reduces post-launch usability issues, and builds brand loyalty (Christopher et al., 2013)</w:t>
            </w:r>
          </w:p>
        </w:tc>
        <w:tc>
          <w:tcPr>
            <w:tcW w:w="8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9225FE2"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HIGH</w:t>
            </w:r>
          </w:p>
        </w:tc>
        <w:tc>
          <w:tcPr>
            <w:tcW w:w="9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6C5682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Month 2</w:t>
            </w:r>
          </w:p>
        </w:tc>
        <w:tc>
          <w:tcPr>
            <w:tcW w:w="12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E385363"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Improved adoption rates and patient satisfaction</w:t>
            </w:r>
          </w:p>
        </w:tc>
      </w:tr>
      <w:tr w:rsidR="003F0AC7" w:rsidRPr="0054572F" w14:paraId="772657DF" w14:textId="77777777" w:rsidTr="00C51021">
        <w:tc>
          <w:tcPr>
            <w:tcW w:w="4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004685C"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3</w:t>
            </w:r>
          </w:p>
        </w:tc>
        <w:tc>
          <w:tcPr>
            <w:tcW w:w="26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424505D"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Deploy a Digital Stakeholder Portal providing real-time project dashboards, milestone progress, and two-way feedback mechanisms for all stakeholder groups</w:t>
            </w:r>
          </w:p>
        </w:tc>
        <w:tc>
          <w:tcPr>
            <w:tcW w:w="3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02BC971"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Enhances transparency, reduces information asymmetry, and improves engagement satisfaction (PMI, 2021)</w:t>
            </w:r>
          </w:p>
        </w:tc>
        <w:tc>
          <w:tcPr>
            <w:tcW w:w="8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ADBCA97"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MEDIUM</w:t>
            </w:r>
          </w:p>
        </w:tc>
        <w:tc>
          <w:tcPr>
            <w:tcW w:w="9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CF7FB3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Month 3</w:t>
            </w:r>
          </w:p>
        </w:tc>
        <w:tc>
          <w:tcPr>
            <w:tcW w:w="12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206C55DA"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Reduced stakeholder disengagement and improved trust</w:t>
            </w:r>
          </w:p>
        </w:tc>
      </w:tr>
      <w:tr w:rsidR="003F0AC7" w:rsidRPr="0054572F" w14:paraId="4CE6F716" w14:textId="77777777" w:rsidTr="00C51021">
        <w:tc>
          <w:tcPr>
            <w:tcW w:w="4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1505F163"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4</w:t>
            </w:r>
          </w:p>
        </w:tc>
        <w:tc>
          <w:tcPr>
            <w:tcW w:w="26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00A21AF"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 xml:space="preserve">Conduct Quarterly Stakeholder Satisfaction Surveys measuring engagement quality, communication </w:t>
            </w:r>
            <w:r w:rsidRPr="0054572F">
              <w:rPr>
                <w:rFonts w:ascii="Times New Roman" w:eastAsia="Arial" w:hAnsi="Times New Roman" w:cs="Times New Roman"/>
                <w:sz w:val="24"/>
                <w:szCs w:val="24"/>
              </w:rPr>
              <w:lastRenderedPageBreak/>
              <w:t>effectiveness, and trust levels across all groups</w:t>
            </w:r>
          </w:p>
        </w:tc>
        <w:tc>
          <w:tcPr>
            <w:tcW w:w="3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FBAEB53"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lastRenderedPageBreak/>
              <w:t xml:space="preserve">Provides evidence-based insights to continuously improve engagement strategies and demonstrate </w:t>
            </w:r>
            <w:r w:rsidRPr="0054572F">
              <w:rPr>
                <w:rFonts w:ascii="Times New Roman" w:eastAsia="Arial" w:hAnsi="Times New Roman" w:cs="Times New Roman"/>
                <w:sz w:val="24"/>
                <w:szCs w:val="24"/>
              </w:rPr>
              <w:lastRenderedPageBreak/>
              <w:t>accountability (Bourne, 2015)</w:t>
            </w:r>
          </w:p>
        </w:tc>
        <w:tc>
          <w:tcPr>
            <w:tcW w:w="8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00E2A433"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lastRenderedPageBreak/>
              <w:t>MEDIUM</w:t>
            </w:r>
          </w:p>
        </w:tc>
        <w:tc>
          <w:tcPr>
            <w:tcW w:w="9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11C1F23A"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From Month 3 – Quarterly</w:t>
            </w:r>
          </w:p>
        </w:tc>
        <w:tc>
          <w:tcPr>
            <w:tcW w:w="12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876494D"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Continuous improvement in engagement quality</w:t>
            </w:r>
          </w:p>
        </w:tc>
      </w:tr>
      <w:tr w:rsidR="003F0AC7" w:rsidRPr="0054572F" w14:paraId="005F03FD" w14:textId="77777777" w:rsidTr="00C51021">
        <w:tc>
          <w:tcPr>
            <w:tcW w:w="4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3A1DC8F"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5</w:t>
            </w:r>
          </w:p>
        </w:tc>
        <w:tc>
          <w:tcPr>
            <w:tcW w:w="26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397446D"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Develop a Cultural Adaptation Strategy for international market expansion, accounting for healthcare system differences and regulatory expectations in EU and US markets</w:t>
            </w:r>
          </w:p>
        </w:tc>
        <w:tc>
          <w:tcPr>
            <w:tcW w:w="3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D28C158"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Prevents cultural misalignment and supports successful international market entry (Freeman et al., 2010)</w:t>
            </w:r>
          </w:p>
        </w:tc>
        <w:tc>
          <w:tcPr>
            <w:tcW w:w="8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F8E2C33"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HIGH</w:t>
            </w:r>
          </w:p>
        </w:tc>
        <w:tc>
          <w:tcPr>
            <w:tcW w:w="9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0C429B9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Month 4</w:t>
            </w:r>
          </w:p>
        </w:tc>
        <w:tc>
          <w:tcPr>
            <w:tcW w:w="12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7256A0AD"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Smoother international rollout and regulatory approvals</w:t>
            </w:r>
          </w:p>
        </w:tc>
      </w:tr>
      <w:tr w:rsidR="003F0AC7" w:rsidRPr="0054572F" w14:paraId="46A86DCE" w14:textId="77777777" w:rsidTr="00C51021">
        <w:tc>
          <w:tcPr>
            <w:tcW w:w="4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5828AD31"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6</w:t>
            </w:r>
          </w:p>
        </w:tc>
        <w:tc>
          <w:tcPr>
            <w:tcW w:w="26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2B89180E"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Invest in Stakeholder Engagement Training for all senior managers and project leads, embedding relationship management principles into Owen Mumford's organisational culture</w:t>
            </w:r>
          </w:p>
        </w:tc>
        <w:tc>
          <w:tcPr>
            <w:tcW w:w="31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456C9E7D"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Builds long-term organisational engagement capability and reduces conflict incidence (Eskerod and Jepsen, 2013)</w:t>
            </w:r>
          </w:p>
        </w:tc>
        <w:tc>
          <w:tcPr>
            <w:tcW w:w="8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308ED3C"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MEDIUM</w:t>
            </w:r>
          </w:p>
        </w:tc>
        <w:tc>
          <w:tcPr>
            <w:tcW w:w="900"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3882101B"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Months 2–3</w:t>
            </w:r>
          </w:p>
        </w:tc>
        <w:tc>
          <w:tcPr>
            <w:tcW w:w="1226" w:type="dxa"/>
            <w:tcBorders>
              <w:top w:val="single" w:sz="4" w:space="0" w:color="9DC3E6"/>
              <w:left w:val="single" w:sz="4" w:space="0" w:color="9DC3E6"/>
              <w:bottom w:val="single" w:sz="4" w:space="0" w:color="9DC3E6"/>
              <w:right w:val="single" w:sz="4" w:space="0" w:color="9DC3E6"/>
            </w:tcBorders>
            <w:shd w:val="clear" w:color="auto" w:fill="FFFFFF"/>
            <w:tcMar>
              <w:top w:w="80" w:type="dxa"/>
              <w:left w:w="120" w:type="dxa"/>
              <w:bottom w:w="80" w:type="dxa"/>
              <w:right w:w="120" w:type="dxa"/>
            </w:tcMar>
            <w:vAlign w:val="center"/>
          </w:tcPr>
          <w:p w14:paraId="70B0B8A4"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Enhanced managerial competence in stakeholder management</w:t>
            </w:r>
          </w:p>
        </w:tc>
      </w:tr>
      <w:tr w:rsidR="003F0AC7" w:rsidRPr="0054572F" w14:paraId="6BD47A0B" w14:textId="77777777" w:rsidTr="00C51021">
        <w:tc>
          <w:tcPr>
            <w:tcW w:w="4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468945FC"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t>7</w:t>
            </w:r>
          </w:p>
        </w:tc>
        <w:tc>
          <w:tcPr>
            <w:tcW w:w="26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1B4EBFB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 xml:space="preserve">Establish a Post-Market Surveillance Stakeholder Network engaging </w:t>
            </w:r>
            <w:r w:rsidRPr="0054572F">
              <w:rPr>
                <w:rFonts w:ascii="Times New Roman" w:eastAsia="Arial" w:hAnsi="Times New Roman" w:cs="Times New Roman"/>
                <w:sz w:val="24"/>
                <w:szCs w:val="24"/>
              </w:rPr>
              <w:lastRenderedPageBreak/>
              <w:t>NHS Trusts, patients, and HCPs in ongoing safety monitoring and product improvement after launch</w:t>
            </w:r>
          </w:p>
        </w:tc>
        <w:tc>
          <w:tcPr>
            <w:tcW w:w="31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71CDFC3"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lastRenderedPageBreak/>
              <w:t xml:space="preserve">Ensures ongoing MHRA regulatory compliance, builds a continuous </w:t>
            </w:r>
            <w:r w:rsidRPr="0054572F">
              <w:rPr>
                <w:rFonts w:ascii="Times New Roman" w:eastAsia="Arial" w:hAnsi="Times New Roman" w:cs="Times New Roman"/>
                <w:sz w:val="24"/>
                <w:szCs w:val="24"/>
              </w:rPr>
              <w:lastRenderedPageBreak/>
              <w:t>improvement culture, and extends the ConnectSense™ product lifecycle (MHRA, 2022)</w:t>
            </w:r>
          </w:p>
        </w:tc>
        <w:tc>
          <w:tcPr>
            <w:tcW w:w="8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69C11C58" w14:textId="77777777" w:rsidR="005E0A02" w:rsidRPr="0054572F" w:rsidRDefault="005E0A02" w:rsidP="0054572F">
            <w:pPr>
              <w:spacing w:line="360" w:lineRule="auto"/>
              <w:jc w:val="center"/>
              <w:rPr>
                <w:rFonts w:ascii="Times New Roman" w:hAnsi="Times New Roman" w:cs="Times New Roman"/>
                <w:sz w:val="24"/>
                <w:szCs w:val="24"/>
              </w:rPr>
            </w:pPr>
            <w:r w:rsidRPr="0054572F">
              <w:rPr>
                <w:rFonts w:ascii="Times New Roman" w:eastAsia="Arial" w:hAnsi="Times New Roman" w:cs="Times New Roman"/>
                <w:b/>
                <w:bCs/>
                <w:sz w:val="24"/>
                <w:szCs w:val="24"/>
              </w:rPr>
              <w:lastRenderedPageBreak/>
              <w:t>HIGH</w:t>
            </w:r>
          </w:p>
        </w:tc>
        <w:tc>
          <w:tcPr>
            <w:tcW w:w="900"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30695A60"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Month 6 onwards</w:t>
            </w:r>
          </w:p>
        </w:tc>
        <w:tc>
          <w:tcPr>
            <w:tcW w:w="1226" w:type="dxa"/>
            <w:tcBorders>
              <w:top w:val="single" w:sz="4" w:space="0" w:color="9DC3E6"/>
              <w:left w:val="single" w:sz="4" w:space="0" w:color="9DC3E6"/>
              <w:bottom w:val="single" w:sz="4" w:space="0" w:color="9DC3E6"/>
              <w:right w:val="single" w:sz="4" w:space="0" w:color="9DC3E6"/>
            </w:tcBorders>
            <w:shd w:val="clear" w:color="auto" w:fill="EAF3FB"/>
            <w:tcMar>
              <w:top w:w="80" w:type="dxa"/>
              <w:left w:w="120" w:type="dxa"/>
              <w:bottom w:w="80" w:type="dxa"/>
              <w:right w:w="120" w:type="dxa"/>
            </w:tcMar>
            <w:vAlign w:val="center"/>
          </w:tcPr>
          <w:p w14:paraId="54BCD8C2" w14:textId="77777777" w:rsidR="005E0A02" w:rsidRPr="0054572F" w:rsidRDefault="005E0A02" w:rsidP="0054572F">
            <w:pPr>
              <w:spacing w:line="360" w:lineRule="auto"/>
              <w:rPr>
                <w:rFonts w:ascii="Times New Roman" w:hAnsi="Times New Roman" w:cs="Times New Roman"/>
                <w:sz w:val="24"/>
                <w:szCs w:val="24"/>
              </w:rPr>
            </w:pPr>
            <w:r w:rsidRPr="0054572F">
              <w:rPr>
                <w:rFonts w:ascii="Times New Roman" w:eastAsia="Arial" w:hAnsi="Times New Roman" w:cs="Times New Roman"/>
                <w:sz w:val="24"/>
                <w:szCs w:val="24"/>
              </w:rPr>
              <w:t xml:space="preserve">Sustained regulatory compliance </w:t>
            </w:r>
            <w:r w:rsidRPr="0054572F">
              <w:rPr>
                <w:rFonts w:ascii="Times New Roman" w:eastAsia="Arial" w:hAnsi="Times New Roman" w:cs="Times New Roman"/>
                <w:sz w:val="24"/>
                <w:szCs w:val="24"/>
              </w:rPr>
              <w:lastRenderedPageBreak/>
              <w:t>and patient safety culture</w:t>
            </w:r>
          </w:p>
        </w:tc>
      </w:tr>
    </w:tbl>
    <w:p w14:paraId="515AE398" w14:textId="77777777" w:rsidR="005E0A02" w:rsidRPr="0054572F" w:rsidRDefault="005E0A02" w:rsidP="0054572F">
      <w:pPr>
        <w:spacing w:after="200" w:line="360" w:lineRule="auto"/>
        <w:jc w:val="center"/>
        <w:rPr>
          <w:rFonts w:ascii="Times New Roman" w:hAnsi="Times New Roman" w:cs="Times New Roman"/>
          <w:sz w:val="24"/>
          <w:szCs w:val="24"/>
        </w:rPr>
      </w:pPr>
      <w:r w:rsidRPr="0054572F">
        <w:rPr>
          <w:rFonts w:ascii="Times New Roman" w:eastAsia="Arial" w:hAnsi="Times New Roman" w:cs="Times New Roman"/>
          <w:sz w:val="24"/>
          <w:szCs w:val="24"/>
        </w:rPr>
        <w:lastRenderedPageBreak/>
        <w:t>Table 9: Strategic Recommendations for Enhanced Stakeholder Engagement at Owen Mumford</w:t>
      </w:r>
    </w:p>
    <w:p w14:paraId="26DA11C4" w14:textId="77777777" w:rsidR="005E0A02" w:rsidRPr="0054572F" w:rsidRDefault="005E0A02" w:rsidP="0054572F">
      <w:pPr>
        <w:pStyle w:val="Heading1"/>
        <w:spacing w:line="360" w:lineRule="auto"/>
        <w:rPr>
          <w:rFonts w:ascii="Times New Roman" w:hAnsi="Times New Roman" w:cs="Times New Roman"/>
          <w:color w:val="auto"/>
          <w:sz w:val="24"/>
          <w:szCs w:val="24"/>
        </w:rPr>
      </w:pPr>
      <w:bookmarkStart w:id="14" w:name="_Toc227403699"/>
      <w:r w:rsidRPr="0054572F">
        <w:rPr>
          <w:rFonts w:ascii="Times New Roman" w:hAnsi="Times New Roman" w:cs="Times New Roman"/>
          <w:color w:val="auto"/>
          <w:sz w:val="24"/>
          <w:szCs w:val="24"/>
        </w:rPr>
        <w:t>Conclusion</w:t>
      </w:r>
      <w:bookmarkEnd w:id="14"/>
    </w:p>
    <w:p w14:paraId="3F65ABA2" w14:textId="77777777" w:rsidR="00DA111C" w:rsidRPr="0054572F" w:rsidRDefault="00DA111C" w:rsidP="0054572F">
      <w:pPr>
        <w:spacing w:line="360" w:lineRule="auto"/>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This report has critically analysed the stakeholder environment of the ConnectSense™ project, a smart connected auto-injector gadget, which is the brainchild of Owen Mumford, and is meant to revolutionise the handling of chronic illnesses like diabetes by patients. Using the main theories of stakeholder engagement, such as Stakeholder Theory, Salience Model, and Relational Lens Framework as developed by Freeman (1984), Mitchell, Agle and Wood (1997) and Ashcroft (2017), respectively, the report has shown that effective, systematic and value-based stakeholder engagement is a strategic and operational necessity in the successful execution of complex medical device projects in a dynamic regulatory</w:t>
      </w:r>
    </w:p>
    <w:p w14:paraId="3A7630EE" w14:textId="77777777" w:rsidR="00DA111C" w:rsidRPr="0054572F" w:rsidRDefault="00DA111C" w:rsidP="0054572F">
      <w:pPr>
        <w:spacing w:line="360" w:lineRule="auto"/>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The identification and classification of internal and external stakeholders with the help of the Power/Interest Matrix of Mendelow (1991) have made it possible to gain a subtle and analytically rigorous insight into the various interests and influence dynamics that are involved in the project of ConnectSense. The RACI Matrix, Communication Plan, and IAP2 Level of Engagement Framework allow Owen Mumford to have an organised and consistent method of dealing with those relationships in the entire project lifecycle process, including planning and regulatory submission, to clinical piloting and commercial introduction.</w:t>
      </w:r>
    </w:p>
    <w:p w14:paraId="633FF473" w14:textId="77777777" w:rsidR="00DA111C" w:rsidRPr="0054572F" w:rsidRDefault="00DA111C" w:rsidP="0054572F">
      <w:pPr>
        <w:spacing w:line="360" w:lineRule="auto"/>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The 4Cs model of Communication, Collaboration, Consultation, and commitment also offers the project manager a realistic model of how to maintain the relationship with stakeholders, conflict management and resolution in positive ways, and how to maintain the strategic focus of all stakeholder groups. The analyses of the stakeholder engagement reveal strong and direct connections between the quality of engagement and the success of project delivery, the rates of clinical adoption, regulatory compliance, patient outcomes, and financial performance.</w:t>
      </w:r>
    </w:p>
    <w:p w14:paraId="5CA950F2" w14:textId="2791BF63" w:rsidR="005E0A02" w:rsidRPr="0054572F" w:rsidRDefault="00DA111C" w:rsidP="0054572F">
      <w:pPr>
        <w:spacing w:line="360" w:lineRule="auto"/>
        <w:jc w:val="both"/>
        <w:rPr>
          <w:rFonts w:ascii="Times New Roman" w:hAnsi="Times New Roman" w:cs="Times New Roman"/>
          <w:sz w:val="24"/>
          <w:szCs w:val="24"/>
        </w:rPr>
      </w:pPr>
      <w:r w:rsidRPr="0054572F">
        <w:rPr>
          <w:rFonts w:ascii="Times New Roman" w:eastAsia="Arial" w:hAnsi="Times New Roman" w:cs="Times New Roman"/>
          <w:sz w:val="24"/>
          <w:szCs w:val="24"/>
        </w:rPr>
        <w:lastRenderedPageBreak/>
        <w:t>The proposed strategic recommendations, such as the creation of a multi-stakeholder Governance Board, a Patient Partnership Programme, a Cultural Adaptation Strategy of the international markets, and an effective Post-Market Surveillance Network will give Owen Mumford a clear and practical roadmap to not only implement the successful delivery of the ConnectSense™ project, but also to establish enduring relationships with the stakeholders that will help to maintain the competitive advantage By investing in authentic, long-term, and value-based relationships with stakeholders, organisations have a greater likelihood of navigating complexity, driving innovation faster, and making durable organisational performance, as it has been repeatedly shown by Clarkson (1995) and Christopher et al. (2013).</w:t>
      </w:r>
    </w:p>
    <w:p w14:paraId="66934AD3" w14:textId="77777777" w:rsidR="005E0A02" w:rsidRPr="0054572F" w:rsidRDefault="005E0A02" w:rsidP="0054572F">
      <w:pPr>
        <w:spacing w:line="360" w:lineRule="auto"/>
        <w:rPr>
          <w:rFonts w:ascii="Times New Roman" w:hAnsi="Times New Roman" w:cs="Times New Roman"/>
          <w:b/>
          <w:bCs/>
          <w:sz w:val="24"/>
          <w:szCs w:val="24"/>
        </w:rPr>
      </w:pPr>
      <w:r w:rsidRPr="0054572F">
        <w:rPr>
          <w:rFonts w:ascii="Times New Roman" w:hAnsi="Times New Roman" w:cs="Times New Roman"/>
          <w:sz w:val="24"/>
          <w:szCs w:val="24"/>
        </w:rPr>
        <w:br w:type="page"/>
      </w:r>
    </w:p>
    <w:p w14:paraId="3BAA649B" w14:textId="77777777" w:rsidR="005E0A02" w:rsidRPr="0054572F" w:rsidRDefault="005E0A02" w:rsidP="0054572F">
      <w:pPr>
        <w:pStyle w:val="Heading1"/>
        <w:spacing w:line="360" w:lineRule="auto"/>
        <w:rPr>
          <w:rFonts w:ascii="Times New Roman" w:hAnsi="Times New Roman" w:cs="Times New Roman"/>
          <w:color w:val="auto"/>
          <w:sz w:val="24"/>
          <w:szCs w:val="24"/>
        </w:rPr>
      </w:pPr>
      <w:bookmarkStart w:id="15" w:name="_Toc227403700"/>
      <w:r w:rsidRPr="0054572F">
        <w:rPr>
          <w:rFonts w:ascii="Times New Roman" w:hAnsi="Times New Roman" w:cs="Times New Roman"/>
          <w:color w:val="auto"/>
          <w:sz w:val="24"/>
          <w:szCs w:val="24"/>
        </w:rPr>
        <w:lastRenderedPageBreak/>
        <w:t>References</w:t>
      </w:r>
      <w:bookmarkEnd w:id="15"/>
    </w:p>
    <w:p w14:paraId="17A554D1" w14:textId="3F3CACD0"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‌Ashcroft, J. (2017) The relational lens: understanding, measuring, and managing stakeholder relationships. Cambridge: Cambridge University Press. </w:t>
      </w:r>
      <w:hyperlink r:id="rId11" w:history="1">
        <w:r w:rsidRPr="0054572F">
          <w:rPr>
            <w:rStyle w:val="Hyperlink"/>
            <w:rFonts w:ascii="Times New Roman" w:eastAsia="Arial" w:hAnsi="Times New Roman" w:cs="Times New Roman"/>
            <w:sz w:val="24"/>
            <w:szCs w:val="24"/>
          </w:rPr>
          <w:t>https://doi.org/10.1017/CBO9781316659212</w:t>
        </w:r>
      </w:hyperlink>
      <w:r w:rsidRPr="0054572F">
        <w:rPr>
          <w:rFonts w:ascii="Times New Roman" w:eastAsia="Arial" w:hAnsi="Times New Roman" w:cs="Times New Roman"/>
          <w:sz w:val="24"/>
          <w:szCs w:val="24"/>
        </w:rPr>
        <w:t xml:space="preserve"> </w:t>
      </w:r>
    </w:p>
    <w:p w14:paraId="3CB38F19"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Bourne, L. (2015) Making projects work: effective stakeholder and communication management. Boca Raton: CRC Press.</w:t>
      </w:r>
    </w:p>
    <w:p w14:paraId="4F857C43"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Christopher, M., Payne, A. and Ballantyne, D. (2013) Relationship marketing: creating stakeholder value. London: Taylor and Francis. </w:t>
      </w:r>
      <w:hyperlink r:id="rId12" w:history="1">
        <w:r w:rsidRPr="0054572F">
          <w:rPr>
            <w:rStyle w:val="Hyperlink"/>
            <w:rFonts w:ascii="Times New Roman" w:eastAsia="Arial" w:hAnsi="Times New Roman" w:cs="Times New Roman"/>
            <w:sz w:val="24"/>
            <w:szCs w:val="24"/>
          </w:rPr>
          <w:t>https://doi.org/10.4324/9780080516042</w:t>
        </w:r>
      </w:hyperlink>
      <w:r w:rsidRPr="0054572F">
        <w:rPr>
          <w:rFonts w:ascii="Times New Roman" w:eastAsia="Arial" w:hAnsi="Times New Roman" w:cs="Times New Roman"/>
          <w:sz w:val="24"/>
          <w:szCs w:val="24"/>
        </w:rPr>
        <w:t xml:space="preserve"> </w:t>
      </w:r>
    </w:p>
    <w:p w14:paraId="4EFCE96F" w14:textId="77777777" w:rsidR="009B6E20" w:rsidRPr="0054572F" w:rsidRDefault="009B6E20" w:rsidP="0054572F">
      <w:pPr>
        <w:spacing w:line="360" w:lineRule="auto"/>
        <w:ind w:left="720" w:hanging="720"/>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 xml:space="preserve">Clarkson, M.E. (1995). A Stakeholder Framework for </w:t>
      </w:r>
      <w:proofErr w:type="spellStart"/>
      <w:r w:rsidRPr="0054572F">
        <w:rPr>
          <w:rFonts w:ascii="Times New Roman" w:eastAsia="Arial" w:hAnsi="Times New Roman" w:cs="Times New Roman"/>
          <w:sz w:val="24"/>
          <w:szCs w:val="24"/>
        </w:rPr>
        <w:t>Analyzing</w:t>
      </w:r>
      <w:proofErr w:type="spellEnd"/>
      <w:r w:rsidRPr="0054572F">
        <w:rPr>
          <w:rFonts w:ascii="Times New Roman" w:eastAsia="Arial" w:hAnsi="Times New Roman" w:cs="Times New Roman"/>
          <w:sz w:val="24"/>
          <w:szCs w:val="24"/>
        </w:rPr>
        <w:t xml:space="preserve"> and Evaluating Corporate Social Performance. Academy of Management Review, [online] 20(1), pp.92–117. doi:10.5465/amr.1995.9503271994.</w:t>
      </w:r>
    </w:p>
    <w:p w14:paraId="57943205"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Diabetes UK (2023) Diabetes prevalence statistics. Available at: </w:t>
      </w:r>
      <w:hyperlink r:id="rId13" w:history="1">
        <w:r w:rsidRPr="0054572F">
          <w:rPr>
            <w:rStyle w:val="Hyperlink"/>
            <w:rFonts w:ascii="Times New Roman" w:eastAsia="Arial" w:hAnsi="Times New Roman" w:cs="Times New Roman"/>
            <w:sz w:val="24"/>
            <w:szCs w:val="24"/>
          </w:rPr>
          <w:t>https://www.diabetes.org.uk/professionals/position-statements-reports/statistics</w:t>
        </w:r>
      </w:hyperlink>
      <w:r w:rsidRPr="0054572F">
        <w:rPr>
          <w:rFonts w:ascii="Times New Roman" w:eastAsia="Arial" w:hAnsi="Times New Roman" w:cs="Times New Roman"/>
          <w:sz w:val="24"/>
          <w:szCs w:val="24"/>
        </w:rPr>
        <w:t xml:space="preserve">  (Accessed: 15 April 2026).</w:t>
      </w:r>
    </w:p>
    <w:p w14:paraId="6B4FDCD4"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Donaldson, T. and Preston, L.E. (1995) ‘The stakeholder theory of the corporation: concepts, evidence, and implications’, Academy of Management Review, 20(1), pp. 65–91. </w:t>
      </w:r>
      <w:hyperlink r:id="rId14" w:history="1">
        <w:r w:rsidRPr="0054572F">
          <w:rPr>
            <w:rStyle w:val="Hyperlink"/>
            <w:rFonts w:ascii="Times New Roman" w:eastAsia="Arial" w:hAnsi="Times New Roman" w:cs="Times New Roman"/>
            <w:sz w:val="24"/>
            <w:szCs w:val="24"/>
          </w:rPr>
          <w:t>https://doi.org/10.5465/amr.1995.9503271992</w:t>
        </w:r>
      </w:hyperlink>
      <w:r w:rsidRPr="0054572F">
        <w:rPr>
          <w:rFonts w:ascii="Times New Roman" w:eastAsia="Arial" w:hAnsi="Times New Roman" w:cs="Times New Roman"/>
          <w:sz w:val="24"/>
          <w:szCs w:val="24"/>
        </w:rPr>
        <w:t xml:space="preserve"> </w:t>
      </w:r>
    </w:p>
    <w:p w14:paraId="71D7AA3F"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Doran, G.T. (1981) ‘There’s a S.M.A.R.T. way to write management’s goals and objectives’, Management Review, 70(11), pp. 35–36.</w:t>
      </w:r>
    </w:p>
    <w:p w14:paraId="79AB2F31"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Eskerod, P. and Jepsen, A.L. (2013) Project stakeholder management. Farnham: Gower Publishing. </w:t>
      </w:r>
      <w:hyperlink r:id="rId15" w:history="1">
        <w:r w:rsidRPr="0054572F">
          <w:rPr>
            <w:rStyle w:val="Hyperlink"/>
            <w:rFonts w:ascii="Times New Roman" w:eastAsia="Arial" w:hAnsi="Times New Roman" w:cs="Times New Roman"/>
            <w:sz w:val="24"/>
            <w:szCs w:val="24"/>
          </w:rPr>
          <w:t>https://doi.org/10.4324/9781315245881</w:t>
        </w:r>
      </w:hyperlink>
      <w:r w:rsidRPr="0054572F">
        <w:rPr>
          <w:rFonts w:ascii="Times New Roman" w:eastAsia="Arial" w:hAnsi="Times New Roman" w:cs="Times New Roman"/>
          <w:sz w:val="24"/>
          <w:szCs w:val="24"/>
        </w:rPr>
        <w:t xml:space="preserve"> </w:t>
      </w:r>
    </w:p>
    <w:p w14:paraId="373E51D4"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Freeman, R.E. (1984) Strategic management: a stakeholder approach. Boston: Pitman Publishing.</w:t>
      </w:r>
    </w:p>
    <w:p w14:paraId="6CD60290"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Freeman, R.E., Harrison, J.S., Wicks, A.C., Parmar, B. and de Colle, S. (2010) Stakeholder theory: the state of the art. Cambridge: Cambridge University Press.</w:t>
      </w:r>
    </w:p>
    <w:p w14:paraId="692D3244"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Helms, M.M. and Nixon, J. (2010) ‘Exploring SWOT analysis – where are we now? A review of academic research from the last decade’, Journal of Strategy and Management, 3(3), pp. 215–251. </w:t>
      </w:r>
      <w:hyperlink r:id="rId16" w:history="1">
        <w:r w:rsidRPr="0054572F">
          <w:rPr>
            <w:rStyle w:val="Hyperlink"/>
            <w:rFonts w:ascii="Times New Roman" w:eastAsia="Arial" w:hAnsi="Times New Roman" w:cs="Times New Roman"/>
            <w:sz w:val="24"/>
            <w:szCs w:val="24"/>
          </w:rPr>
          <w:t>https://doi.org/10.1108/17554251011064837</w:t>
        </w:r>
      </w:hyperlink>
      <w:r w:rsidRPr="0054572F">
        <w:rPr>
          <w:rFonts w:ascii="Times New Roman" w:eastAsia="Arial" w:hAnsi="Times New Roman" w:cs="Times New Roman"/>
          <w:sz w:val="24"/>
          <w:szCs w:val="24"/>
        </w:rPr>
        <w:t xml:space="preserve"> </w:t>
      </w:r>
    </w:p>
    <w:p w14:paraId="05EE4089"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lastRenderedPageBreak/>
        <w:t xml:space="preserve">International Association for Public Participation (IAP2) (2018) IAP2 spectrum of public participation. Louisville: IAP2. </w:t>
      </w:r>
      <w:hyperlink r:id="rId17" w:history="1">
        <w:r w:rsidRPr="0054572F">
          <w:rPr>
            <w:rStyle w:val="Hyperlink"/>
            <w:rFonts w:ascii="Times New Roman" w:eastAsia="Arial" w:hAnsi="Times New Roman" w:cs="Times New Roman"/>
            <w:sz w:val="24"/>
            <w:szCs w:val="24"/>
          </w:rPr>
          <w:t>https://www.iap2.org/mpage/Home</w:t>
        </w:r>
      </w:hyperlink>
      <w:r w:rsidRPr="0054572F">
        <w:rPr>
          <w:rFonts w:ascii="Times New Roman" w:eastAsia="Arial" w:hAnsi="Times New Roman" w:cs="Times New Roman"/>
          <w:sz w:val="24"/>
          <w:szCs w:val="24"/>
        </w:rPr>
        <w:t xml:space="preserve"> </w:t>
      </w:r>
    </w:p>
    <w:p w14:paraId="202E757A"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Kerzner, H. (2017) Project management: a systems approach to planning, scheduling, and controlling. 12th </w:t>
      </w:r>
      <w:proofErr w:type="spellStart"/>
      <w:r w:rsidRPr="0054572F">
        <w:rPr>
          <w:rFonts w:ascii="Times New Roman" w:eastAsia="Arial" w:hAnsi="Times New Roman" w:cs="Times New Roman"/>
          <w:sz w:val="24"/>
          <w:szCs w:val="24"/>
        </w:rPr>
        <w:t>edn</w:t>
      </w:r>
      <w:proofErr w:type="spellEnd"/>
      <w:r w:rsidRPr="0054572F">
        <w:rPr>
          <w:rFonts w:ascii="Times New Roman" w:eastAsia="Arial" w:hAnsi="Times New Roman" w:cs="Times New Roman"/>
          <w:sz w:val="24"/>
          <w:szCs w:val="24"/>
        </w:rPr>
        <w:t>. Hoboken: John Wiley and Sons.</w:t>
      </w:r>
    </w:p>
    <w:p w14:paraId="315D9B85"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Medicines and Healthcare products Regulatory Agency (MHRA) (2022) Medical devices regulation and safety. London: MHRA. Available at: </w:t>
      </w:r>
      <w:hyperlink r:id="rId18" w:history="1">
        <w:r w:rsidRPr="0054572F">
          <w:rPr>
            <w:rStyle w:val="Hyperlink"/>
            <w:rFonts w:ascii="Times New Roman" w:eastAsia="Arial" w:hAnsi="Times New Roman" w:cs="Times New Roman"/>
            <w:sz w:val="24"/>
            <w:szCs w:val="24"/>
          </w:rPr>
          <w:t>https://www.gov.uk/topic/medicines-medical-devices-blood/medical-devices-regulation-safety</w:t>
        </w:r>
      </w:hyperlink>
      <w:r w:rsidRPr="0054572F">
        <w:rPr>
          <w:rFonts w:ascii="Times New Roman" w:eastAsia="Arial" w:hAnsi="Times New Roman" w:cs="Times New Roman"/>
          <w:sz w:val="24"/>
          <w:szCs w:val="24"/>
        </w:rPr>
        <w:t xml:space="preserve">  (Accessed: 15 April 2026).</w:t>
      </w:r>
    </w:p>
    <w:p w14:paraId="6F23FAC1"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Mendelow, A.L. (1991) ‘Stakeholder mapping’, in Proceedings of the 2nd International Conference on Information Systems. Cambridge: MIT.</w:t>
      </w:r>
    </w:p>
    <w:p w14:paraId="5257BC38"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Mitchell, R.K., Agle, B.R. and Wood, D.J. (1997) ‘Toward a theory of stakeholder identification and salience: defining the principle of who and what really counts’, Academy of Management Review, 22(4), pp. 853–886. </w:t>
      </w:r>
      <w:hyperlink r:id="rId19" w:history="1">
        <w:r w:rsidRPr="0054572F">
          <w:rPr>
            <w:rStyle w:val="Hyperlink"/>
            <w:rFonts w:ascii="Times New Roman" w:eastAsia="Arial" w:hAnsi="Times New Roman" w:cs="Times New Roman"/>
            <w:sz w:val="24"/>
            <w:szCs w:val="24"/>
          </w:rPr>
          <w:t>https://doi.org/10.5465/amr.1997.9711022105</w:t>
        </w:r>
      </w:hyperlink>
      <w:r w:rsidRPr="0054572F">
        <w:rPr>
          <w:rFonts w:ascii="Times New Roman" w:eastAsia="Arial" w:hAnsi="Times New Roman" w:cs="Times New Roman"/>
          <w:sz w:val="24"/>
          <w:szCs w:val="24"/>
        </w:rPr>
        <w:t xml:space="preserve"> </w:t>
      </w:r>
    </w:p>
    <w:p w14:paraId="0ADC7ECC"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NHS England (2019) The NHS long term plan. Leeds: NHS England. Available at: </w:t>
      </w:r>
      <w:hyperlink r:id="rId20" w:history="1">
        <w:r w:rsidRPr="0054572F">
          <w:rPr>
            <w:rStyle w:val="Hyperlink"/>
            <w:rFonts w:ascii="Times New Roman" w:eastAsia="Arial" w:hAnsi="Times New Roman" w:cs="Times New Roman"/>
            <w:sz w:val="24"/>
            <w:szCs w:val="24"/>
          </w:rPr>
          <w:t>https://www.longtermplan.nhs.uk/</w:t>
        </w:r>
      </w:hyperlink>
      <w:r w:rsidRPr="0054572F">
        <w:rPr>
          <w:rFonts w:ascii="Times New Roman" w:eastAsia="Arial" w:hAnsi="Times New Roman" w:cs="Times New Roman"/>
          <w:sz w:val="24"/>
          <w:szCs w:val="24"/>
        </w:rPr>
        <w:t xml:space="preserve">  (Accessed: 15 April 2026).</w:t>
      </w:r>
    </w:p>
    <w:p w14:paraId="47F91267"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Owen Mumford (2024) About us. Available at: </w:t>
      </w:r>
      <w:hyperlink r:id="rId21" w:history="1">
        <w:r w:rsidRPr="0054572F">
          <w:rPr>
            <w:rStyle w:val="Hyperlink"/>
            <w:rFonts w:ascii="Times New Roman" w:eastAsia="Arial" w:hAnsi="Times New Roman" w:cs="Times New Roman"/>
            <w:sz w:val="24"/>
            <w:szCs w:val="24"/>
          </w:rPr>
          <w:t>https://www.owenmumford.com/about-us/</w:t>
        </w:r>
      </w:hyperlink>
      <w:r w:rsidRPr="0054572F">
        <w:rPr>
          <w:rFonts w:ascii="Times New Roman" w:eastAsia="Arial" w:hAnsi="Times New Roman" w:cs="Times New Roman"/>
          <w:sz w:val="24"/>
          <w:szCs w:val="24"/>
        </w:rPr>
        <w:t xml:space="preserve">  (Accessed: 15 April 2026).</w:t>
      </w:r>
    </w:p>
    <w:p w14:paraId="3943DF65" w14:textId="77777777" w:rsidR="009B6E20" w:rsidRPr="0054572F" w:rsidRDefault="009B6E20" w:rsidP="0054572F">
      <w:pPr>
        <w:spacing w:line="360" w:lineRule="auto"/>
        <w:ind w:left="720" w:hanging="720"/>
        <w:jc w:val="both"/>
        <w:rPr>
          <w:rFonts w:ascii="Times New Roman" w:hAnsi="Times New Roman" w:cs="Times New Roman"/>
          <w:sz w:val="24"/>
          <w:szCs w:val="24"/>
        </w:rPr>
      </w:pPr>
      <w:r w:rsidRPr="0054572F">
        <w:rPr>
          <w:rFonts w:ascii="Times New Roman" w:eastAsia="Arial" w:hAnsi="Times New Roman" w:cs="Times New Roman"/>
          <w:sz w:val="24"/>
          <w:szCs w:val="24"/>
        </w:rPr>
        <w:t xml:space="preserve">Project Management Institute (PMI) (2021) A guide to the project management body of knowledge (PMBOK® guide). 7th </w:t>
      </w:r>
      <w:proofErr w:type="spellStart"/>
      <w:r w:rsidRPr="0054572F">
        <w:rPr>
          <w:rFonts w:ascii="Times New Roman" w:eastAsia="Arial" w:hAnsi="Times New Roman" w:cs="Times New Roman"/>
          <w:sz w:val="24"/>
          <w:szCs w:val="24"/>
        </w:rPr>
        <w:t>edn</w:t>
      </w:r>
      <w:proofErr w:type="spellEnd"/>
      <w:r w:rsidRPr="0054572F">
        <w:rPr>
          <w:rFonts w:ascii="Times New Roman" w:eastAsia="Arial" w:hAnsi="Times New Roman" w:cs="Times New Roman"/>
          <w:sz w:val="24"/>
          <w:szCs w:val="24"/>
        </w:rPr>
        <w:t xml:space="preserve">. Newton Square: PMI. </w:t>
      </w:r>
      <w:hyperlink r:id="rId22" w:history="1">
        <w:r w:rsidRPr="0054572F">
          <w:rPr>
            <w:rStyle w:val="Hyperlink"/>
            <w:rFonts w:ascii="Times New Roman" w:eastAsia="Arial" w:hAnsi="Times New Roman" w:cs="Times New Roman"/>
            <w:sz w:val="24"/>
            <w:szCs w:val="24"/>
          </w:rPr>
          <w:t>https://www.pmi.org/-/media/pmi/chapters/lebanon-chapter/pdf-and-ppt/pmbok_7th_edition.pdf?v=da8cf517-4db4-4468-b5e9-602c52b80558</w:t>
        </w:r>
      </w:hyperlink>
      <w:r w:rsidRPr="0054572F">
        <w:rPr>
          <w:rFonts w:ascii="Times New Roman" w:eastAsia="Arial" w:hAnsi="Times New Roman" w:cs="Times New Roman"/>
          <w:sz w:val="24"/>
          <w:szCs w:val="24"/>
        </w:rPr>
        <w:t xml:space="preserve"> </w:t>
      </w:r>
    </w:p>
    <w:p w14:paraId="7BDE07B2" w14:textId="77777777" w:rsidR="009B6E20" w:rsidRPr="0054572F" w:rsidRDefault="009B6E20" w:rsidP="0054572F">
      <w:pPr>
        <w:spacing w:line="360" w:lineRule="auto"/>
        <w:ind w:left="720" w:hanging="720"/>
        <w:jc w:val="both"/>
        <w:rPr>
          <w:rFonts w:ascii="Times New Roman" w:eastAsia="Arial" w:hAnsi="Times New Roman" w:cs="Times New Roman"/>
          <w:sz w:val="24"/>
          <w:szCs w:val="24"/>
        </w:rPr>
      </w:pPr>
      <w:r w:rsidRPr="0054572F">
        <w:rPr>
          <w:rFonts w:ascii="Times New Roman" w:eastAsia="Arial" w:hAnsi="Times New Roman" w:cs="Times New Roman"/>
          <w:sz w:val="24"/>
          <w:szCs w:val="24"/>
        </w:rPr>
        <w:t xml:space="preserve">Thomas, K.W. and Kilmann, R.H. (1974). Thomas-Kilmann Conflict Mode Instrument. </w:t>
      </w:r>
      <w:proofErr w:type="spellStart"/>
      <w:r w:rsidRPr="0054572F">
        <w:rPr>
          <w:rFonts w:ascii="Times New Roman" w:eastAsia="Arial" w:hAnsi="Times New Roman" w:cs="Times New Roman"/>
          <w:sz w:val="24"/>
          <w:szCs w:val="24"/>
        </w:rPr>
        <w:t>PsycTESTS</w:t>
      </w:r>
      <w:proofErr w:type="spellEnd"/>
      <w:r w:rsidRPr="0054572F">
        <w:rPr>
          <w:rFonts w:ascii="Times New Roman" w:eastAsia="Arial" w:hAnsi="Times New Roman" w:cs="Times New Roman"/>
          <w:sz w:val="24"/>
          <w:szCs w:val="24"/>
        </w:rPr>
        <w:t xml:space="preserve"> Dataset. [online] doi:10.1037/t02326-000. </w:t>
      </w:r>
    </w:p>
    <w:p w14:paraId="0FDA27FC" w14:textId="77777777" w:rsidR="009B6E20" w:rsidRPr="0054572F" w:rsidRDefault="009B6E20" w:rsidP="0054572F">
      <w:pPr>
        <w:spacing w:line="360" w:lineRule="auto"/>
        <w:ind w:left="720" w:hanging="720"/>
        <w:rPr>
          <w:rFonts w:ascii="Times New Roman" w:hAnsi="Times New Roman" w:cs="Times New Roman"/>
          <w:sz w:val="24"/>
          <w:szCs w:val="24"/>
        </w:rPr>
      </w:pPr>
      <w:r w:rsidRPr="0054572F">
        <w:rPr>
          <w:rFonts w:ascii="Times New Roman" w:eastAsia="Arial" w:hAnsi="Times New Roman" w:cs="Times New Roman"/>
          <w:sz w:val="24"/>
          <w:szCs w:val="24"/>
        </w:rPr>
        <w:t xml:space="preserve">Turner, J.R. (2014) The handbook of project-based management. 4th </w:t>
      </w:r>
      <w:proofErr w:type="spellStart"/>
      <w:r w:rsidRPr="0054572F">
        <w:rPr>
          <w:rFonts w:ascii="Times New Roman" w:eastAsia="Arial" w:hAnsi="Times New Roman" w:cs="Times New Roman"/>
          <w:sz w:val="24"/>
          <w:szCs w:val="24"/>
        </w:rPr>
        <w:t>edn</w:t>
      </w:r>
      <w:proofErr w:type="spellEnd"/>
      <w:r w:rsidRPr="0054572F">
        <w:rPr>
          <w:rFonts w:ascii="Times New Roman" w:eastAsia="Arial" w:hAnsi="Times New Roman" w:cs="Times New Roman"/>
          <w:sz w:val="24"/>
          <w:szCs w:val="24"/>
        </w:rPr>
        <w:t>. Maidenhead: McGraw-Hill Education.</w:t>
      </w:r>
      <w:r w:rsidRPr="0054572F">
        <w:rPr>
          <w:rFonts w:ascii="Times New Roman" w:hAnsi="Times New Roman" w:cs="Times New Roman"/>
          <w:b/>
          <w:bCs/>
          <w:sz w:val="24"/>
          <w:szCs w:val="24"/>
        </w:rPr>
        <w:t xml:space="preserve"> </w:t>
      </w:r>
      <w:hyperlink r:id="rId23" w:history="1">
        <w:r w:rsidRPr="0054572F">
          <w:rPr>
            <w:rStyle w:val="Hyperlink"/>
            <w:rFonts w:ascii="Times New Roman" w:hAnsi="Times New Roman" w:cs="Times New Roman"/>
            <w:sz w:val="24"/>
            <w:szCs w:val="24"/>
          </w:rPr>
          <w:t>http://www.kubalibri.cz/files/19---Handbook-of-Project-Based-Management.pdf</w:t>
        </w:r>
      </w:hyperlink>
      <w:r w:rsidRPr="0054572F">
        <w:rPr>
          <w:rFonts w:ascii="Times New Roman" w:hAnsi="Times New Roman" w:cs="Times New Roman"/>
          <w:sz w:val="24"/>
          <w:szCs w:val="24"/>
        </w:rPr>
        <w:t xml:space="preserve"> </w:t>
      </w:r>
    </w:p>
    <w:p w14:paraId="2DBEBD15" w14:textId="56E1C93C" w:rsidR="19DF5ED4" w:rsidRPr="0054572F" w:rsidRDefault="19DF5ED4" w:rsidP="0054572F">
      <w:pPr>
        <w:spacing w:line="360" w:lineRule="auto"/>
        <w:rPr>
          <w:rFonts w:ascii="Times New Roman" w:hAnsi="Times New Roman" w:cs="Times New Roman"/>
          <w:b/>
          <w:bCs/>
          <w:i/>
          <w:iCs/>
          <w:sz w:val="24"/>
          <w:szCs w:val="24"/>
        </w:rPr>
      </w:pPr>
    </w:p>
    <w:p w14:paraId="6D8B169F" w14:textId="1AFA9E58" w:rsidR="19DF5ED4" w:rsidRPr="0054572F" w:rsidRDefault="19DF5ED4" w:rsidP="0054572F">
      <w:pPr>
        <w:spacing w:line="360" w:lineRule="auto"/>
        <w:rPr>
          <w:rFonts w:ascii="Times New Roman" w:hAnsi="Times New Roman" w:cs="Times New Roman"/>
          <w:b/>
          <w:bCs/>
          <w:i/>
          <w:iCs/>
          <w:sz w:val="24"/>
          <w:szCs w:val="24"/>
        </w:rPr>
      </w:pPr>
    </w:p>
    <w:p w14:paraId="082E9941" w14:textId="407513F6" w:rsidR="19DF5ED4" w:rsidRPr="0054572F" w:rsidRDefault="19DF5ED4" w:rsidP="0054572F">
      <w:pPr>
        <w:spacing w:line="360" w:lineRule="auto"/>
        <w:rPr>
          <w:rFonts w:ascii="Times New Roman" w:hAnsi="Times New Roman" w:cs="Times New Roman"/>
          <w:b/>
          <w:bCs/>
          <w:i/>
          <w:iCs/>
          <w:sz w:val="24"/>
          <w:szCs w:val="24"/>
        </w:rPr>
      </w:pPr>
    </w:p>
    <w:p w14:paraId="6DEB6CDE" w14:textId="0B221502" w:rsidR="19DF5ED4" w:rsidRPr="0054572F" w:rsidRDefault="19DF5ED4" w:rsidP="0054572F">
      <w:pPr>
        <w:spacing w:line="360" w:lineRule="auto"/>
        <w:rPr>
          <w:rFonts w:ascii="Times New Roman" w:hAnsi="Times New Roman" w:cs="Times New Roman"/>
          <w:b/>
          <w:bCs/>
          <w:i/>
          <w:iCs/>
          <w:sz w:val="24"/>
          <w:szCs w:val="24"/>
        </w:rPr>
      </w:pPr>
    </w:p>
    <w:p w14:paraId="1C5F4720" w14:textId="7F4EFB7D" w:rsidR="19DF5ED4" w:rsidRPr="0054572F" w:rsidRDefault="19DF5ED4" w:rsidP="0054572F">
      <w:pPr>
        <w:spacing w:line="360" w:lineRule="auto"/>
        <w:rPr>
          <w:rFonts w:ascii="Times New Roman" w:hAnsi="Times New Roman" w:cs="Times New Roman"/>
          <w:b/>
          <w:bCs/>
          <w:i/>
          <w:iCs/>
          <w:sz w:val="24"/>
          <w:szCs w:val="24"/>
        </w:rPr>
      </w:pPr>
    </w:p>
    <w:p w14:paraId="1028C0FF" w14:textId="39E974B0" w:rsidR="19DF5ED4" w:rsidRPr="0054572F" w:rsidRDefault="19DF5ED4" w:rsidP="0054572F">
      <w:pPr>
        <w:spacing w:line="360" w:lineRule="auto"/>
        <w:rPr>
          <w:rFonts w:ascii="Times New Roman" w:hAnsi="Times New Roman" w:cs="Times New Roman"/>
          <w:b/>
          <w:bCs/>
          <w:i/>
          <w:iCs/>
          <w:sz w:val="24"/>
          <w:szCs w:val="24"/>
        </w:rPr>
      </w:pPr>
    </w:p>
    <w:p w14:paraId="1766FA8E" w14:textId="30C7E9B5" w:rsidR="19DF5ED4" w:rsidRPr="0054572F" w:rsidRDefault="19DF5ED4" w:rsidP="0054572F">
      <w:pPr>
        <w:spacing w:line="360" w:lineRule="auto"/>
        <w:rPr>
          <w:rFonts w:ascii="Times New Roman" w:hAnsi="Times New Roman" w:cs="Times New Roman"/>
          <w:b/>
          <w:bCs/>
          <w:i/>
          <w:iCs/>
          <w:sz w:val="24"/>
          <w:szCs w:val="24"/>
        </w:rPr>
      </w:pPr>
    </w:p>
    <w:sectPr w:rsidR="19DF5ED4" w:rsidRPr="0054572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3CDFF0" w14:textId="77777777" w:rsidR="001338E8" w:rsidRDefault="001338E8" w:rsidP="00F37B62">
      <w:pPr>
        <w:spacing w:after="0" w:line="240" w:lineRule="auto"/>
      </w:pPr>
      <w:r>
        <w:separator/>
      </w:r>
    </w:p>
  </w:endnote>
  <w:endnote w:type="continuationSeparator" w:id="0">
    <w:p w14:paraId="4A472FDE" w14:textId="77777777" w:rsidR="001338E8" w:rsidRDefault="001338E8"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01219" w14:textId="77777777" w:rsidR="001338E8" w:rsidRDefault="001338E8" w:rsidP="00F37B62">
      <w:pPr>
        <w:spacing w:after="0" w:line="240" w:lineRule="auto"/>
      </w:pPr>
      <w:r>
        <w:separator/>
      </w:r>
    </w:p>
  </w:footnote>
  <w:footnote w:type="continuationSeparator" w:id="0">
    <w:p w14:paraId="2C82991D" w14:textId="77777777" w:rsidR="001338E8" w:rsidRDefault="001338E8"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B85FAE"/>
    <w:multiLevelType w:val="hybridMultilevel"/>
    <w:tmpl w:val="B3DA48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0A73FF"/>
    <w:multiLevelType w:val="hybridMultilevel"/>
    <w:tmpl w:val="A872D0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35A4885"/>
    <w:multiLevelType w:val="hybridMultilevel"/>
    <w:tmpl w:val="BA2A5A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6017680"/>
    <w:multiLevelType w:val="hybridMultilevel"/>
    <w:tmpl w:val="9E442E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407920985">
    <w:abstractNumId w:val="3"/>
  </w:num>
  <w:num w:numId="2" w16cid:durableId="562064609">
    <w:abstractNumId w:val="1"/>
  </w:num>
  <w:num w:numId="3" w16cid:durableId="968820907">
    <w:abstractNumId w:val="0"/>
  </w:num>
  <w:num w:numId="4" w16cid:durableId="2821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0C56"/>
    <w:rsid w:val="00046E7A"/>
    <w:rsid w:val="00082D71"/>
    <w:rsid w:val="00083D71"/>
    <w:rsid w:val="000965E0"/>
    <w:rsid w:val="000B4E76"/>
    <w:rsid w:val="000E7B52"/>
    <w:rsid w:val="001338E8"/>
    <w:rsid w:val="00155DC1"/>
    <w:rsid w:val="0019798C"/>
    <w:rsid w:val="001B5F29"/>
    <w:rsid w:val="001D2914"/>
    <w:rsid w:val="00214C92"/>
    <w:rsid w:val="002A2E41"/>
    <w:rsid w:val="0031198A"/>
    <w:rsid w:val="00345008"/>
    <w:rsid w:val="003964AF"/>
    <w:rsid w:val="003C42A2"/>
    <w:rsid w:val="003F0AC7"/>
    <w:rsid w:val="003F3651"/>
    <w:rsid w:val="0049539E"/>
    <w:rsid w:val="004C38E6"/>
    <w:rsid w:val="004F172D"/>
    <w:rsid w:val="0054572F"/>
    <w:rsid w:val="00562FEF"/>
    <w:rsid w:val="005E0A02"/>
    <w:rsid w:val="006114EC"/>
    <w:rsid w:val="006833D5"/>
    <w:rsid w:val="006A5E46"/>
    <w:rsid w:val="0072707E"/>
    <w:rsid w:val="00775205"/>
    <w:rsid w:val="007B6EE2"/>
    <w:rsid w:val="00881F0D"/>
    <w:rsid w:val="00896B13"/>
    <w:rsid w:val="008D1598"/>
    <w:rsid w:val="008D7041"/>
    <w:rsid w:val="008F4215"/>
    <w:rsid w:val="00937A46"/>
    <w:rsid w:val="00956812"/>
    <w:rsid w:val="00986D97"/>
    <w:rsid w:val="009B6E20"/>
    <w:rsid w:val="00A32ACB"/>
    <w:rsid w:val="00A51158"/>
    <w:rsid w:val="00A655F7"/>
    <w:rsid w:val="00A743F8"/>
    <w:rsid w:val="00AA1D01"/>
    <w:rsid w:val="00AB4319"/>
    <w:rsid w:val="00AE5382"/>
    <w:rsid w:val="00B465A0"/>
    <w:rsid w:val="00BA6E66"/>
    <w:rsid w:val="00BF5CCA"/>
    <w:rsid w:val="00C103F9"/>
    <w:rsid w:val="00CB7EBF"/>
    <w:rsid w:val="00D122C2"/>
    <w:rsid w:val="00D3062A"/>
    <w:rsid w:val="00D41CE9"/>
    <w:rsid w:val="00D51354"/>
    <w:rsid w:val="00D76F79"/>
    <w:rsid w:val="00DA111C"/>
    <w:rsid w:val="00DB1056"/>
    <w:rsid w:val="00DC3CF5"/>
    <w:rsid w:val="00E12960"/>
    <w:rsid w:val="00E22053"/>
    <w:rsid w:val="00E35F72"/>
    <w:rsid w:val="00E6629B"/>
    <w:rsid w:val="00E768A7"/>
    <w:rsid w:val="00EC290F"/>
    <w:rsid w:val="00F37B62"/>
    <w:rsid w:val="00F5191F"/>
    <w:rsid w:val="00F67811"/>
    <w:rsid w:val="00FA51F3"/>
    <w:rsid w:val="00FF2558"/>
    <w:rsid w:val="08F8BC97"/>
    <w:rsid w:val="0C4C9EEB"/>
    <w:rsid w:val="11C3AB27"/>
    <w:rsid w:val="19DF5ED4"/>
    <w:rsid w:val="4E55ACAF"/>
    <w:rsid w:val="53D01A0C"/>
    <w:rsid w:val="545F6007"/>
    <w:rsid w:val="69CB67C2"/>
    <w:rsid w:val="79F9EAE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4AB29252-98AE-41A0-BC08-19D8EB12D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rsid w:val="005E0A02"/>
    <w:pPr>
      <w:spacing w:before="320" w:after="200" w:line="240" w:lineRule="auto"/>
      <w:outlineLvl w:val="0"/>
    </w:pPr>
    <w:rPr>
      <w:rFonts w:ascii="Arial" w:eastAsia="Arial" w:hAnsi="Arial" w:cs="Arial"/>
      <w:b/>
      <w:bCs/>
      <w:color w:val="1F3864"/>
      <w:sz w:val="28"/>
      <w:szCs w:val="28"/>
      <w:lang w:eastAsia="en-GB"/>
    </w:rPr>
  </w:style>
  <w:style w:type="paragraph" w:styleId="Heading2">
    <w:name w:val="heading 2"/>
    <w:link w:val="Heading2Char"/>
    <w:uiPriority w:val="9"/>
    <w:unhideWhenUsed/>
    <w:qFormat/>
    <w:rsid w:val="005E0A02"/>
    <w:pPr>
      <w:spacing w:before="240" w:line="240" w:lineRule="auto"/>
      <w:outlineLvl w:val="1"/>
    </w:pPr>
    <w:rPr>
      <w:rFonts w:ascii="Arial" w:eastAsia="Arial" w:hAnsi="Arial" w:cs="Arial"/>
      <w:b/>
      <w:bCs/>
      <w:color w:val="1F6591"/>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customStyle="1" w:styleId="Heading1Char">
    <w:name w:val="Heading 1 Char"/>
    <w:basedOn w:val="DefaultParagraphFont"/>
    <w:link w:val="Heading1"/>
    <w:uiPriority w:val="9"/>
    <w:rsid w:val="005E0A02"/>
    <w:rPr>
      <w:rFonts w:ascii="Arial" w:eastAsia="Arial" w:hAnsi="Arial" w:cs="Arial"/>
      <w:b/>
      <w:bCs/>
      <w:color w:val="1F3864"/>
      <w:sz w:val="28"/>
      <w:szCs w:val="28"/>
      <w:lang w:eastAsia="en-GB"/>
    </w:rPr>
  </w:style>
  <w:style w:type="character" w:customStyle="1" w:styleId="Heading2Char">
    <w:name w:val="Heading 2 Char"/>
    <w:basedOn w:val="DefaultParagraphFont"/>
    <w:link w:val="Heading2"/>
    <w:uiPriority w:val="9"/>
    <w:rsid w:val="005E0A02"/>
    <w:rPr>
      <w:rFonts w:ascii="Arial" w:eastAsia="Arial" w:hAnsi="Arial" w:cs="Arial"/>
      <w:b/>
      <w:bCs/>
      <w:color w:val="1F6591"/>
      <w:sz w:val="24"/>
      <w:szCs w:val="24"/>
      <w:lang w:eastAsia="en-GB"/>
    </w:rPr>
  </w:style>
  <w:style w:type="character" w:styleId="Hyperlink">
    <w:name w:val="Hyperlink"/>
    <w:basedOn w:val="DefaultParagraphFont"/>
    <w:uiPriority w:val="99"/>
    <w:unhideWhenUsed/>
    <w:rsid w:val="00937A46"/>
    <w:rPr>
      <w:color w:val="0563C1" w:themeColor="hyperlink"/>
      <w:u w:val="single"/>
    </w:rPr>
  </w:style>
  <w:style w:type="character" w:styleId="UnresolvedMention">
    <w:name w:val="Unresolved Mention"/>
    <w:basedOn w:val="DefaultParagraphFont"/>
    <w:uiPriority w:val="99"/>
    <w:semiHidden/>
    <w:unhideWhenUsed/>
    <w:rsid w:val="00937A46"/>
    <w:rPr>
      <w:color w:val="605E5C"/>
      <w:shd w:val="clear" w:color="auto" w:fill="E1DFDD"/>
    </w:rPr>
  </w:style>
  <w:style w:type="paragraph" w:styleId="TOCHeading">
    <w:name w:val="TOC Heading"/>
    <w:basedOn w:val="Heading1"/>
    <w:next w:val="Normal"/>
    <w:uiPriority w:val="39"/>
    <w:unhideWhenUsed/>
    <w:qFormat/>
    <w:rsid w:val="00214C92"/>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14C92"/>
    <w:pPr>
      <w:spacing w:after="100"/>
    </w:pPr>
  </w:style>
  <w:style w:type="paragraph" w:styleId="TOC2">
    <w:name w:val="toc 2"/>
    <w:basedOn w:val="Normal"/>
    <w:next w:val="Normal"/>
    <w:autoRedefine/>
    <w:uiPriority w:val="39"/>
    <w:unhideWhenUsed/>
    <w:rsid w:val="00214C92"/>
    <w:pPr>
      <w:spacing w:after="100"/>
      <w:ind w:left="220"/>
    </w:pPr>
  </w:style>
  <w:style w:type="paragraph" w:styleId="ListParagraph">
    <w:name w:val="List Paragraph"/>
    <w:basedOn w:val="Normal"/>
    <w:uiPriority w:val="34"/>
    <w:qFormat/>
    <w:rsid w:val="0019798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iabetes.org.uk/professionals/position-statements-reports/statistics" TargetMode="External"/><Relationship Id="rId18" Type="http://schemas.openxmlformats.org/officeDocument/2006/relationships/hyperlink" Target="https://www.gov.uk/topic/medicines-medical-devices-blood/medical-devices-regulation-safety" TargetMode="External"/><Relationship Id="rId3" Type="http://schemas.openxmlformats.org/officeDocument/2006/relationships/styles" Target="styles.xml"/><Relationship Id="rId21" Type="http://schemas.openxmlformats.org/officeDocument/2006/relationships/hyperlink" Target="https://www.owenmumford.com/about-us/" TargetMode="External"/><Relationship Id="rId7" Type="http://schemas.openxmlformats.org/officeDocument/2006/relationships/endnotes" Target="endnotes.xml"/><Relationship Id="rId12" Type="http://schemas.openxmlformats.org/officeDocument/2006/relationships/hyperlink" Target="https://doi.org/10.4324/9780080516042" TargetMode="External"/><Relationship Id="rId17" Type="http://schemas.openxmlformats.org/officeDocument/2006/relationships/hyperlink" Target="https://www.iap2.org/mpage/Hom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08/17554251011064837" TargetMode="External"/><Relationship Id="rId20" Type="http://schemas.openxmlformats.org/officeDocument/2006/relationships/hyperlink" Target="https://www.longtermplan.nhs.u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7/CBO9781316659212"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324/9781315245881" TargetMode="External"/><Relationship Id="rId23" Type="http://schemas.openxmlformats.org/officeDocument/2006/relationships/hyperlink" Target="http://www.kubalibri.cz/files/19---Handbook-of-Project-Based-Management.pdf" TargetMode="External"/><Relationship Id="rId10" Type="http://schemas.openxmlformats.org/officeDocument/2006/relationships/image" Target="media/image3.emf"/><Relationship Id="rId19" Type="http://schemas.openxmlformats.org/officeDocument/2006/relationships/hyperlink" Target="https://doi.org/10.5465/amr.1997.9711022105" TargetMode="Externa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doi.org/10.5465/amr.1995.9503271992" TargetMode="External"/><Relationship Id="rId22" Type="http://schemas.openxmlformats.org/officeDocument/2006/relationships/hyperlink" Target="https://www.pmi.org/-/media/pmi/chapters/lebanon-chapter/pdf-and-ppt/pmbok_7th_edition.pdf?v=da8cf517-4db4-4468-b5e9-602c52b8055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431C2E50-A955-4343-B391-09E9EAC4D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26</Pages>
  <Words>5750</Words>
  <Characters>32777</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Joaquim Marcos De Sousa Freire (2415568)</cp:lastModifiedBy>
  <cp:revision>2</cp:revision>
  <dcterms:created xsi:type="dcterms:W3CDTF">2026-04-24T11:41:00Z</dcterms:created>
  <dcterms:modified xsi:type="dcterms:W3CDTF">2026-04-24T11:41:00Z</dcterms:modified>
</cp:coreProperties>
</file>