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CA7EA" w14:textId="24CEBC4E" w:rsidR="00AD7542" w:rsidRDefault="00922F58" w:rsidP="00F16C96">
      <w:pPr>
        <w:spacing w:line="360" w:lineRule="auto"/>
        <w:rPr>
          <w:rFonts w:ascii="Calibri" w:hAnsi="Calibri" w:cs="Calibri"/>
        </w:rPr>
      </w:pPr>
      <w:r w:rsidRPr="00922F58">
        <w:rPr>
          <w:rFonts w:ascii="Calibri" w:hAnsi="Calibri" w:cs="Calibri"/>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A1ACBD6" w14:textId="77777777" w:rsidR="00AD7542" w:rsidRDefault="00AD7542" w:rsidP="00F16C96">
      <w:pPr>
        <w:spacing w:line="360" w:lineRule="auto"/>
        <w:rPr>
          <w:rFonts w:ascii="Calibri" w:hAnsi="Calibri" w:cs="Calibri"/>
        </w:rPr>
      </w:pPr>
      <w:r>
        <w:rPr>
          <w:rFonts w:ascii="Calibri" w:hAnsi="Calibri" w:cs="Calibri"/>
        </w:rPr>
        <w:br w:type="page"/>
      </w:r>
    </w:p>
    <w:p w14:paraId="5AE52BD0" w14:textId="09A64381" w:rsidR="004363B4" w:rsidRPr="00A06624" w:rsidRDefault="00A06624" w:rsidP="00F16C96">
      <w:pPr>
        <w:spacing w:line="360" w:lineRule="auto"/>
        <w:jc w:val="center"/>
        <w:rPr>
          <w:rFonts w:ascii="Calibri" w:hAnsi="Calibri" w:cs="Calibri"/>
          <w:b/>
          <w:bCs/>
          <w:u w:val="single"/>
        </w:rPr>
      </w:pPr>
      <w:r w:rsidRPr="00A06624">
        <w:rPr>
          <w:rFonts w:ascii="Calibri" w:hAnsi="Calibri" w:cs="Calibri"/>
          <w:b/>
          <w:bCs/>
          <w:u w:val="single"/>
        </w:rPr>
        <w:lastRenderedPageBreak/>
        <w:t>Sustainability</w:t>
      </w:r>
    </w:p>
    <w:p w14:paraId="2C30DEC1"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Good morning. My name is Gwenllian Leworthy, and I am here to present my scrapbook which supports sustainability and the John Muir award. Then I will further discuss sustainability within the early years. I chose to explore my grandfather’s garden in Pembrokeshire for the John Muir award. This area is in the countryside and is a lot bigger than the average garden. There is so much to explore, which is one of the reasons why I chose it. I also chose this area because I have many fond memories of when I was younger and I came to visit my grandparents. This area is a garden that is full of different things that children could use to learn and explore, such as plants, flowers, fruit and vegetables, and wildlife. </w:t>
      </w:r>
    </w:p>
    <w:p w14:paraId="69DE4D74"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Whilst partaking in this award, I decided to focus on bees. I decided to focus on this because it raised the issue to me that bees do not always have the appropriate environment to survive in. Through research I discovered that bees are under threat of habitat loss. To conserve the area, one of the things I did was plant some seeds that are good for bees. Research taught me that not all flowers are good for bees, therefore discovering these seeds and planting them will help the bees and this could be taught to children in the early years. This focus on bees could be linked to children and the early years because it allows them to learn what bees do for our environment, and they would be outdoors whilst experiencing this. Additionally, an activity could be held for children in the early years where they plant the same seeds that are good for bees, which brings the lifecycle of a flower into their learning on top of learning about bees. </w:t>
      </w:r>
    </w:p>
    <w:p w14:paraId="104E55F4"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Another way I chose to conserve the area was through replanting apples, potatoes, carrots, and strawberries. Children in the early years would benefit from an activity like this as it would teach them where food comes from, why these foods are important, as well as how to grow them at home. It would also provide the opportunity to teach children about being sustainable and how they can participate in methods of sustainability. </w:t>
      </w:r>
    </w:p>
    <w:p w14:paraId="284419F4"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Another conservation method I did was help my grandfather to create a frog pond that is connected to the stream. This is sustainable because it will in turn create more life for the frogs and they are given a safe environment to raise their young. Children in the early years could learn about the lifecycle of frogs by taking a trip to the frog pond and seeing them with their own eyes rather than being told about it in the classroom. When the frogs are fully grown it could give children the opportunity to carefully touch and feel them, which helps children’s development as they would be using some of their five senses, and they could also talk about the experience. </w:t>
      </w:r>
    </w:p>
    <w:p w14:paraId="57A474D7" w14:textId="77777777" w:rsidR="00A06624" w:rsidRPr="00A06624" w:rsidRDefault="00A06624" w:rsidP="00F16C96">
      <w:pPr>
        <w:spacing w:line="360" w:lineRule="auto"/>
        <w:rPr>
          <w:rFonts w:ascii="Calibri" w:hAnsi="Calibri" w:cs="Calibri"/>
        </w:rPr>
      </w:pPr>
      <w:r w:rsidRPr="00A06624">
        <w:rPr>
          <w:rFonts w:ascii="Calibri" w:hAnsi="Calibri" w:cs="Calibri"/>
        </w:rPr>
        <w:lastRenderedPageBreak/>
        <w:t xml:space="preserve">My late grandmother used to create scavenger hunts for us where we would explore the garden and look for everything on the list. This could be an exciting activity for children in the early years because it requires them to use their problem-solving skills to look for the items on the list. It would also require children to use their fine and gross motor skills as they move around and pick up the individual items. This could create for further learning by getting the children to create something with the items they have found. </w:t>
      </w:r>
    </w:p>
    <w:p w14:paraId="5B2335B8"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Doing the John Muir award made me think a lot more about sustainability. Whilst I am usually sustainable, it made me think about more ways I could conserve the environment around me and to create less waste. Instead of buying more fruit and vegetables for example, I managed to replant them which will not cost any money and also reduces food and packaging waste. These lessons could in turn be taught to children in the early ears. It has made me realise how much money gets wasted on fruits and vegetables, just for them to go out of date, therefore money also being wasted. </w:t>
      </w:r>
    </w:p>
    <w:p w14:paraId="12085436" w14:textId="77777777" w:rsidR="00A06624" w:rsidRPr="00A06624" w:rsidRDefault="00A06624" w:rsidP="00F16C96">
      <w:pPr>
        <w:spacing w:line="360" w:lineRule="auto"/>
        <w:rPr>
          <w:rFonts w:ascii="Calibri" w:hAnsi="Calibri" w:cs="Calibri"/>
        </w:rPr>
      </w:pPr>
      <w:r w:rsidRPr="00A06624">
        <w:rPr>
          <w:rFonts w:ascii="Calibri" w:hAnsi="Calibri" w:cs="Calibri"/>
        </w:rPr>
        <w:t>I will now be critically evaluating how my experiences undertaking the John Muir award can support sustainability in the early years as well as exploring the general concept of sustainability within the early years. To begin with, sustainability as a concept should be defined. Mollenkamp (2025) explains that sustainability refers to the ability to maintain or support a process continuously over time. It is also explained by Mollenkamp (2025) that in 1987, a report was published by former Norwegian prime minister Gro Harlem Brundtland, which has now become the standard in defining sustainable development. Jarvie (2016) notes that the Brundtland report introduced the concept of sustainable development and described how it could be achieved.</w:t>
      </w:r>
    </w:p>
    <w:p w14:paraId="649368DE"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The idea of a more sustainable future began with the Brundtland report, many believe. The World Commission on Environment and Development (WCED) (1987), which shows the Brundtland report, quotes that “humanity has the ability to make development sustainable to ensure that it meets the needs of the present without compromising the ability of future generations to meet their own needs.” WCED (1987) additionally suggests that sustainable development is not a “fixed state of harmony”, but rather a process of change. This process is vital in the early years because it is better for children to learn these things from a young age, rather than to grow up without the correct education about sustainability, therefore having this knowledge will help them in the future. </w:t>
      </w:r>
    </w:p>
    <w:p w14:paraId="062AF0E8"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Sustainability should be promoted within the early years. Croner (2024) supports this by stating that not only does educating children on sustainable development teach them about how to protect the environment, but it also helps children to make sense of the world that they live in. Hill (2025) states that sustainability should be promoted in the early years because it nurtures children’s respect for their world as well as allowing them to create thoughtful choices and embedding environmental </w:t>
      </w:r>
      <w:r w:rsidRPr="00A06624">
        <w:rPr>
          <w:rFonts w:ascii="Calibri" w:hAnsi="Calibri" w:cs="Calibri"/>
        </w:rPr>
        <w:lastRenderedPageBreak/>
        <w:t>awareness into their daily life. It is important to promote sustainability in the early years because children need to understand what it is they are protecting (Croner 2024). Additionally, The Curiosity Approach (2026) suggests that it is important to promote sustainability because the actions that are taken today will have a significant impact on the world that the future generations will inherit. Through participating in the John Muir award, it allows for opportunities to promote sustainable development to children in the early years through examples such as the previously shown methods of conservation.</w:t>
      </w:r>
    </w:p>
    <w:p w14:paraId="3868A91B"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In 2015, The United Nations Educational, Scientific and Cultural Organization, known as UNESCO, created 17 global sustainable development goals that they hope to achieve by 2030. One of these goals includes quality education (number four), and climate action (number thirteen). Though simple as they sound, to achieve this, especially in the early years, comes with barriers. UNESCO (2024) suggests that one of these barriers is a lack of proper funding. No poverty (number one) physically cannot be achieved if there is no money to bring families out of poverty. Another problem is a lack of proper education, meaning that people are unaware of the sustainability issues in our world and they actively choose to ignore it. The lack of education about sustainability for children in the early years will have a negative impact on their future as they are the ones who will grow up and be expected to make change, but with a lack of sustainability knowledge they will not know what to do. </w:t>
      </w:r>
    </w:p>
    <w:p w14:paraId="222C4CD3" w14:textId="77777777" w:rsidR="00A06624" w:rsidRPr="00A06624" w:rsidRDefault="00A06624" w:rsidP="00F16C96">
      <w:pPr>
        <w:spacing w:line="360" w:lineRule="auto"/>
        <w:rPr>
          <w:rFonts w:ascii="Calibri" w:hAnsi="Calibri" w:cs="Calibri"/>
        </w:rPr>
      </w:pPr>
      <w:r w:rsidRPr="00A06624">
        <w:rPr>
          <w:rFonts w:ascii="Calibri" w:hAnsi="Calibri" w:cs="Calibri"/>
        </w:rPr>
        <w:t>However, this lack of education is not down to the fault of the children. Tinney and Hirst (2017) suggest that children and education play a key part in changing individual’s behaviour in order to allow for an environment and a society which is capable of sustaining life now and in the future. Tinney and Hirst (2017) address the Education for Sustainable Development and Global Citizenship (ESDGC). They state it is now compulsory for all maintained education settings to include the ESDGC within their work. The ESDGC (2012) was established by the Welsh Government to obtain individuals with the skills and knowledge to cope with the major challenges that face the world and its inhabitants. These include challenges such as poverty, terrorism, food and fuel shortages, climate change, species extinction and biodiversity, and international wars. The ESDGC provides “The links between society, economy and environment and between our own lives and those of people throughout the world.” For children, this is important because the ESDGC recognises that the individual has a role as a global citizen, which allows for them to understand these connections and develop the confidence, values, and attitudes that can lead to acting responsibly and being committed to a sustainable world. Despite this, it is noted that there is not enough space and time in the curriculum to fully teach ESDGC.</w:t>
      </w:r>
    </w:p>
    <w:p w14:paraId="188BF03B" w14:textId="77777777" w:rsidR="00A06624" w:rsidRPr="00A06624" w:rsidRDefault="00A06624" w:rsidP="00F16C96">
      <w:pPr>
        <w:spacing w:line="360" w:lineRule="auto"/>
        <w:rPr>
          <w:rFonts w:ascii="Calibri" w:hAnsi="Calibri" w:cs="Calibri"/>
        </w:rPr>
      </w:pPr>
      <w:r w:rsidRPr="00A06624">
        <w:rPr>
          <w:rFonts w:ascii="Calibri" w:hAnsi="Calibri" w:cs="Calibri"/>
        </w:rPr>
        <w:lastRenderedPageBreak/>
        <w:t xml:space="preserve">Tinney and Hirst (2017) note that adults themselves are unsure about sustainability issues and are not up to date with the current issues. One thing that they comment on is a term known as Nature Deficit Disorder. The term Nature Deficit Disorder refers to the “human costs of alienation from nature” (Louv 2019). Though not recognised as a medical term many believe that it should be. This term quickly became popular and soon called for an international movement to connect children to rest of nature. Briggs (2016) argues that people, specifically children are spending more time indoors, which makes individuals appear alienated from nature and maybe more vulnerable to negative moods or reduced attention span. Due to this, people have problems connecting with nature. Packwood (2025) suggests that children who do not spend time in the outdoors have a negative impact on their healthy development and wellbeing. This appears to show a lack of sustainability in the early years as children will be indoors playing with plastic toys and electronic devices, rather than being outdoors with loose parts and connecting with nature. </w:t>
      </w:r>
    </w:p>
    <w:p w14:paraId="4B8BB60A"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Friedrich Froebel’s theory that was established throughout the 1830s and 1840s, supports children and the importance of outdoor learning, which can be further linked to sustainability in the early years. Froebel believed that play is the principal means of learning in early childhood and that in play, children construct their understanding of the world through direct experience with it. He also believed that children should experience all aspects of nature, not just plants and animals. It was also noted that playing outdoors in the garden and in the wider natural environment is one of the best ways that children can experience nature. </w:t>
      </w:r>
    </w:p>
    <w:p w14:paraId="49D376B9"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In addition to this, Simon Nicholson’s loose parts theory, first established in the 1970s, can support the idea of sustainability in the early years. PennState Extension (2026) explain that there are no set of specific directions for materials that are considered as loose parts. Robertson (2020) points out that loose parts can usually be obtained for free. This demonstrates the concept of sustainability in the early years because practitioners are using natural and reusable resources for children to play with, rather than them just buying new plastic toys that are not sustainable. Collecting loose parts can be turned into an activity for children in the early years, which would also follow Frobel’s theory and allow them to play outside as they search for loose parts that can be reused again and again. </w:t>
      </w:r>
    </w:p>
    <w:p w14:paraId="507E6FEC"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The Well-being of Future Generations (Wales) Act 2015 was created by the Welsh Government to help everybody “work together to improve our environment, our economy, our society and our culture.” This act includes seven connected well-being goals for Wales. One of these goals is to create a globally responsible Wales. This can link to sustainability and the early years as practitioners are able to educate children and make them become aware of how they can do their part and look after Wales and the planet. The Welsh Government’s curriculum for funded non-maintained nursery </w:t>
      </w:r>
      <w:r w:rsidRPr="00A06624">
        <w:rPr>
          <w:rFonts w:ascii="Calibri" w:hAnsi="Calibri" w:cs="Calibri"/>
        </w:rPr>
        <w:lastRenderedPageBreak/>
        <w:t xml:space="preserve">settings (2022) adopts the four purposes from the curriculum for Wales. These four purposes are ambitious capable learners, enterprising creative contributors, ethical informed citizens, and healthy confident individuals. Number three, ethical informed citizens, aims to show children all about their commitment to the sustainability of the planet. By implementing this, practitioners are able to introduce the idea of sustainability within nursery settings, so from a very young age children can learn their role in keeping a sustainable lifestyle. </w:t>
      </w:r>
    </w:p>
    <w:p w14:paraId="1D988CF9" w14:textId="3F8FF671" w:rsidR="00A06624" w:rsidRPr="00A06624" w:rsidRDefault="00A06624" w:rsidP="00F16C96">
      <w:pPr>
        <w:spacing w:line="360" w:lineRule="auto"/>
        <w:rPr>
          <w:rFonts w:ascii="Calibri" w:hAnsi="Calibri" w:cs="Calibri"/>
        </w:rPr>
      </w:pPr>
      <w:r w:rsidRPr="00A06624">
        <w:rPr>
          <w:rFonts w:ascii="Calibri" w:hAnsi="Calibri" w:cs="Calibri"/>
        </w:rPr>
        <w:t>The Welsh Government’s curriculum for funded non-maintained nursery settings (2022) recognises the importance of children being in the outdoors. It is said that being outdoors can allow children to explore the concept of sustainability in a practical way. Early years practitioners can plan activities for children that promote sustainability in an exciting way so that they will be more engaged, rather than just being told about it, they can experience their role in being sustainable. This curriculum additionally explores the idea of “cynefin</w:t>
      </w:r>
      <w:r w:rsidR="00631D4A" w:rsidRPr="00A06624">
        <w:rPr>
          <w:rFonts w:ascii="Calibri" w:hAnsi="Calibri" w:cs="Calibri"/>
        </w:rPr>
        <w:t>.”</w:t>
      </w:r>
      <w:r w:rsidRPr="00A06624">
        <w:rPr>
          <w:rFonts w:ascii="Calibri" w:hAnsi="Calibri" w:cs="Calibri"/>
        </w:rPr>
        <w:t xml:space="preserve"> According to The Cynefin Co (2026), cynefin means something that signifies the multiple, intertwined factors in our environment and our experience that influence us in ways we can never fully understand. This means how we think, interpret, and act. Cynefin, as explained by the Welsh Government (2025), provides a sense of belonging to children, and is very important in their development. Children need to understand their place in the world around them as they will be the ones growing up in it, they need to know that they all belong here. It is stated by the Welsh Government (2025) that children should be heard and understood, which directly links to article 12 of the United Nations Conventions on the Rights of the Child (2019), respect for the views of the child. Early years practitioners should follow this and allow children to freely express their views about sustainability, because after all, they are the next generation. </w:t>
      </w:r>
    </w:p>
    <w:p w14:paraId="0064F6F1"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The argument of posthumanism could also be explored here. According to Allen (2024), posthumanism aims to push against or move beyond humanism. It links to examining the relationships between humans and nonhumans, for example animals and nature. However, it does not create distinctions between human, animal, and machine, though it concentrates on how everything around us is created from the same building blocks of matter and how they are able to exist within and alongside each other. Georgia Tech (2026) states that the concept of posthumanism is used to explore the curiosity about what the world is and what it could look like if humans were not the highest beings, so to speak. Kelling and Lehman (2018) argue that humans do actively participate in change. Within the ideas of sustainability, this could have both a positive and negative affect on the environment. </w:t>
      </w:r>
    </w:p>
    <w:p w14:paraId="3C621DCB"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This is due to the fact that we live in the Anthropocene. Pavid (no date) suggests that human beings have become the highest influential species on the planet, which has caused for global warming and </w:t>
      </w:r>
      <w:r w:rsidRPr="00A06624">
        <w:rPr>
          <w:rFonts w:ascii="Calibri" w:hAnsi="Calibri" w:cs="Calibri"/>
        </w:rPr>
        <w:lastRenderedPageBreak/>
        <w:t xml:space="preserve">other changes to water, environment, the atmosphere, organisms, and the land itself. Carrington (2016) states that human activity has “pushed extinction rates of animals and plants far above the long-term average.” This is clear evidence that humanity has a negative impact on the environment. Within early years education, children should be given the opportunity to learn about how they can be more sustainable and look after the world around them. This is important because we need to make sure that young children understand their position in the world around them, which means that the education and learning they receive is vital. This links to article 29 of the UNCRC (2019), goals of education. This article means that children’s education must encourage respect for factors such as the environment, which early years practitioners are able to include in day-to-day activities. </w:t>
      </w:r>
    </w:p>
    <w:p w14:paraId="1B1DCEF7" w14:textId="77777777" w:rsidR="00A06624" w:rsidRPr="00A06624" w:rsidRDefault="00A06624" w:rsidP="00F16C96">
      <w:pPr>
        <w:spacing w:line="360" w:lineRule="auto"/>
        <w:rPr>
          <w:rFonts w:ascii="Calibri" w:hAnsi="Calibri" w:cs="Calibri"/>
        </w:rPr>
      </w:pPr>
      <w:r w:rsidRPr="00A06624">
        <w:rPr>
          <w:rFonts w:ascii="Calibri" w:hAnsi="Calibri" w:cs="Calibri"/>
        </w:rPr>
        <w:t xml:space="preserve">However, some could argue that we should be aiming to live in an eco-centric world. Lambert (2024) describes eco-centric as “an ethical perspective that emphasizes the intrinsic moral value of the natural world, advocating for its importance independent of human interests.” Gray et al. (2018) notes that ecocentrism sees the ecosphere, which means that it compromises all of Earth's ecosystems, atmosphere, water, and land. They also recognize that ecocentrism contrasts with the Anthropocene, as well as recognising that at this point, humans are obliged to play their part in making necessary changes. Through early years education, practitioners are able to provide children with the correct knowledge for creating a sustainable world as unfortunately, we are very deep into the Anthropocene. Thus, meaning that it is more important than ever that we educate future generations about sustainability and what they can do to help. </w:t>
      </w:r>
    </w:p>
    <w:p w14:paraId="261D8E07" w14:textId="5BA181B0" w:rsidR="007D722E" w:rsidRDefault="00A06624" w:rsidP="00F16C96">
      <w:pPr>
        <w:spacing w:line="360" w:lineRule="auto"/>
        <w:rPr>
          <w:rFonts w:ascii="Calibri" w:hAnsi="Calibri" w:cs="Calibri"/>
        </w:rPr>
      </w:pPr>
      <w:r w:rsidRPr="00A06624">
        <w:rPr>
          <w:rFonts w:ascii="Calibri" w:hAnsi="Calibri" w:cs="Calibri"/>
        </w:rPr>
        <w:t>To conclude, it is clear that sustainability can be taught within the early years through practitioners receiving the correct education themselves and passing it down to the future generations. By participating in the John Muir award, it has allowed me to see why sustainability is essential for the early years. With enough education and people opening their eyes to what is happening in the world around them, it just may be possible to live in a sustainable world.</w:t>
      </w:r>
    </w:p>
    <w:p w14:paraId="5DF91607" w14:textId="77777777" w:rsidR="007D722E" w:rsidRDefault="007D722E" w:rsidP="00F16C96">
      <w:pPr>
        <w:spacing w:line="360" w:lineRule="auto"/>
        <w:rPr>
          <w:rFonts w:ascii="Calibri" w:hAnsi="Calibri" w:cs="Calibri"/>
        </w:rPr>
      </w:pPr>
      <w:r>
        <w:rPr>
          <w:rFonts w:ascii="Calibri" w:hAnsi="Calibri" w:cs="Calibri"/>
        </w:rPr>
        <w:br w:type="page"/>
      </w:r>
    </w:p>
    <w:p w14:paraId="1D1C2419" w14:textId="1ADF5D9A" w:rsidR="00A06624" w:rsidRPr="00C9281F" w:rsidRDefault="007D722E" w:rsidP="00F16C96">
      <w:pPr>
        <w:spacing w:line="360" w:lineRule="auto"/>
        <w:rPr>
          <w:rFonts w:ascii="Calibri" w:hAnsi="Calibri" w:cs="Calibri"/>
          <w:b/>
          <w:bCs/>
          <w:u w:val="single"/>
        </w:rPr>
      </w:pPr>
      <w:r w:rsidRPr="00C9281F">
        <w:rPr>
          <w:rFonts w:ascii="Calibri" w:hAnsi="Calibri" w:cs="Calibri"/>
          <w:b/>
          <w:bCs/>
          <w:u w:val="single"/>
        </w:rPr>
        <w:lastRenderedPageBreak/>
        <w:t>References</w:t>
      </w:r>
    </w:p>
    <w:p w14:paraId="6AEED980"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Allen, P. (2023) </w:t>
      </w:r>
      <w:r w:rsidRPr="00C9281F">
        <w:rPr>
          <w:rFonts w:ascii="Calibri" w:hAnsi="Calibri" w:cs="Calibri"/>
          <w:i/>
          <w:iCs/>
        </w:rPr>
        <w:t>What is Posthumanism?</w:t>
      </w:r>
      <w:r w:rsidRPr="00C9281F">
        <w:rPr>
          <w:rFonts w:ascii="Calibri" w:hAnsi="Calibri" w:cs="Calibri"/>
        </w:rPr>
        <w:t xml:space="preserve"> Available at: </w:t>
      </w:r>
      <w:hyperlink r:id="rId7" w:history="1">
        <w:r w:rsidRPr="00C9281F">
          <w:rPr>
            <w:rStyle w:val="Hyperlink"/>
            <w:rFonts w:ascii="Calibri" w:hAnsi="Calibri" w:cs="Calibri"/>
          </w:rPr>
          <w:t>https:/</w:t>
        </w:r>
        <w:r w:rsidRPr="00C9281F">
          <w:rPr>
            <w:rStyle w:val="Hyperlink"/>
            <w:rFonts w:ascii="Calibri" w:hAnsi="Calibri" w:cs="Calibri"/>
          </w:rPr>
          <w:t>/www.perlego.com/knowledge/study-guides/what-is-posthumanism</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681AFE01"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Briggs, H. (2016) </w:t>
      </w:r>
      <w:r w:rsidRPr="00C9281F">
        <w:rPr>
          <w:rFonts w:ascii="Calibri" w:hAnsi="Calibri" w:cs="Calibri"/>
          <w:i/>
          <w:iCs/>
        </w:rPr>
        <w:t>All you need to know about nature deficit disorder</w:t>
      </w:r>
      <w:r w:rsidRPr="00C9281F">
        <w:rPr>
          <w:rFonts w:ascii="Calibri" w:hAnsi="Calibri" w:cs="Calibri"/>
        </w:rPr>
        <w:t xml:space="preserve">. Available at: </w:t>
      </w:r>
      <w:hyperlink r:id="rId8" w:history="1">
        <w:r w:rsidRPr="00C9281F">
          <w:rPr>
            <w:rStyle w:val="Hyperlink"/>
            <w:rFonts w:ascii="Calibri" w:hAnsi="Calibri" w:cs="Calibri"/>
          </w:rPr>
          <w:t>https://www.bbc.co.uk/news/science-environment-38094186</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6E8F6BF7"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Croner (2024) </w:t>
      </w:r>
      <w:r w:rsidRPr="00C9281F">
        <w:rPr>
          <w:rFonts w:ascii="Calibri" w:hAnsi="Calibri" w:cs="Calibri"/>
          <w:i/>
          <w:iCs/>
        </w:rPr>
        <w:t>Encouraging sustainability in an early years setting</w:t>
      </w:r>
      <w:r w:rsidRPr="00C9281F">
        <w:rPr>
          <w:rFonts w:ascii="Calibri" w:hAnsi="Calibri" w:cs="Calibri"/>
        </w:rPr>
        <w:t xml:space="preserve">. Available at: </w:t>
      </w:r>
      <w:hyperlink r:id="rId9" w:history="1">
        <w:r w:rsidRPr="00C9281F">
          <w:rPr>
            <w:rStyle w:val="Hyperlink"/>
            <w:rFonts w:ascii="Calibri" w:hAnsi="Calibri" w:cs="Calibri"/>
          </w:rPr>
          <w:t>https://app.croneri.co.uk/feature-articles/encouraging-sustainability-early-years-setting?topic=327</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0F2DC963"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Froebel Trust (no date) </w:t>
      </w:r>
      <w:r w:rsidRPr="00C9281F">
        <w:rPr>
          <w:rFonts w:ascii="Calibri" w:hAnsi="Calibri" w:cs="Calibri"/>
          <w:i/>
          <w:iCs/>
        </w:rPr>
        <w:t>The power of play</w:t>
      </w:r>
      <w:r w:rsidRPr="00C9281F">
        <w:rPr>
          <w:rFonts w:ascii="Calibri" w:hAnsi="Calibri" w:cs="Calibri"/>
        </w:rPr>
        <w:t xml:space="preserve">. Available at: </w:t>
      </w:r>
      <w:hyperlink r:id="rId10" w:history="1">
        <w:r w:rsidRPr="00C9281F">
          <w:rPr>
            <w:rStyle w:val="Hyperlink"/>
            <w:rFonts w:ascii="Calibri" w:hAnsi="Calibri" w:cs="Calibri"/>
          </w:rPr>
          <w:t>https://www.froebel.org.uk/about-us/the-power-of-play</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6A9388BE"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Georgia Tech (2026) </w:t>
      </w:r>
      <w:r w:rsidRPr="00C9281F">
        <w:rPr>
          <w:rFonts w:ascii="Calibri" w:hAnsi="Calibri" w:cs="Calibri"/>
          <w:i/>
          <w:iCs/>
        </w:rPr>
        <w:t>How The Posthuman Helps Us Respond to a Changing World</w:t>
      </w:r>
      <w:r w:rsidRPr="00C9281F">
        <w:rPr>
          <w:rFonts w:ascii="Calibri" w:hAnsi="Calibri" w:cs="Calibri"/>
        </w:rPr>
        <w:t xml:space="preserve">. Available at: </w:t>
      </w:r>
      <w:hyperlink r:id="rId11" w:history="1">
        <w:r w:rsidRPr="00C9281F">
          <w:rPr>
            <w:rStyle w:val="Hyperlink"/>
            <w:rFonts w:ascii="Calibri" w:hAnsi="Calibri" w:cs="Calibri"/>
          </w:rPr>
          <w:t>https://iac.gatech.edu/featured-news/2023/11/posthuman-helps-respond-changing-world</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38F1E08D" w14:textId="77777777" w:rsidR="00C9281F" w:rsidRPr="00AE06AC" w:rsidRDefault="00C9281F" w:rsidP="00F16C96">
      <w:pPr>
        <w:spacing w:line="360" w:lineRule="auto"/>
        <w:rPr>
          <w:rFonts w:ascii="Calibri" w:hAnsi="Calibri" w:cs="Calibri"/>
        </w:rPr>
      </w:pPr>
      <w:r w:rsidRPr="00C9281F">
        <w:rPr>
          <w:rFonts w:ascii="Calibri" w:hAnsi="Calibri" w:cs="Calibri"/>
        </w:rPr>
        <w:t xml:space="preserve">Gray, J., Whyte, I., and Curry, P. (2018) ‘Ecocentrism: What it means and what it implies.’ </w:t>
      </w:r>
      <w:r w:rsidRPr="00C9281F">
        <w:rPr>
          <w:rFonts w:ascii="Calibri" w:hAnsi="Calibri" w:cs="Calibri"/>
          <w:i/>
          <w:iCs/>
        </w:rPr>
        <w:t xml:space="preserve">The Ecological Citizen: Confronting human supremacy. </w:t>
      </w:r>
      <w:r w:rsidRPr="00C9281F">
        <w:rPr>
          <w:rFonts w:ascii="Calibri" w:hAnsi="Calibri" w:cs="Calibri"/>
        </w:rPr>
        <w:t>1(2), pp. 130.</w:t>
      </w:r>
      <w:r w:rsidRPr="00C9281F">
        <w:rPr>
          <w:rFonts w:ascii="Calibri" w:hAnsi="Calibri" w:cs="Calibri"/>
          <w:i/>
          <w:iCs/>
        </w:rPr>
        <w:t xml:space="preserve"> </w:t>
      </w:r>
      <w:r w:rsidRPr="00C9281F">
        <w:rPr>
          <w:rFonts w:ascii="Calibri" w:hAnsi="Calibri" w:cs="Calibri"/>
        </w:rPr>
        <w:t xml:space="preserve">Available at: </w:t>
      </w:r>
      <w:hyperlink r:id="rId12" w:history="1">
        <w:r w:rsidRPr="00C9281F">
          <w:rPr>
            <w:rStyle w:val="Hyperlink"/>
            <w:rFonts w:ascii="Calibri" w:hAnsi="Calibri" w:cs="Calibri"/>
          </w:rPr>
          <w:t>https://w</w:t>
        </w:r>
        <w:r w:rsidRPr="00C9281F">
          <w:rPr>
            <w:rStyle w:val="Hyperlink"/>
            <w:rFonts w:ascii="Calibri" w:hAnsi="Calibri" w:cs="Calibri"/>
          </w:rPr>
          <w:t>ww.ecologicalcitizen.net/article.php?t=ecocentrism-what-means-what-implies</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324060E8"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Hill, K. (2025) </w:t>
      </w:r>
      <w:r w:rsidRPr="00C9281F">
        <w:rPr>
          <w:rFonts w:ascii="Calibri" w:hAnsi="Calibri" w:cs="Calibri"/>
          <w:i/>
          <w:iCs/>
        </w:rPr>
        <w:t>Bringing Sustainability to Life in Early Years</w:t>
      </w:r>
      <w:r w:rsidRPr="00C9281F">
        <w:rPr>
          <w:rFonts w:ascii="Calibri" w:hAnsi="Calibri" w:cs="Calibri"/>
        </w:rPr>
        <w:t xml:space="preserve">. Available at: </w:t>
      </w:r>
      <w:hyperlink r:id="rId13" w:history="1">
        <w:r w:rsidRPr="00C9281F">
          <w:rPr>
            <w:rStyle w:val="Hyperlink"/>
            <w:rFonts w:ascii="Calibri" w:hAnsi="Calibri" w:cs="Calibri"/>
          </w:rPr>
          <w:t>https://theearlyyearscompany.co.uk/blog/f/bringing-sustainability-to-life-in-early-years</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6AD27C65"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Jarvie, M. (2016) </w:t>
      </w:r>
      <w:r w:rsidRPr="00C9281F">
        <w:rPr>
          <w:rFonts w:ascii="Calibri" w:hAnsi="Calibri" w:cs="Calibri"/>
          <w:i/>
          <w:iCs/>
        </w:rPr>
        <w:t>Brundtland Report</w:t>
      </w:r>
      <w:r w:rsidRPr="00C9281F">
        <w:rPr>
          <w:rFonts w:ascii="Calibri" w:hAnsi="Calibri" w:cs="Calibri"/>
        </w:rPr>
        <w:t xml:space="preserve">. Available at: </w:t>
      </w:r>
      <w:hyperlink r:id="rId14" w:history="1">
        <w:r w:rsidRPr="00C9281F">
          <w:rPr>
            <w:rStyle w:val="Hyperlink"/>
            <w:rFonts w:ascii="Calibri" w:hAnsi="Calibri" w:cs="Calibri"/>
          </w:rPr>
          <w:t>https://www.britannica.com/topic/Brundtland-Report</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27FB1FE9"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Kelling, D., and Lehman, M. (2018) ‘Posthumanism.’ </w:t>
      </w:r>
      <w:r w:rsidRPr="00C9281F">
        <w:rPr>
          <w:rFonts w:ascii="Calibri" w:hAnsi="Calibri" w:cs="Calibri"/>
          <w:i/>
          <w:iCs/>
        </w:rPr>
        <w:t>Oxford Research Encyclopaedia of Communication.</w:t>
      </w:r>
      <w:r w:rsidRPr="00C9281F">
        <w:rPr>
          <w:rFonts w:ascii="Calibri" w:hAnsi="Calibri" w:cs="Calibri"/>
        </w:rPr>
        <w:t xml:space="preserve"> Available at: </w:t>
      </w:r>
      <w:hyperlink r:id="rId15" w:history="1">
        <w:r w:rsidRPr="00C9281F">
          <w:rPr>
            <w:rStyle w:val="Hyperlink"/>
            <w:rFonts w:ascii="Calibri" w:hAnsi="Calibri" w:cs="Calibri"/>
          </w:rPr>
          <w:t>https:</w:t>
        </w:r>
        <w:r w:rsidRPr="00C9281F">
          <w:rPr>
            <w:rStyle w:val="Hyperlink"/>
            <w:rFonts w:ascii="Calibri" w:hAnsi="Calibri" w:cs="Calibri"/>
          </w:rPr>
          <w:t>//academic.oup.com/edited-volume/61798/chapter-abstract/546213121?redirectedFrom=fulltext</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6803F2CD"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Lambert, A. (2024) </w:t>
      </w:r>
      <w:r w:rsidRPr="00C9281F">
        <w:rPr>
          <w:rFonts w:ascii="Calibri" w:hAnsi="Calibri" w:cs="Calibri"/>
          <w:i/>
          <w:iCs/>
        </w:rPr>
        <w:t>Ecocentrism</w:t>
      </w:r>
      <w:r w:rsidRPr="00C9281F">
        <w:rPr>
          <w:rFonts w:ascii="Calibri" w:hAnsi="Calibri" w:cs="Calibri"/>
        </w:rPr>
        <w:t xml:space="preserve">. Available at: </w:t>
      </w:r>
      <w:hyperlink r:id="rId16" w:anchor="full-article" w:history="1">
        <w:r w:rsidRPr="00C9281F">
          <w:rPr>
            <w:rStyle w:val="Hyperlink"/>
            <w:rFonts w:ascii="Calibri" w:hAnsi="Calibri" w:cs="Calibri"/>
          </w:rPr>
          <w:t>https://www.e</w:t>
        </w:r>
        <w:r w:rsidRPr="00C9281F">
          <w:rPr>
            <w:rStyle w:val="Hyperlink"/>
            <w:rFonts w:ascii="Calibri" w:hAnsi="Calibri" w:cs="Calibri"/>
          </w:rPr>
          <w:t>bsco.com/research-starters/science/ecocentrism#full-article</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7A869569"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Louv, R. (2019) </w:t>
      </w:r>
      <w:r w:rsidRPr="00C9281F">
        <w:rPr>
          <w:rFonts w:ascii="Calibri" w:hAnsi="Calibri" w:cs="Calibri"/>
          <w:i/>
          <w:iCs/>
        </w:rPr>
        <w:t>What is Nature-Deficit Disorder?</w:t>
      </w:r>
      <w:r w:rsidRPr="00C9281F">
        <w:rPr>
          <w:rFonts w:ascii="Calibri" w:hAnsi="Calibri" w:cs="Calibri"/>
        </w:rPr>
        <w:t xml:space="preserve"> Available at: </w:t>
      </w:r>
      <w:hyperlink r:id="rId17" w:history="1">
        <w:r w:rsidRPr="00C9281F">
          <w:rPr>
            <w:rStyle w:val="Hyperlink"/>
            <w:rFonts w:ascii="Calibri" w:hAnsi="Calibri" w:cs="Calibri"/>
          </w:rPr>
          <w:t>https://richardlouv.com/blog/what-is-nature-deficit-disorder</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181ECF6A" w14:textId="77777777" w:rsidR="00C9281F" w:rsidRPr="00C9281F" w:rsidRDefault="00C9281F" w:rsidP="00F16C96">
      <w:pPr>
        <w:spacing w:line="360" w:lineRule="auto"/>
        <w:rPr>
          <w:rFonts w:ascii="Calibri" w:hAnsi="Calibri" w:cs="Calibri"/>
        </w:rPr>
      </w:pPr>
      <w:r w:rsidRPr="00C9281F">
        <w:rPr>
          <w:rFonts w:ascii="Calibri" w:hAnsi="Calibri" w:cs="Calibri"/>
        </w:rPr>
        <w:lastRenderedPageBreak/>
        <w:t xml:space="preserve">Mollenkamp, D. (2025) </w:t>
      </w:r>
      <w:r w:rsidRPr="00C9281F">
        <w:rPr>
          <w:rFonts w:ascii="Calibri" w:hAnsi="Calibri" w:cs="Calibri"/>
          <w:i/>
          <w:iCs/>
        </w:rPr>
        <w:t>Sustainability: What it is, how it works, benefits, and example.</w:t>
      </w:r>
      <w:r w:rsidRPr="00C9281F">
        <w:rPr>
          <w:rFonts w:ascii="Calibri" w:hAnsi="Calibri" w:cs="Calibri"/>
        </w:rPr>
        <w:t xml:space="preserve"> Available at: </w:t>
      </w:r>
      <w:hyperlink r:id="rId18" w:history="1">
        <w:r w:rsidRPr="00C9281F">
          <w:rPr>
            <w:rStyle w:val="Hyperlink"/>
            <w:rFonts w:ascii="Calibri" w:hAnsi="Calibri" w:cs="Calibri"/>
          </w:rPr>
          <w:t>https://www.investopedia.com/terms/s/sustainability.asp</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7107C921"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Packwood, J. (2025) </w:t>
      </w:r>
      <w:r w:rsidRPr="00C9281F">
        <w:rPr>
          <w:rFonts w:ascii="Calibri" w:hAnsi="Calibri" w:cs="Calibri"/>
          <w:i/>
          <w:iCs/>
        </w:rPr>
        <w:t xml:space="preserve">A nature-deficit childhood. </w:t>
      </w:r>
      <w:r w:rsidRPr="00C9281F">
        <w:rPr>
          <w:rFonts w:ascii="Calibri" w:hAnsi="Calibri" w:cs="Calibri"/>
        </w:rPr>
        <w:t xml:space="preserve">Available at: </w:t>
      </w:r>
      <w:hyperlink r:id="rId19" w:history="1">
        <w:r w:rsidRPr="00C9281F">
          <w:rPr>
            <w:rStyle w:val="Hyperlink"/>
            <w:rFonts w:ascii="Calibri" w:hAnsi="Calibri" w:cs="Calibri"/>
          </w:rPr>
          <w:t>https://thevoiceofearlychildhood.com/a-nature-deficit-childhood/</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52BBFCF6"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Pavid, K. (no date) </w:t>
      </w:r>
      <w:r w:rsidRPr="00C9281F">
        <w:rPr>
          <w:rFonts w:ascii="Calibri" w:hAnsi="Calibri" w:cs="Calibri"/>
          <w:i/>
          <w:iCs/>
        </w:rPr>
        <w:t>What is the Anthropocene and why does it matter?</w:t>
      </w:r>
      <w:r w:rsidRPr="00C9281F">
        <w:rPr>
          <w:rFonts w:ascii="Calibri" w:hAnsi="Calibri" w:cs="Calibri"/>
        </w:rPr>
        <w:t xml:space="preserve"> Available at: </w:t>
      </w:r>
      <w:hyperlink r:id="rId20" w:history="1">
        <w:r w:rsidRPr="00C9281F">
          <w:rPr>
            <w:rStyle w:val="Hyperlink"/>
            <w:rFonts w:ascii="Calibri" w:hAnsi="Calibri" w:cs="Calibri"/>
          </w:rPr>
          <w:t>https://</w:t>
        </w:r>
        <w:r w:rsidRPr="00C9281F">
          <w:rPr>
            <w:rStyle w:val="Hyperlink"/>
            <w:rFonts w:ascii="Calibri" w:hAnsi="Calibri" w:cs="Calibri"/>
          </w:rPr>
          <w:t>www.nhm.ac.uk/discover/what-is-the-anthropocene.html</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10E43A85"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PennState Extension (2026) </w:t>
      </w:r>
      <w:r w:rsidRPr="00C9281F">
        <w:rPr>
          <w:rFonts w:ascii="Calibri" w:hAnsi="Calibri" w:cs="Calibri"/>
          <w:i/>
          <w:iCs/>
        </w:rPr>
        <w:t>Loose parts: What does this mean?</w:t>
      </w:r>
      <w:r w:rsidRPr="00C9281F">
        <w:rPr>
          <w:rFonts w:ascii="Calibri" w:hAnsi="Calibri" w:cs="Calibri"/>
        </w:rPr>
        <w:t xml:space="preserve"> Available at: </w:t>
      </w:r>
      <w:hyperlink r:id="rId21" w:history="1">
        <w:r w:rsidRPr="00C9281F">
          <w:rPr>
            <w:rStyle w:val="Hyperlink"/>
            <w:rFonts w:ascii="Calibri" w:hAnsi="Calibri" w:cs="Calibri"/>
          </w:rPr>
          <w:t>https://extension.psu.edu/programs/betterkidcare/early-care/tip-pages/all/loose-parts-what-does-this-mean</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1EA5A8EE"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Robertson, J. (2020) </w:t>
      </w:r>
      <w:r w:rsidRPr="00C9281F">
        <w:rPr>
          <w:rFonts w:ascii="Calibri" w:hAnsi="Calibri" w:cs="Calibri"/>
          <w:i/>
          <w:iCs/>
        </w:rPr>
        <w:t>The Ultimate Loose Parts Play Resource List for Developing your Early Years Outdoor Provision</w:t>
      </w:r>
      <w:r w:rsidRPr="00C9281F">
        <w:rPr>
          <w:rFonts w:ascii="Calibri" w:hAnsi="Calibri" w:cs="Calibri"/>
        </w:rPr>
        <w:t xml:space="preserve">. Available at: </w:t>
      </w:r>
      <w:hyperlink r:id="rId22" w:history="1">
        <w:r w:rsidRPr="00C9281F">
          <w:rPr>
            <w:rStyle w:val="Hyperlink"/>
            <w:rFonts w:ascii="Calibri" w:hAnsi="Calibri" w:cs="Calibri"/>
          </w:rPr>
          <w:t>https://creativestarlearning.co.uk/wp-content/uploads/2020/06/EY-Outdoor-Loose-Parts-Play-Resource-List-.pdf</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544E772B"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The Curiosity Approach (2026) </w:t>
      </w:r>
      <w:r w:rsidRPr="00C9281F">
        <w:rPr>
          <w:rFonts w:ascii="Calibri" w:hAnsi="Calibri" w:cs="Calibri"/>
          <w:i/>
          <w:iCs/>
        </w:rPr>
        <w:t xml:space="preserve">Sustainability in the early years. </w:t>
      </w:r>
      <w:r w:rsidRPr="00C9281F">
        <w:rPr>
          <w:rFonts w:ascii="Calibri" w:hAnsi="Calibri" w:cs="Calibri"/>
        </w:rPr>
        <w:t xml:space="preserve">Available at: </w:t>
      </w:r>
      <w:hyperlink r:id="rId23" w:history="1">
        <w:r w:rsidRPr="00C9281F">
          <w:rPr>
            <w:rStyle w:val="Hyperlink"/>
            <w:rFonts w:ascii="Calibri" w:hAnsi="Calibri" w:cs="Calibri"/>
          </w:rPr>
          <w:t>https://www.thecuriosityapproach.com/blog/sustainability-in-early-years</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613E9C1D"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The Cynefin Co (2026) </w:t>
      </w:r>
      <w:r w:rsidRPr="00C9281F">
        <w:rPr>
          <w:rFonts w:ascii="Calibri" w:hAnsi="Calibri" w:cs="Calibri"/>
          <w:i/>
          <w:iCs/>
        </w:rPr>
        <w:t>The Cynefin Framework</w:t>
      </w:r>
      <w:r w:rsidRPr="00C9281F">
        <w:rPr>
          <w:rFonts w:ascii="Calibri" w:hAnsi="Calibri" w:cs="Calibri"/>
        </w:rPr>
        <w:t xml:space="preserve">. Available at: </w:t>
      </w:r>
      <w:hyperlink r:id="rId24" w:history="1">
        <w:r w:rsidRPr="00C9281F">
          <w:rPr>
            <w:rStyle w:val="Hyperlink"/>
            <w:rFonts w:ascii="Calibri" w:hAnsi="Calibri" w:cs="Calibri"/>
          </w:rPr>
          <w:t>https://thecy</w:t>
        </w:r>
        <w:r w:rsidRPr="00C9281F">
          <w:rPr>
            <w:rStyle w:val="Hyperlink"/>
            <w:rFonts w:ascii="Calibri" w:hAnsi="Calibri" w:cs="Calibri"/>
          </w:rPr>
          <w:t>nefin.co/about-us/about-cynefin-framework/?srsltid=AfmBOoohiwkWDSFmgdGyiomlL_LkdaAblJQRhAiuZFhLKShPxogA8Gm0</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39F7E92A"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Tinney, G., and Hirst, N. (2017) ‘Understanding sustainability in early childhood education: Case studies and approaches from across the UK. Boyd, D., Hirst, N., &amp; Siraj-Blatchford, J.’ </w:t>
      </w:r>
      <w:r w:rsidRPr="00C9281F">
        <w:rPr>
          <w:rFonts w:ascii="Calibri" w:hAnsi="Calibri" w:cs="Calibri"/>
          <w:i/>
          <w:iCs/>
        </w:rPr>
        <w:t xml:space="preserve">Early childhood education for sustainability within Wales. </w:t>
      </w:r>
      <w:r w:rsidRPr="00C9281F">
        <w:rPr>
          <w:rFonts w:ascii="Calibri" w:hAnsi="Calibri" w:cs="Calibri"/>
        </w:rPr>
        <w:t xml:space="preserve">pp. 104-138. </w:t>
      </w:r>
    </w:p>
    <w:p w14:paraId="76B8C7EC"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UNICEF (2019) </w:t>
      </w:r>
      <w:r w:rsidRPr="00C9281F">
        <w:rPr>
          <w:rFonts w:ascii="Calibri" w:hAnsi="Calibri" w:cs="Calibri"/>
          <w:i/>
          <w:iCs/>
        </w:rPr>
        <w:t xml:space="preserve">A summary of the UN convention on the rights of the child. </w:t>
      </w:r>
      <w:r w:rsidRPr="00C9281F">
        <w:rPr>
          <w:rFonts w:ascii="Calibri" w:hAnsi="Calibri" w:cs="Calibri"/>
        </w:rPr>
        <w:t xml:space="preserve">Available at: </w:t>
      </w:r>
      <w:hyperlink r:id="rId25" w:history="1">
        <w:r w:rsidRPr="00C9281F">
          <w:rPr>
            <w:rStyle w:val="Hyperlink"/>
            <w:rFonts w:ascii="Calibri" w:hAnsi="Calibri" w:cs="Calibri"/>
          </w:rPr>
          <w:t>ht</w:t>
        </w:r>
        <w:r w:rsidRPr="00C9281F">
          <w:rPr>
            <w:rStyle w:val="Hyperlink"/>
            <w:rFonts w:ascii="Calibri" w:hAnsi="Calibri" w:cs="Calibri"/>
          </w:rPr>
          <w:t>tps://www.unicef.org.uk/wp-content/uploads/2019/10/UNCRC_summary-1_1.pdf</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29DA9682"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United Nations Educational, Scientific and Cultural Organization (2015) </w:t>
      </w:r>
      <w:r w:rsidRPr="00C9281F">
        <w:rPr>
          <w:rFonts w:ascii="Calibri" w:hAnsi="Calibri" w:cs="Calibri"/>
          <w:i/>
          <w:iCs/>
        </w:rPr>
        <w:t>UNESCO and Sustainable Development Goals.</w:t>
      </w:r>
      <w:r w:rsidRPr="00C9281F">
        <w:rPr>
          <w:rFonts w:ascii="Calibri" w:hAnsi="Calibri" w:cs="Calibri"/>
        </w:rPr>
        <w:t xml:space="preserve"> Available at: </w:t>
      </w:r>
      <w:hyperlink r:id="rId26" w:history="1">
        <w:r w:rsidRPr="00C9281F">
          <w:rPr>
            <w:rStyle w:val="Hyperlink"/>
            <w:rFonts w:ascii="Calibri" w:hAnsi="Calibri" w:cs="Calibri"/>
          </w:rPr>
          <w:t>https://www.unesco.org/en/sdgs</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41CCB0C0"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United Nations Educational, Scientific and Cultural Organization (2024) </w:t>
      </w:r>
      <w:r w:rsidRPr="00C9281F">
        <w:rPr>
          <w:rFonts w:ascii="Calibri" w:hAnsi="Calibri" w:cs="Calibri"/>
          <w:i/>
          <w:iCs/>
        </w:rPr>
        <w:t>Closing the global SGG4 gap: accelerating sustainable financing solutions for education.</w:t>
      </w:r>
      <w:r w:rsidRPr="00C9281F">
        <w:rPr>
          <w:rFonts w:ascii="Calibri" w:hAnsi="Calibri" w:cs="Calibri"/>
        </w:rPr>
        <w:t xml:space="preserve"> Available at: 2024 </w:t>
      </w:r>
      <w:hyperlink r:id="rId27" w:history="1">
        <w:r w:rsidRPr="00C9281F">
          <w:rPr>
            <w:rStyle w:val="Hyperlink"/>
            <w:rFonts w:ascii="Calibri" w:hAnsi="Calibri" w:cs="Calibri"/>
          </w:rPr>
          <w:t>https://media.unesco.org/sites/default/files/webform/ed3002/brief-series-unesco_financing-gap.pdf</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64A58014" w14:textId="77777777" w:rsidR="00C9281F" w:rsidRPr="00C9281F" w:rsidRDefault="00C9281F" w:rsidP="00F16C96">
      <w:pPr>
        <w:spacing w:line="360" w:lineRule="auto"/>
        <w:rPr>
          <w:rFonts w:ascii="Calibri" w:hAnsi="Calibri" w:cs="Calibri"/>
        </w:rPr>
      </w:pPr>
      <w:r w:rsidRPr="00C9281F">
        <w:rPr>
          <w:rFonts w:ascii="Calibri" w:hAnsi="Calibri" w:cs="Calibri"/>
        </w:rPr>
        <w:lastRenderedPageBreak/>
        <w:t xml:space="preserve">Welsh Government (2012) </w:t>
      </w:r>
      <w:r w:rsidRPr="00C9281F">
        <w:rPr>
          <w:rFonts w:ascii="Calibri" w:hAnsi="Calibri" w:cs="Calibri"/>
          <w:i/>
          <w:iCs/>
        </w:rPr>
        <w:t>Education for Sustainable Development and Global Citizenship</w:t>
      </w:r>
      <w:r w:rsidRPr="00C9281F">
        <w:rPr>
          <w:rFonts w:ascii="Calibri" w:hAnsi="Calibri" w:cs="Calibri"/>
        </w:rPr>
        <w:t xml:space="preserve">. Available at: </w:t>
      </w:r>
      <w:hyperlink r:id="rId28" w:history="1">
        <w:r w:rsidRPr="00C9281F">
          <w:rPr>
            <w:rStyle w:val="Hyperlink"/>
            <w:rFonts w:ascii="Calibri" w:hAnsi="Calibri" w:cs="Calibri"/>
          </w:rPr>
          <w:t>https://www.gov.wales/sites/default/files/publications/2018-02/education-for-sustainable-development-and-global-citizenship-a-common-understanding-for-the-adult-and-community-learning-sector.pdf</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3C2F604C"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Welsh Government (2015) </w:t>
      </w:r>
      <w:r w:rsidRPr="00C9281F">
        <w:rPr>
          <w:rFonts w:ascii="Calibri" w:hAnsi="Calibri" w:cs="Calibri"/>
          <w:i/>
          <w:iCs/>
        </w:rPr>
        <w:t>The Well-being of Future Generations</w:t>
      </w:r>
      <w:r w:rsidRPr="00C9281F">
        <w:rPr>
          <w:rFonts w:ascii="Calibri" w:hAnsi="Calibri" w:cs="Calibri"/>
        </w:rPr>
        <w:t xml:space="preserve">. Available at: </w:t>
      </w:r>
      <w:hyperlink r:id="rId29" w:history="1">
        <w:r w:rsidRPr="00C9281F">
          <w:rPr>
            <w:rStyle w:val="Hyperlink"/>
            <w:rFonts w:ascii="Calibri" w:hAnsi="Calibri" w:cs="Calibri"/>
          </w:rPr>
          <w:t>https://www.gov.wales/well-being-of-future-generations-wales</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p w14:paraId="008E2612"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Welsh Government (2022) </w:t>
      </w:r>
      <w:r w:rsidRPr="00C9281F">
        <w:rPr>
          <w:rFonts w:ascii="Calibri" w:hAnsi="Calibri" w:cs="Calibri"/>
          <w:i/>
          <w:iCs/>
        </w:rPr>
        <w:t>A curriculum for funded non-maintained nursery settings.</w:t>
      </w:r>
      <w:r w:rsidRPr="00C9281F">
        <w:rPr>
          <w:rFonts w:ascii="Calibri" w:hAnsi="Calibri" w:cs="Calibri"/>
        </w:rPr>
        <w:t xml:space="preserve"> Available at: </w:t>
      </w:r>
      <w:hyperlink r:id="rId30" w:history="1">
        <w:r w:rsidRPr="00C9281F">
          <w:rPr>
            <w:rStyle w:val="Hyperlink"/>
            <w:rFonts w:ascii="Calibri" w:hAnsi="Calibri" w:cs="Calibri"/>
          </w:rPr>
          <w:t>htt</w:t>
        </w:r>
        <w:r w:rsidRPr="00C9281F">
          <w:rPr>
            <w:rStyle w:val="Hyperlink"/>
            <w:rFonts w:ascii="Calibri" w:hAnsi="Calibri" w:cs="Calibri"/>
          </w:rPr>
          <w:t>ps://hwb.gov.wales/api/storage/b1801d78-38c3-4320-9818-d9996c21aef8/220914-a-curriculum-for-funded-non-maintained-nursery-settings.pdf</w:t>
        </w:r>
      </w:hyperlink>
      <w:r w:rsidRPr="00C9281F">
        <w:rPr>
          <w:rFonts w:ascii="Calibri" w:hAnsi="Calibri" w:cs="Calibri"/>
        </w:rPr>
        <w:t xml:space="preserve"> (Accessed: 8</w:t>
      </w:r>
      <w:r w:rsidRPr="00C9281F">
        <w:rPr>
          <w:rFonts w:ascii="Calibri" w:hAnsi="Calibri" w:cs="Calibri"/>
          <w:vertAlign w:val="superscript"/>
        </w:rPr>
        <w:t>th</w:t>
      </w:r>
      <w:r w:rsidRPr="00C9281F">
        <w:rPr>
          <w:rFonts w:ascii="Calibri" w:hAnsi="Calibri" w:cs="Calibri"/>
        </w:rPr>
        <w:t xml:space="preserve"> May 2026)</w:t>
      </w:r>
    </w:p>
    <w:p w14:paraId="68572793"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Welsh Government (2025) </w:t>
      </w:r>
      <w:r w:rsidRPr="00C9281F">
        <w:rPr>
          <w:rFonts w:ascii="Calibri" w:hAnsi="Calibri" w:cs="Calibri"/>
          <w:i/>
          <w:iCs/>
        </w:rPr>
        <w:t>Cynefin</w:t>
      </w:r>
      <w:r w:rsidRPr="00C9281F">
        <w:rPr>
          <w:rFonts w:ascii="Calibri" w:hAnsi="Calibri" w:cs="Calibri"/>
        </w:rPr>
        <w:t xml:space="preserve">. Available at: </w:t>
      </w:r>
      <w:hyperlink r:id="rId31" w:history="1">
        <w:r w:rsidRPr="00C9281F">
          <w:rPr>
            <w:rStyle w:val="Hyperlink"/>
            <w:rFonts w:ascii="Calibri" w:hAnsi="Calibri" w:cs="Calibri"/>
          </w:rPr>
          <w:t>https://hwb.gov.wales/search/undefined/repository/resource/3aaf3ff6-177e-4ef1-ac8a-ff59fea0df</w:t>
        </w:r>
        <w:r w:rsidRPr="00C9281F">
          <w:rPr>
            <w:rStyle w:val="Hyperlink"/>
            <w:rFonts w:ascii="Calibri" w:hAnsi="Calibri" w:cs="Calibri"/>
          </w:rPr>
          <w:t>ed/overview</w:t>
        </w:r>
      </w:hyperlink>
      <w:r w:rsidRPr="00C9281F">
        <w:rPr>
          <w:rFonts w:ascii="Calibri" w:hAnsi="Calibri" w:cs="Calibri"/>
        </w:rPr>
        <w:t xml:space="preserve"> (Accessed: 9</w:t>
      </w:r>
      <w:r w:rsidRPr="00C9281F">
        <w:rPr>
          <w:rFonts w:ascii="Calibri" w:hAnsi="Calibri" w:cs="Calibri"/>
          <w:vertAlign w:val="superscript"/>
        </w:rPr>
        <w:t>th</w:t>
      </w:r>
      <w:r w:rsidRPr="00C9281F">
        <w:rPr>
          <w:rFonts w:ascii="Calibri" w:hAnsi="Calibri" w:cs="Calibri"/>
        </w:rPr>
        <w:t xml:space="preserve"> May 2026)</w:t>
      </w:r>
    </w:p>
    <w:p w14:paraId="72962497" w14:textId="77777777" w:rsidR="00C9281F" w:rsidRPr="00C9281F" w:rsidRDefault="00C9281F" w:rsidP="00F16C96">
      <w:pPr>
        <w:spacing w:line="360" w:lineRule="auto"/>
        <w:rPr>
          <w:rFonts w:ascii="Calibri" w:hAnsi="Calibri" w:cs="Calibri"/>
        </w:rPr>
      </w:pPr>
      <w:r w:rsidRPr="00C9281F">
        <w:rPr>
          <w:rFonts w:ascii="Calibri" w:hAnsi="Calibri" w:cs="Calibri"/>
        </w:rPr>
        <w:t xml:space="preserve">World Commission on Environment and Development (1987) </w:t>
      </w:r>
      <w:r w:rsidRPr="00C9281F">
        <w:rPr>
          <w:rFonts w:ascii="Calibri" w:hAnsi="Calibri" w:cs="Calibri"/>
          <w:i/>
          <w:iCs/>
        </w:rPr>
        <w:t>Our Common Future</w:t>
      </w:r>
      <w:r w:rsidRPr="00C9281F">
        <w:rPr>
          <w:rFonts w:ascii="Calibri" w:hAnsi="Calibri" w:cs="Calibri"/>
        </w:rPr>
        <w:t xml:space="preserve">. Oxford: Oxford University Press. Available at: </w:t>
      </w:r>
      <w:hyperlink r:id="rId32" w:history="1">
        <w:r w:rsidRPr="00C9281F">
          <w:rPr>
            <w:rStyle w:val="Hyperlink"/>
            <w:rFonts w:ascii="Calibri" w:hAnsi="Calibri" w:cs="Calibri"/>
          </w:rPr>
          <w:t>http://www.un-documents.net/our-common-future.pdf</w:t>
        </w:r>
      </w:hyperlink>
      <w:r w:rsidRPr="00C9281F">
        <w:rPr>
          <w:rFonts w:ascii="Calibri" w:hAnsi="Calibri" w:cs="Calibri"/>
        </w:rPr>
        <w:t xml:space="preserve"> (Accessed: 7</w:t>
      </w:r>
      <w:r w:rsidRPr="00C9281F">
        <w:rPr>
          <w:rFonts w:ascii="Calibri" w:hAnsi="Calibri" w:cs="Calibri"/>
          <w:vertAlign w:val="superscript"/>
        </w:rPr>
        <w:t>th</w:t>
      </w:r>
      <w:r w:rsidRPr="00C9281F">
        <w:rPr>
          <w:rFonts w:ascii="Calibri" w:hAnsi="Calibri" w:cs="Calibri"/>
        </w:rPr>
        <w:t xml:space="preserve"> May 2026)</w:t>
      </w:r>
    </w:p>
    <w:sectPr w:rsidR="00C9281F" w:rsidRPr="00C9281F">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73AA1" w14:textId="77777777" w:rsidR="000F1233" w:rsidRDefault="000F1233" w:rsidP="00922F58">
      <w:pPr>
        <w:spacing w:after="0" w:line="240" w:lineRule="auto"/>
      </w:pPr>
      <w:r>
        <w:separator/>
      </w:r>
    </w:p>
  </w:endnote>
  <w:endnote w:type="continuationSeparator" w:id="0">
    <w:p w14:paraId="16D967E2" w14:textId="77777777" w:rsidR="000F1233" w:rsidRDefault="000F1233" w:rsidP="00922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7068"/>
      <w:docPartObj>
        <w:docPartGallery w:val="Page Numbers (Bottom of Page)"/>
        <w:docPartUnique/>
      </w:docPartObj>
    </w:sdtPr>
    <w:sdtContent>
      <w:p w14:paraId="1244192C" w14:textId="13B95A56" w:rsidR="00922F58" w:rsidRDefault="00922F58">
        <w:pPr>
          <w:pStyle w:val="Footer"/>
          <w:jc w:val="center"/>
        </w:pPr>
        <w:r>
          <w:fldChar w:fldCharType="begin"/>
        </w:r>
        <w:r>
          <w:instrText>PAGE   \* MERGEFORMAT</w:instrText>
        </w:r>
        <w:r>
          <w:fldChar w:fldCharType="separate"/>
        </w:r>
        <w:r>
          <w:t>2</w:t>
        </w:r>
        <w:r>
          <w:fldChar w:fldCharType="end"/>
        </w:r>
      </w:p>
    </w:sdtContent>
  </w:sdt>
  <w:p w14:paraId="34C6B67D" w14:textId="77777777" w:rsidR="00922F58" w:rsidRDefault="00922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15F9F" w14:textId="77777777" w:rsidR="000F1233" w:rsidRDefault="000F1233" w:rsidP="00922F58">
      <w:pPr>
        <w:spacing w:after="0" w:line="240" w:lineRule="auto"/>
      </w:pPr>
      <w:r>
        <w:separator/>
      </w:r>
    </w:p>
  </w:footnote>
  <w:footnote w:type="continuationSeparator" w:id="0">
    <w:p w14:paraId="5A7E2F56" w14:textId="77777777" w:rsidR="000F1233" w:rsidRDefault="000F1233" w:rsidP="00922F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E8465" w14:textId="14144C5D" w:rsidR="000D7C84" w:rsidRDefault="00AD7542">
    <w:pPr>
      <w:pStyle w:val="Header"/>
    </w:pPr>
    <w:r>
      <w:t>2303980</w:t>
    </w:r>
    <w:r w:rsidR="000D7C84">
      <w:ptab w:relativeTo="margin" w:alignment="center" w:leader="none"/>
    </w:r>
    <w:r>
      <w:t>ECEY6005</w:t>
    </w:r>
    <w:r w:rsidR="000D7C84">
      <w:ptab w:relativeTo="margin" w:alignment="right" w:leader="none"/>
    </w:r>
    <w:r>
      <w:t>2850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654C12"/>
    <w:multiLevelType w:val="hybridMultilevel"/>
    <w:tmpl w:val="33083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0736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F5"/>
    <w:rsid w:val="000D7C84"/>
    <w:rsid w:val="000F1233"/>
    <w:rsid w:val="00113AEE"/>
    <w:rsid w:val="004363B4"/>
    <w:rsid w:val="00631D4A"/>
    <w:rsid w:val="006A3FE0"/>
    <w:rsid w:val="007D722E"/>
    <w:rsid w:val="008168F5"/>
    <w:rsid w:val="0087509E"/>
    <w:rsid w:val="00922F58"/>
    <w:rsid w:val="00A06624"/>
    <w:rsid w:val="00AD7542"/>
    <w:rsid w:val="00AE06AC"/>
    <w:rsid w:val="00C9281F"/>
    <w:rsid w:val="00F16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E25BE"/>
  <w15:chartTrackingRefBased/>
  <w15:docId w15:val="{ACE28CF3-42D3-4BE7-A118-B635625E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8F5"/>
    <w:rPr>
      <w:rFonts w:eastAsiaTheme="majorEastAsia" w:cstheme="majorBidi"/>
      <w:color w:val="272727" w:themeColor="text1" w:themeTint="D8"/>
    </w:rPr>
  </w:style>
  <w:style w:type="paragraph" w:styleId="Title">
    <w:name w:val="Title"/>
    <w:basedOn w:val="Normal"/>
    <w:next w:val="Normal"/>
    <w:link w:val="TitleChar"/>
    <w:uiPriority w:val="10"/>
    <w:qFormat/>
    <w:rsid w:val="00816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68F5"/>
    <w:rPr>
      <w:i/>
      <w:iCs/>
      <w:color w:val="404040" w:themeColor="text1" w:themeTint="BF"/>
    </w:rPr>
  </w:style>
  <w:style w:type="paragraph" w:styleId="ListParagraph">
    <w:name w:val="List Paragraph"/>
    <w:basedOn w:val="Normal"/>
    <w:uiPriority w:val="34"/>
    <w:qFormat/>
    <w:rsid w:val="008168F5"/>
    <w:pPr>
      <w:ind w:left="720"/>
      <w:contextualSpacing/>
    </w:pPr>
  </w:style>
  <w:style w:type="character" w:styleId="IntenseEmphasis">
    <w:name w:val="Intense Emphasis"/>
    <w:basedOn w:val="DefaultParagraphFont"/>
    <w:uiPriority w:val="21"/>
    <w:qFormat/>
    <w:rsid w:val="008168F5"/>
    <w:rPr>
      <w:i/>
      <w:iCs/>
      <w:color w:val="0F4761" w:themeColor="accent1" w:themeShade="BF"/>
    </w:rPr>
  </w:style>
  <w:style w:type="paragraph" w:styleId="IntenseQuote">
    <w:name w:val="Intense Quote"/>
    <w:basedOn w:val="Normal"/>
    <w:next w:val="Normal"/>
    <w:link w:val="IntenseQuoteChar"/>
    <w:uiPriority w:val="30"/>
    <w:qFormat/>
    <w:rsid w:val="00816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8F5"/>
    <w:rPr>
      <w:i/>
      <w:iCs/>
      <w:color w:val="0F4761" w:themeColor="accent1" w:themeShade="BF"/>
    </w:rPr>
  </w:style>
  <w:style w:type="character" w:styleId="IntenseReference">
    <w:name w:val="Intense Reference"/>
    <w:basedOn w:val="DefaultParagraphFont"/>
    <w:uiPriority w:val="32"/>
    <w:qFormat/>
    <w:rsid w:val="008168F5"/>
    <w:rPr>
      <w:b/>
      <w:bCs/>
      <w:smallCaps/>
      <w:color w:val="0F4761" w:themeColor="accent1" w:themeShade="BF"/>
      <w:spacing w:val="5"/>
    </w:rPr>
  </w:style>
  <w:style w:type="paragraph" w:styleId="Header">
    <w:name w:val="header"/>
    <w:basedOn w:val="Normal"/>
    <w:link w:val="HeaderChar"/>
    <w:uiPriority w:val="99"/>
    <w:unhideWhenUsed/>
    <w:rsid w:val="00922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F58"/>
  </w:style>
  <w:style w:type="paragraph" w:styleId="Footer">
    <w:name w:val="footer"/>
    <w:basedOn w:val="Normal"/>
    <w:link w:val="FooterChar"/>
    <w:uiPriority w:val="99"/>
    <w:unhideWhenUsed/>
    <w:rsid w:val="00922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F58"/>
  </w:style>
  <w:style w:type="character" w:styleId="Hyperlink">
    <w:name w:val="Hyperlink"/>
    <w:basedOn w:val="DefaultParagraphFont"/>
    <w:uiPriority w:val="99"/>
    <w:unhideWhenUsed/>
    <w:rsid w:val="00C9281F"/>
    <w:rPr>
      <w:color w:val="467886" w:themeColor="hyperlink"/>
      <w:u w:val="single"/>
    </w:rPr>
  </w:style>
  <w:style w:type="character" w:styleId="UnresolvedMention">
    <w:name w:val="Unresolved Mention"/>
    <w:basedOn w:val="DefaultParagraphFont"/>
    <w:uiPriority w:val="99"/>
    <w:semiHidden/>
    <w:unhideWhenUsed/>
    <w:rsid w:val="00C9281F"/>
    <w:rPr>
      <w:color w:val="605E5C"/>
      <w:shd w:val="clear" w:color="auto" w:fill="E1DFDD"/>
    </w:rPr>
  </w:style>
  <w:style w:type="character" w:styleId="FollowedHyperlink">
    <w:name w:val="FollowedHyperlink"/>
    <w:basedOn w:val="DefaultParagraphFont"/>
    <w:uiPriority w:val="99"/>
    <w:semiHidden/>
    <w:unhideWhenUsed/>
    <w:rsid w:val="00C9281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earlyyearscompany.co.uk/blog/f/bringing-sustainability-to-life-in-early-years" TargetMode="External"/><Relationship Id="rId18" Type="http://schemas.openxmlformats.org/officeDocument/2006/relationships/hyperlink" Target="https://www.investopedia.com/terms/s/sustainability.asp" TargetMode="External"/><Relationship Id="rId26" Type="http://schemas.openxmlformats.org/officeDocument/2006/relationships/hyperlink" Target="https://www.unesco.org/en/sdgs" TargetMode="External"/><Relationship Id="rId3" Type="http://schemas.openxmlformats.org/officeDocument/2006/relationships/settings" Target="settings.xml"/><Relationship Id="rId21" Type="http://schemas.openxmlformats.org/officeDocument/2006/relationships/hyperlink" Target="https://extension.psu.edu/programs/betterkidcare/early-care/tip-pages/all/loose-parts-what-does-this-mean" TargetMode="External"/><Relationship Id="rId34" Type="http://schemas.openxmlformats.org/officeDocument/2006/relationships/footer" Target="footer1.xml"/><Relationship Id="rId7" Type="http://schemas.openxmlformats.org/officeDocument/2006/relationships/hyperlink" Target="https://www.perlego.com/knowledge/study-guides/what-is-posthumanism" TargetMode="External"/><Relationship Id="rId12" Type="http://schemas.openxmlformats.org/officeDocument/2006/relationships/hyperlink" Target="https://www.ecologicalcitizen.net/article.php?t=ecocentrism-what-means-what-implies" TargetMode="External"/><Relationship Id="rId17" Type="http://schemas.openxmlformats.org/officeDocument/2006/relationships/hyperlink" Target="https://richardlouv.com/blog/what-is-nature-deficit-disorder" TargetMode="External"/><Relationship Id="rId25" Type="http://schemas.openxmlformats.org/officeDocument/2006/relationships/hyperlink" Target="https://www.unicef.org.uk/wp-content/uploads/2019/10/UNCRC_summary-1_1.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bsco.com/research-starters/science/ecocentrism" TargetMode="External"/><Relationship Id="rId20" Type="http://schemas.openxmlformats.org/officeDocument/2006/relationships/hyperlink" Target="https://www.nhm.ac.uk/discover/what-is-the-anthropocene.html" TargetMode="External"/><Relationship Id="rId29" Type="http://schemas.openxmlformats.org/officeDocument/2006/relationships/hyperlink" Target="https://www.gov.wales/well-being-of-future-generations-w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ac.gatech.edu/featured-news/2023/11/posthuman-helps-respond-changing-world" TargetMode="External"/><Relationship Id="rId24" Type="http://schemas.openxmlformats.org/officeDocument/2006/relationships/hyperlink" Target="https://thecynefin.co/about-us/about-cynefin-framework/?srsltid=AfmBOoohiwkWDSFmgdGyiomlL_LkdaAblJQRhAiuZFhLKShPxogA8Gm0" TargetMode="External"/><Relationship Id="rId32" Type="http://schemas.openxmlformats.org/officeDocument/2006/relationships/hyperlink" Target="https://www.un-documents.net/our-common-future.pdf" TargetMode="External"/><Relationship Id="rId5" Type="http://schemas.openxmlformats.org/officeDocument/2006/relationships/footnotes" Target="footnotes.xml"/><Relationship Id="rId15" Type="http://schemas.openxmlformats.org/officeDocument/2006/relationships/hyperlink" Target="https://academic.oup.com/edited-volume/61798/chapter-abstract/546213121?redirectedFrom=fulltext" TargetMode="External"/><Relationship Id="rId23" Type="http://schemas.openxmlformats.org/officeDocument/2006/relationships/hyperlink" Target="https://www.thecuriosityapproach.com/blog/sustainability-in-early-years" TargetMode="External"/><Relationship Id="rId28"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36" Type="http://schemas.openxmlformats.org/officeDocument/2006/relationships/theme" Target="theme/theme1.xml"/><Relationship Id="rId10" Type="http://schemas.openxmlformats.org/officeDocument/2006/relationships/hyperlink" Target="https://www.froebel.org.uk/about-us/the-power-of-play" TargetMode="External"/><Relationship Id="rId19" Type="http://schemas.openxmlformats.org/officeDocument/2006/relationships/hyperlink" Target="https://thevoiceofearlychildhood.com/a-nature-deficit-childhood/" TargetMode="External"/><Relationship Id="rId31" Type="http://schemas.openxmlformats.org/officeDocument/2006/relationships/hyperlink" Target="https://hwb.gov.wales/search/undefined/repository/resource/3aaf3ff6-177e-4ef1-ac8a-ff59fea0dfed/overview" TargetMode="External"/><Relationship Id="rId4" Type="http://schemas.openxmlformats.org/officeDocument/2006/relationships/webSettings" Target="webSettings.xml"/><Relationship Id="rId9" Type="http://schemas.openxmlformats.org/officeDocument/2006/relationships/hyperlink" Target="https://app.croneri.co.uk/feature-articles/encouraging-sustainability-early-years-setting?topic=327" TargetMode="External"/><Relationship Id="rId14" Type="http://schemas.openxmlformats.org/officeDocument/2006/relationships/hyperlink" Target="https://www.britannica.com/topic/Brundtland-Report" TargetMode="External"/><Relationship Id="rId22" Type="http://schemas.openxmlformats.org/officeDocument/2006/relationships/hyperlink" Target="https://creativestarlearning.co.uk/wp-content/uploads/2020/06/EY-Outdoor-Loose-Parts-Play-Resource-List-.pdf" TargetMode="External"/><Relationship Id="rId27" Type="http://schemas.openxmlformats.org/officeDocument/2006/relationships/hyperlink" Target="https://media.unesco.org/sites/default/files/webform/ed3002/brief-series-unesco_financing-gap.pdf" TargetMode="External"/><Relationship Id="rId30" Type="http://schemas.openxmlformats.org/officeDocument/2006/relationships/hyperlink" Target="https://hwb.gov.wales/api/storage/b1801d78-38c3-4320-9818-d9996c21aef8/220914-a-curriculum-for-funded-non-maintained-nursery-settings.pdf" TargetMode="External"/><Relationship Id="rId35" Type="http://schemas.openxmlformats.org/officeDocument/2006/relationships/fontTable" Target="fontTable.xml"/><Relationship Id="rId8" Type="http://schemas.openxmlformats.org/officeDocument/2006/relationships/hyperlink" Target="https://www.bbc.co.uk/news/science-environment-38094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3840</Words>
  <Characters>21891</Characters>
  <Application>Microsoft Office Word</Application>
  <DocSecurity>0</DocSecurity>
  <Lines>182</Lines>
  <Paragraphs>51</Paragraphs>
  <ScaleCrop>false</ScaleCrop>
  <Company/>
  <LinksUpToDate>false</LinksUpToDate>
  <CharactersWithSpaces>25680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11</cp:revision>
  <dcterms:created xsi:type="dcterms:W3CDTF">2026-05-10T12:31:00Z</dcterms:created>
  <dcterms:modified xsi:type="dcterms:W3CDTF">2026-05-10T12:40:00Z</dcterms:modified>
</cp:coreProperties>
</file>