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E8E13" w14:textId="708805CD" w:rsidR="00585E11" w:rsidRDefault="00366B0D" w:rsidP="00366B0D">
      <w:pPr>
        <w:rPr>
          <w:rFonts w:ascii="Times New Roman" w:hAnsi="Times New Roman" w:cs="Times New Roman"/>
          <w:b/>
          <w:sz w:val="32"/>
          <w:szCs w:val="32"/>
        </w:rPr>
      </w:pPr>
      <w:bookmarkStart w:id="0" w:name="_Toc214624152"/>
      <w:bookmarkStart w:id="1" w:name="_Toc214624191"/>
      <w:bookmarkStart w:id="2" w:name="_Toc224478842"/>
      <w:r w:rsidRPr="00366B0D">
        <w:rPr>
          <w:rStyle w:val="Heading1Char"/>
          <w:rFonts w:ascii="Times New Roman" w:hAnsi="Times New Roman" w:cs="Times New Roman"/>
          <w:sz w:val="32"/>
          <w:szCs w:val="32"/>
        </w:rPr>
        <w:t>PROGRAMME:</w:t>
      </w:r>
      <w:bookmarkEnd w:id="0"/>
      <w:bookmarkEnd w:id="1"/>
      <w:bookmarkEnd w:id="2"/>
      <w:r w:rsidRPr="00366B0D">
        <w:rPr>
          <w:rFonts w:ascii="Times New Roman" w:hAnsi="Times New Roman" w:cs="Times New Roman"/>
          <w:sz w:val="32"/>
          <w:szCs w:val="32"/>
        </w:rPr>
        <w:t xml:space="preserve"> </w:t>
      </w:r>
      <w:r w:rsidRPr="00366B0D">
        <w:rPr>
          <w:rStyle w:val="Heading2Char"/>
          <w:rFonts w:ascii="Times New Roman" w:hAnsi="Times New Roman" w:cs="Times New Roman"/>
        </w:rPr>
        <w:t>BA (Hons) Leadership and Management Skills for the Workplace</w:t>
      </w:r>
      <w:r w:rsidRPr="00366B0D">
        <w:rPr>
          <w:rFonts w:ascii="Times New Roman" w:hAnsi="Times New Roman" w:cs="Times New Roman"/>
          <w:b/>
          <w:sz w:val="32"/>
          <w:szCs w:val="32"/>
        </w:rPr>
        <w:t xml:space="preserve">  </w:t>
      </w:r>
    </w:p>
    <w:p w14:paraId="237B619D" w14:textId="50595B92" w:rsidR="00366B0D" w:rsidRPr="00366B0D" w:rsidRDefault="00366B0D" w:rsidP="00366B0D">
      <w:pPr>
        <w:widowControl w:val="0"/>
        <w:spacing w:after="0" w:line="240" w:lineRule="auto"/>
        <w:rPr>
          <w:rFonts w:ascii="Times New Roman" w:eastAsia="Arial" w:hAnsi="Times New Roman" w:cs="Times New Roman"/>
          <w:bCs/>
          <w:kern w:val="0"/>
          <w:sz w:val="28"/>
          <w:szCs w:val="28"/>
          <w14:ligatures w14:val="none"/>
        </w:rPr>
      </w:pPr>
      <w:r w:rsidRPr="00366B0D">
        <w:rPr>
          <w:rFonts w:ascii="Times New Roman" w:eastAsia="Arial" w:hAnsi="Times New Roman" w:cs="Times New Roman"/>
          <w:kern w:val="0"/>
          <w:sz w:val="28"/>
          <w:szCs w:val="28"/>
          <w14:ligatures w14:val="none"/>
        </w:rPr>
        <w:t xml:space="preserve">Module: </w:t>
      </w:r>
      <w:r w:rsidR="003C34E7">
        <w:rPr>
          <w:rFonts w:ascii="Times New Roman" w:eastAsia="Times New Roman" w:hAnsi="Times New Roman" w:cs="Times New Roman"/>
          <w:bCs/>
          <w:kern w:val="0"/>
          <w:sz w:val="28"/>
          <w:szCs w:val="28"/>
          <w14:ligatures w14:val="none"/>
        </w:rPr>
        <w:t xml:space="preserve">Strategic Management for Business </w:t>
      </w:r>
    </w:p>
    <w:p w14:paraId="4F5C7DE1" w14:textId="77777777" w:rsidR="00366B0D" w:rsidRPr="00366B0D" w:rsidRDefault="00366B0D" w:rsidP="00366B0D">
      <w:pPr>
        <w:widowControl w:val="0"/>
        <w:spacing w:after="0" w:line="240" w:lineRule="auto"/>
        <w:rPr>
          <w:rFonts w:ascii="Times New Roman" w:eastAsia="Arial" w:hAnsi="Times New Roman" w:cs="Times New Roman"/>
          <w:bCs/>
          <w:kern w:val="0"/>
          <w:sz w:val="28"/>
          <w:szCs w:val="28"/>
          <w14:ligatures w14:val="none"/>
        </w:rPr>
      </w:pPr>
    </w:p>
    <w:p w14:paraId="2A560345" w14:textId="2F8B464F" w:rsidR="00366B0D" w:rsidRPr="00366B0D" w:rsidRDefault="00366B0D" w:rsidP="00366B0D">
      <w:pPr>
        <w:widowControl w:val="0"/>
        <w:spacing w:after="0" w:line="240" w:lineRule="auto"/>
        <w:rPr>
          <w:rFonts w:ascii="Times New Roman" w:eastAsia="Arial" w:hAnsi="Times New Roman" w:cs="Times New Roman"/>
          <w:kern w:val="0"/>
          <w:sz w:val="28"/>
          <w:szCs w:val="28"/>
          <w14:ligatures w14:val="none"/>
        </w:rPr>
      </w:pPr>
      <w:r w:rsidRPr="00366B0D">
        <w:rPr>
          <w:rFonts w:ascii="Times New Roman" w:eastAsia="Arial" w:hAnsi="Times New Roman" w:cs="Times New Roman"/>
          <w:kern w:val="0"/>
          <w:sz w:val="28"/>
          <w:szCs w:val="28"/>
          <w14:ligatures w14:val="none"/>
        </w:rPr>
        <w:t xml:space="preserve">Module code: LCLM </w:t>
      </w:r>
      <w:r w:rsidR="003C34E7">
        <w:rPr>
          <w:rFonts w:ascii="Times New Roman" w:eastAsia="Arial" w:hAnsi="Times New Roman" w:cs="Times New Roman"/>
          <w:kern w:val="0"/>
          <w:sz w:val="28"/>
          <w:szCs w:val="28"/>
          <w14:ligatures w14:val="none"/>
        </w:rPr>
        <w:t>6001</w:t>
      </w:r>
    </w:p>
    <w:p w14:paraId="40C84270" w14:textId="77777777" w:rsidR="00366B0D" w:rsidRPr="00366B0D" w:rsidRDefault="00366B0D" w:rsidP="00366B0D">
      <w:pPr>
        <w:widowControl w:val="0"/>
        <w:spacing w:after="0" w:line="240" w:lineRule="auto"/>
        <w:rPr>
          <w:rFonts w:ascii="Times New Roman" w:eastAsia="Arial" w:hAnsi="Times New Roman" w:cs="Times New Roman"/>
          <w:kern w:val="0"/>
          <w:sz w:val="28"/>
          <w:szCs w:val="28"/>
          <w14:ligatures w14:val="none"/>
        </w:rPr>
      </w:pPr>
    </w:p>
    <w:p w14:paraId="0DE32F18" w14:textId="2D822735" w:rsidR="00366B0D" w:rsidRPr="00366B0D" w:rsidRDefault="00366B0D" w:rsidP="00366B0D">
      <w:pPr>
        <w:spacing w:after="98" w:line="256" w:lineRule="auto"/>
        <w:ind w:left="2"/>
        <w:rPr>
          <w:sz w:val="28"/>
          <w:szCs w:val="28"/>
        </w:rPr>
      </w:pPr>
      <w:r w:rsidRPr="00366B0D">
        <w:rPr>
          <w:rFonts w:ascii="Times New Roman" w:eastAsia="Arial" w:hAnsi="Times New Roman" w:cs="Times New Roman"/>
          <w:kern w:val="0"/>
          <w:sz w:val="28"/>
          <w:szCs w:val="28"/>
          <w14:ligatures w14:val="none"/>
        </w:rPr>
        <w:t xml:space="preserve">Module Leader: </w:t>
      </w:r>
      <w:r w:rsidR="003C34E7">
        <w:rPr>
          <w:rFonts w:ascii="Times New Roman" w:hAnsi="Times New Roman" w:cs="Times New Roman"/>
          <w:sz w:val="28"/>
          <w:szCs w:val="28"/>
        </w:rPr>
        <w:t xml:space="preserve">Yohan Mendis Nishi </w:t>
      </w:r>
      <w:proofErr w:type="spellStart"/>
      <w:r w:rsidR="003C34E7">
        <w:rPr>
          <w:rFonts w:ascii="Times New Roman" w:hAnsi="Times New Roman" w:cs="Times New Roman"/>
          <w:sz w:val="28"/>
          <w:szCs w:val="28"/>
        </w:rPr>
        <w:t>Ramsurrum</w:t>
      </w:r>
      <w:proofErr w:type="spellEnd"/>
    </w:p>
    <w:p w14:paraId="0D89B238" w14:textId="77777777" w:rsidR="00366B0D" w:rsidRPr="00366B0D" w:rsidRDefault="00366B0D" w:rsidP="00366B0D">
      <w:pPr>
        <w:widowControl w:val="0"/>
        <w:spacing w:after="0" w:line="240" w:lineRule="auto"/>
        <w:rPr>
          <w:rFonts w:ascii="Times New Roman" w:eastAsia="Arial" w:hAnsi="Times New Roman" w:cs="Times New Roman"/>
          <w:kern w:val="0"/>
          <w:sz w:val="28"/>
          <w:szCs w:val="28"/>
          <w14:ligatures w14:val="none"/>
        </w:rPr>
      </w:pPr>
    </w:p>
    <w:p w14:paraId="56EB64C3" w14:textId="64E8B50D" w:rsidR="00366B0D" w:rsidRDefault="00366B0D" w:rsidP="00366B0D">
      <w:pPr>
        <w:rPr>
          <w:rFonts w:ascii="Times New Roman" w:eastAsia="Arial" w:hAnsi="Times New Roman" w:cs="Times New Roman"/>
          <w:kern w:val="0"/>
          <w:sz w:val="28"/>
          <w:szCs w:val="28"/>
          <w14:ligatures w14:val="none"/>
        </w:rPr>
      </w:pPr>
      <w:r w:rsidRPr="00366B0D">
        <w:rPr>
          <w:rFonts w:ascii="Times New Roman" w:eastAsia="Arial" w:hAnsi="Times New Roman" w:cs="Times New Roman"/>
          <w:kern w:val="0"/>
          <w:sz w:val="28"/>
          <w:szCs w:val="28"/>
          <w14:ligatures w14:val="none"/>
        </w:rPr>
        <w:t>Made by: Ariana-Gabriela Bonea 2314969</w:t>
      </w:r>
    </w:p>
    <w:p w14:paraId="3D918842" w14:textId="77777777" w:rsidR="00366B0D" w:rsidRDefault="00366B0D" w:rsidP="00366B0D">
      <w:pPr>
        <w:rPr>
          <w:rFonts w:ascii="Times New Roman" w:eastAsia="Arial" w:hAnsi="Times New Roman" w:cs="Times New Roman"/>
          <w:kern w:val="0"/>
          <w:sz w:val="28"/>
          <w:szCs w:val="28"/>
          <w14:ligatures w14:val="none"/>
        </w:rPr>
      </w:pPr>
    </w:p>
    <w:p w14:paraId="0FB33C6F" w14:textId="77777777" w:rsidR="00366B0D" w:rsidRDefault="00366B0D" w:rsidP="00366B0D">
      <w:pPr>
        <w:rPr>
          <w:rFonts w:ascii="Times New Roman" w:eastAsia="Arial" w:hAnsi="Times New Roman" w:cs="Times New Roman"/>
          <w:kern w:val="0"/>
          <w:sz w:val="28"/>
          <w:szCs w:val="28"/>
          <w14:ligatures w14:val="none"/>
        </w:rPr>
      </w:pPr>
    </w:p>
    <w:p w14:paraId="3AE4C23B" w14:textId="77777777" w:rsidR="00366B0D" w:rsidRDefault="00366B0D" w:rsidP="00366B0D">
      <w:pPr>
        <w:rPr>
          <w:rFonts w:ascii="Times New Roman" w:eastAsia="Arial" w:hAnsi="Times New Roman" w:cs="Times New Roman"/>
          <w:kern w:val="0"/>
          <w:sz w:val="28"/>
          <w:szCs w:val="28"/>
          <w14:ligatures w14:val="none"/>
        </w:rPr>
      </w:pPr>
    </w:p>
    <w:p w14:paraId="088AF450" w14:textId="77777777" w:rsidR="00366B0D" w:rsidRDefault="00366B0D" w:rsidP="00366B0D">
      <w:pPr>
        <w:rPr>
          <w:rFonts w:ascii="Times New Roman" w:eastAsia="Arial" w:hAnsi="Times New Roman" w:cs="Times New Roman"/>
          <w:kern w:val="0"/>
          <w:sz w:val="28"/>
          <w:szCs w:val="28"/>
          <w14:ligatures w14:val="none"/>
        </w:rPr>
      </w:pPr>
    </w:p>
    <w:p w14:paraId="755179F9" w14:textId="77777777" w:rsidR="00366B0D" w:rsidRDefault="00366B0D" w:rsidP="00366B0D">
      <w:pPr>
        <w:rPr>
          <w:rFonts w:ascii="Times New Roman" w:eastAsia="Arial" w:hAnsi="Times New Roman" w:cs="Times New Roman"/>
          <w:kern w:val="0"/>
          <w:sz w:val="28"/>
          <w:szCs w:val="28"/>
          <w14:ligatures w14:val="none"/>
        </w:rPr>
      </w:pPr>
    </w:p>
    <w:p w14:paraId="7D9781C7" w14:textId="77777777" w:rsidR="00366B0D" w:rsidRDefault="00366B0D" w:rsidP="00366B0D">
      <w:pPr>
        <w:rPr>
          <w:rFonts w:ascii="Times New Roman" w:eastAsia="Arial" w:hAnsi="Times New Roman" w:cs="Times New Roman"/>
          <w:kern w:val="0"/>
          <w:sz w:val="28"/>
          <w:szCs w:val="28"/>
          <w14:ligatures w14:val="none"/>
        </w:rPr>
      </w:pPr>
    </w:p>
    <w:p w14:paraId="091CD78C" w14:textId="77777777" w:rsidR="00366B0D" w:rsidRDefault="00366B0D" w:rsidP="00366B0D">
      <w:pPr>
        <w:rPr>
          <w:rFonts w:ascii="Times New Roman" w:eastAsia="Arial" w:hAnsi="Times New Roman" w:cs="Times New Roman"/>
          <w:kern w:val="0"/>
          <w:sz w:val="28"/>
          <w:szCs w:val="28"/>
          <w14:ligatures w14:val="none"/>
        </w:rPr>
      </w:pPr>
    </w:p>
    <w:p w14:paraId="50FCE040" w14:textId="77777777" w:rsidR="00366B0D" w:rsidRDefault="00366B0D" w:rsidP="00366B0D">
      <w:pPr>
        <w:rPr>
          <w:rFonts w:ascii="Times New Roman" w:eastAsia="Arial" w:hAnsi="Times New Roman" w:cs="Times New Roman"/>
          <w:kern w:val="0"/>
          <w:sz w:val="28"/>
          <w:szCs w:val="28"/>
          <w14:ligatures w14:val="none"/>
        </w:rPr>
      </w:pPr>
    </w:p>
    <w:p w14:paraId="305C0058" w14:textId="77777777" w:rsidR="00366B0D" w:rsidRDefault="00366B0D" w:rsidP="00366B0D">
      <w:pPr>
        <w:rPr>
          <w:rFonts w:ascii="Times New Roman" w:eastAsia="Arial" w:hAnsi="Times New Roman" w:cs="Times New Roman"/>
          <w:kern w:val="0"/>
          <w:sz w:val="28"/>
          <w:szCs w:val="28"/>
          <w14:ligatures w14:val="none"/>
        </w:rPr>
      </w:pPr>
    </w:p>
    <w:p w14:paraId="35F3B335" w14:textId="77777777" w:rsidR="00366B0D" w:rsidRDefault="00366B0D" w:rsidP="00366B0D">
      <w:pPr>
        <w:rPr>
          <w:rFonts w:ascii="Times New Roman" w:eastAsia="Arial" w:hAnsi="Times New Roman" w:cs="Times New Roman"/>
          <w:kern w:val="0"/>
          <w:sz w:val="28"/>
          <w:szCs w:val="28"/>
          <w14:ligatures w14:val="none"/>
        </w:rPr>
      </w:pPr>
    </w:p>
    <w:p w14:paraId="5B0B223A" w14:textId="77777777" w:rsidR="00366B0D" w:rsidRDefault="00366B0D" w:rsidP="00366B0D">
      <w:pPr>
        <w:rPr>
          <w:rFonts w:ascii="Times New Roman" w:eastAsia="Arial" w:hAnsi="Times New Roman" w:cs="Times New Roman"/>
          <w:kern w:val="0"/>
          <w:sz w:val="28"/>
          <w:szCs w:val="28"/>
          <w14:ligatures w14:val="none"/>
        </w:rPr>
      </w:pPr>
    </w:p>
    <w:p w14:paraId="391C9060" w14:textId="77777777" w:rsidR="00366B0D" w:rsidRDefault="00366B0D" w:rsidP="00366B0D">
      <w:pPr>
        <w:rPr>
          <w:rFonts w:ascii="Times New Roman" w:eastAsia="Arial" w:hAnsi="Times New Roman" w:cs="Times New Roman"/>
          <w:kern w:val="0"/>
          <w:sz w:val="28"/>
          <w:szCs w:val="28"/>
          <w14:ligatures w14:val="none"/>
        </w:rPr>
      </w:pPr>
    </w:p>
    <w:p w14:paraId="59901E3C" w14:textId="77777777" w:rsidR="00366B0D" w:rsidRDefault="00366B0D" w:rsidP="00366B0D">
      <w:pPr>
        <w:rPr>
          <w:rFonts w:ascii="Times New Roman" w:eastAsia="Arial" w:hAnsi="Times New Roman" w:cs="Times New Roman"/>
          <w:kern w:val="0"/>
          <w:sz w:val="28"/>
          <w:szCs w:val="28"/>
          <w14:ligatures w14:val="none"/>
        </w:rPr>
      </w:pPr>
    </w:p>
    <w:p w14:paraId="4A0F8A9A" w14:textId="77777777" w:rsidR="00366B0D" w:rsidRDefault="00366B0D" w:rsidP="00366B0D">
      <w:pPr>
        <w:rPr>
          <w:rFonts w:ascii="Times New Roman" w:eastAsia="Arial" w:hAnsi="Times New Roman" w:cs="Times New Roman"/>
          <w:kern w:val="0"/>
          <w:sz w:val="28"/>
          <w:szCs w:val="28"/>
          <w14:ligatures w14:val="none"/>
        </w:rPr>
      </w:pPr>
    </w:p>
    <w:p w14:paraId="62E2B386" w14:textId="77777777" w:rsidR="00366B0D" w:rsidRDefault="00366B0D" w:rsidP="00366B0D">
      <w:pPr>
        <w:rPr>
          <w:rFonts w:ascii="Times New Roman" w:eastAsia="Arial" w:hAnsi="Times New Roman" w:cs="Times New Roman"/>
          <w:kern w:val="0"/>
          <w:sz w:val="28"/>
          <w:szCs w:val="28"/>
          <w14:ligatures w14:val="none"/>
        </w:rPr>
      </w:pPr>
    </w:p>
    <w:p w14:paraId="6BC9BBDF" w14:textId="77777777" w:rsidR="00366B0D" w:rsidRDefault="00366B0D" w:rsidP="00366B0D">
      <w:pPr>
        <w:rPr>
          <w:rFonts w:ascii="Times New Roman" w:eastAsia="Arial" w:hAnsi="Times New Roman" w:cs="Times New Roman"/>
          <w:kern w:val="0"/>
          <w:sz w:val="28"/>
          <w:szCs w:val="28"/>
          <w14:ligatures w14:val="none"/>
        </w:rPr>
      </w:pPr>
    </w:p>
    <w:p w14:paraId="6F6FD964" w14:textId="77777777" w:rsidR="00366B0D" w:rsidRDefault="00366B0D" w:rsidP="00366B0D">
      <w:pPr>
        <w:rPr>
          <w:rFonts w:ascii="Times New Roman" w:eastAsia="Arial" w:hAnsi="Times New Roman" w:cs="Times New Roman"/>
          <w:kern w:val="0"/>
          <w:sz w:val="28"/>
          <w:szCs w:val="28"/>
          <w14:ligatures w14:val="none"/>
        </w:rPr>
      </w:pPr>
    </w:p>
    <w:p w14:paraId="10A0EF6F" w14:textId="77777777" w:rsidR="00366B0D" w:rsidRDefault="00366B0D" w:rsidP="00366B0D">
      <w:pPr>
        <w:rPr>
          <w:rFonts w:ascii="Times New Roman" w:eastAsia="Arial" w:hAnsi="Times New Roman" w:cs="Times New Roman"/>
          <w:kern w:val="0"/>
          <w:sz w:val="28"/>
          <w:szCs w:val="28"/>
          <w14:ligatures w14:val="none"/>
        </w:rPr>
      </w:pPr>
    </w:p>
    <w:p w14:paraId="02790D08" w14:textId="77777777" w:rsidR="00366B0D" w:rsidRDefault="00366B0D" w:rsidP="00366B0D">
      <w:pPr>
        <w:rPr>
          <w:rFonts w:ascii="Times New Roman" w:eastAsia="Arial" w:hAnsi="Times New Roman" w:cs="Times New Roman"/>
          <w:kern w:val="0"/>
          <w:sz w:val="28"/>
          <w:szCs w:val="28"/>
          <w14:ligatures w14:val="none"/>
        </w:rPr>
      </w:pPr>
    </w:p>
    <w:sdt>
      <w:sdtPr>
        <w:id w:val="8311695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E8D5176" w14:textId="3261BCC2" w:rsidR="006E1BF8" w:rsidRDefault="006E1BF8">
          <w:pPr>
            <w:pStyle w:val="TOCHeading"/>
          </w:pPr>
          <w:r>
            <w:t>Contents</w:t>
          </w:r>
        </w:p>
        <w:p w14:paraId="389E5F79" w14:textId="03FBB0F0" w:rsidR="006E1BF8" w:rsidRDefault="006E1BF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478842" w:history="1">
            <w:r w:rsidRPr="00EC028B">
              <w:rPr>
                <w:rStyle w:val="Hyperlink"/>
                <w:rFonts w:ascii="Times New Roman" w:hAnsi="Times New Roman" w:cs="Times New Roman"/>
                <w:noProof/>
              </w:rPr>
              <w:t>PROGRAMME:</w:t>
            </w:r>
            <w:r>
              <w:rPr>
                <w:noProof/>
                <w:webHidden/>
              </w:rPr>
              <w:tab/>
            </w:r>
            <w:r>
              <w:rPr>
                <w:noProof/>
                <w:webHidden/>
              </w:rPr>
              <w:fldChar w:fldCharType="begin"/>
            </w:r>
            <w:r>
              <w:rPr>
                <w:noProof/>
                <w:webHidden/>
              </w:rPr>
              <w:instrText xml:space="preserve"> PAGEREF _Toc224478842 \h </w:instrText>
            </w:r>
            <w:r>
              <w:rPr>
                <w:noProof/>
                <w:webHidden/>
              </w:rPr>
            </w:r>
            <w:r>
              <w:rPr>
                <w:noProof/>
                <w:webHidden/>
              </w:rPr>
              <w:fldChar w:fldCharType="separate"/>
            </w:r>
            <w:r>
              <w:rPr>
                <w:noProof/>
                <w:webHidden/>
              </w:rPr>
              <w:t>1</w:t>
            </w:r>
            <w:r>
              <w:rPr>
                <w:noProof/>
                <w:webHidden/>
              </w:rPr>
              <w:fldChar w:fldCharType="end"/>
            </w:r>
          </w:hyperlink>
        </w:p>
        <w:p w14:paraId="2EC17236" w14:textId="752D4DFB" w:rsidR="006E1BF8" w:rsidRDefault="006E1BF8">
          <w:pPr>
            <w:pStyle w:val="TOC3"/>
            <w:tabs>
              <w:tab w:val="right" w:leader="dot" w:pos="9016"/>
            </w:tabs>
            <w:rPr>
              <w:rFonts w:eastAsiaTheme="minorEastAsia"/>
              <w:noProof/>
              <w:lang w:eastAsia="en-GB"/>
            </w:rPr>
          </w:pPr>
          <w:hyperlink w:anchor="_Toc224478843" w:history="1">
            <w:r w:rsidRPr="00EC028B">
              <w:rPr>
                <w:rStyle w:val="Hyperlink"/>
                <w:rFonts w:asciiTheme="majorHAnsi" w:eastAsiaTheme="majorEastAsia" w:hAnsiTheme="majorHAnsi" w:cstheme="majorBidi"/>
                <w:noProof/>
                <w:lang w:eastAsia="en-GB"/>
              </w:rPr>
              <w:t>Executive Summary</w:t>
            </w:r>
            <w:r>
              <w:rPr>
                <w:noProof/>
                <w:webHidden/>
              </w:rPr>
              <w:tab/>
            </w:r>
            <w:r>
              <w:rPr>
                <w:noProof/>
                <w:webHidden/>
              </w:rPr>
              <w:fldChar w:fldCharType="begin"/>
            </w:r>
            <w:r>
              <w:rPr>
                <w:noProof/>
                <w:webHidden/>
              </w:rPr>
              <w:instrText xml:space="preserve"> PAGEREF _Toc224478843 \h </w:instrText>
            </w:r>
            <w:r>
              <w:rPr>
                <w:noProof/>
                <w:webHidden/>
              </w:rPr>
            </w:r>
            <w:r>
              <w:rPr>
                <w:noProof/>
                <w:webHidden/>
              </w:rPr>
              <w:fldChar w:fldCharType="separate"/>
            </w:r>
            <w:r>
              <w:rPr>
                <w:noProof/>
                <w:webHidden/>
              </w:rPr>
              <w:t>2</w:t>
            </w:r>
            <w:r>
              <w:rPr>
                <w:noProof/>
                <w:webHidden/>
              </w:rPr>
              <w:fldChar w:fldCharType="end"/>
            </w:r>
          </w:hyperlink>
        </w:p>
        <w:p w14:paraId="4E473F82" w14:textId="63B5F70A" w:rsidR="006E1BF8" w:rsidRDefault="006E1BF8">
          <w:pPr>
            <w:pStyle w:val="TOC1"/>
            <w:tabs>
              <w:tab w:val="right" w:leader="dot" w:pos="9016"/>
            </w:tabs>
            <w:rPr>
              <w:rFonts w:eastAsiaTheme="minorEastAsia"/>
              <w:noProof/>
              <w:lang w:eastAsia="en-GB"/>
            </w:rPr>
          </w:pPr>
          <w:hyperlink w:anchor="_Toc224478844" w:history="1">
            <w:r w:rsidRPr="00EC028B">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_Toc224478844 \h </w:instrText>
            </w:r>
            <w:r>
              <w:rPr>
                <w:noProof/>
                <w:webHidden/>
              </w:rPr>
            </w:r>
            <w:r>
              <w:rPr>
                <w:noProof/>
                <w:webHidden/>
              </w:rPr>
              <w:fldChar w:fldCharType="separate"/>
            </w:r>
            <w:r>
              <w:rPr>
                <w:noProof/>
                <w:webHidden/>
              </w:rPr>
              <w:t>3</w:t>
            </w:r>
            <w:r>
              <w:rPr>
                <w:noProof/>
                <w:webHidden/>
              </w:rPr>
              <w:fldChar w:fldCharType="end"/>
            </w:r>
          </w:hyperlink>
        </w:p>
        <w:p w14:paraId="37283F95" w14:textId="410087C5" w:rsidR="006E1BF8" w:rsidRDefault="006E1BF8" w:rsidP="006E1BF8">
          <w:pPr>
            <w:pStyle w:val="TOC1"/>
            <w:tabs>
              <w:tab w:val="right" w:leader="dot" w:pos="9016"/>
            </w:tabs>
            <w:rPr>
              <w:rFonts w:eastAsiaTheme="minorEastAsia"/>
              <w:noProof/>
              <w:lang w:eastAsia="en-GB"/>
            </w:rPr>
          </w:pPr>
          <w:hyperlink w:anchor="_Toc224478845" w:history="1">
            <w:r w:rsidRPr="00EC028B">
              <w:rPr>
                <w:rStyle w:val="Hyperlink"/>
                <w:rFonts w:eastAsia="Times New Roman"/>
                <w:noProof/>
                <w:lang w:eastAsia="en-GB"/>
              </w:rPr>
              <w:t>. Evaluation of Current Market Situation</w:t>
            </w:r>
            <w:r>
              <w:rPr>
                <w:noProof/>
                <w:webHidden/>
              </w:rPr>
              <w:tab/>
            </w:r>
            <w:r>
              <w:rPr>
                <w:noProof/>
                <w:webHidden/>
              </w:rPr>
              <w:fldChar w:fldCharType="begin"/>
            </w:r>
            <w:r>
              <w:rPr>
                <w:noProof/>
                <w:webHidden/>
              </w:rPr>
              <w:instrText xml:space="preserve"> PAGEREF _Toc224478845 \h </w:instrText>
            </w:r>
            <w:r>
              <w:rPr>
                <w:noProof/>
                <w:webHidden/>
              </w:rPr>
            </w:r>
            <w:r>
              <w:rPr>
                <w:noProof/>
                <w:webHidden/>
              </w:rPr>
              <w:fldChar w:fldCharType="separate"/>
            </w:r>
            <w:r>
              <w:rPr>
                <w:noProof/>
                <w:webHidden/>
              </w:rPr>
              <w:t>4</w:t>
            </w:r>
            <w:r>
              <w:rPr>
                <w:noProof/>
                <w:webHidden/>
              </w:rPr>
              <w:fldChar w:fldCharType="end"/>
            </w:r>
          </w:hyperlink>
        </w:p>
        <w:p w14:paraId="1E1C1039" w14:textId="3C422E42" w:rsidR="006E1BF8" w:rsidRDefault="006E1BF8">
          <w:pPr>
            <w:pStyle w:val="TOC1"/>
            <w:tabs>
              <w:tab w:val="right" w:leader="dot" w:pos="9016"/>
            </w:tabs>
            <w:rPr>
              <w:rFonts w:eastAsiaTheme="minorEastAsia"/>
              <w:noProof/>
              <w:lang w:eastAsia="en-GB"/>
            </w:rPr>
          </w:pPr>
          <w:hyperlink w:anchor="_Toc224478849" w:history="1">
            <w:r w:rsidRPr="00EC028B">
              <w:rPr>
                <w:rStyle w:val="Hyperlink"/>
                <w:rFonts w:eastAsia="Times New Roman"/>
                <w:noProof/>
                <w:lang w:eastAsia="en-GB"/>
              </w:rPr>
              <w:t>Strategic Growth Options and Proposed Strategy</w:t>
            </w:r>
            <w:r>
              <w:rPr>
                <w:noProof/>
                <w:webHidden/>
              </w:rPr>
              <w:tab/>
            </w:r>
            <w:r>
              <w:rPr>
                <w:noProof/>
                <w:webHidden/>
              </w:rPr>
              <w:fldChar w:fldCharType="begin"/>
            </w:r>
            <w:r>
              <w:rPr>
                <w:noProof/>
                <w:webHidden/>
              </w:rPr>
              <w:instrText xml:space="preserve"> PAGEREF _Toc224478849 \h </w:instrText>
            </w:r>
            <w:r>
              <w:rPr>
                <w:noProof/>
                <w:webHidden/>
              </w:rPr>
            </w:r>
            <w:r>
              <w:rPr>
                <w:noProof/>
                <w:webHidden/>
              </w:rPr>
              <w:fldChar w:fldCharType="separate"/>
            </w:r>
            <w:r>
              <w:rPr>
                <w:noProof/>
                <w:webHidden/>
              </w:rPr>
              <w:t>6</w:t>
            </w:r>
            <w:r>
              <w:rPr>
                <w:noProof/>
                <w:webHidden/>
              </w:rPr>
              <w:fldChar w:fldCharType="end"/>
            </w:r>
          </w:hyperlink>
        </w:p>
        <w:p w14:paraId="35A70D0F" w14:textId="4FEA704A" w:rsidR="006E1BF8" w:rsidRDefault="006E1BF8">
          <w:pPr>
            <w:pStyle w:val="TOC1"/>
            <w:tabs>
              <w:tab w:val="right" w:leader="dot" w:pos="9016"/>
            </w:tabs>
            <w:rPr>
              <w:rFonts w:eastAsiaTheme="minorEastAsia"/>
              <w:noProof/>
              <w:lang w:eastAsia="en-GB"/>
            </w:rPr>
          </w:pPr>
          <w:hyperlink w:anchor="_Toc224478850" w:history="1">
            <w:r w:rsidRPr="00EC028B">
              <w:rPr>
                <w:rStyle w:val="Hyperlink"/>
                <w:rFonts w:eastAsia="Times New Roman"/>
                <w:noProof/>
                <w:lang w:eastAsia="en-GB"/>
              </w:rPr>
              <w:t>Strategy Evaluation</w:t>
            </w:r>
            <w:r>
              <w:rPr>
                <w:noProof/>
                <w:webHidden/>
              </w:rPr>
              <w:tab/>
            </w:r>
            <w:r>
              <w:rPr>
                <w:noProof/>
                <w:webHidden/>
              </w:rPr>
              <w:fldChar w:fldCharType="begin"/>
            </w:r>
            <w:r>
              <w:rPr>
                <w:noProof/>
                <w:webHidden/>
              </w:rPr>
              <w:instrText xml:space="preserve"> PAGEREF _Toc224478850 \h </w:instrText>
            </w:r>
            <w:r>
              <w:rPr>
                <w:noProof/>
                <w:webHidden/>
              </w:rPr>
            </w:r>
            <w:r>
              <w:rPr>
                <w:noProof/>
                <w:webHidden/>
              </w:rPr>
              <w:fldChar w:fldCharType="separate"/>
            </w:r>
            <w:r>
              <w:rPr>
                <w:noProof/>
                <w:webHidden/>
              </w:rPr>
              <w:t>8</w:t>
            </w:r>
            <w:r>
              <w:rPr>
                <w:noProof/>
                <w:webHidden/>
              </w:rPr>
              <w:fldChar w:fldCharType="end"/>
            </w:r>
          </w:hyperlink>
        </w:p>
        <w:p w14:paraId="64ACD4AF" w14:textId="6298FDC2" w:rsidR="006E1BF8" w:rsidRDefault="006E1BF8">
          <w:pPr>
            <w:pStyle w:val="TOC1"/>
            <w:tabs>
              <w:tab w:val="right" w:leader="dot" w:pos="9016"/>
            </w:tabs>
            <w:rPr>
              <w:rFonts w:eastAsiaTheme="minorEastAsia"/>
              <w:noProof/>
              <w:lang w:eastAsia="en-GB"/>
            </w:rPr>
          </w:pPr>
          <w:hyperlink w:anchor="_Toc224478851" w:history="1">
            <w:r w:rsidRPr="00EC028B">
              <w:rPr>
                <w:rStyle w:val="Hyperlink"/>
                <w:rFonts w:eastAsia="Times New Roman"/>
                <w:noProof/>
                <w:lang w:eastAsia="en-GB"/>
              </w:rPr>
              <w:t>Stakeholder Analysis</w:t>
            </w:r>
            <w:r>
              <w:rPr>
                <w:noProof/>
                <w:webHidden/>
              </w:rPr>
              <w:tab/>
            </w:r>
            <w:r>
              <w:rPr>
                <w:noProof/>
                <w:webHidden/>
              </w:rPr>
              <w:fldChar w:fldCharType="begin"/>
            </w:r>
            <w:r>
              <w:rPr>
                <w:noProof/>
                <w:webHidden/>
              </w:rPr>
              <w:instrText xml:space="preserve"> PAGEREF _Toc224478851 \h </w:instrText>
            </w:r>
            <w:r>
              <w:rPr>
                <w:noProof/>
                <w:webHidden/>
              </w:rPr>
            </w:r>
            <w:r>
              <w:rPr>
                <w:noProof/>
                <w:webHidden/>
              </w:rPr>
              <w:fldChar w:fldCharType="separate"/>
            </w:r>
            <w:r>
              <w:rPr>
                <w:noProof/>
                <w:webHidden/>
              </w:rPr>
              <w:t>10</w:t>
            </w:r>
            <w:r>
              <w:rPr>
                <w:noProof/>
                <w:webHidden/>
              </w:rPr>
              <w:fldChar w:fldCharType="end"/>
            </w:r>
          </w:hyperlink>
        </w:p>
        <w:p w14:paraId="55682E6A" w14:textId="5620299C" w:rsidR="006E1BF8" w:rsidRDefault="006E1BF8">
          <w:pPr>
            <w:pStyle w:val="TOC1"/>
            <w:tabs>
              <w:tab w:val="right" w:leader="dot" w:pos="9016"/>
            </w:tabs>
            <w:rPr>
              <w:rFonts w:eastAsiaTheme="minorEastAsia"/>
              <w:noProof/>
              <w:lang w:eastAsia="en-GB"/>
            </w:rPr>
          </w:pPr>
          <w:hyperlink w:anchor="_Toc224478852" w:history="1">
            <w:r w:rsidRPr="00EC028B">
              <w:rPr>
                <w:rStyle w:val="Hyperlink"/>
                <w:rFonts w:eastAsia="Times New Roman"/>
                <w:noProof/>
                <w:lang w:eastAsia="en-GB"/>
              </w:rPr>
              <w:t>Implementation and Monitoring</w:t>
            </w:r>
            <w:r>
              <w:rPr>
                <w:noProof/>
                <w:webHidden/>
              </w:rPr>
              <w:tab/>
            </w:r>
            <w:r>
              <w:rPr>
                <w:noProof/>
                <w:webHidden/>
              </w:rPr>
              <w:fldChar w:fldCharType="begin"/>
            </w:r>
            <w:r>
              <w:rPr>
                <w:noProof/>
                <w:webHidden/>
              </w:rPr>
              <w:instrText xml:space="preserve"> PAGEREF _Toc224478852 \h </w:instrText>
            </w:r>
            <w:r>
              <w:rPr>
                <w:noProof/>
                <w:webHidden/>
              </w:rPr>
            </w:r>
            <w:r>
              <w:rPr>
                <w:noProof/>
                <w:webHidden/>
              </w:rPr>
              <w:fldChar w:fldCharType="separate"/>
            </w:r>
            <w:r>
              <w:rPr>
                <w:noProof/>
                <w:webHidden/>
              </w:rPr>
              <w:t>11</w:t>
            </w:r>
            <w:r>
              <w:rPr>
                <w:noProof/>
                <w:webHidden/>
              </w:rPr>
              <w:fldChar w:fldCharType="end"/>
            </w:r>
          </w:hyperlink>
        </w:p>
        <w:p w14:paraId="0699B66B" w14:textId="4ACA6603" w:rsidR="006E1BF8" w:rsidRDefault="006E1BF8">
          <w:pPr>
            <w:pStyle w:val="TOC1"/>
            <w:tabs>
              <w:tab w:val="right" w:leader="dot" w:pos="9016"/>
            </w:tabs>
            <w:rPr>
              <w:rFonts w:eastAsiaTheme="minorEastAsia"/>
              <w:noProof/>
              <w:lang w:eastAsia="en-GB"/>
            </w:rPr>
          </w:pPr>
          <w:hyperlink w:anchor="_Toc224478857" w:history="1">
            <w:r w:rsidRPr="00EC028B">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_Toc224478857 \h </w:instrText>
            </w:r>
            <w:r>
              <w:rPr>
                <w:noProof/>
                <w:webHidden/>
              </w:rPr>
            </w:r>
            <w:r>
              <w:rPr>
                <w:noProof/>
                <w:webHidden/>
              </w:rPr>
              <w:fldChar w:fldCharType="separate"/>
            </w:r>
            <w:r>
              <w:rPr>
                <w:noProof/>
                <w:webHidden/>
              </w:rPr>
              <w:t>13</w:t>
            </w:r>
            <w:r>
              <w:rPr>
                <w:noProof/>
                <w:webHidden/>
              </w:rPr>
              <w:fldChar w:fldCharType="end"/>
            </w:r>
          </w:hyperlink>
        </w:p>
        <w:p w14:paraId="51F7E104" w14:textId="27547BD8" w:rsidR="006E1BF8" w:rsidRDefault="006E1BF8">
          <w:pPr>
            <w:pStyle w:val="TOC1"/>
            <w:tabs>
              <w:tab w:val="right" w:leader="dot" w:pos="9016"/>
            </w:tabs>
            <w:rPr>
              <w:rFonts w:eastAsiaTheme="minorEastAsia"/>
              <w:noProof/>
              <w:lang w:eastAsia="en-GB"/>
            </w:rPr>
          </w:pPr>
          <w:hyperlink w:anchor="_Toc224478858" w:history="1">
            <w:r w:rsidRPr="00EC028B">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_Toc224478858 \h </w:instrText>
            </w:r>
            <w:r>
              <w:rPr>
                <w:noProof/>
                <w:webHidden/>
              </w:rPr>
            </w:r>
            <w:r>
              <w:rPr>
                <w:noProof/>
                <w:webHidden/>
              </w:rPr>
              <w:fldChar w:fldCharType="separate"/>
            </w:r>
            <w:r>
              <w:rPr>
                <w:noProof/>
                <w:webHidden/>
              </w:rPr>
              <w:t>14</w:t>
            </w:r>
            <w:r>
              <w:rPr>
                <w:noProof/>
                <w:webHidden/>
              </w:rPr>
              <w:fldChar w:fldCharType="end"/>
            </w:r>
          </w:hyperlink>
        </w:p>
        <w:p w14:paraId="1E7AE945" w14:textId="6F1FCF54" w:rsidR="006E1BF8" w:rsidRDefault="006E1BF8">
          <w:r>
            <w:rPr>
              <w:b/>
              <w:bCs/>
            </w:rPr>
            <w:fldChar w:fldCharType="end"/>
          </w:r>
        </w:p>
      </w:sdtContent>
    </w:sdt>
    <w:p w14:paraId="56B54669" w14:textId="2AC9EC72" w:rsidR="00A14625" w:rsidRDefault="00A14625"/>
    <w:p w14:paraId="6A63AE33" w14:textId="77777777" w:rsidR="00C4393A" w:rsidRDefault="00C4393A" w:rsidP="00366B0D">
      <w:pPr>
        <w:rPr>
          <w:rFonts w:ascii="Arial" w:eastAsia="Arial" w:hAnsi="Arial" w:cs="Arial"/>
          <w:kern w:val="0"/>
          <w:sz w:val="22"/>
          <w:szCs w:val="22"/>
          <w14:ligatures w14:val="none"/>
        </w:rPr>
      </w:pPr>
    </w:p>
    <w:p w14:paraId="71362692" w14:textId="77777777" w:rsidR="00C4393A" w:rsidRDefault="00C4393A" w:rsidP="00366B0D">
      <w:pPr>
        <w:rPr>
          <w:rFonts w:ascii="Arial" w:eastAsia="Arial" w:hAnsi="Arial" w:cs="Arial"/>
          <w:kern w:val="0"/>
          <w:sz w:val="22"/>
          <w:szCs w:val="22"/>
          <w14:ligatures w14:val="none"/>
        </w:rPr>
      </w:pPr>
    </w:p>
    <w:p w14:paraId="5C046BE8" w14:textId="77777777" w:rsidR="00C4393A" w:rsidRDefault="00C4393A" w:rsidP="00366B0D">
      <w:pPr>
        <w:rPr>
          <w:rFonts w:ascii="Arial" w:eastAsia="Arial" w:hAnsi="Arial" w:cs="Arial"/>
          <w:kern w:val="0"/>
          <w:sz w:val="22"/>
          <w:szCs w:val="22"/>
          <w14:ligatures w14:val="none"/>
        </w:rPr>
      </w:pPr>
    </w:p>
    <w:p w14:paraId="6673A6F9" w14:textId="77777777" w:rsidR="00C4393A" w:rsidRDefault="00C4393A" w:rsidP="00366B0D">
      <w:pPr>
        <w:rPr>
          <w:rFonts w:ascii="Arial" w:eastAsia="Arial" w:hAnsi="Arial" w:cs="Arial"/>
          <w:kern w:val="0"/>
          <w:sz w:val="22"/>
          <w:szCs w:val="22"/>
          <w14:ligatures w14:val="none"/>
        </w:rPr>
      </w:pPr>
    </w:p>
    <w:p w14:paraId="1C615C58" w14:textId="77777777" w:rsidR="00C4393A" w:rsidRDefault="00C4393A" w:rsidP="00366B0D">
      <w:pPr>
        <w:rPr>
          <w:rFonts w:ascii="Arial" w:eastAsia="Arial" w:hAnsi="Arial" w:cs="Arial"/>
          <w:kern w:val="0"/>
          <w:sz w:val="22"/>
          <w:szCs w:val="22"/>
          <w14:ligatures w14:val="none"/>
        </w:rPr>
      </w:pPr>
    </w:p>
    <w:p w14:paraId="181BDF85" w14:textId="77777777" w:rsidR="00C4393A" w:rsidRDefault="00C4393A" w:rsidP="00366B0D">
      <w:pPr>
        <w:rPr>
          <w:rFonts w:ascii="Arial" w:eastAsia="Arial" w:hAnsi="Arial" w:cs="Arial"/>
          <w:kern w:val="0"/>
          <w:sz w:val="22"/>
          <w:szCs w:val="22"/>
          <w14:ligatures w14:val="none"/>
        </w:rPr>
      </w:pPr>
    </w:p>
    <w:p w14:paraId="3350B050" w14:textId="77777777" w:rsidR="00C4393A" w:rsidRDefault="00C4393A" w:rsidP="00366B0D">
      <w:pPr>
        <w:rPr>
          <w:rFonts w:ascii="Arial" w:eastAsia="Arial" w:hAnsi="Arial" w:cs="Arial"/>
          <w:kern w:val="0"/>
          <w:sz w:val="22"/>
          <w:szCs w:val="22"/>
          <w14:ligatures w14:val="none"/>
        </w:rPr>
      </w:pPr>
    </w:p>
    <w:p w14:paraId="4C524DDC" w14:textId="77777777" w:rsidR="00C4393A" w:rsidRDefault="00C4393A" w:rsidP="00366B0D">
      <w:pPr>
        <w:rPr>
          <w:rFonts w:ascii="Arial" w:eastAsia="Arial" w:hAnsi="Arial" w:cs="Arial"/>
          <w:kern w:val="0"/>
          <w:sz w:val="22"/>
          <w:szCs w:val="22"/>
          <w14:ligatures w14:val="none"/>
        </w:rPr>
      </w:pPr>
    </w:p>
    <w:p w14:paraId="6A57EBFE" w14:textId="77777777" w:rsidR="00C4393A" w:rsidRDefault="00C4393A" w:rsidP="00366B0D">
      <w:pPr>
        <w:rPr>
          <w:rFonts w:ascii="Arial" w:eastAsia="Arial" w:hAnsi="Arial" w:cs="Arial"/>
          <w:kern w:val="0"/>
          <w:sz w:val="22"/>
          <w:szCs w:val="22"/>
          <w14:ligatures w14:val="none"/>
        </w:rPr>
      </w:pPr>
    </w:p>
    <w:p w14:paraId="4B08CA38" w14:textId="77777777" w:rsidR="00C4393A" w:rsidRDefault="00C4393A" w:rsidP="00366B0D">
      <w:pPr>
        <w:rPr>
          <w:rFonts w:ascii="Arial" w:eastAsia="Arial" w:hAnsi="Arial" w:cs="Arial"/>
          <w:kern w:val="0"/>
          <w:sz w:val="22"/>
          <w:szCs w:val="22"/>
          <w14:ligatures w14:val="none"/>
        </w:rPr>
      </w:pPr>
    </w:p>
    <w:p w14:paraId="378EEB29" w14:textId="77777777" w:rsidR="00C4393A" w:rsidRDefault="00C4393A" w:rsidP="00366B0D">
      <w:pPr>
        <w:rPr>
          <w:rFonts w:ascii="Arial" w:eastAsia="Arial" w:hAnsi="Arial" w:cs="Arial"/>
          <w:kern w:val="0"/>
          <w:sz w:val="22"/>
          <w:szCs w:val="22"/>
          <w14:ligatures w14:val="none"/>
        </w:rPr>
      </w:pPr>
    </w:p>
    <w:p w14:paraId="36E6B018" w14:textId="77777777" w:rsidR="00C4393A" w:rsidRDefault="00C4393A" w:rsidP="00366B0D">
      <w:pPr>
        <w:rPr>
          <w:rFonts w:ascii="Arial" w:eastAsia="Arial" w:hAnsi="Arial" w:cs="Arial"/>
          <w:kern w:val="0"/>
          <w:sz w:val="22"/>
          <w:szCs w:val="22"/>
          <w14:ligatures w14:val="none"/>
        </w:rPr>
      </w:pPr>
    </w:p>
    <w:p w14:paraId="1CF25B42" w14:textId="77777777" w:rsidR="00C4393A" w:rsidRDefault="00C4393A" w:rsidP="00366B0D">
      <w:pPr>
        <w:rPr>
          <w:rFonts w:ascii="Arial" w:eastAsia="Arial" w:hAnsi="Arial" w:cs="Arial"/>
          <w:kern w:val="0"/>
          <w:sz w:val="22"/>
          <w:szCs w:val="22"/>
          <w14:ligatures w14:val="none"/>
        </w:rPr>
      </w:pPr>
    </w:p>
    <w:p w14:paraId="5CBEF913" w14:textId="77777777" w:rsidR="00C4393A" w:rsidRDefault="00C4393A" w:rsidP="00366B0D">
      <w:pPr>
        <w:rPr>
          <w:rFonts w:ascii="Arial" w:eastAsia="Arial" w:hAnsi="Arial" w:cs="Arial"/>
          <w:kern w:val="0"/>
          <w:sz w:val="22"/>
          <w:szCs w:val="22"/>
          <w14:ligatures w14:val="none"/>
        </w:rPr>
      </w:pPr>
    </w:p>
    <w:p w14:paraId="5BECCBBC" w14:textId="77777777" w:rsidR="00C4393A" w:rsidRDefault="00C4393A" w:rsidP="00366B0D">
      <w:pPr>
        <w:rPr>
          <w:rFonts w:ascii="Arial" w:eastAsia="Arial" w:hAnsi="Arial" w:cs="Arial"/>
          <w:kern w:val="0"/>
          <w:sz w:val="22"/>
          <w:szCs w:val="22"/>
          <w14:ligatures w14:val="none"/>
        </w:rPr>
      </w:pPr>
    </w:p>
    <w:p w14:paraId="07C691EE" w14:textId="77777777" w:rsidR="00C4393A" w:rsidRDefault="00C4393A" w:rsidP="00366B0D">
      <w:pPr>
        <w:rPr>
          <w:rFonts w:ascii="Arial" w:eastAsia="Arial" w:hAnsi="Arial" w:cs="Arial"/>
          <w:kern w:val="0"/>
          <w:sz w:val="22"/>
          <w:szCs w:val="22"/>
          <w14:ligatures w14:val="none"/>
        </w:rPr>
      </w:pPr>
    </w:p>
    <w:p w14:paraId="1A2126DD" w14:textId="7BC2B1BE" w:rsidR="001845B7" w:rsidRPr="001845B7" w:rsidRDefault="001845B7" w:rsidP="001845B7">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bookmarkStart w:id="3" w:name="_Toc224478843"/>
      <w:r w:rsidRPr="001845B7">
        <w:rPr>
          <w:rStyle w:val="Heading1Char"/>
          <w:lang w:eastAsia="en-GB"/>
        </w:rPr>
        <w:t>Executive Summary</w:t>
      </w:r>
      <w:bookmarkEnd w:id="3"/>
      <w:r w:rsidRPr="001845B7">
        <w:rPr>
          <w:rFonts w:ascii="Times New Roman" w:eastAsia="Times New Roman" w:hAnsi="Times New Roman" w:cs="Times New Roman"/>
          <w:b/>
          <w:bCs/>
          <w:kern w:val="0"/>
          <w:sz w:val="27"/>
          <w:szCs w:val="27"/>
          <w:lang w:eastAsia="en-GB"/>
          <w14:ligatures w14:val="none"/>
        </w:rPr>
        <w:t xml:space="preserve"> </w:t>
      </w:r>
    </w:p>
    <w:p w14:paraId="04DCA8FB"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lastRenderedPageBreak/>
        <w:t>Innocent Drinks has established itself as a leading brand in the healthy drinks market through its commitment to natural ingredients, sustainability, and strong ethical values. As a certified B Corporation, the company has built a reputation for responsible business practices, transparent communication, and a distinctive brand personality that resonates strongly with consumers. However, the organisation now faces increasing competition in the health and wellness beverage sector, rising supply chain complexities, and the challenge of sustaining innovation while maintaining its authentic brand identity.</w:t>
      </w:r>
    </w:p>
    <w:p w14:paraId="204B5D9B" w14:textId="19F10612"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This report evaluates the current market environment affecting Innocent Drinks through strategic analysis frameworks including SWOT, PESTEL, and Porter's Five Forces. The analysis highlights key opportunities such as growing consumer demand for plant-based and functional beverages, as well as threats including intense competition from global beverage companies and increasing pressure to meet ambitious sustainability targets.</w:t>
      </w:r>
      <w:r w:rsidR="006E1BF8" w:rsidRPr="006E1BF8">
        <w:rPr>
          <w:rFonts w:ascii="Arial" w:hAnsi="Arial" w:cs="Arial"/>
        </w:rPr>
        <w:t xml:space="preserve"> (</w:t>
      </w:r>
      <w:r w:rsidR="006E1BF8" w:rsidRPr="006E1BF8">
        <w:rPr>
          <w:rFonts w:ascii="Arial" w:eastAsia="Times New Roman" w:hAnsi="Arial" w:cs="Arial"/>
          <w:kern w:val="0"/>
          <w:lang w:eastAsia="en-GB"/>
          <w14:ligatures w14:val="none"/>
        </w:rPr>
        <w:t>Porter, 1980</w:t>
      </w:r>
      <w:r w:rsidR="006E1BF8" w:rsidRPr="006E1BF8">
        <w:rPr>
          <w:rFonts w:ascii="Arial" w:eastAsia="Times New Roman" w:hAnsi="Arial" w:cs="Arial"/>
          <w:kern w:val="0"/>
          <w:lang w:eastAsia="en-GB"/>
          <w14:ligatures w14:val="none"/>
        </w:rPr>
        <w:t>)</w:t>
      </w:r>
    </w:p>
    <w:p w14:paraId="0652D489"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Based on this analysis, the report recommends a growth strategy centred on product innovation and market development using the Ansoff Matrix. Specifically, Innocent should expand its portfolio of plant-based functional drinks that focus on health benefits such as immunity, energy, and gut health, while strengthening its sustainability positioning through responsible sourcing and carbon-reduction initiatives. This strategy aligns with Innocent’s mission to help people live well and its vision of leaving the planet better than it was found.</w:t>
      </w:r>
    </w:p>
    <w:p w14:paraId="32B03B5A" w14:textId="7729D189"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proposed strategy is evaluated using the SFA Framework to ensure it is suitable for market conditions, feasible with the company’s capabilities, and acceptable to key stakeholders. An implementation plan with measurable Key Performance Indicators (KPIs) is also provided to support effective execution and monitoring of the strategy</w:t>
      </w:r>
      <w:r w:rsidRPr="006E1BF8">
        <w:rPr>
          <w:rFonts w:ascii="Arial" w:eastAsia="Times New Roman" w:hAnsi="Arial" w:cs="Arial"/>
          <w:kern w:val="0"/>
          <w:lang w:eastAsia="en-GB"/>
          <w14:ligatures w14:val="none"/>
        </w:rPr>
        <w:t>.</w:t>
      </w:r>
    </w:p>
    <w:p w14:paraId="4FCE37B8" w14:textId="77777777" w:rsidR="001845B7" w:rsidRDefault="001845B7" w:rsidP="001845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92AD2E3" w14:textId="08B06EC1" w:rsidR="001845B7" w:rsidRPr="006E1BF8" w:rsidRDefault="001845B7" w:rsidP="001845B7">
      <w:pPr>
        <w:pStyle w:val="Heading1"/>
        <w:rPr>
          <w:rFonts w:ascii="Arial" w:eastAsia="Times New Roman" w:hAnsi="Arial" w:cs="Arial"/>
          <w:lang w:eastAsia="en-GB"/>
        </w:rPr>
      </w:pPr>
      <w:bookmarkStart w:id="4" w:name="_Toc224478844"/>
      <w:r w:rsidRPr="001845B7">
        <w:rPr>
          <w:rFonts w:eastAsia="Times New Roman"/>
          <w:lang w:eastAsia="en-GB"/>
        </w:rPr>
        <w:t>Introduction</w:t>
      </w:r>
      <w:bookmarkEnd w:id="4"/>
      <w:r w:rsidRPr="001845B7">
        <w:rPr>
          <w:rFonts w:eastAsia="Times New Roman"/>
          <w:lang w:eastAsia="en-GB"/>
        </w:rPr>
        <w:t xml:space="preserve"> </w:t>
      </w:r>
    </w:p>
    <w:p w14:paraId="1AE903BE"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Innocent Drinks is a UK-based beverage company founded in 1999 by Richard Reed, Adam Balon, and Jon Wright. The company began by selling smoothies made from natural ingredients and has since grown into one of the most recognised healthy drink brands in Europe. Innocent’s product portfolio now includes smoothies, juices, coconut water, and plant-based drinks, with a strong focus on natural ingredients and minimal processing.</w:t>
      </w:r>
    </w:p>
    <w:p w14:paraId="7841491E" w14:textId="4019BC4A"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organisation’s mission is to “make natural, delicious food and drink that helps people live well and die old.” This mission reflects the company’s commitment to promoting healthier lifestyles through nutritious and high-quality products. Innocent’s vision is to “leave things better than we found them,” which drives its approach to sustainability, environmental responsibility, and ethical business practices.</w:t>
      </w:r>
      <w:r w:rsidR="006E1BF8" w:rsidRPr="006E1BF8">
        <w:rPr>
          <w:rFonts w:ascii="Arial" w:hAnsi="Arial" w:cs="Arial"/>
        </w:rPr>
        <w:t xml:space="preserve"> (</w:t>
      </w:r>
      <w:r w:rsidR="006E1BF8" w:rsidRPr="006E1BF8">
        <w:rPr>
          <w:rFonts w:ascii="Arial" w:eastAsia="Times New Roman" w:hAnsi="Arial" w:cs="Arial"/>
          <w:kern w:val="0"/>
          <w:lang w:eastAsia="en-GB"/>
          <w14:ligatures w14:val="none"/>
        </w:rPr>
        <w:t>Porter, 1980</w:t>
      </w:r>
      <w:r w:rsidR="006E1BF8" w:rsidRPr="006E1BF8">
        <w:rPr>
          <w:rFonts w:ascii="Arial" w:eastAsia="Times New Roman" w:hAnsi="Arial" w:cs="Arial"/>
          <w:kern w:val="0"/>
          <w:lang w:eastAsia="en-GB"/>
          <w14:ligatures w14:val="none"/>
        </w:rPr>
        <w:t>)</w:t>
      </w:r>
    </w:p>
    <w:p w14:paraId="7B9EED78"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 xml:space="preserve">In line with these values, Innocent is a certified B Corporation, meaning the company meets high standards of social and environmental performance, transparency, and </w:t>
      </w:r>
      <w:r w:rsidRPr="006E1BF8">
        <w:rPr>
          <w:rFonts w:ascii="Arial" w:eastAsia="Times New Roman" w:hAnsi="Arial" w:cs="Arial"/>
          <w:kern w:val="0"/>
          <w:lang w:eastAsia="en-GB"/>
          <w14:ligatures w14:val="none"/>
        </w:rPr>
        <w:lastRenderedPageBreak/>
        <w:t>accountability. The company has also committed to reducing its carbon footprint through science-based targets and responsible sourcing practices.</w:t>
      </w:r>
    </w:p>
    <w:p w14:paraId="6A2E8D10" w14:textId="7D4A7FE5"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Overall, Innocent Drinks has built a strong brand identity centred on transparency, sustainability, and social responsibility. These core values guide the organisation’s strategic decisions and play a key role in shaping its long-term growth and stakeholder relationships.</w:t>
      </w:r>
    </w:p>
    <w:p w14:paraId="2EC52D53" w14:textId="77777777" w:rsidR="001845B7" w:rsidRDefault="001845B7" w:rsidP="001845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19508B3" w14:textId="4A743115" w:rsidR="001845B7" w:rsidRPr="001845B7" w:rsidRDefault="001845B7" w:rsidP="001845B7">
      <w:pPr>
        <w:pStyle w:val="Heading1"/>
        <w:rPr>
          <w:rFonts w:eastAsia="Times New Roman"/>
          <w:lang w:eastAsia="en-GB"/>
        </w:rPr>
      </w:pPr>
      <w:bookmarkStart w:id="5" w:name="_Toc224478845"/>
      <w:r w:rsidRPr="001845B7">
        <w:rPr>
          <w:rFonts w:eastAsia="Times New Roman"/>
          <w:lang w:eastAsia="en-GB"/>
        </w:rPr>
        <w:t>. Evaluation of Current Market Situation</w:t>
      </w:r>
      <w:bookmarkEnd w:id="5"/>
      <w:r w:rsidRPr="001845B7">
        <w:rPr>
          <w:rFonts w:eastAsia="Times New Roman"/>
          <w:lang w:eastAsia="en-GB"/>
        </w:rPr>
        <w:t xml:space="preserve"> </w:t>
      </w:r>
    </w:p>
    <w:p w14:paraId="3D7B87D4"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Innocent Drinks operates within the global healthy beverage market, which has experienced significant growth due to rising consumer awareness of health, sustainability, and ethical consumption. However, the company also faces increasing competition and operational challenges. To better understand the current environment, this section evaluates the market situation using PESTEL analysis, Porter’s Five Forces, and SWOT analysis.</w:t>
      </w:r>
    </w:p>
    <w:p w14:paraId="4716B0D3" w14:textId="77777777" w:rsidR="001845B7" w:rsidRPr="006E1BF8" w:rsidRDefault="001845B7" w:rsidP="001845B7">
      <w:pPr>
        <w:spacing w:after="0"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pict w14:anchorId="075F9EC9">
          <v:rect id="_x0000_i1041" style="width:0;height:1.5pt" o:hralign="center" o:hrstd="t" o:hr="t" fillcolor="#a0a0a0" stroked="f"/>
        </w:pict>
      </w:r>
    </w:p>
    <w:p w14:paraId="4C8A5C34" w14:textId="77777777" w:rsidR="001845B7" w:rsidRPr="006E1BF8" w:rsidRDefault="001845B7" w:rsidP="001845B7">
      <w:pPr>
        <w:spacing w:before="100" w:beforeAutospacing="1" w:after="100" w:afterAutospacing="1" w:line="240" w:lineRule="auto"/>
        <w:outlineLvl w:val="2"/>
        <w:rPr>
          <w:rFonts w:ascii="Arial" w:eastAsia="Times New Roman" w:hAnsi="Arial" w:cs="Arial"/>
          <w:kern w:val="0"/>
          <w:lang w:eastAsia="en-GB"/>
          <w14:ligatures w14:val="none"/>
        </w:rPr>
      </w:pPr>
      <w:bookmarkStart w:id="6" w:name="_Toc224478846"/>
      <w:r w:rsidRPr="006E1BF8">
        <w:rPr>
          <w:rFonts w:ascii="Arial" w:eastAsia="Times New Roman" w:hAnsi="Arial" w:cs="Arial"/>
          <w:kern w:val="0"/>
          <w:lang w:eastAsia="en-GB"/>
          <w14:ligatures w14:val="none"/>
        </w:rPr>
        <w:t>PESTEL Analysis</w:t>
      </w:r>
      <w:bookmarkEnd w:id="6"/>
    </w:p>
    <w:p w14:paraId="730010A7" w14:textId="4E06B658"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Political Factors</w:t>
      </w:r>
      <w:r w:rsidRPr="006E1BF8">
        <w:rPr>
          <w:rFonts w:ascii="Arial" w:eastAsia="Times New Roman" w:hAnsi="Arial" w:cs="Arial"/>
          <w:kern w:val="0"/>
          <w:lang w:eastAsia="en-GB"/>
          <w14:ligatures w14:val="none"/>
        </w:rPr>
        <w:br/>
        <w:t>Government regulations surrounding food safety, labelling, and environmental sustainability significantly affect beverage companies. In markets such as the United Kingdom and the European Union, stricter policies regarding sugar content, plastic packaging, and carbon emissions have been introduced. These regulations encourage companies like Innocent Drinks to develop healthier products and sustainable packaging solutions. While compliance increases operational costs, it also creates opportunities for companies with strong sustainability credentials.</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(Ansoff, 1957)</w:t>
      </w:r>
    </w:p>
    <w:p w14:paraId="648BC7BC"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Economic Factors</w:t>
      </w:r>
      <w:r w:rsidRPr="006E1BF8">
        <w:rPr>
          <w:rFonts w:ascii="Arial" w:eastAsia="Times New Roman" w:hAnsi="Arial" w:cs="Arial"/>
          <w:kern w:val="0"/>
          <w:lang w:eastAsia="en-GB"/>
          <w14:ligatures w14:val="none"/>
        </w:rPr>
        <w:br/>
        <w:t xml:space="preserve">Economic conditions influence consumer purchasing behaviour. Rising inflation and higher living costs in Europe have made many consumers more </w:t>
      </w:r>
      <w:proofErr w:type="gramStart"/>
      <w:r w:rsidRPr="006E1BF8">
        <w:rPr>
          <w:rFonts w:ascii="Arial" w:eastAsia="Times New Roman" w:hAnsi="Arial" w:cs="Arial"/>
          <w:kern w:val="0"/>
          <w:lang w:eastAsia="en-GB"/>
          <w14:ligatures w14:val="none"/>
        </w:rPr>
        <w:t>price-sensitive</w:t>
      </w:r>
      <w:proofErr w:type="gramEnd"/>
      <w:r w:rsidRPr="006E1BF8">
        <w:rPr>
          <w:rFonts w:ascii="Arial" w:eastAsia="Times New Roman" w:hAnsi="Arial" w:cs="Arial"/>
          <w:kern w:val="0"/>
          <w:lang w:eastAsia="en-GB"/>
          <w14:ligatures w14:val="none"/>
        </w:rPr>
        <w:t>. Premium products such as smoothies can be viewed as discretionary purchases, which may affect demand during economic downturns. However, the health beverage sector continues to grow as consumers increasingly prioritise wellness and nutrition.</w:t>
      </w:r>
    </w:p>
    <w:p w14:paraId="617A54E1"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Social Factors</w:t>
      </w:r>
      <w:r w:rsidRPr="006E1BF8">
        <w:rPr>
          <w:rFonts w:ascii="Arial" w:eastAsia="Times New Roman" w:hAnsi="Arial" w:cs="Arial"/>
          <w:kern w:val="0"/>
          <w:lang w:eastAsia="en-GB"/>
          <w14:ligatures w14:val="none"/>
        </w:rPr>
        <w:br/>
        <w:t>Changing consumer lifestyles strongly influence Innocent Drinks’ market. There is growing demand for natural, organic, and plant-based products. Health-conscious consumers are actively seeking beverages with functional benefits such as immunity support, digestive health, and energy enhancement. Innocent’s brand positioning around natural ingredients and ethical values aligns well with these social trends.</w:t>
      </w:r>
    </w:p>
    <w:p w14:paraId="2D1736EC"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lastRenderedPageBreak/>
        <w:t>Technological Factors</w:t>
      </w:r>
      <w:r w:rsidRPr="006E1BF8">
        <w:rPr>
          <w:rFonts w:ascii="Arial" w:eastAsia="Times New Roman" w:hAnsi="Arial" w:cs="Arial"/>
          <w:kern w:val="0"/>
          <w:lang w:eastAsia="en-GB"/>
          <w14:ligatures w14:val="none"/>
        </w:rPr>
        <w:br/>
        <w:t>Advancements in food processing, packaging technology, and supply chain systems have improved product quality and efficiency in beverage production. Digital marketing and e-commerce platforms also allow brands to reach consumers more effectively. Companies that utilise data analytics and innovation in product development can respond more quickly to evolving consumer preferences.</w:t>
      </w:r>
    </w:p>
    <w:p w14:paraId="6EA2C6E3"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Environmental Factors</w:t>
      </w:r>
      <w:r w:rsidRPr="006E1BF8">
        <w:rPr>
          <w:rFonts w:ascii="Arial" w:eastAsia="Times New Roman" w:hAnsi="Arial" w:cs="Arial"/>
          <w:kern w:val="0"/>
          <w:lang w:eastAsia="en-GB"/>
          <w14:ligatures w14:val="none"/>
        </w:rPr>
        <w:br/>
        <w:t>Sustainability is a major concern in the beverage industry. Consumers increasingly expect companies to reduce their environmental impact through carbon reduction, sustainable sourcing, and recyclable packaging. As a certified B Corporation, Innocent Drinks has committed to ambitious sustainability targets, including reducing carbon emissions and improving supply chain transparency.</w:t>
      </w:r>
    </w:p>
    <w:p w14:paraId="75B4D36B" w14:textId="5E274961"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Legal Factors</w:t>
      </w:r>
      <w:r w:rsidRPr="006E1BF8">
        <w:rPr>
          <w:rFonts w:ascii="Arial" w:eastAsia="Times New Roman" w:hAnsi="Arial" w:cs="Arial"/>
          <w:kern w:val="0"/>
          <w:lang w:eastAsia="en-GB"/>
          <w14:ligatures w14:val="none"/>
        </w:rPr>
        <w:br/>
        <w:t>Food safety laws, product labelling requirements, and environmental regulations must be strictly followed in the beverage sector. Compliance with these legal requirements ensures consumer trust but can increase operational complexity, especially for companies sourcing ingredients globally.</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(Ansoff, 1957)</w:t>
      </w:r>
    </w:p>
    <w:p w14:paraId="351FB1DF" w14:textId="77777777" w:rsidR="001845B7" w:rsidRPr="006E1BF8" w:rsidRDefault="001845B7" w:rsidP="001845B7">
      <w:pPr>
        <w:spacing w:after="0"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pict w14:anchorId="7A5B3C77">
          <v:rect id="_x0000_i1042" style="width:0;height:1.5pt" o:hralign="center" o:hrstd="t" o:hr="t" fillcolor="#a0a0a0" stroked="f"/>
        </w:pict>
      </w:r>
    </w:p>
    <w:p w14:paraId="1BF7978C" w14:textId="77777777" w:rsidR="001845B7" w:rsidRPr="006E1BF8" w:rsidRDefault="001845B7" w:rsidP="001845B7">
      <w:pPr>
        <w:spacing w:before="100" w:beforeAutospacing="1" w:after="100" w:afterAutospacing="1" w:line="240" w:lineRule="auto"/>
        <w:outlineLvl w:val="2"/>
        <w:rPr>
          <w:rFonts w:ascii="Arial" w:eastAsia="Times New Roman" w:hAnsi="Arial" w:cs="Arial"/>
          <w:kern w:val="0"/>
          <w:lang w:eastAsia="en-GB"/>
          <w14:ligatures w14:val="none"/>
        </w:rPr>
      </w:pPr>
      <w:bookmarkStart w:id="7" w:name="_Toc224478847"/>
      <w:r w:rsidRPr="006E1BF8">
        <w:rPr>
          <w:rFonts w:ascii="Arial" w:eastAsia="Times New Roman" w:hAnsi="Arial" w:cs="Arial"/>
          <w:kern w:val="0"/>
          <w:lang w:eastAsia="en-GB"/>
          <w14:ligatures w14:val="none"/>
        </w:rPr>
        <w:t>Porter’s Five Forces Analysis</w:t>
      </w:r>
      <w:bookmarkEnd w:id="7"/>
    </w:p>
    <w:p w14:paraId="047DA00B"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competitive dynamics of the beverage industry can be examined using Porter's Five Forces.</w:t>
      </w:r>
    </w:p>
    <w:p w14:paraId="627172BA"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Threat of New Entrants – Moderate</w:t>
      </w:r>
      <w:r w:rsidRPr="006E1BF8">
        <w:rPr>
          <w:rFonts w:ascii="Arial" w:eastAsia="Times New Roman" w:hAnsi="Arial" w:cs="Arial"/>
          <w:kern w:val="0"/>
          <w:lang w:eastAsia="en-GB"/>
          <w14:ligatures w14:val="none"/>
        </w:rPr>
        <w:br/>
        <w:t>While entry barriers in beverage production are relatively low, establishing strong brand recognition and large distribution networks is challenging. Established brands such as Coca-Cola Company and PepsiCo dominate shelf space and supply chains, making it difficult for smaller entrants to scale quickly.</w:t>
      </w:r>
    </w:p>
    <w:p w14:paraId="354B3445"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Bargaining Power of Suppliers – Moderate to High</w:t>
      </w:r>
      <w:r w:rsidRPr="006E1BF8">
        <w:rPr>
          <w:rFonts w:ascii="Arial" w:eastAsia="Times New Roman" w:hAnsi="Arial" w:cs="Arial"/>
          <w:kern w:val="0"/>
          <w:lang w:eastAsia="en-GB"/>
          <w14:ligatures w14:val="none"/>
        </w:rPr>
        <w:br/>
        <w:t>Innocent relies on natural ingredients such as fruits sourced from global suppliers. Climate change, agricultural disruptions, and transportation costs can affect supply stability and pricing. Ethical sourcing commitments can further limit supplier options.</w:t>
      </w:r>
    </w:p>
    <w:p w14:paraId="212107B8"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Bargaining Power of Buyers – High</w:t>
      </w:r>
      <w:r w:rsidRPr="006E1BF8">
        <w:rPr>
          <w:rFonts w:ascii="Arial" w:eastAsia="Times New Roman" w:hAnsi="Arial" w:cs="Arial"/>
          <w:kern w:val="0"/>
          <w:lang w:eastAsia="en-GB"/>
          <w14:ligatures w14:val="none"/>
        </w:rPr>
        <w:br/>
        <w:t>Retailers such as major supermarkets have strong negotiating power due to their control over distribution channels. Additionally, consumers have many alternative beverage options, which increases price sensitivity and brand switching.</w:t>
      </w:r>
    </w:p>
    <w:p w14:paraId="0B31F0B8"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Threat of Substitutes – High</w:t>
      </w:r>
      <w:r w:rsidRPr="006E1BF8">
        <w:rPr>
          <w:rFonts w:ascii="Arial" w:eastAsia="Times New Roman" w:hAnsi="Arial" w:cs="Arial"/>
          <w:kern w:val="0"/>
          <w:lang w:eastAsia="en-GB"/>
          <w14:ligatures w14:val="none"/>
        </w:rPr>
        <w:br/>
        <w:t>Consumers can easily substitute smoothies with other beverages such as bottled water, energy drinks, or homemade juices. Health-focused alternatives such as plant-based drinks and functional beverages further intensify substitution threats.</w:t>
      </w:r>
    </w:p>
    <w:p w14:paraId="2AE8C072" w14:textId="408B983D"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Competitive Rivalry – High</w:t>
      </w:r>
      <w:r w:rsidRPr="006E1BF8">
        <w:rPr>
          <w:rFonts w:ascii="Arial" w:eastAsia="Times New Roman" w:hAnsi="Arial" w:cs="Arial"/>
          <w:kern w:val="0"/>
          <w:lang w:eastAsia="en-GB"/>
          <w14:ligatures w14:val="none"/>
        </w:rPr>
        <w:br/>
        <w:t xml:space="preserve">Competition within the healthy drinks sector is intense. Large beverage companies </w:t>
      </w:r>
      <w:r w:rsidRPr="006E1BF8">
        <w:rPr>
          <w:rFonts w:ascii="Arial" w:eastAsia="Times New Roman" w:hAnsi="Arial" w:cs="Arial"/>
          <w:kern w:val="0"/>
          <w:lang w:eastAsia="en-GB"/>
          <w14:ligatures w14:val="none"/>
        </w:rPr>
        <w:lastRenderedPageBreak/>
        <w:t>are increasingly expanding into the health and wellness segment, while smaller niche brands are introducing innovative functional drinks. This creates pressure on Innocent to continually innovate while maintaining its brand authenticity</w:t>
      </w:r>
      <w:r w:rsidRPr="006E1BF8">
        <w:rPr>
          <w:rFonts w:ascii="Arial" w:eastAsia="Times New Roman" w:hAnsi="Arial" w:cs="Arial"/>
          <w:kern w:val="0"/>
          <w:lang w:eastAsia="en-GB"/>
          <w14:ligatures w14:val="none"/>
        </w:rPr>
        <w:t>.</w:t>
      </w:r>
    </w:p>
    <w:p w14:paraId="3E2BA729" w14:textId="77777777" w:rsidR="001845B7" w:rsidRPr="006E1BF8" w:rsidRDefault="001845B7" w:rsidP="001845B7">
      <w:pPr>
        <w:spacing w:before="100" w:beforeAutospacing="1" w:after="100" w:afterAutospacing="1" w:line="240" w:lineRule="auto"/>
        <w:outlineLvl w:val="2"/>
        <w:rPr>
          <w:rFonts w:ascii="Arial" w:eastAsia="Times New Roman" w:hAnsi="Arial" w:cs="Arial"/>
          <w:kern w:val="0"/>
          <w:lang w:eastAsia="en-GB"/>
          <w14:ligatures w14:val="none"/>
        </w:rPr>
      </w:pPr>
      <w:bookmarkStart w:id="8" w:name="_Toc224478848"/>
      <w:r w:rsidRPr="006E1BF8">
        <w:rPr>
          <w:rFonts w:ascii="Arial" w:eastAsia="Times New Roman" w:hAnsi="Arial" w:cs="Arial"/>
          <w:kern w:val="0"/>
          <w:lang w:eastAsia="en-GB"/>
          <w14:ligatures w14:val="none"/>
        </w:rPr>
        <w:t>SWOT Analysis</w:t>
      </w:r>
      <w:bookmarkEnd w:id="8"/>
    </w:p>
    <w:p w14:paraId="2BB8B041"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A SWOT analysis summarises the internal strengths and weaknesses alongside external opportunities and threats faced by Innocent Drinks.</w:t>
      </w:r>
    </w:p>
    <w:p w14:paraId="674E77B7"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Strengths</w:t>
      </w:r>
    </w:p>
    <w:p w14:paraId="485399F9" w14:textId="77777777" w:rsidR="001845B7" w:rsidRPr="006E1BF8" w:rsidRDefault="001845B7" w:rsidP="001845B7">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Strong brand identity associated with health, sustainability, and ethical values</w:t>
      </w:r>
    </w:p>
    <w:p w14:paraId="4A46ADEA" w14:textId="77777777" w:rsidR="001845B7" w:rsidRPr="006E1BF8" w:rsidRDefault="001845B7" w:rsidP="001845B7">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Loyal customer base and positive brand reputation</w:t>
      </w:r>
    </w:p>
    <w:p w14:paraId="148AB64A" w14:textId="77777777" w:rsidR="001845B7" w:rsidRPr="006E1BF8" w:rsidRDefault="001845B7" w:rsidP="001845B7">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Commitment to sustainability and responsible sourcing</w:t>
      </w:r>
    </w:p>
    <w:p w14:paraId="287FE4EA" w14:textId="77777777" w:rsidR="001845B7" w:rsidRPr="006E1BF8" w:rsidRDefault="001845B7" w:rsidP="001845B7">
      <w:pPr>
        <w:numPr>
          <w:ilvl w:val="0"/>
          <w:numId w:val="4"/>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Wide distribution across European markets</w:t>
      </w:r>
    </w:p>
    <w:p w14:paraId="4D7DA90B"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Weaknesses</w:t>
      </w:r>
    </w:p>
    <w:p w14:paraId="68CAE223" w14:textId="77777777" w:rsidR="001845B7" w:rsidRPr="006E1BF8" w:rsidRDefault="001845B7" w:rsidP="001845B7">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Premium pricing compared to many competitors</w:t>
      </w:r>
    </w:p>
    <w:p w14:paraId="4A523C12" w14:textId="77777777" w:rsidR="001845B7" w:rsidRPr="006E1BF8" w:rsidRDefault="001845B7" w:rsidP="001845B7">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Dependence on agricultural supply chains vulnerable to climate impacts</w:t>
      </w:r>
    </w:p>
    <w:p w14:paraId="4FD752D5" w14:textId="77777777" w:rsidR="001845B7" w:rsidRPr="006E1BF8" w:rsidRDefault="001845B7" w:rsidP="001845B7">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Limited diversification beyond beverage products</w:t>
      </w:r>
    </w:p>
    <w:p w14:paraId="12919C7C"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Opportunities</w:t>
      </w:r>
    </w:p>
    <w:p w14:paraId="772CF21F" w14:textId="77777777" w:rsidR="001845B7" w:rsidRPr="006E1BF8" w:rsidRDefault="001845B7" w:rsidP="001845B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Growing demand for plant-based and functional beverages</w:t>
      </w:r>
    </w:p>
    <w:p w14:paraId="12518E7E" w14:textId="77777777" w:rsidR="001845B7" w:rsidRPr="006E1BF8" w:rsidRDefault="001845B7" w:rsidP="001845B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Expansion into emerging international markets</w:t>
      </w:r>
    </w:p>
    <w:p w14:paraId="5DD43BBB" w14:textId="77777777" w:rsidR="001845B7" w:rsidRPr="006E1BF8" w:rsidRDefault="001845B7" w:rsidP="001845B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Increased consumer interest in sustainable brands</w:t>
      </w:r>
    </w:p>
    <w:p w14:paraId="32046B79" w14:textId="77777777" w:rsidR="001845B7" w:rsidRPr="006E1BF8" w:rsidRDefault="001845B7" w:rsidP="001845B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Technological innovation in packaging and product development</w:t>
      </w:r>
    </w:p>
    <w:p w14:paraId="6E9BC211"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Threats</w:t>
      </w:r>
    </w:p>
    <w:p w14:paraId="68710075" w14:textId="77777777" w:rsidR="001845B7" w:rsidRPr="006E1BF8" w:rsidRDefault="001845B7" w:rsidP="001845B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Intense competition from global beverage corporations and new health drink startups</w:t>
      </w:r>
    </w:p>
    <w:p w14:paraId="522B7320" w14:textId="77777777" w:rsidR="001845B7" w:rsidRPr="006E1BF8" w:rsidRDefault="001845B7" w:rsidP="001845B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Rising production and supply chain costs</w:t>
      </w:r>
    </w:p>
    <w:p w14:paraId="67EC7EAB" w14:textId="77777777" w:rsidR="001845B7" w:rsidRPr="006E1BF8" w:rsidRDefault="001845B7" w:rsidP="001845B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Economic uncertainty affecting consumer spending</w:t>
      </w:r>
    </w:p>
    <w:p w14:paraId="2E0D7333" w14:textId="5444143D" w:rsidR="001845B7" w:rsidRPr="006E1BF8" w:rsidRDefault="001845B7" w:rsidP="001845B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Climate change impacting fruit supply and agricultural production</w:t>
      </w:r>
    </w:p>
    <w:p w14:paraId="55092B84" w14:textId="01EDF08D"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Overall, the market environment presents both opportunities and challenges for Innocent Drinks. The company’s strong ethical brand positioning and sustainability commitments provide a competitive advantage in an increasingly health-conscious market. However, growing competition, economic pressures, and supply chain risks highlight the need for a clear strategic growth approach focused on innovation and sustainable expansion.</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(Freeman, 1984)</w:t>
      </w:r>
    </w:p>
    <w:p w14:paraId="48A13C44" w14:textId="265E34D4" w:rsidR="001845B7" w:rsidRPr="001845B7" w:rsidRDefault="001845B7" w:rsidP="001845B7">
      <w:pPr>
        <w:pStyle w:val="Heading1"/>
        <w:rPr>
          <w:rFonts w:eastAsia="Times New Roman"/>
          <w:lang w:eastAsia="en-GB"/>
        </w:rPr>
      </w:pPr>
      <w:bookmarkStart w:id="9" w:name="_Toc224478849"/>
      <w:r w:rsidRPr="001845B7">
        <w:rPr>
          <w:rFonts w:eastAsia="Times New Roman"/>
          <w:lang w:eastAsia="en-GB"/>
        </w:rPr>
        <w:t>Strategic Growth Options and Proposed Strategy</w:t>
      </w:r>
      <w:bookmarkEnd w:id="9"/>
      <w:r w:rsidRPr="001845B7">
        <w:rPr>
          <w:rFonts w:eastAsia="Times New Roman"/>
          <w:lang w:eastAsia="en-GB"/>
        </w:rPr>
        <w:t xml:space="preserve"> </w:t>
      </w:r>
    </w:p>
    <w:p w14:paraId="6C91E108"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 xml:space="preserve">Innocent Drinks has established a strong brand reputation in the healthy beverage market through its commitment to natural ingredients, sustainability, and ethical values. However, to maintain long-term competitiveness and continue its growth, the </w:t>
      </w:r>
      <w:r w:rsidRPr="006E1BF8">
        <w:rPr>
          <w:rFonts w:ascii="Arial" w:eastAsia="Times New Roman" w:hAnsi="Arial" w:cs="Arial"/>
          <w:kern w:val="0"/>
          <w:lang w:eastAsia="en-GB"/>
          <w14:ligatures w14:val="none"/>
        </w:rPr>
        <w:lastRenderedPageBreak/>
        <w:t>company must explore strategic expansion opportunities that align with its mission and brand identity.</w:t>
      </w:r>
    </w:p>
    <w:p w14:paraId="186CA559" w14:textId="77777777" w:rsidR="006471E6"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This section explores potential growth options using the Ansoff Matrix and evaluates the most suitable strategic direction for Innocent Drinks.</w:t>
      </w:r>
    </w:p>
    <w:p w14:paraId="0AF5A072" w14:textId="060F6A46"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Potential Strategic Growth Options</w:t>
      </w:r>
    </w:p>
    <w:p w14:paraId="0C18FE9F"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Ansoff Matrix identifies four key growth strategies: market penetration, product development, market development, and diversification.</w:t>
      </w:r>
    </w:p>
    <w:p w14:paraId="35ECDEFF"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1. Market Penetration</w:t>
      </w:r>
      <w:r w:rsidRPr="006E1BF8">
        <w:rPr>
          <w:rFonts w:ascii="Arial" w:eastAsia="Times New Roman" w:hAnsi="Arial" w:cs="Arial"/>
          <w:kern w:val="0"/>
          <w:lang w:eastAsia="en-GB"/>
          <w14:ligatures w14:val="none"/>
        </w:rPr>
        <w:br/>
        <w:t>Market penetration focuses on increasing sales of existing products within existing markets. For Innocent Drinks, this could involve strengthening marketing campaigns, expanding retail partnerships, and increasing brand visibility through digital marketing and social media engagement.</w:t>
      </w:r>
    </w:p>
    <w:p w14:paraId="5B33B02E"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For example, Innocent could collaborate with supermarkets and convenience stores to improve shelf positioning and promote healthy drink bundles. However, this strategy may have limited growth potential because the smoothie market in the United Kingdom and other European markets is already highly competitive and relatively mature.</w:t>
      </w:r>
    </w:p>
    <w:p w14:paraId="68FAC2DA"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2. Product Development</w:t>
      </w:r>
      <w:r w:rsidRPr="006E1BF8">
        <w:rPr>
          <w:rFonts w:ascii="Arial" w:eastAsia="Times New Roman" w:hAnsi="Arial" w:cs="Arial"/>
          <w:kern w:val="0"/>
          <w:lang w:eastAsia="en-GB"/>
          <w14:ligatures w14:val="none"/>
        </w:rPr>
        <w:br/>
        <w:t>Product development involves introducing new products to existing markets. This strategy would allow Innocent to innovate within the health and wellness beverage sector while maintaining its established customer base.</w:t>
      </w:r>
    </w:p>
    <w:p w14:paraId="771225D8"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Potential innovations could include functional drinks designed to support immunity, gut health, or energy levels, as well as expanding plant-based beverage ranges. The demand for functional beverages and plant-based products is increasing as consumers seek healthier alternatives to traditional soft drinks.</w:t>
      </w:r>
    </w:p>
    <w:p w14:paraId="0E42CAF4"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This approach would allow Innocent to leverage its strong brand reputation while responding to emerging consumer trends.</w:t>
      </w:r>
    </w:p>
    <w:p w14:paraId="3370B34E"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3. Market Development</w:t>
      </w:r>
      <w:r w:rsidRPr="006E1BF8">
        <w:rPr>
          <w:rFonts w:ascii="Arial" w:eastAsia="Times New Roman" w:hAnsi="Arial" w:cs="Arial"/>
          <w:kern w:val="0"/>
          <w:lang w:eastAsia="en-GB"/>
          <w14:ligatures w14:val="none"/>
        </w:rPr>
        <w:br/>
        <w:t>Market development involves expanding existing products into new geographical markets. Innocent Drinks already has a strong presence across Europe, but there may be opportunities to expand further into regions with growing demand for healthy beverages.</w:t>
      </w:r>
    </w:p>
    <w:p w14:paraId="059B87D0"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Potential markets include Asia and North America, where health-conscious consumption is increasing. However, international expansion requires significant investment in distribution networks, regulatory compliance, and local market adaptation.</w:t>
      </w:r>
    </w:p>
    <w:p w14:paraId="23761023" w14:textId="59DAE5BE"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4. Diversification</w:t>
      </w:r>
      <w:r w:rsidRPr="006E1BF8">
        <w:rPr>
          <w:rFonts w:ascii="Arial" w:eastAsia="Times New Roman" w:hAnsi="Arial" w:cs="Arial"/>
          <w:kern w:val="0"/>
          <w:lang w:eastAsia="en-GB"/>
          <w14:ligatures w14:val="none"/>
        </w:rPr>
        <w:br/>
        <w:t xml:space="preserve">Diversification involves introducing new products into entirely new markets. For example, Innocent could expand into healthy snack foods or nutrition products. While </w:t>
      </w:r>
      <w:r w:rsidRPr="006E1BF8">
        <w:rPr>
          <w:rFonts w:ascii="Arial" w:eastAsia="Times New Roman" w:hAnsi="Arial" w:cs="Arial"/>
          <w:kern w:val="0"/>
          <w:lang w:eastAsia="en-GB"/>
          <w14:ligatures w14:val="none"/>
        </w:rPr>
        <w:lastRenderedPageBreak/>
        <w:t>diversification could create additional revenue streams, it also carries higher risk because it requires entering unfamiliar markets and developing new operational capabilities.</w:t>
      </w:r>
    </w:p>
    <w:p w14:paraId="50410302"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After evaluating these options, the most suitable strategy for Innocent Drinks is product development combined with selective market development.</w:t>
      </w:r>
    </w:p>
    <w:p w14:paraId="3C55456E" w14:textId="77777777" w:rsidR="006471E6"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 xml:space="preserve">Under this strategy, the company would expand its portfolio of plant-based functional beverages while gradually entering new international markets </w:t>
      </w:r>
      <w:proofErr w:type="gramStart"/>
      <w:r w:rsidRPr="006E1BF8">
        <w:rPr>
          <w:rFonts w:ascii="Arial" w:eastAsia="Times New Roman" w:hAnsi="Arial" w:cs="Arial"/>
          <w:kern w:val="0"/>
          <w:lang w:eastAsia="en-GB"/>
          <w14:ligatures w14:val="none"/>
        </w:rPr>
        <w:t>where</w:t>
      </w:r>
      <w:proofErr w:type="gramEnd"/>
      <w:r w:rsidRPr="006E1BF8">
        <w:rPr>
          <w:rFonts w:ascii="Arial" w:eastAsia="Times New Roman" w:hAnsi="Arial" w:cs="Arial"/>
          <w:kern w:val="0"/>
          <w:lang w:eastAsia="en-GB"/>
          <w14:ligatures w14:val="none"/>
        </w:rPr>
        <w:t xml:space="preserve"> demand for healthy</w:t>
      </w:r>
    </w:p>
    <w:p w14:paraId="0CA89C3C" w14:textId="4E916ED2"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 xml:space="preserve">drinks </w:t>
      </w:r>
      <w:proofErr w:type="gramStart"/>
      <w:r w:rsidRPr="006E1BF8">
        <w:rPr>
          <w:rFonts w:ascii="Arial" w:eastAsia="Times New Roman" w:hAnsi="Arial" w:cs="Arial"/>
          <w:kern w:val="0"/>
          <w:lang w:eastAsia="en-GB"/>
          <w14:ligatures w14:val="none"/>
        </w:rPr>
        <w:t>is</w:t>
      </w:r>
      <w:proofErr w:type="gramEnd"/>
      <w:r w:rsidRPr="006E1BF8">
        <w:rPr>
          <w:rFonts w:ascii="Arial" w:eastAsia="Times New Roman" w:hAnsi="Arial" w:cs="Arial"/>
          <w:kern w:val="0"/>
          <w:lang w:eastAsia="en-GB"/>
          <w14:ligatures w14:val="none"/>
        </w:rPr>
        <w:t xml:space="preserve"> increasing. This approach allows Innocent to build on its existing brand strengths while capturing emerging health and wellness trends.</w:t>
      </w:r>
    </w:p>
    <w:p w14:paraId="4448AC5E" w14:textId="202D6B41"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strategy aligns closely with Innocent’s mission of producing natural, nutritious drinks that help people live healthier lives. It also supports the company’s sustainability commitments by encouraging innovation in responsible sourcing and environmentally friendly packaging.</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(Freeman, 1984)</w:t>
      </w:r>
    </w:p>
    <w:p w14:paraId="33095B34"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recommended strategy also aligns with Porter's Generic Strategies, particularly differentiation.</w:t>
      </w:r>
    </w:p>
    <w:p w14:paraId="08FCB78E"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Innocent differentiates itself through:</w:t>
      </w:r>
    </w:p>
    <w:p w14:paraId="621A7802" w14:textId="77777777" w:rsidR="001845B7" w:rsidRPr="006E1BF8" w:rsidRDefault="001845B7" w:rsidP="001845B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High-quality natural ingredients</w:t>
      </w:r>
    </w:p>
    <w:p w14:paraId="2C7AD220" w14:textId="77777777" w:rsidR="001845B7" w:rsidRPr="006E1BF8" w:rsidRDefault="001845B7" w:rsidP="001845B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Ethical sourcing practices</w:t>
      </w:r>
    </w:p>
    <w:p w14:paraId="7EDBD097" w14:textId="77777777" w:rsidR="001845B7" w:rsidRPr="006E1BF8" w:rsidRDefault="001845B7" w:rsidP="001845B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Sustainability commitments</w:t>
      </w:r>
    </w:p>
    <w:p w14:paraId="51DE2F2F" w14:textId="77777777" w:rsidR="001845B7" w:rsidRPr="006E1BF8" w:rsidRDefault="001845B7" w:rsidP="001845B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Strong brand personality and transparency</w:t>
      </w:r>
    </w:p>
    <w:p w14:paraId="53C50181"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Rather than competing on price with large beverage corporations such as Coca-Cola Company and PepsiCo, Innocent’s competitive advantage lies in its brand authenticity and ethical reputation.</w:t>
      </w:r>
    </w:p>
    <w:p w14:paraId="334DE79B" w14:textId="43FBB40A"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By introducing innovative functional beverages while maintaining sustainability leadership, Innocent can strengthen its differentiation and reinforce its position in the premium healthy drinks segment.</w:t>
      </w:r>
    </w:p>
    <w:p w14:paraId="4EBAFD20"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Strategic Alignment with Innocent’s Values</w:t>
      </w:r>
    </w:p>
    <w:p w14:paraId="768D89F7"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proposed growth strategy strongly supports Innocent Drinks’ core values. Expanding plant-based and functional drinks promotes healthier lifestyles while maintaining the company’s commitment to natural ingredients.</w:t>
      </w:r>
    </w:p>
    <w:p w14:paraId="2EF2C4AA"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Furthermore, continued investment in sustainable sourcing and environmentally friendly packaging reinforces the organisation’s vision of “leaving things better than we found them.” This ensures that growth does not compromise the ethical standards that have defined the brand since its founding.</w:t>
      </w:r>
    </w:p>
    <w:p w14:paraId="326F7205" w14:textId="77777777" w:rsidR="001845B7" w:rsidRPr="006E1BF8" w:rsidRDefault="001845B7" w:rsidP="001845B7">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lastRenderedPageBreak/>
        <w:t>Overall, the strategy provides a balanced approach to innovation, sustainability, and market expansion, positioning Innocent Drinks for long-term growth in the evolving health and wellness beverage industry.</w:t>
      </w:r>
    </w:p>
    <w:p w14:paraId="777E54D0" w14:textId="31EAB873" w:rsidR="006471E6" w:rsidRPr="006471E6" w:rsidRDefault="006471E6" w:rsidP="006471E6">
      <w:pPr>
        <w:pStyle w:val="Heading1"/>
        <w:rPr>
          <w:rFonts w:eastAsia="Times New Roman"/>
          <w:lang w:eastAsia="en-GB"/>
        </w:rPr>
      </w:pPr>
      <w:bookmarkStart w:id="10" w:name="_Toc224478850"/>
      <w:r w:rsidRPr="006471E6">
        <w:rPr>
          <w:rFonts w:eastAsia="Times New Roman"/>
          <w:lang w:eastAsia="en-GB"/>
        </w:rPr>
        <w:t>Strategy Evaluation</w:t>
      </w:r>
      <w:bookmarkEnd w:id="10"/>
      <w:r w:rsidRPr="006471E6">
        <w:rPr>
          <w:rFonts w:eastAsia="Times New Roman"/>
          <w:lang w:eastAsia="en-GB"/>
        </w:rPr>
        <w:t xml:space="preserve"> </w:t>
      </w:r>
    </w:p>
    <w:p w14:paraId="44889E15" w14:textId="638B687D"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proposed growth strategy for Innocent Drinks focuses on product development through plant-based functional beverages combined with selective market development. To determine whether this strategy is appropriate for the organisation, it can be evaluated using the SFA Framework. This framework assesses whether a strategy is suitable, feasible, and acceptable for the organisation and its stakeholders.</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(Freeman, 1984)</w:t>
      </w:r>
    </w:p>
    <w:p w14:paraId="48256278" w14:textId="5702B9F5"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p>
    <w:p w14:paraId="5D3F8370"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Suitability</w:t>
      </w:r>
    </w:p>
    <w:p w14:paraId="68A24477"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Suitability evaluates whether the proposed strategy addresses the opportunities and threats identified in the external environment. As highlighted in the earlier market analysis, the global health and wellness beverage market continues to grow as consumers increasingly demand natural, plant-based, and functional products.</w:t>
      </w:r>
    </w:p>
    <w:p w14:paraId="34296ED6"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recommended strategy is highly suitable because it responds directly to these trends. Expanding the range of plant-based functional drinks allows Innocent Drinks to capitalise on increasing consumer interest in health benefits such as immunity support, energy, and digestive health. In addition, the strategy builds on the company’s existing strengths, including its strong ethical brand image and commitment to sustainability as a certified B Corporation.</w:t>
      </w:r>
    </w:p>
    <w:p w14:paraId="348DC6E8"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Furthermore, the strategy allows Innocent to maintain differentiation in a competitive market dominated by multinational beverage companies such as Coca-Cola Company and PepsiCo. By focusing on innovation and sustainability rather than price competition, the company can strengthen its position in the premium healthy beverage segment.</w:t>
      </w:r>
    </w:p>
    <w:p w14:paraId="3E1490D7" w14:textId="316050A6"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p>
    <w:p w14:paraId="36056AC9"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Feasibility</w:t>
      </w:r>
    </w:p>
    <w:p w14:paraId="08DE8354"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Feasibility considers whether the organisation has the resources and capabilities required to implement the strategy successfully. Innocent Drinks already possesses several capabilities that support the feasibility of the proposed strategy.</w:t>
      </w:r>
    </w:p>
    <w:p w14:paraId="5B60ECFB"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First, the company has established expertise in producing natural beverages and managing supply chains for fruit-based ingredients. Second, Innocent benefits from strong distribution networks across European supermarkets and retailers. Third, the company has access to financial resources and operational support through its association with larger beverage partners.</w:t>
      </w:r>
    </w:p>
    <w:p w14:paraId="30702D41"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lastRenderedPageBreak/>
        <w:t>Innovation in functional drinks would require additional investment in research and development, ingredient sourcing, and marketing. However, these investments are manageable given Innocent’s existing market presence and operational infrastructure.</w:t>
      </w:r>
    </w:p>
    <w:p w14:paraId="5A84E8CF"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proofErr w:type="gramStart"/>
      <w:r w:rsidRPr="006E1BF8">
        <w:rPr>
          <w:rFonts w:ascii="Arial" w:eastAsia="Times New Roman" w:hAnsi="Arial" w:cs="Arial"/>
          <w:kern w:val="0"/>
          <w:lang w:eastAsia="en-GB"/>
          <w14:ligatures w14:val="none"/>
        </w:rPr>
        <w:t>For the purpose of</w:t>
      </w:r>
      <w:proofErr w:type="gramEnd"/>
      <w:r w:rsidRPr="006E1BF8">
        <w:rPr>
          <w:rFonts w:ascii="Arial" w:eastAsia="Times New Roman" w:hAnsi="Arial" w:cs="Arial"/>
          <w:kern w:val="0"/>
          <w:lang w:eastAsia="en-GB"/>
          <w14:ligatures w14:val="none"/>
        </w:rPr>
        <w:t xml:space="preserve"> this report, it is assumed that Innocent Drinks will allocate additional research and development funding to support new product innovation and expand its sustainability initiatives.</w:t>
      </w:r>
    </w:p>
    <w:p w14:paraId="4838CB1B"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Acceptability</w:t>
      </w:r>
    </w:p>
    <w:p w14:paraId="45D4992F"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Acceptability examines whether the proposed strategy meets the expectations of key stakeholders, including shareholders, employees, customers, and society.</w:t>
      </w:r>
    </w:p>
    <w:p w14:paraId="080579C4"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strategy is likely to be acceptable to shareholders because it creates new growth opportunities while strengthening brand differentiation in a competitive market. Customers are also likely to respond positively to innovative functional beverages that provide additional health benefits while maintaining the natural ingredients that Innocent is known for.</w:t>
      </w:r>
    </w:p>
    <w:p w14:paraId="551D17F0"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Employees may benefit from increased opportunities for innovation and organisational growth. Meanwhile, environmental and social stakeholders are likely to support the strategy because it reinforces Innocent’s sustainability commitments and responsible sourcing practices.</w:t>
      </w:r>
    </w:p>
    <w:p w14:paraId="582C33D1"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However, there are potential risks associated with product innovation, including the possibility that new products may not achieve expected market success. To mitigate this risk, Innocent should conduct extensive market research and pilot testing before launching new products.</w:t>
      </w:r>
    </w:p>
    <w:p w14:paraId="0A293015"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Overall Evaluation</w:t>
      </w:r>
    </w:p>
    <w:p w14:paraId="063524D4" w14:textId="15F2EE01"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Based on the SFA analysis, the proposed strategy appears suitable, feasible, and acceptable for Innocent Drinks. It aligns with the organisation’s mission, leverages its core capabilities, and responds effectively to market trends. As a result, the strategy provides a strong foundation for sustainable long-term growth while maintaining the ethical values that define the Innocent brand.</w:t>
      </w:r>
      <w:r w:rsidR="006E1BF8" w:rsidRPr="006E1BF8">
        <w:rPr>
          <w:rFonts w:ascii="Arial" w:eastAsia="Times New Roman" w:hAnsi="Arial" w:cs="Arial"/>
          <w:kern w:val="0"/>
          <w:lang w:eastAsia="en-GB"/>
          <w14:ligatures w14:val="none"/>
        </w:rPr>
        <w:t xml:space="preserve"> </w:t>
      </w:r>
    </w:p>
    <w:p w14:paraId="7D3EB059" w14:textId="44CA76D4" w:rsidR="006471E6" w:rsidRPr="006471E6" w:rsidRDefault="006471E6" w:rsidP="006471E6">
      <w:pPr>
        <w:pStyle w:val="Heading1"/>
        <w:rPr>
          <w:rFonts w:eastAsia="Times New Roman"/>
          <w:lang w:eastAsia="en-GB"/>
        </w:rPr>
      </w:pPr>
      <w:bookmarkStart w:id="11" w:name="_Toc224478851"/>
      <w:r w:rsidRPr="006471E6">
        <w:rPr>
          <w:rFonts w:eastAsia="Times New Roman"/>
          <w:lang w:eastAsia="en-GB"/>
        </w:rPr>
        <w:t>Stakeholder Analysis</w:t>
      </w:r>
      <w:bookmarkEnd w:id="11"/>
      <w:r w:rsidRPr="006471E6">
        <w:rPr>
          <w:rFonts w:eastAsia="Times New Roman"/>
          <w:lang w:eastAsia="en-GB"/>
        </w:rPr>
        <w:t xml:space="preserve"> </w:t>
      </w:r>
    </w:p>
    <w:p w14:paraId="69003D77"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proposed growth strategy for Innocent Drinks—focused on developing plant-based functional beverages and expanding into selected international markets—will affect a wide range of stakeholders. Understanding these impacts is essential to ensure the strategy is implemented effectively and maintains the company’s strong ethical reputation.</w:t>
      </w:r>
    </w:p>
    <w:p w14:paraId="4942F73D" w14:textId="4C7166B9"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 xml:space="preserve">According to R. Edward Freeman’s Stakeholder Theory, organisations should consider the interests of all stakeholders, not just shareholders, when making strategic decisions. For Innocent Drinks, key stakeholders include customers, </w:t>
      </w:r>
      <w:r w:rsidRPr="006E1BF8">
        <w:rPr>
          <w:rFonts w:ascii="Arial" w:eastAsia="Times New Roman" w:hAnsi="Arial" w:cs="Arial"/>
          <w:kern w:val="0"/>
          <w:lang w:eastAsia="en-GB"/>
          <w14:ligatures w14:val="none"/>
        </w:rPr>
        <w:lastRenderedPageBreak/>
        <w:t>employees, suppliers, investors, retailers, and the wider community.</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(Johnson, Scholes and Whittington, 2017)</w:t>
      </w:r>
    </w:p>
    <w:p w14:paraId="2913C66A"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Key Stakeholders and Impact</w:t>
      </w:r>
    </w:p>
    <w:p w14:paraId="76AF8F85"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Customers</w:t>
      </w:r>
      <w:r w:rsidRPr="006E1BF8">
        <w:rPr>
          <w:rFonts w:ascii="Arial" w:eastAsia="Times New Roman" w:hAnsi="Arial" w:cs="Arial"/>
          <w:kern w:val="0"/>
          <w:lang w:eastAsia="en-GB"/>
          <w14:ligatures w14:val="none"/>
        </w:rPr>
        <w:br/>
      </w:r>
      <w:proofErr w:type="spellStart"/>
      <w:r w:rsidRPr="006E1BF8">
        <w:rPr>
          <w:rFonts w:ascii="Arial" w:eastAsia="Times New Roman" w:hAnsi="Arial" w:cs="Arial"/>
          <w:kern w:val="0"/>
          <w:lang w:eastAsia="en-GB"/>
          <w14:ligatures w14:val="none"/>
        </w:rPr>
        <w:t>Customers</w:t>
      </w:r>
      <w:proofErr w:type="spellEnd"/>
      <w:r w:rsidRPr="006E1BF8">
        <w:rPr>
          <w:rFonts w:ascii="Arial" w:eastAsia="Times New Roman" w:hAnsi="Arial" w:cs="Arial"/>
          <w:kern w:val="0"/>
          <w:lang w:eastAsia="en-GB"/>
          <w14:ligatures w14:val="none"/>
        </w:rPr>
        <w:t xml:space="preserve"> are central stakeholders because they directly influence the company’s success. The introduction of functional and plant-based drinks would provide consumers with healthier beverage choices that support wellness trends. Maintaining product quality and transparency will be essential to preserve customer trust in the Innocent brand.</w:t>
      </w:r>
    </w:p>
    <w:p w14:paraId="4821D84D"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Employees</w:t>
      </w:r>
      <w:r w:rsidRPr="006E1BF8">
        <w:rPr>
          <w:rFonts w:ascii="Arial" w:eastAsia="Times New Roman" w:hAnsi="Arial" w:cs="Arial"/>
          <w:kern w:val="0"/>
          <w:lang w:eastAsia="en-GB"/>
          <w14:ligatures w14:val="none"/>
        </w:rPr>
        <w:br/>
      </w:r>
      <w:proofErr w:type="spellStart"/>
      <w:r w:rsidRPr="006E1BF8">
        <w:rPr>
          <w:rFonts w:ascii="Arial" w:eastAsia="Times New Roman" w:hAnsi="Arial" w:cs="Arial"/>
          <w:kern w:val="0"/>
          <w:lang w:eastAsia="en-GB"/>
          <w14:ligatures w14:val="none"/>
        </w:rPr>
        <w:t>Employees</w:t>
      </w:r>
      <w:proofErr w:type="spellEnd"/>
      <w:r w:rsidRPr="006E1BF8">
        <w:rPr>
          <w:rFonts w:ascii="Arial" w:eastAsia="Times New Roman" w:hAnsi="Arial" w:cs="Arial"/>
          <w:kern w:val="0"/>
          <w:lang w:eastAsia="en-GB"/>
          <w14:ligatures w14:val="none"/>
        </w:rPr>
        <w:t xml:space="preserve"> will play a key role in developing and delivering the new strategy. Product innovation and market expansion may create opportunities for skill development, research, and creativity within the organisation. However, employees will require appropriate training and resources to support new product development and operational changes.</w:t>
      </w:r>
    </w:p>
    <w:p w14:paraId="5573ECE5"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Suppliers</w:t>
      </w:r>
      <w:r w:rsidRPr="006E1BF8">
        <w:rPr>
          <w:rFonts w:ascii="Arial" w:eastAsia="Times New Roman" w:hAnsi="Arial" w:cs="Arial"/>
          <w:kern w:val="0"/>
          <w:lang w:eastAsia="en-GB"/>
          <w14:ligatures w14:val="none"/>
        </w:rPr>
        <w:br/>
      </w:r>
      <w:proofErr w:type="spellStart"/>
      <w:r w:rsidRPr="006E1BF8">
        <w:rPr>
          <w:rFonts w:ascii="Arial" w:eastAsia="Times New Roman" w:hAnsi="Arial" w:cs="Arial"/>
          <w:kern w:val="0"/>
          <w:lang w:eastAsia="en-GB"/>
          <w14:ligatures w14:val="none"/>
        </w:rPr>
        <w:t>Suppliers</w:t>
      </w:r>
      <w:proofErr w:type="spellEnd"/>
      <w:r w:rsidRPr="006E1BF8">
        <w:rPr>
          <w:rFonts w:ascii="Arial" w:eastAsia="Times New Roman" w:hAnsi="Arial" w:cs="Arial"/>
          <w:kern w:val="0"/>
          <w:lang w:eastAsia="en-GB"/>
          <w14:ligatures w14:val="none"/>
        </w:rPr>
        <w:t xml:space="preserve"> are particularly important because Innocent Drinks relies heavily on responsibly sourced natural ingredients. Expanding the product portfolio may increase demand for certain ingredients, requiring stronger partnerships with sustainable agricultural suppliers.</w:t>
      </w:r>
    </w:p>
    <w:p w14:paraId="5B53EEBF"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Investors and Shareholders</w:t>
      </w:r>
      <w:r w:rsidRPr="006E1BF8">
        <w:rPr>
          <w:rFonts w:ascii="Arial" w:eastAsia="Times New Roman" w:hAnsi="Arial" w:cs="Arial"/>
          <w:kern w:val="0"/>
          <w:lang w:eastAsia="en-GB"/>
          <w14:ligatures w14:val="none"/>
        </w:rPr>
        <w:br/>
        <w:t>Investors expect the company to maintain financial growth while protecting the brand’s ethical reputation. The proposed strategy could increase revenue opportunities and strengthen Innocent’s position in the premium health beverage market.</w:t>
      </w:r>
    </w:p>
    <w:p w14:paraId="3DFB0242"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Retailers and Distribution Partners</w:t>
      </w:r>
      <w:r w:rsidRPr="006E1BF8">
        <w:rPr>
          <w:rFonts w:ascii="Arial" w:eastAsia="Times New Roman" w:hAnsi="Arial" w:cs="Arial"/>
          <w:kern w:val="0"/>
          <w:lang w:eastAsia="en-GB"/>
          <w14:ligatures w14:val="none"/>
        </w:rPr>
        <w:br/>
        <w:t>Retailers such as supermarkets are essential for product distribution. New functional beverages may attract additional shelf space and increase sales potential for retail partners.</w:t>
      </w:r>
    </w:p>
    <w:p w14:paraId="619274E4"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Communities and Environmental Stakeholders</w:t>
      </w:r>
      <w:r w:rsidRPr="006E1BF8">
        <w:rPr>
          <w:rFonts w:ascii="Arial" w:eastAsia="Times New Roman" w:hAnsi="Arial" w:cs="Arial"/>
          <w:kern w:val="0"/>
          <w:lang w:eastAsia="en-GB"/>
          <w14:ligatures w14:val="none"/>
        </w:rPr>
        <w:br/>
        <w:t>As a certified B Corporation, Innocent Drinks must also consider the environmental and social impact of its activities. Expanding sustainable sourcing and environmentally friendly packaging supports the company’s commitment to leaving the planet better than it was found.</w:t>
      </w:r>
    </w:p>
    <w:p w14:paraId="4A9B43A4"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Stakeholder Engagement Plan</w:t>
      </w:r>
    </w:p>
    <w:p w14:paraId="417ECB3C"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Using Mendelow's Matrix, Innocent should prioritise stakeholders with high power and high interest, such as investors, major retail partners, and key suppliers. These stakeholders should be closely managed through regular communication, strategic partnerships, and collaborative decision-making.</w:t>
      </w:r>
    </w:p>
    <w:p w14:paraId="3847A2C6" w14:textId="25486F06"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lastRenderedPageBreak/>
        <w:t>Other stakeholders, such as customers and communities, should be kept informed through transparent marketing, sustainability reports, and engagement campaigns. This approach will help ensure that the new growth strategy is supported by stakeholders and aligned with Innocent Drinks’ ethical values.</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(Johnson, Scholes and Whittington, 2017)</w:t>
      </w:r>
    </w:p>
    <w:p w14:paraId="2E985EAA" w14:textId="2E3DFAED" w:rsidR="006471E6" w:rsidRPr="006471E6" w:rsidRDefault="006471E6" w:rsidP="006471E6">
      <w:pPr>
        <w:pStyle w:val="Heading1"/>
        <w:rPr>
          <w:rFonts w:eastAsia="Times New Roman"/>
          <w:lang w:eastAsia="en-GB"/>
        </w:rPr>
      </w:pPr>
      <w:bookmarkStart w:id="12" w:name="_Toc224478852"/>
      <w:r w:rsidRPr="006471E6">
        <w:rPr>
          <w:rFonts w:eastAsia="Times New Roman"/>
          <w:lang w:eastAsia="en-GB"/>
        </w:rPr>
        <w:t>Implementation and Monitoring</w:t>
      </w:r>
      <w:bookmarkEnd w:id="12"/>
      <w:r w:rsidRPr="006471E6">
        <w:rPr>
          <w:rFonts w:eastAsia="Times New Roman"/>
          <w:lang w:eastAsia="en-GB"/>
        </w:rPr>
        <w:t xml:space="preserve"> </w:t>
      </w:r>
    </w:p>
    <w:p w14:paraId="2674661E" w14:textId="105DEEEA"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To successfully implement the proposed growth strategy, Innocent Drinks must develop a structured implementation plan that includes clear objectives, defined actions, and measurable Key Performance Indicators (KPIs). The strategy focuses on developing plant-based functional beverages and expanding into selected international markets, while maintaining the company’s sustainability commitments.</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(Innocent Drinks, 2024)</w:t>
      </w:r>
    </w:p>
    <w:p w14:paraId="5A7E55E1" w14:textId="77777777" w:rsidR="006471E6" w:rsidRPr="006E1BF8" w:rsidRDefault="006471E6" w:rsidP="006471E6">
      <w:pPr>
        <w:spacing w:before="100" w:beforeAutospacing="1" w:after="100" w:afterAutospacing="1" w:line="240" w:lineRule="auto"/>
        <w:outlineLvl w:val="2"/>
        <w:rPr>
          <w:rFonts w:ascii="Arial" w:eastAsia="Times New Roman" w:hAnsi="Arial" w:cs="Arial"/>
          <w:kern w:val="0"/>
          <w:lang w:eastAsia="en-GB"/>
          <w14:ligatures w14:val="none"/>
        </w:rPr>
      </w:pPr>
      <w:bookmarkStart w:id="13" w:name="_Toc224478853"/>
      <w:r w:rsidRPr="006E1BF8">
        <w:rPr>
          <w:rFonts w:ascii="Arial" w:eastAsia="Times New Roman" w:hAnsi="Arial" w:cs="Arial"/>
          <w:kern w:val="0"/>
          <w:lang w:eastAsia="en-GB"/>
          <w14:ligatures w14:val="none"/>
        </w:rPr>
        <w:t>Strategic Objectives</w:t>
      </w:r>
      <w:bookmarkEnd w:id="13"/>
    </w:p>
    <w:p w14:paraId="3BB16F6E"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primary objectives of the implementation plan are:</w:t>
      </w:r>
    </w:p>
    <w:p w14:paraId="210CAEDF" w14:textId="77777777" w:rsidR="006471E6" w:rsidRPr="006E1BF8" w:rsidRDefault="006471E6" w:rsidP="006471E6">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Launch a new range of plant-based functional beverages within the next 18–24 months.</w:t>
      </w:r>
    </w:p>
    <w:p w14:paraId="7E9D67AA" w14:textId="77777777" w:rsidR="006471E6" w:rsidRPr="006E1BF8" w:rsidRDefault="006471E6" w:rsidP="006471E6">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Expand distribution into selected new international markets.</w:t>
      </w:r>
    </w:p>
    <w:p w14:paraId="779EEFF9" w14:textId="77777777" w:rsidR="006471E6" w:rsidRPr="006E1BF8" w:rsidRDefault="006471E6" w:rsidP="006471E6">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Strengthen sustainability initiatives within sourcing and packaging processes.</w:t>
      </w:r>
    </w:p>
    <w:p w14:paraId="2769102E" w14:textId="77777777" w:rsidR="006471E6" w:rsidRPr="006E1BF8" w:rsidRDefault="006471E6" w:rsidP="006471E6">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Increase brand awareness and market share in the healthy beverage sector.</w:t>
      </w:r>
    </w:p>
    <w:p w14:paraId="049E7DC5"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These objectives support Innocent’s mission to promote healthier lifestyles and its commitment to responsible business practices as a certified B Corporation.</w:t>
      </w:r>
    </w:p>
    <w:p w14:paraId="4F4BA5DD" w14:textId="77777777" w:rsidR="006471E6" w:rsidRPr="006E1BF8" w:rsidRDefault="006471E6" w:rsidP="006471E6">
      <w:pPr>
        <w:spacing w:before="100" w:beforeAutospacing="1" w:after="100" w:afterAutospacing="1" w:line="240" w:lineRule="auto"/>
        <w:outlineLvl w:val="2"/>
        <w:rPr>
          <w:rFonts w:ascii="Arial" w:eastAsia="Times New Roman" w:hAnsi="Arial" w:cs="Arial"/>
          <w:kern w:val="0"/>
          <w:lang w:eastAsia="en-GB"/>
          <w14:ligatures w14:val="none"/>
        </w:rPr>
      </w:pPr>
      <w:bookmarkStart w:id="14" w:name="_Toc224478854"/>
      <w:r w:rsidRPr="006E1BF8">
        <w:rPr>
          <w:rFonts w:ascii="Arial" w:eastAsia="Times New Roman" w:hAnsi="Arial" w:cs="Arial"/>
          <w:kern w:val="0"/>
          <w:lang w:eastAsia="en-GB"/>
          <w14:ligatures w14:val="none"/>
        </w:rPr>
        <w:t>Key Actions</w:t>
      </w:r>
      <w:bookmarkEnd w:id="14"/>
    </w:p>
    <w:p w14:paraId="2426EB13"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To achieve these objectives, several key actions are required:</w:t>
      </w:r>
    </w:p>
    <w:p w14:paraId="0414FEF0"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Product Development</w:t>
      </w:r>
      <w:r w:rsidRPr="006E1BF8">
        <w:rPr>
          <w:rFonts w:ascii="Arial" w:eastAsia="Times New Roman" w:hAnsi="Arial" w:cs="Arial"/>
          <w:kern w:val="0"/>
          <w:lang w:eastAsia="en-GB"/>
          <w14:ligatures w14:val="none"/>
        </w:rPr>
        <w:br/>
        <w:t>Innocent should invest in research and development to create innovative functional drinks that provide specific health benefits, such as immunity support, digestive health, or natural energy. Pilot testing and consumer feedback should be conducted before full product launches to ensure strong market acceptance.</w:t>
      </w:r>
    </w:p>
    <w:p w14:paraId="3484F828"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Supply Chain and Sustainability Improvements</w:t>
      </w:r>
      <w:r w:rsidRPr="006E1BF8">
        <w:rPr>
          <w:rFonts w:ascii="Arial" w:eastAsia="Times New Roman" w:hAnsi="Arial" w:cs="Arial"/>
          <w:kern w:val="0"/>
          <w:lang w:eastAsia="en-GB"/>
          <w14:ligatures w14:val="none"/>
        </w:rPr>
        <w:br/>
        <w:t>The company should strengthen relationships with sustainable suppliers and continue improving environmentally friendly packaging solutions. This will ensure that the expansion strategy remains aligned with Innocent’s sustainability commitments.</w:t>
      </w:r>
    </w:p>
    <w:p w14:paraId="6C30EE7F"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Market Expansion</w:t>
      </w:r>
      <w:r w:rsidRPr="006E1BF8">
        <w:rPr>
          <w:rFonts w:ascii="Arial" w:eastAsia="Times New Roman" w:hAnsi="Arial" w:cs="Arial"/>
          <w:kern w:val="0"/>
          <w:lang w:eastAsia="en-GB"/>
          <w14:ligatures w14:val="none"/>
        </w:rPr>
        <w:br/>
        <w:t>Innocent should identify high-potential international markets with growing demand for healthy beverages. Market entry strategies may involve partnerships with local distributors and retailers to establish efficient distribution networks.</w:t>
      </w:r>
    </w:p>
    <w:p w14:paraId="2C3A616B"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lastRenderedPageBreak/>
        <w:t>Marketing and Brand Communication</w:t>
      </w:r>
      <w:r w:rsidRPr="006E1BF8">
        <w:rPr>
          <w:rFonts w:ascii="Arial" w:eastAsia="Times New Roman" w:hAnsi="Arial" w:cs="Arial"/>
          <w:kern w:val="0"/>
          <w:lang w:eastAsia="en-GB"/>
          <w14:ligatures w14:val="none"/>
        </w:rPr>
        <w:br/>
        <w:t>Marketing campaigns should highlight the health benefits, natural ingredients, and sustainability values of the new product range. Digital marketing and social media platforms can be used to engage younger health-conscious consumers and strengthen brand loyalty.</w:t>
      </w:r>
    </w:p>
    <w:p w14:paraId="56B81345" w14:textId="77777777" w:rsidR="006471E6" w:rsidRPr="006E1BF8" w:rsidRDefault="006471E6" w:rsidP="006471E6">
      <w:pPr>
        <w:spacing w:before="100" w:beforeAutospacing="1" w:after="100" w:afterAutospacing="1" w:line="240" w:lineRule="auto"/>
        <w:outlineLvl w:val="2"/>
        <w:rPr>
          <w:rFonts w:ascii="Arial" w:eastAsia="Times New Roman" w:hAnsi="Arial" w:cs="Arial"/>
          <w:kern w:val="0"/>
          <w:lang w:eastAsia="en-GB"/>
          <w14:ligatures w14:val="none"/>
        </w:rPr>
      </w:pPr>
      <w:bookmarkStart w:id="15" w:name="_Toc224478855"/>
      <w:r w:rsidRPr="006E1BF8">
        <w:rPr>
          <w:rFonts w:ascii="Arial" w:eastAsia="Times New Roman" w:hAnsi="Arial" w:cs="Arial"/>
          <w:kern w:val="0"/>
          <w:lang w:eastAsia="en-GB"/>
          <w14:ligatures w14:val="none"/>
        </w:rPr>
        <w:t>Key Performance Indicators (KPIs)</w:t>
      </w:r>
      <w:bookmarkEnd w:id="15"/>
    </w:p>
    <w:p w14:paraId="6EC83041"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To monitor the success of the strategy, the following KPIs should be tracked:</w:t>
      </w:r>
    </w:p>
    <w:p w14:paraId="10F026ED" w14:textId="77777777" w:rsidR="006471E6" w:rsidRPr="006E1BF8" w:rsidRDefault="006471E6" w:rsidP="006471E6">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Sales growth from newly introduced functional beverage products</w:t>
      </w:r>
    </w:p>
    <w:p w14:paraId="68120892" w14:textId="77777777" w:rsidR="006471E6" w:rsidRPr="006E1BF8" w:rsidRDefault="006471E6" w:rsidP="006471E6">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Market share growth in target markets</w:t>
      </w:r>
    </w:p>
    <w:p w14:paraId="16DFA4E7" w14:textId="77777777" w:rsidR="006471E6" w:rsidRPr="006E1BF8" w:rsidRDefault="006471E6" w:rsidP="006471E6">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Percentage reduction in carbon emissions and packaging waste</w:t>
      </w:r>
    </w:p>
    <w:p w14:paraId="1CC5FFEC" w14:textId="77777777" w:rsidR="006471E6" w:rsidRPr="006E1BF8" w:rsidRDefault="006471E6" w:rsidP="006471E6">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Customer satisfaction and brand perception scores</w:t>
      </w:r>
    </w:p>
    <w:p w14:paraId="72F7B794" w14:textId="77777777" w:rsidR="006471E6" w:rsidRPr="006E1BF8" w:rsidRDefault="006471E6" w:rsidP="006471E6">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Number of new retail partnerships and distribution channels established</w:t>
      </w:r>
    </w:p>
    <w:p w14:paraId="244AA779" w14:textId="77777777" w:rsidR="006471E6" w:rsidRPr="006E1BF8" w:rsidRDefault="006471E6" w:rsidP="006471E6">
      <w:pPr>
        <w:spacing w:before="100" w:beforeAutospacing="1" w:after="100" w:afterAutospacing="1" w:line="240" w:lineRule="auto"/>
        <w:outlineLvl w:val="2"/>
        <w:rPr>
          <w:rFonts w:ascii="Arial" w:eastAsia="Times New Roman" w:hAnsi="Arial" w:cs="Arial"/>
          <w:kern w:val="0"/>
          <w:lang w:eastAsia="en-GB"/>
          <w14:ligatures w14:val="none"/>
        </w:rPr>
      </w:pPr>
      <w:bookmarkStart w:id="16" w:name="_Toc224478856"/>
      <w:r w:rsidRPr="006E1BF8">
        <w:rPr>
          <w:rFonts w:ascii="Arial" w:eastAsia="Times New Roman" w:hAnsi="Arial" w:cs="Arial"/>
          <w:kern w:val="0"/>
          <w:lang w:eastAsia="en-GB"/>
          <w14:ligatures w14:val="none"/>
        </w:rPr>
        <w:t>Monitoring and Review</w:t>
      </w:r>
      <w:bookmarkEnd w:id="16"/>
    </w:p>
    <w:p w14:paraId="5F07866D"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Regular performance reviews should be conducted quarterly to assess progress against KPIs. Management should use performance data to adjust marketing strategies, supply chain operations, and product development initiatives where necessary.</w:t>
      </w:r>
    </w:p>
    <w:p w14:paraId="3EBCE9A7" w14:textId="08115F53"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By implementing a clear action plan supported by measurable performance indicators, Innocent Drinks can effectively execute its growth strategy while maintaining its commitment to sustainability and ethical business practices.</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(Johnson, Scholes and Whittington, 2017)</w:t>
      </w:r>
    </w:p>
    <w:p w14:paraId="5E3E9E2F"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968E0BA" w14:textId="7BA6BB01" w:rsidR="006471E6" w:rsidRPr="006471E6" w:rsidRDefault="006471E6" w:rsidP="006471E6">
      <w:pPr>
        <w:pStyle w:val="Heading1"/>
        <w:rPr>
          <w:rFonts w:eastAsia="Times New Roman"/>
          <w:lang w:eastAsia="en-GB"/>
        </w:rPr>
      </w:pPr>
      <w:bookmarkStart w:id="17" w:name="_Toc224478857"/>
      <w:r w:rsidRPr="006471E6">
        <w:rPr>
          <w:rFonts w:eastAsia="Times New Roman"/>
          <w:lang w:eastAsia="en-GB"/>
        </w:rPr>
        <w:t>Conclusion</w:t>
      </w:r>
      <w:bookmarkEnd w:id="17"/>
      <w:r w:rsidRPr="006471E6">
        <w:rPr>
          <w:rFonts w:eastAsia="Times New Roman"/>
          <w:lang w:eastAsia="en-GB"/>
        </w:rPr>
        <w:t xml:space="preserve"> </w:t>
      </w:r>
    </w:p>
    <w:p w14:paraId="57821FB4" w14:textId="77777777"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In conclusion, Innocent Drinks operates in a highly competitive but rapidly growing healthy beverage market. The analysis of the external environment using frameworks such as PESTEL Analysis, Porter's Five Forces, and SWOT highlighted both opportunities and challenges for the company. While increasing competition and supply chain pressures present potential risks, growing consumer demand for healthy, natural, and sustainable products creates significant growth opportunities.</w:t>
      </w:r>
    </w:p>
    <w:p w14:paraId="360717F4" w14:textId="4543DEBC"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report recommends a strategy focused on product development through plant-based functional beverages combined with selective market expansion. This strategy aligns with the organisation’s mission to promote healthier lifestyles and its sustainability commitments as a certified B Corporation.</w:t>
      </w:r>
      <w:r w:rsidR="006E1BF8" w:rsidRPr="006E1BF8">
        <w:rPr>
          <w:rFonts w:ascii="Arial" w:eastAsia="Times New Roman" w:hAnsi="Arial" w:cs="Arial"/>
          <w:kern w:val="0"/>
          <w:lang w:eastAsia="en-GB"/>
          <w14:ligatures w14:val="none"/>
        </w:rPr>
        <w:t xml:space="preserve"> </w:t>
      </w:r>
      <w:r w:rsidR="006E1BF8" w:rsidRPr="006E1BF8">
        <w:rPr>
          <w:rFonts w:ascii="Arial" w:eastAsia="Times New Roman" w:hAnsi="Arial" w:cs="Arial"/>
          <w:kern w:val="0"/>
          <w:lang w:eastAsia="en-GB"/>
          <w14:ligatures w14:val="none"/>
        </w:rPr>
        <w:t>(Innocent Drinks, 2024)</w:t>
      </w:r>
    </w:p>
    <w:p w14:paraId="492EC421" w14:textId="69860346" w:rsidR="006471E6" w:rsidRPr="006E1BF8" w:rsidRDefault="006471E6" w:rsidP="006471E6">
      <w:pPr>
        <w:spacing w:before="100" w:beforeAutospacing="1" w:after="100" w:afterAutospacing="1" w:line="240" w:lineRule="auto"/>
        <w:rPr>
          <w:rFonts w:ascii="Arial" w:eastAsia="Times New Roman" w:hAnsi="Arial" w:cs="Arial"/>
          <w:kern w:val="0"/>
          <w:lang w:eastAsia="en-GB"/>
          <w14:ligatures w14:val="none"/>
        </w:rPr>
      </w:pPr>
      <w:r w:rsidRPr="006E1BF8">
        <w:rPr>
          <w:rFonts w:ascii="Arial" w:eastAsia="Times New Roman" w:hAnsi="Arial" w:cs="Arial"/>
          <w:kern w:val="0"/>
          <w:lang w:eastAsia="en-GB"/>
          <w14:ligatures w14:val="none"/>
        </w:rPr>
        <w:t>The strategy was evaluated using the SFA Framework and found to be suitable, feasible, and acceptable for the organisation and its stakeholders. With effective stakeholder engagement, clear implementation planning, and continuous performance monitoring, Innocent Drinks can strengthen its market position while maintaining the ethical values that define its brand.</w:t>
      </w:r>
      <w:r w:rsidR="006E1BF8" w:rsidRPr="006E1BF8">
        <w:rPr>
          <w:rFonts w:ascii="Arial" w:eastAsia="Times New Roman" w:hAnsi="Arial" w:cs="Arial"/>
          <w:kern w:val="0"/>
          <w:lang w:eastAsia="en-GB"/>
          <w14:ligatures w14:val="none"/>
        </w:rPr>
        <w:t xml:space="preserve"> </w:t>
      </w:r>
    </w:p>
    <w:p w14:paraId="0208F990" w14:textId="77777777" w:rsidR="006471E6" w:rsidRP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515D5C5"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913A076"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E0D05E4"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58B9DA"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84C62B6"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DAFE2DD"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72AA90D"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E6C09CE"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65D2A2B"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3637601"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2952DED"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7769503"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C5A8A45"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AD3D70A" w14:textId="77777777" w:rsidR="006471E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F9457E2" w14:textId="62A1DA67" w:rsidR="006471E6" w:rsidRPr="006471E6" w:rsidRDefault="006471E6" w:rsidP="006471E6">
      <w:pPr>
        <w:pStyle w:val="Heading1"/>
        <w:rPr>
          <w:rFonts w:eastAsia="Times New Roman"/>
          <w:lang w:eastAsia="en-GB"/>
        </w:rPr>
      </w:pPr>
      <w:bookmarkStart w:id="18" w:name="_Toc224478858"/>
      <w:r>
        <w:rPr>
          <w:rFonts w:eastAsia="Times New Roman"/>
          <w:lang w:eastAsia="en-GB"/>
        </w:rPr>
        <w:t>Reference List</w:t>
      </w:r>
      <w:bookmarkEnd w:id="18"/>
    </w:p>
    <w:p w14:paraId="2D0B8DAA" w14:textId="0364E90F" w:rsidR="00034F6D" w:rsidRPr="000E485A"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t xml:space="preserve">Innocent Drinks (2024) </w:t>
      </w:r>
      <w:r w:rsidRPr="000E485A">
        <w:rPr>
          <w:rFonts w:ascii="Arial" w:eastAsia="Times New Roman" w:hAnsi="Arial" w:cs="Arial"/>
          <w:i/>
          <w:iCs/>
          <w:kern w:val="0"/>
          <w:lang w:eastAsia="en-GB"/>
          <w14:ligatures w14:val="none"/>
        </w:rPr>
        <w:t>About us and sustainability reports</w:t>
      </w:r>
      <w:r w:rsidRPr="000E485A">
        <w:rPr>
          <w:rFonts w:ascii="Arial" w:eastAsia="Times New Roman" w:hAnsi="Arial" w:cs="Arial"/>
          <w:kern w:val="0"/>
          <w:lang w:eastAsia="en-GB"/>
          <w14:ligatures w14:val="none"/>
        </w:rPr>
        <w:t>. (Accessed: 1</w:t>
      </w:r>
      <w:r w:rsidRPr="000E485A">
        <w:rPr>
          <w:rFonts w:ascii="Arial" w:eastAsia="Times New Roman" w:hAnsi="Arial" w:cs="Arial"/>
          <w:kern w:val="0"/>
          <w:lang w:eastAsia="en-GB"/>
          <w14:ligatures w14:val="none"/>
        </w:rPr>
        <w:t>0</w:t>
      </w:r>
      <w:r w:rsidRPr="000E485A">
        <w:rPr>
          <w:rFonts w:ascii="Arial" w:eastAsia="Times New Roman" w:hAnsi="Arial" w:cs="Arial"/>
          <w:kern w:val="0"/>
          <w:lang w:eastAsia="en-GB"/>
          <w14:ligatures w14:val="none"/>
        </w:rPr>
        <w:t xml:space="preserve"> March 2026).</w:t>
      </w:r>
    </w:p>
    <w:p w14:paraId="2F467C57" w14:textId="77777777" w:rsidR="00034F6D" w:rsidRPr="000E485A"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t xml:space="preserve">Igor Ansoff (1957) ‘Strategies for diversification’, </w:t>
      </w:r>
      <w:r w:rsidRPr="000E485A">
        <w:rPr>
          <w:rFonts w:ascii="Arial" w:eastAsia="Times New Roman" w:hAnsi="Arial" w:cs="Arial"/>
          <w:i/>
          <w:iCs/>
          <w:kern w:val="0"/>
          <w:lang w:eastAsia="en-GB"/>
          <w14:ligatures w14:val="none"/>
        </w:rPr>
        <w:t>Harvard Business Review</w:t>
      </w:r>
      <w:r w:rsidRPr="000E485A">
        <w:rPr>
          <w:rFonts w:ascii="Arial" w:eastAsia="Times New Roman" w:hAnsi="Arial" w:cs="Arial"/>
          <w:kern w:val="0"/>
          <w:lang w:eastAsia="en-GB"/>
          <w14:ligatures w14:val="none"/>
        </w:rPr>
        <w:t>, 35(5), pp. 113–124.</w:t>
      </w:r>
    </w:p>
    <w:p w14:paraId="3E1CD751" w14:textId="77777777" w:rsidR="00034F6D" w:rsidRPr="000E485A"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t xml:space="preserve">R. Edward Freeman (1984) </w:t>
      </w:r>
      <w:r w:rsidRPr="000E485A">
        <w:rPr>
          <w:rFonts w:ascii="Arial" w:eastAsia="Times New Roman" w:hAnsi="Arial" w:cs="Arial"/>
          <w:i/>
          <w:iCs/>
          <w:kern w:val="0"/>
          <w:lang w:eastAsia="en-GB"/>
          <w14:ligatures w14:val="none"/>
        </w:rPr>
        <w:t>Strategic management: A stakeholder approach</w:t>
      </w:r>
      <w:r w:rsidRPr="000E485A">
        <w:rPr>
          <w:rFonts w:ascii="Arial" w:eastAsia="Times New Roman" w:hAnsi="Arial" w:cs="Arial"/>
          <w:kern w:val="0"/>
          <w:lang w:eastAsia="en-GB"/>
          <w14:ligatures w14:val="none"/>
        </w:rPr>
        <w:t>. Boston: Pitman.</w:t>
      </w:r>
    </w:p>
    <w:p w14:paraId="737D23BA" w14:textId="77777777" w:rsidR="00034F6D" w:rsidRPr="000E485A"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t xml:space="preserve">Michael E. Porter (1980) </w:t>
      </w:r>
      <w:r w:rsidRPr="000E485A">
        <w:rPr>
          <w:rFonts w:ascii="Arial" w:eastAsia="Times New Roman" w:hAnsi="Arial" w:cs="Arial"/>
          <w:i/>
          <w:iCs/>
          <w:kern w:val="0"/>
          <w:lang w:eastAsia="en-GB"/>
          <w14:ligatures w14:val="none"/>
        </w:rPr>
        <w:t xml:space="preserve">Competitive strategy: Techniques for </w:t>
      </w:r>
      <w:proofErr w:type="spellStart"/>
      <w:r w:rsidRPr="000E485A">
        <w:rPr>
          <w:rFonts w:ascii="Arial" w:eastAsia="Times New Roman" w:hAnsi="Arial" w:cs="Arial"/>
          <w:i/>
          <w:iCs/>
          <w:kern w:val="0"/>
          <w:lang w:eastAsia="en-GB"/>
          <w14:ligatures w14:val="none"/>
        </w:rPr>
        <w:t>analyzing</w:t>
      </w:r>
      <w:proofErr w:type="spellEnd"/>
      <w:r w:rsidRPr="000E485A">
        <w:rPr>
          <w:rFonts w:ascii="Arial" w:eastAsia="Times New Roman" w:hAnsi="Arial" w:cs="Arial"/>
          <w:i/>
          <w:iCs/>
          <w:kern w:val="0"/>
          <w:lang w:eastAsia="en-GB"/>
          <w14:ligatures w14:val="none"/>
        </w:rPr>
        <w:t xml:space="preserve"> industries and competitors</w:t>
      </w:r>
      <w:r w:rsidRPr="000E485A">
        <w:rPr>
          <w:rFonts w:ascii="Arial" w:eastAsia="Times New Roman" w:hAnsi="Arial" w:cs="Arial"/>
          <w:kern w:val="0"/>
          <w:lang w:eastAsia="en-GB"/>
          <w14:ligatures w14:val="none"/>
        </w:rPr>
        <w:t>. New York: Free Press.</w:t>
      </w:r>
    </w:p>
    <w:p w14:paraId="22D08697" w14:textId="77777777" w:rsidR="00034F6D" w:rsidRPr="000E485A"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t xml:space="preserve">Michael E. Porter (1985) </w:t>
      </w:r>
      <w:r w:rsidRPr="000E485A">
        <w:rPr>
          <w:rFonts w:ascii="Arial" w:eastAsia="Times New Roman" w:hAnsi="Arial" w:cs="Arial"/>
          <w:i/>
          <w:iCs/>
          <w:kern w:val="0"/>
          <w:lang w:eastAsia="en-GB"/>
          <w14:ligatures w14:val="none"/>
        </w:rPr>
        <w:t>Competitive advantage: Creating and sustaining superior performance</w:t>
      </w:r>
      <w:r w:rsidRPr="000E485A">
        <w:rPr>
          <w:rFonts w:ascii="Arial" w:eastAsia="Times New Roman" w:hAnsi="Arial" w:cs="Arial"/>
          <w:kern w:val="0"/>
          <w:lang w:eastAsia="en-GB"/>
          <w14:ligatures w14:val="none"/>
        </w:rPr>
        <w:t>. New York: Free Press.</w:t>
      </w:r>
    </w:p>
    <w:p w14:paraId="34C8179D" w14:textId="77777777" w:rsidR="00034F6D" w:rsidRPr="000E485A"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lastRenderedPageBreak/>
        <w:t xml:space="preserve">Gerry Johnson, Kevan Scholes and Richard Whittington (2017) </w:t>
      </w:r>
      <w:r w:rsidRPr="000E485A">
        <w:rPr>
          <w:rFonts w:ascii="Arial" w:eastAsia="Times New Roman" w:hAnsi="Arial" w:cs="Arial"/>
          <w:i/>
          <w:iCs/>
          <w:kern w:val="0"/>
          <w:lang w:eastAsia="en-GB"/>
          <w14:ligatures w14:val="none"/>
        </w:rPr>
        <w:t>Exploring strategy</w:t>
      </w:r>
      <w:r w:rsidRPr="000E485A">
        <w:rPr>
          <w:rFonts w:ascii="Arial" w:eastAsia="Times New Roman" w:hAnsi="Arial" w:cs="Arial"/>
          <w:kern w:val="0"/>
          <w:lang w:eastAsia="en-GB"/>
          <w14:ligatures w14:val="none"/>
        </w:rPr>
        <w:t xml:space="preserve">. 11th </w:t>
      </w:r>
      <w:proofErr w:type="spellStart"/>
      <w:r w:rsidRPr="000E485A">
        <w:rPr>
          <w:rFonts w:ascii="Arial" w:eastAsia="Times New Roman" w:hAnsi="Arial" w:cs="Arial"/>
          <w:kern w:val="0"/>
          <w:lang w:eastAsia="en-GB"/>
          <w14:ligatures w14:val="none"/>
        </w:rPr>
        <w:t>edn</w:t>
      </w:r>
      <w:proofErr w:type="spellEnd"/>
      <w:r w:rsidRPr="000E485A">
        <w:rPr>
          <w:rFonts w:ascii="Arial" w:eastAsia="Times New Roman" w:hAnsi="Arial" w:cs="Arial"/>
          <w:kern w:val="0"/>
          <w:lang w:eastAsia="en-GB"/>
          <w14:ligatures w14:val="none"/>
        </w:rPr>
        <w:t>. Harlow: Pearson Education.</w:t>
      </w:r>
    </w:p>
    <w:p w14:paraId="7B3EA3D2" w14:textId="5239996A" w:rsidR="00034F6D" w:rsidRPr="000E485A"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t xml:space="preserve">B Lab (2024) </w:t>
      </w:r>
      <w:r w:rsidRPr="000E485A">
        <w:rPr>
          <w:rFonts w:ascii="Arial" w:eastAsia="Times New Roman" w:hAnsi="Arial" w:cs="Arial"/>
          <w:i/>
          <w:iCs/>
          <w:kern w:val="0"/>
          <w:lang w:eastAsia="en-GB"/>
          <w14:ligatures w14:val="none"/>
        </w:rPr>
        <w:t>B Corp certification standards</w:t>
      </w:r>
      <w:r w:rsidRPr="000E485A">
        <w:rPr>
          <w:rFonts w:ascii="Arial" w:eastAsia="Times New Roman" w:hAnsi="Arial" w:cs="Arial"/>
          <w:kern w:val="0"/>
          <w:lang w:eastAsia="en-GB"/>
          <w14:ligatures w14:val="none"/>
        </w:rPr>
        <w:t xml:space="preserve">. (Accessed: </w:t>
      </w:r>
      <w:r w:rsidRPr="000E485A">
        <w:rPr>
          <w:rFonts w:ascii="Arial" w:eastAsia="Times New Roman" w:hAnsi="Arial" w:cs="Arial"/>
          <w:kern w:val="0"/>
          <w:lang w:eastAsia="en-GB"/>
          <w14:ligatures w14:val="none"/>
        </w:rPr>
        <w:t xml:space="preserve">8 </w:t>
      </w:r>
      <w:r w:rsidRPr="000E485A">
        <w:rPr>
          <w:rFonts w:ascii="Arial" w:eastAsia="Times New Roman" w:hAnsi="Arial" w:cs="Arial"/>
          <w:kern w:val="0"/>
          <w:lang w:eastAsia="en-GB"/>
          <w14:ligatures w14:val="none"/>
        </w:rPr>
        <w:t>March 2026).</w:t>
      </w:r>
    </w:p>
    <w:p w14:paraId="2D1F9B90" w14:textId="5B7E5E97" w:rsidR="00034F6D" w:rsidRPr="000E485A"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t xml:space="preserve">Statista (2024) </w:t>
      </w:r>
      <w:r w:rsidRPr="000E485A">
        <w:rPr>
          <w:rFonts w:ascii="Arial" w:eastAsia="Times New Roman" w:hAnsi="Arial" w:cs="Arial"/>
          <w:i/>
          <w:iCs/>
          <w:kern w:val="0"/>
          <w:lang w:eastAsia="en-GB"/>
          <w14:ligatures w14:val="none"/>
        </w:rPr>
        <w:t>Functional beverage market size worldwide</w:t>
      </w:r>
      <w:r w:rsidRPr="000E485A">
        <w:rPr>
          <w:rFonts w:ascii="Arial" w:eastAsia="Times New Roman" w:hAnsi="Arial" w:cs="Arial"/>
          <w:kern w:val="0"/>
          <w:lang w:eastAsia="en-GB"/>
          <w14:ligatures w14:val="none"/>
        </w:rPr>
        <w:t>. (Accessed: 1</w:t>
      </w:r>
      <w:r w:rsidRPr="000E485A">
        <w:rPr>
          <w:rFonts w:ascii="Arial" w:eastAsia="Times New Roman" w:hAnsi="Arial" w:cs="Arial"/>
          <w:kern w:val="0"/>
          <w:lang w:eastAsia="en-GB"/>
          <w14:ligatures w14:val="none"/>
        </w:rPr>
        <w:t>0</w:t>
      </w:r>
      <w:r w:rsidRPr="000E485A">
        <w:rPr>
          <w:rFonts w:ascii="Arial" w:eastAsia="Times New Roman" w:hAnsi="Arial" w:cs="Arial"/>
          <w:kern w:val="0"/>
          <w:lang w:eastAsia="en-GB"/>
          <w14:ligatures w14:val="none"/>
        </w:rPr>
        <w:t xml:space="preserve"> March 2026).</w:t>
      </w:r>
    </w:p>
    <w:p w14:paraId="309FA8EC" w14:textId="77777777" w:rsidR="00034F6D" w:rsidRDefault="00034F6D" w:rsidP="00034F6D">
      <w:pPr>
        <w:spacing w:before="100" w:beforeAutospacing="1" w:after="100" w:afterAutospacing="1" w:line="240" w:lineRule="auto"/>
        <w:rPr>
          <w:rFonts w:ascii="Arial" w:eastAsia="Times New Roman" w:hAnsi="Arial" w:cs="Arial"/>
          <w:kern w:val="0"/>
          <w:lang w:eastAsia="en-GB"/>
          <w14:ligatures w14:val="none"/>
        </w:rPr>
      </w:pPr>
      <w:r w:rsidRPr="000E485A">
        <w:rPr>
          <w:rFonts w:ascii="Arial" w:eastAsia="Times New Roman" w:hAnsi="Arial" w:cs="Arial"/>
          <w:kern w:val="0"/>
          <w:lang w:eastAsia="en-GB"/>
          <w14:ligatures w14:val="none"/>
        </w:rPr>
        <w:t xml:space="preserve">Mintel (2023) </w:t>
      </w:r>
      <w:r w:rsidRPr="000E485A">
        <w:rPr>
          <w:rFonts w:ascii="Arial" w:eastAsia="Times New Roman" w:hAnsi="Arial" w:cs="Arial"/>
          <w:i/>
          <w:iCs/>
          <w:kern w:val="0"/>
          <w:lang w:eastAsia="en-GB"/>
          <w14:ligatures w14:val="none"/>
        </w:rPr>
        <w:t>UK healthy beverage market report</w:t>
      </w:r>
      <w:r w:rsidRPr="000E485A">
        <w:rPr>
          <w:rFonts w:ascii="Arial" w:eastAsia="Times New Roman" w:hAnsi="Arial" w:cs="Arial"/>
          <w:kern w:val="0"/>
          <w:lang w:eastAsia="en-GB"/>
          <w14:ligatures w14:val="none"/>
        </w:rPr>
        <w:t>. London: Mintel Group Ltd.</w:t>
      </w:r>
    </w:p>
    <w:p w14:paraId="1E38C3B0" w14:textId="2CDA34AD" w:rsidR="000E485A" w:rsidRDefault="000E485A" w:rsidP="00034F6D">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Brown, R. and Grayson, D. (2008) Innocent Drinks: Values and Value. </w:t>
      </w:r>
    </w:p>
    <w:p w14:paraId="33E6D367" w14:textId="10806F3C" w:rsidR="00EB3816" w:rsidRDefault="00EB3816" w:rsidP="00034F6D">
      <w:pPr>
        <w:spacing w:before="100" w:beforeAutospacing="1" w:after="100" w:afterAutospacing="1" w:line="240" w:lineRule="auto"/>
        <w:rPr>
          <w:rFonts w:ascii="Arial" w:eastAsia="Times New Roman" w:hAnsi="Arial" w:cs="Arial"/>
          <w:kern w:val="0"/>
          <w:lang w:val="it-IT" w:eastAsia="en-GB"/>
          <w14:ligatures w14:val="none"/>
        </w:rPr>
      </w:pPr>
      <w:proofErr w:type="spellStart"/>
      <w:r w:rsidRPr="00EB3816">
        <w:rPr>
          <w:rFonts w:ascii="Arial" w:eastAsia="Times New Roman" w:hAnsi="Arial" w:cs="Arial"/>
          <w:kern w:val="0"/>
          <w:lang w:val="it-IT" w:eastAsia="en-GB"/>
          <w14:ligatures w14:val="none"/>
        </w:rPr>
        <w:t>Nosratabadi</w:t>
      </w:r>
      <w:proofErr w:type="spellEnd"/>
      <w:r w:rsidRPr="00EB3816">
        <w:rPr>
          <w:rFonts w:ascii="Arial" w:eastAsia="Times New Roman" w:hAnsi="Arial" w:cs="Arial"/>
          <w:kern w:val="0"/>
          <w:lang w:val="it-IT" w:eastAsia="en-GB"/>
          <w14:ligatures w14:val="none"/>
        </w:rPr>
        <w:t xml:space="preserve">, S. et al. (2019) </w:t>
      </w:r>
      <w:proofErr w:type="spellStart"/>
      <w:r w:rsidRPr="00EB3816">
        <w:rPr>
          <w:rFonts w:ascii="Arial" w:eastAsia="Times New Roman" w:hAnsi="Arial" w:cs="Arial"/>
          <w:kern w:val="0"/>
          <w:lang w:val="it-IT" w:eastAsia="en-GB"/>
          <w14:ligatures w14:val="none"/>
        </w:rPr>
        <w:t>Su</w:t>
      </w:r>
      <w:r>
        <w:rPr>
          <w:rFonts w:ascii="Arial" w:eastAsia="Times New Roman" w:hAnsi="Arial" w:cs="Arial"/>
          <w:kern w:val="0"/>
          <w:lang w:val="it-IT" w:eastAsia="en-GB"/>
          <w14:ligatures w14:val="none"/>
        </w:rPr>
        <w:t>stainable</w:t>
      </w:r>
      <w:proofErr w:type="spellEnd"/>
      <w:r>
        <w:rPr>
          <w:rFonts w:ascii="Arial" w:eastAsia="Times New Roman" w:hAnsi="Arial" w:cs="Arial"/>
          <w:kern w:val="0"/>
          <w:lang w:val="it-IT" w:eastAsia="en-GB"/>
          <w14:ligatures w14:val="none"/>
        </w:rPr>
        <w:t xml:space="preserve"> business models. </w:t>
      </w:r>
    </w:p>
    <w:p w14:paraId="4328362B" w14:textId="5D74B6C2" w:rsidR="00EB3816" w:rsidRPr="00EB3816" w:rsidRDefault="00EB3816" w:rsidP="00034F6D">
      <w:pPr>
        <w:spacing w:before="100" w:beforeAutospacing="1" w:after="100" w:afterAutospacing="1" w:line="240" w:lineRule="auto"/>
        <w:rPr>
          <w:rFonts w:ascii="Arial" w:eastAsia="Times New Roman" w:hAnsi="Arial" w:cs="Arial"/>
          <w:kern w:val="0"/>
          <w:lang w:eastAsia="en-GB"/>
          <w14:ligatures w14:val="none"/>
        </w:rPr>
      </w:pPr>
      <w:r w:rsidRPr="00EB3816">
        <w:rPr>
          <w:rFonts w:ascii="Arial" w:eastAsia="Times New Roman" w:hAnsi="Arial" w:cs="Arial"/>
          <w:kern w:val="0"/>
          <w:lang w:eastAsia="en-GB"/>
          <w14:ligatures w14:val="none"/>
        </w:rPr>
        <w:t>Porter, M.E and Kr</w:t>
      </w:r>
      <w:r>
        <w:rPr>
          <w:rFonts w:ascii="Arial" w:eastAsia="Times New Roman" w:hAnsi="Arial" w:cs="Arial"/>
          <w:kern w:val="0"/>
          <w:lang w:eastAsia="en-GB"/>
          <w14:ligatures w14:val="none"/>
        </w:rPr>
        <w:t>amer, M.R. (2011) Creating shared value</w:t>
      </w:r>
      <w:r w:rsidR="00173574">
        <w:rPr>
          <w:rFonts w:ascii="Arial" w:eastAsia="Times New Roman" w:hAnsi="Arial" w:cs="Arial"/>
          <w:kern w:val="0"/>
          <w:lang w:eastAsia="en-GB"/>
          <w14:ligatures w14:val="none"/>
        </w:rPr>
        <w:t>.</w:t>
      </w:r>
    </w:p>
    <w:p w14:paraId="35743C8B" w14:textId="77777777" w:rsidR="006471E6" w:rsidRPr="00EB3816" w:rsidRDefault="006471E6" w:rsidP="006471E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EC2A7B9" w14:textId="77777777" w:rsidR="006471E6" w:rsidRPr="00EB3816" w:rsidRDefault="006471E6" w:rsidP="001845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75774CA" w14:textId="77777777" w:rsidR="001845B7" w:rsidRPr="00EB3816" w:rsidRDefault="001845B7" w:rsidP="001845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DB9E022" w14:textId="77777777" w:rsidR="001845B7" w:rsidRPr="00EB3816" w:rsidRDefault="001845B7" w:rsidP="001845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8A595BE" w14:textId="77777777" w:rsidR="001845B7" w:rsidRPr="00EB3816" w:rsidRDefault="001845B7" w:rsidP="001845B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A0467B4" w14:textId="77777777" w:rsidR="00C4393A" w:rsidRPr="00EB3816" w:rsidRDefault="00C4393A" w:rsidP="00366B0D">
      <w:pPr>
        <w:rPr>
          <w:rFonts w:ascii="Arial" w:eastAsia="Arial" w:hAnsi="Arial" w:cs="Arial"/>
          <w:kern w:val="0"/>
          <w:sz w:val="22"/>
          <w:szCs w:val="22"/>
          <w14:ligatures w14:val="none"/>
        </w:rPr>
      </w:pPr>
    </w:p>
    <w:p w14:paraId="524C1512" w14:textId="77777777" w:rsidR="00C4393A" w:rsidRPr="00EB3816" w:rsidRDefault="00C4393A" w:rsidP="00366B0D">
      <w:pPr>
        <w:rPr>
          <w:rFonts w:ascii="Arial" w:eastAsia="Arial" w:hAnsi="Arial" w:cs="Arial"/>
          <w:kern w:val="0"/>
          <w:sz w:val="22"/>
          <w:szCs w:val="22"/>
          <w14:ligatures w14:val="none"/>
        </w:rPr>
      </w:pPr>
    </w:p>
    <w:p w14:paraId="335F0D0F" w14:textId="77777777" w:rsidR="00C4393A" w:rsidRPr="00EB3816" w:rsidRDefault="00C4393A" w:rsidP="00366B0D">
      <w:pPr>
        <w:rPr>
          <w:rFonts w:ascii="Arial" w:eastAsia="Arial" w:hAnsi="Arial" w:cs="Arial"/>
          <w:kern w:val="0"/>
          <w:sz w:val="22"/>
          <w:szCs w:val="22"/>
          <w14:ligatures w14:val="none"/>
        </w:rPr>
      </w:pPr>
    </w:p>
    <w:p w14:paraId="5E76813D" w14:textId="77777777" w:rsidR="00C4393A" w:rsidRPr="00EB3816" w:rsidRDefault="00C4393A" w:rsidP="00366B0D">
      <w:pPr>
        <w:rPr>
          <w:rFonts w:ascii="Arial" w:eastAsia="Arial" w:hAnsi="Arial" w:cs="Arial"/>
          <w:kern w:val="0"/>
          <w:sz w:val="22"/>
          <w:szCs w:val="22"/>
          <w14:ligatures w14:val="none"/>
        </w:rPr>
      </w:pPr>
    </w:p>
    <w:p w14:paraId="21700DD9" w14:textId="77777777" w:rsidR="00C4393A" w:rsidRPr="00EB3816" w:rsidRDefault="00C4393A" w:rsidP="00366B0D">
      <w:pPr>
        <w:rPr>
          <w:rFonts w:ascii="Arial" w:eastAsia="Arial" w:hAnsi="Arial" w:cs="Arial"/>
          <w:kern w:val="0"/>
          <w:sz w:val="22"/>
          <w:szCs w:val="22"/>
          <w14:ligatures w14:val="none"/>
        </w:rPr>
      </w:pPr>
    </w:p>
    <w:p w14:paraId="62D8B94A" w14:textId="77777777" w:rsidR="00C4393A" w:rsidRPr="00EB3816" w:rsidRDefault="00C4393A" w:rsidP="00366B0D">
      <w:pPr>
        <w:rPr>
          <w:rFonts w:ascii="Arial" w:eastAsia="Arial" w:hAnsi="Arial" w:cs="Arial"/>
          <w:kern w:val="0"/>
          <w:sz w:val="22"/>
          <w:szCs w:val="22"/>
          <w14:ligatures w14:val="none"/>
        </w:rPr>
      </w:pPr>
    </w:p>
    <w:p w14:paraId="261066AC" w14:textId="77777777" w:rsidR="00C4393A" w:rsidRPr="00EB3816" w:rsidRDefault="00C4393A" w:rsidP="00366B0D">
      <w:pPr>
        <w:rPr>
          <w:rFonts w:ascii="Arial" w:eastAsia="Arial" w:hAnsi="Arial" w:cs="Arial"/>
          <w:kern w:val="0"/>
          <w:sz w:val="22"/>
          <w:szCs w:val="22"/>
          <w14:ligatures w14:val="none"/>
        </w:rPr>
      </w:pPr>
    </w:p>
    <w:p w14:paraId="4871E178" w14:textId="77777777" w:rsidR="00C4393A" w:rsidRPr="00EB3816" w:rsidRDefault="00C4393A" w:rsidP="00366B0D">
      <w:pPr>
        <w:rPr>
          <w:rFonts w:ascii="Arial" w:eastAsia="Arial" w:hAnsi="Arial" w:cs="Arial"/>
          <w:kern w:val="0"/>
          <w:sz w:val="22"/>
          <w:szCs w:val="22"/>
          <w14:ligatures w14:val="none"/>
        </w:rPr>
      </w:pPr>
    </w:p>
    <w:p w14:paraId="5A0899EE" w14:textId="77777777" w:rsidR="00C4393A" w:rsidRPr="00EB3816" w:rsidRDefault="00C4393A" w:rsidP="00366B0D">
      <w:pPr>
        <w:rPr>
          <w:rFonts w:ascii="Arial" w:eastAsia="Arial" w:hAnsi="Arial" w:cs="Arial"/>
          <w:kern w:val="0"/>
          <w:sz w:val="22"/>
          <w:szCs w:val="22"/>
          <w14:ligatures w14:val="none"/>
        </w:rPr>
      </w:pPr>
    </w:p>
    <w:p w14:paraId="611F23F8" w14:textId="77777777" w:rsidR="00C4393A" w:rsidRPr="00EB3816" w:rsidRDefault="00C4393A" w:rsidP="00366B0D">
      <w:pPr>
        <w:rPr>
          <w:rFonts w:ascii="Arial" w:eastAsia="Arial" w:hAnsi="Arial" w:cs="Arial"/>
          <w:kern w:val="0"/>
          <w:sz w:val="22"/>
          <w:szCs w:val="22"/>
          <w14:ligatures w14:val="none"/>
        </w:rPr>
      </w:pPr>
    </w:p>
    <w:p w14:paraId="46BD95FA" w14:textId="77777777" w:rsidR="00C4393A" w:rsidRPr="00EB3816" w:rsidRDefault="00C4393A" w:rsidP="00366B0D">
      <w:pPr>
        <w:rPr>
          <w:rFonts w:ascii="Arial" w:eastAsia="Arial" w:hAnsi="Arial" w:cs="Arial"/>
          <w:kern w:val="0"/>
          <w:sz w:val="22"/>
          <w:szCs w:val="22"/>
          <w14:ligatures w14:val="none"/>
        </w:rPr>
      </w:pPr>
    </w:p>
    <w:p w14:paraId="1F11A120" w14:textId="77777777" w:rsidR="00C4393A" w:rsidRPr="00EB3816" w:rsidRDefault="00C4393A" w:rsidP="00366B0D">
      <w:pPr>
        <w:rPr>
          <w:rFonts w:ascii="Arial" w:eastAsia="Arial" w:hAnsi="Arial" w:cs="Arial"/>
          <w:kern w:val="0"/>
          <w:sz w:val="22"/>
          <w:szCs w:val="22"/>
          <w14:ligatures w14:val="none"/>
        </w:rPr>
      </w:pPr>
    </w:p>
    <w:p w14:paraId="1533127E" w14:textId="77777777" w:rsidR="00C4393A" w:rsidRPr="00EB3816" w:rsidRDefault="00C4393A" w:rsidP="00366B0D">
      <w:pPr>
        <w:rPr>
          <w:rFonts w:ascii="Arial" w:eastAsia="Arial" w:hAnsi="Arial" w:cs="Arial"/>
          <w:kern w:val="0"/>
          <w:sz w:val="22"/>
          <w:szCs w:val="22"/>
          <w14:ligatures w14:val="none"/>
        </w:rPr>
      </w:pPr>
    </w:p>
    <w:p w14:paraId="70805B59" w14:textId="77777777" w:rsidR="00C4393A" w:rsidRPr="00EB3816" w:rsidRDefault="00C4393A" w:rsidP="00366B0D">
      <w:pPr>
        <w:rPr>
          <w:rFonts w:ascii="Arial" w:eastAsia="Arial" w:hAnsi="Arial" w:cs="Arial"/>
          <w:kern w:val="0"/>
          <w:sz w:val="22"/>
          <w:szCs w:val="22"/>
          <w14:ligatures w14:val="none"/>
        </w:rPr>
      </w:pPr>
    </w:p>
    <w:p w14:paraId="58BDB27B" w14:textId="77777777" w:rsidR="00C4393A" w:rsidRPr="00EB3816" w:rsidRDefault="00C4393A" w:rsidP="00366B0D">
      <w:pPr>
        <w:rPr>
          <w:rFonts w:ascii="Arial" w:eastAsia="Arial" w:hAnsi="Arial" w:cs="Arial"/>
          <w:kern w:val="0"/>
          <w:sz w:val="22"/>
          <w:szCs w:val="22"/>
          <w14:ligatures w14:val="none"/>
        </w:rPr>
      </w:pPr>
    </w:p>
    <w:p w14:paraId="20FBF6B1" w14:textId="77777777" w:rsidR="00C4393A" w:rsidRPr="00EB3816" w:rsidRDefault="00C4393A" w:rsidP="00366B0D">
      <w:pPr>
        <w:rPr>
          <w:rFonts w:ascii="Arial" w:eastAsia="Arial" w:hAnsi="Arial" w:cs="Arial"/>
          <w:kern w:val="0"/>
          <w:sz w:val="22"/>
          <w:szCs w:val="22"/>
          <w14:ligatures w14:val="none"/>
        </w:rPr>
      </w:pPr>
    </w:p>
    <w:p w14:paraId="40C559C9" w14:textId="77777777" w:rsidR="00C4393A" w:rsidRPr="00EB3816" w:rsidRDefault="00C4393A" w:rsidP="00366B0D">
      <w:pPr>
        <w:rPr>
          <w:rFonts w:ascii="Arial" w:eastAsia="Arial" w:hAnsi="Arial" w:cs="Arial"/>
          <w:kern w:val="0"/>
          <w:sz w:val="22"/>
          <w:szCs w:val="22"/>
          <w14:ligatures w14:val="none"/>
        </w:rPr>
      </w:pPr>
    </w:p>
    <w:p w14:paraId="1BDBC13D" w14:textId="77777777" w:rsidR="00366B0D" w:rsidRPr="00EB3816" w:rsidRDefault="00366B0D" w:rsidP="00366B0D">
      <w:pPr>
        <w:rPr>
          <w:rFonts w:ascii="Times New Roman" w:eastAsia="Arial" w:hAnsi="Times New Roman" w:cs="Times New Roman"/>
          <w:kern w:val="0"/>
          <w:sz w:val="28"/>
          <w:szCs w:val="28"/>
          <w14:ligatures w14:val="none"/>
        </w:rPr>
      </w:pPr>
    </w:p>
    <w:p w14:paraId="5B980D88" w14:textId="202162B8" w:rsidR="00A14625" w:rsidRPr="00EB3816" w:rsidRDefault="00A14625" w:rsidP="00A14625">
      <w:pPr>
        <w:rPr>
          <w:lang w:eastAsia="en-GB"/>
        </w:rPr>
      </w:pPr>
    </w:p>
    <w:p w14:paraId="497156D8" w14:textId="77777777" w:rsidR="00A14625" w:rsidRPr="00EB3816" w:rsidRDefault="00A14625" w:rsidP="004815D2">
      <w:pPr>
        <w:rPr>
          <w:lang w:eastAsia="en-GB"/>
        </w:rPr>
      </w:pPr>
    </w:p>
    <w:p w14:paraId="1C674965" w14:textId="77777777" w:rsidR="008B55AE" w:rsidRPr="00EB3816" w:rsidRDefault="008B55AE" w:rsidP="008B55AE">
      <w:pPr>
        <w:spacing w:before="100" w:beforeAutospacing="1" w:after="100" w:afterAutospacing="1" w:line="240" w:lineRule="auto"/>
        <w:rPr>
          <w:rFonts w:ascii="Arial" w:eastAsia="Times New Roman" w:hAnsi="Arial" w:cs="Arial"/>
          <w:kern w:val="0"/>
          <w:sz w:val="22"/>
          <w:szCs w:val="22"/>
          <w:lang w:eastAsia="en-GB"/>
          <w14:ligatures w14:val="none"/>
        </w:rPr>
      </w:pPr>
    </w:p>
    <w:p w14:paraId="7A48A080" w14:textId="77777777" w:rsidR="008B55AE" w:rsidRPr="00EB3816" w:rsidRDefault="008B55AE" w:rsidP="008B55AE">
      <w:pPr>
        <w:spacing w:before="100" w:beforeAutospacing="1" w:after="100" w:afterAutospacing="1" w:line="240" w:lineRule="auto"/>
        <w:rPr>
          <w:rFonts w:ascii="Arial" w:eastAsia="Times New Roman" w:hAnsi="Arial" w:cs="Arial"/>
          <w:kern w:val="0"/>
          <w:sz w:val="22"/>
          <w:szCs w:val="22"/>
          <w:lang w:eastAsia="en-GB"/>
          <w14:ligatures w14:val="none"/>
        </w:rPr>
      </w:pPr>
    </w:p>
    <w:p w14:paraId="73F1C1A7" w14:textId="77777777" w:rsidR="008B55AE" w:rsidRPr="00EB3816" w:rsidRDefault="008B55AE" w:rsidP="00366B0D">
      <w:pPr>
        <w:spacing w:before="100" w:beforeAutospacing="1" w:after="100" w:afterAutospacing="1" w:line="240" w:lineRule="auto"/>
        <w:rPr>
          <w:rFonts w:ascii="Arial" w:eastAsia="Times New Roman" w:hAnsi="Arial" w:cs="Arial"/>
          <w:kern w:val="0"/>
          <w:sz w:val="22"/>
          <w:szCs w:val="22"/>
          <w:lang w:eastAsia="en-GB"/>
          <w14:ligatures w14:val="none"/>
        </w:rPr>
      </w:pPr>
    </w:p>
    <w:p w14:paraId="50BA4CB3" w14:textId="77777777" w:rsidR="00366B0D" w:rsidRPr="00EB3816" w:rsidRDefault="00366B0D" w:rsidP="00366B0D">
      <w:pPr>
        <w:rPr>
          <w:rFonts w:ascii="Times New Roman" w:eastAsia="Arial" w:hAnsi="Times New Roman" w:cs="Times New Roman"/>
          <w:kern w:val="0"/>
          <w:sz w:val="28"/>
          <w:szCs w:val="28"/>
          <w14:ligatures w14:val="none"/>
        </w:rPr>
      </w:pPr>
    </w:p>
    <w:p w14:paraId="7D07667C" w14:textId="77777777" w:rsidR="00366B0D" w:rsidRPr="00EB3816" w:rsidRDefault="00366B0D" w:rsidP="00366B0D">
      <w:pPr>
        <w:rPr>
          <w:rFonts w:ascii="Times New Roman" w:hAnsi="Times New Roman" w:cs="Times New Roman"/>
          <w:sz w:val="28"/>
          <w:szCs w:val="28"/>
        </w:rPr>
      </w:pPr>
    </w:p>
    <w:sectPr w:rsidR="00366B0D" w:rsidRPr="00EB38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C56AF"/>
    <w:multiLevelType w:val="multilevel"/>
    <w:tmpl w:val="7B3AD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6778DD"/>
    <w:multiLevelType w:val="multilevel"/>
    <w:tmpl w:val="0CB0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854334"/>
    <w:multiLevelType w:val="multilevel"/>
    <w:tmpl w:val="B79A2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957EC8"/>
    <w:multiLevelType w:val="multilevel"/>
    <w:tmpl w:val="008C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61310B"/>
    <w:multiLevelType w:val="multilevel"/>
    <w:tmpl w:val="3E7E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222B7D"/>
    <w:multiLevelType w:val="multilevel"/>
    <w:tmpl w:val="167C1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CF3422"/>
    <w:multiLevelType w:val="multilevel"/>
    <w:tmpl w:val="80E6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803A02"/>
    <w:multiLevelType w:val="multilevel"/>
    <w:tmpl w:val="56706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8A0FD2"/>
    <w:multiLevelType w:val="multilevel"/>
    <w:tmpl w:val="5022B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63803"/>
    <w:multiLevelType w:val="multilevel"/>
    <w:tmpl w:val="26A4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6761434">
    <w:abstractNumId w:val="5"/>
  </w:num>
  <w:num w:numId="2" w16cid:durableId="431359574">
    <w:abstractNumId w:val="7"/>
  </w:num>
  <w:num w:numId="3" w16cid:durableId="1289051366">
    <w:abstractNumId w:val="4"/>
  </w:num>
  <w:num w:numId="4" w16cid:durableId="561331512">
    <w:abstractNumId w:val="8"/>
  </w:num>
  <w:num w:numId="5" w16cid:durableId="898057728">
    <w:abstractNumId w:val="6"/>
  </w:num>
  <w:num w:numId="6" w16cid:durableId="1867479953">
    <w:abstractNumId w:val="2"/>
  </w:num>
  <w:num w:numId="7" w16cid:durableId="960308588">
    <w:abstractNumId w:val="3"/>
  </w:num>
  <w:num w:numId="8" w16cid:durableId="325017834">
    <w:abstractNumId w:val="1"/>
  </w:num>
  <w:num w:numId="9" w16cid:durableId="1761558738">
    <w:abstractNumId w:val="0"/>
  </w:num>
  <w:num w:numId="10" w16cid:durableId="2145149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B0D"/>
    <w:rsid w:val="00034F6D"/>
    <w:rsid w:val="000E485A"/>
    <w:rsid w:val="00165C52"/>
    <w:rsid w:val="00173574"/>
    <w:rsid w:val="001845B7"/>
    <w:rsid w:val="0021492A"/>
    <w:rsid w:val="00366B0D"/>
    <w:rsid w:val="003C34E7"/>
    <w:rsid w:val="004815D2"/>
    <w:rsid w:val="00585E11"/>
    <w:rsid w:val="006471E6"/>
    <w:rsid w:val="006E1BF8"/>
    <w:rsid w:val="00703B09"/>
    <w:rsid w:val="008B55AE"/>
    <w:rsid w:val="00A14625"/>
    <w:rsid w:val="00A84B3E"/>
    <w:rsid w:val="00C4393A"/>
    <w:rsid w:val="00D348CD"/>
    <w:rsid w:val="00EB3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EC308"/>
  <w15:chartTrackingRefBased/>
  <w15:docId w15:val="{7AB62998-B89D-4104-BA1D-892AD671D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B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B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B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B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B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B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B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B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B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B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B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B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B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B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B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B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B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B0D"/>
    <w:rPr>
      <w:rFonts w:eastAsiaTheme="majorEastAsia" w:cstheme="majorBidi"/>
      <w:color w:val="272727" w:themeColor="text1" w:themeTint="D8"/>
    </w:rPr>
  </w:style>
  <w:style w:type="paragraph" w:styleId="Title">
    <w:name w:val="Title"/>
    <w:basedOn w:val="Normal"/>
    <w:next w:val="Normal"/>
    <w:link w:val="TitleChar"/>
    <w:uiPriority w:val="10"/>
    <w:qFormat/>
    <w:rsid w:val="00366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B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B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B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B0D"/>
    <w:pPr>
      <w:spacing w:before="160"/>
      <w:jc w:val="center"/>
    </w:pPr>
    <w:rPr>
      <w:i/>
      <w:iCs/>
      <w:color w:val="404040" w:themeColor="text1" w:themeTint="BF"/>
    </w:rPr>
  </w:style>
  <w:style w:type="character" w:customStyle="1" w:styleId="QuoteChar">
    <w:name w:val="Quote Char"/>
    <w:basedOn w:val="DefaultParagraphFont"/>
    <w:link w:val="Quote"/>
    <w:uiPriority w:val="29"/>
    <w:rsid w:val="00366B0D"/>
    <w:rPr>
      <w:i/>
      <w:iCs/>
      <w:color w:val="404040" w:themeColor="text1" w:themeTint="BF"/>
    </w:rPr>
  </w:style>
  <w:style w:type="paragraph" w:styleId="ListParagraph">
    <w:name w:val="List Paragraph"/>
    <w:basedOn w:val="Normal"/>
    <w:uiPriority w:val="34"/>
    <w:qFormat/>
    <w:rsid w:val="00366B0D"/>
    <w:pPr>
      <w:ind w:left="720"/>
      <w:contextualSpacing/>
    </w:pPr>
  </w:style>
  <w:style w:type="character" w:styleId="IntenseEmphasis">
    <w:name w:val="Intense Emphasis"/>
    <w:basedOn w:val="DefaultParagraphFont"/>
    <w:uiPriority w:val="21"/>
    <w:qFormat/>
    <w:rsid w:val="00366B0D"/>
    <w:rPr>
      <w:i/>
      <w:iCs/>
      <w:color w:val="0F4761" w:themeColor="accent1" w:themeShade="BF"/>
    </w:rPr>
  </w:style>
  <w:style w:type="paragraph" w:styleId="IntenseQuote">
    <w:name w:val="Intense Quote"/>
    <w:basedOn w:val="Normal"/>
    <w:next w:val="Normal"/>
    <w:link w:val="IntenseQuoteChar"/>
    <w:uiPriority w:val="30"/>
    <w:qFormat/>
    <w:rsid w:val="00366B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B0D"/>
    <w:rPr>
      <w:i/>
      <w:iCs/>
      <w:color w:val="0F4761" w:themeColor="accent1" w:themeShade="BF"/>
    </w:rPr>
  </w:style>
  <w:style w:type="character" w:styleId="IntenseReference">
    <w:name w:val="Intense Reference"/>
    <w:basedOn w:val="DefaultParagraphFont"/>
    <w:uiPriority w:val="32"/>
    <w:qFormat/>
    <w:rsid w:val="00366B0D"/>
    <w:rPr>
      <w:b/>
      <w:bCs/>
      <w:smallCaps/>
      <w:color w:val="0F4761" w:themeColor="accent1" w:themeShade="BF"/>
      <w:spacing w:val="5"/>
    </w:rPr>
  </w:style>
  <w:style w:type="paragraph" w:styleId="NoSpacing">
    <w:name w:val="No Spacing"/>
    <w:uiPriority w:val="1"/>
    <w:qFormat/>
    <w:rsid w:val="00366B0D"/>
    <w:pPr>
      <w:spacing w:after="0" w:line="240" w:lineRule="auto"/>
    </w:pPr>
  </w:style>
  <w:style w:type="paragraph" w:styleId="NormalWeb">
    <w:name w:val="Normal (Web)"/>
    <w:basedOn w:val="Normal"/>
    <w:uiPriority w:val="99"/>
    <w:semiHidden/>
    <w:unhideWhenUsed/>
    <w:rsid w:val="008B55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4815D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815D2"/>
    <w:pPr>
      <w:spacing w:after="100"/>
    </w:pPr>
  </w:style>
  <w:style w:type="paragraph" w:styleId="TOC2">
    <w:name w:val="toc 2"/>
    <w:basedOn w:val="Normal"/>
    <w:next w:val="Normal"/>
    <w:autoRedefine/>
    <w:uiPriority w:val="39"/>
    <w:unhideWhenUsed/>
    <w:rsid w:val="004815D2"/>
    <w:pPr>
      <w:spacing w:after="100"/>
      <w:ind w:left="240"/>
    </w:pPr>
  </w:style>
  <w:style w:type="paragraph" w:styleId="TOC3">
    <w:name w:val="toc 3"/>
    <w:basedOn w:val="Normal"/>
    <w:next w:val="Normal"/>
    <w:autoRedefine/>
    <w:uiPriority w:val="39"/>
    <w:unhideWhenUsed/>
    <w:rsid w:val="004815D2"/>
    <w:pPr>
      <w:spacing w:after="100"/>
      <w:ind w:left="480"/>
    </w:pPr>
  </w:style>
  <w:style w:type="character" w:styleId="Hyperlink">
    <w:name w:val="Hyperlink"/>
    <w:basedOn w:val="DefaultParagraphFont"/>
    <w:uiPriority w:val="99"/>
    <w:unhideWhenUsed/>
    <w:rsid w:val="004815D2"/>
    <w:rPr>
      <w:color w:val="467886" w:themeColor="hyperlink"/>
      <w:u w:val="single"/>
    </w:rPr>
  </w:style>
  <w:style w:type="character" w:customStyle="1" w:styleId="whitespace-normal">
    <w:name w:val="whitespace-normal"/>
    <w:basedOn w:val="DefaultParagraphFont"/>
    <w:rsid w:val="00034F6D"/>
  </w:style>
  <w:style w:type="character" w:styleId="Emphasis">
    <w:name w:val="Emphasis"/>
    <w:basedOn w:val="DefaultParagraphFont"/>
    <w:uiPriority w:val="20"/>
    <w:qFormat/>
    <w:rsid w:val="00034F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BAC4A-3215-4154-86C6-1035337FE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4278</Words>
  <Characters>24390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Ariana-Gabriela Bonea (2314969)</dc:creator>
  <cp:keywords/>
  <dc:description/>
  <cp:lastModifiedBy>Ariana-Gabriela Bonea (2314969)</cp:lastModifiedBy>
  <cp:revision>2</cp:revision>
  <dcterms:created xsi:type="dcterms:W3CDTF">2026-03-15T15:17:00Z</dcterms:created>
  <dcterms:modified xsi:type="dcterms:W3CDTF">2026-03-15T15:17:00Z</dcterms:modified>
</cp:coreProperties>
</file>