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952E2" w14:textId="77777777" w:rsidR="008171D2" w:rsidRDefault="008171D2" w:rsidP="008171D2">
      <w:pPr>
        <w:spacing w:after="160" w:line="259" w:lineRule="auto"/>
        <w:ind w:firstLine="0"/>
        <w:jc w:val="center"/>
        <w:rPr>
          <w:b/>
          <w:bCs/>
        </w:rPr>
      </w:pPr>
    </w:p>
    <w:p w14:paraId="2ACD5236" w14:textId="77777777" w:rsidR="008171D2" w:rsidRDefault="008171D2" w:rsidP="008171D2">
      <w:pPr>
        <w:spacing w:after="160" w:line="259" w:lineRule="auto"/>
        <w:ind w:firstLine="0"/>
        <w:jc w:val="center"/>
        <w:rPr>
          <w:b/>
          <w:bCs/>
        </w:rPr>
      </w:pPr>
    </w:p>
    <w:p w14:paraId="21D7BE9B" w14:textId="77777777" w:rsidR="008171D2" w:rsidRDefault="008171D2" w:rsidP="008171D2">
      <w:pPr>
        <w:spacing w:after="160" w:line="259" w:lineRule="auto"/>
        <w:ind w:firstLine="0"/>
        <w:jc w:val="center"/>
        <w:rPr>
          <w:b/>
          <w:bCs/>
        </w:rPr>
      </w:pPr>
    </w:p>
    <w:p w14:paraId="6CB803BE" w14:textId="77777777" w:rsidR="008171D2" w:rsidRDefault="008171D2" w:rsidP="008171D2">
      <w:pPr>
        <w:spacing w:after="160" w:line="259" w:lineRule="auto"/>
        <w:ind w:firstLine="0"/>
        <w:jc w:val="center"/>
        <w:rPr>
          <w:b/>
          <w:bCs/>
        </w:rPr>
      </w:pPr>
    </w:p>
    <w:p w14:paraId="6A747C25" w14:textId="77777777" w:rsidR="008171D2" w:rsidRDefault="008171D2" w:rsidP="008171D2">
      <w:pPr>
        <w:spacing w:after="160" w:line="259" w:lineRule="auto"/>
        <w:ind w:firstLine="0"/>
        <w:jc w:val="center"/>
        <w:rPr>
          <w:b/>
          <w:bCs/>
        </w:rPr>
      </w:pPr>
    </w:p>
    <w:p w14:paraId="11CB757B" w14:textId="77777777" w:rsidR="008171D2" w:rsidRDefault="008171D2" w:rsidP="008171D2">
      <w:pPr>
        <w:spacing w:after="160" w:line="259" w:lineRule="auto"/>
        <w:ind w:firstLine="0"/>
        <w:jc w:val="center"/>
        <w:rPr>
          <w:b/>
          <w:bCs/>
        </w:rPr>
      </w:pPr>
    </w:p>
    <w:p w14:paraId="4566A196" w14:textId="77777777" w:rsidR="008171D2" w:rsidRDefault="008171D2" w:rsidP="008171D2">
      <w:pPr>
        <w:spacing w:after="160" w:line="259" w:lineRule="auto"/>
        <w:ind w:firstLine="0"/>
        <w:jc w:val="center"/>
        <w:rPr>
          <w:b/>
          <w:bCs/>
        </w:rPr>
      </w:pPr>
    </w:p>
    <w:p w14:paraId="0D51D049" w14:textId="77777777" w:rsidR="008171D2" w:rsidRDefault="008171D2" w:rsidP="008171D2">
      <w:pPr>
        <w:spacing w:after="160" w:line="259" w:lineRule="auto"/>
        <w:ind w:firstLine="0"/>
        <w:jc w:val="center"/>
        <w:rPr>
          <w:b/>
          <w:bCs/>
        </w:rPr>
      </w:pPr>
    </w:p>
    <w:p w14:paraId="16B03D5D" w14:textId="77777777" w:rsidR="008171D2" w:rsidRDefault="008171D2" w:rsidP="008171D2">
      <w:pPr>
        <w:spacing w:after="160" w:line="259" w:lineRule="auto"/>
        <w:ind w:firstLine="0"/>
        <w:jc w:val="center"/>
        <w:rPr>
          <w:b/>
          <w:bCs/>
        </w:rPr>
      </w:pPr>
    </w:p>
    <w:p w14:paraId="022EDF26" w14:textId="77777777" w:rsidR="008171D2" w:rsidRPr="008171D2" w:rsidRDefault="00162FD1" w:rsidP="008171D2">
      <w:pPr>
        <w:spacing w:after="160" w:line="259" w:lineRule="auto"/>
        <w:ind w:firstLine="0"/>
        <w:jc w:val="center"/>
        <w:rPr>
          <w:b/>
          <w:bCs/>
        </w:rPr>
      </w:pPr>
      <w:r w:rsidRPr="008171D2">
        <w:rPr>
          <w:b/>
          <w:bCs/>
        </w:rPr>
        <w:t>Criminal law – Assignment 1</w:t>
      </w:r>
    </w:p>
    <w:p w14:paraId="5B33576C" w14:textId="77777777" w:rsidR="00E47712" w:rsidRPr="008171D2" w:rsidRDefault="00162FD1" w:rsidP="008171D2">
      <w:pPr>
        <w:spacing w:after="160" w:line="259" w:lineRule="auto"/>
        <w:ind w:firstLine="0"/>
        <w:jc w:val="center"/>
        <w:rPr>
          <w:b/>
          <w:bCs/>
        </w:rPr>
      </w:pPr>
      <w:r w:rsidRPr="008171D2">
        <w:rPr>
          <w:b/>
          <w:bCs/>
        </w:rPr>
        <w:t>Liability by Omission</w:t>
      </w:r>
    </w:p>
    <w:p w14:paraId="081BBFF7" w14:textId="77777777" w:rsidR="00E47712" w:rsidRDefault="00162FD1">
      <w:pPr>
        <w:spacing w:after="160" w:line="259" w:lineRule="auto"/>
        <w:ind w:firstLine="0"/>
        <w:jc w:val="left"/>
        <w:rPr>
          <w:rFonts w:eastAsiaTheme="majorEastAsia" w:cstheme="majorBidi"/>
          <w:b/>
          <w:bCs/>
          <w:szCs w:val="32"/>
        </w:rPr>
      </w:pPr>
      <w:r>
        <w:br w:type="page"/>
      </w:r>
    </w:p>
    <w:sdt>
      <w:sdtPr>
        <w:rPr>
          <w:rFonts w:ascii="Times New Roman" w:eastAsiaTheme="minorHAnsi" w:hAnsi="Times New Roman" w:cstheme="minorBidi"/>
          <w:color w:val="000000" w:themeColor="text1"/>
          <w:sz w:val="24"/>
          <w:szCs w:val="22"/>
          <w:lang w:val="en-GB"/>
        </w:rPr>
        <w:id w:val="1834871418"/>
        <w:docPartObj>
          <w:docPartGallery w:val="Table of Contents"/>
          <w:docPartUnique/>
        </w:docPartObj>
      </w:sdtPr>
      <w:sdtEndPr>
        <w:rPr>
          <w:b/>
          <w:bCs/>
          <w:noProof/>
        </w:rPr>
      </w:sdtEndPr>
      <w:sdtContent>
        <w:p w14:paraId="2BA01ACF" w14:textId="77777777" w:rsidR="008171D2" w:rsidRPr="008171D2" w:rsidRDefault="00162FD1" w:rsidP="008171D2">
          <w:pPr>
            <w:pStyle w:val="TOCHeading"/>
            <w:jc w:val="center"/>
            <w:rPr>
              <w:rFonts w:ascii="Times New Roman" w:hAnsi="Times New Roman" w:cs="Times New Roman"/>
              <w:b/>
              <w:bCs/>
              <w:color w:val="000000" w:themeColor="text1"/>
              <w:sz w:val="24"/>
              <w:szCs w:val="24"/>
            </w:rPr>
          </w:pPr>
          <w:r w:rsidRPr="008171D2">
            <w:rPr>
              <w:rFonts w:ascii="Times New Roman" w:hAnsi="Times New Roman" w:cs="Times New Roman"/>
              <w:b/>
              <w:bCs/>
              <w:color w:val="000000" w:themeColor="text1"/>
              <w:sz w:val="24"/>
              <w:szCs w:val="24"/>
            </w:rPr>
            <w:t>Table of Contents</w:t>
          </w:r>
        </w:p>
        <w:p w14:paraId="383133E4" w14:textId="77777777" w:rsidR="008171D2" w:rsidRDefault="00162FD1">
          <w:pPr>
            <w:pStyle w:val="TOC1"/>
            <w:tabs>
              <w:tab w:val="right" w:leader="dot" w:pos="9350"/>
            </w:tabs>
            <w:rPr>
              <w:noProof/>
            </w:rPr>
          </w:pPr>
          <w:r>
            <w:fldChar w:fldCharType="begin"/>
          </w:r>
          <w:r>
            <w:instrText xml:space="preserve"> TOC \o "1-3" \h \z \u </w:instrText>
          </w:r>
          <w:r>
            <w:fldChar w:fldCharType="separate"/>
          </w:r>
          <w:hyperlink w:anchor="_Toc119097456" w:history="1">
            <w:r w:rsidRPr="00C61BF6">
              <w:rPr>
                <w:rStyle w:val="Hyperlink"/>
                <w:noProof/>
              </w:rPr>
              <w:t>Introduction</w:t>
            </w:r>
            <w:r>
              <w:rPr>
                <w:noProof/>
                <w:webHidden/>
              </w:rPr>
              <w:tab/>
            </w:r>
            <w:r>
              <w:rPr>
                <w:noProof/>
                <w:webHidden/>
              </w:rPr>
              <w:fldChar w:fldCharType="begin"/>
            </w:r>
            <w:r>
              <w:rPr>
                <w:noProof/>
                <w:webHidden/>
              </w:rPr>
              <w:instrText xml:space="preserve"> PAGEREF _Toc119097456 \h </w:instrText>
            </w:r>
            <w:r>
              <w:rPr>
                <w:noProof/>
                <w:webHidden/>
              </w:rPr>
            </w:r>
            <w:r>
              <w:rPr>
                <w:noProof/>
                <w:webHidden/>
              </w:rPr>
              <w:fldChar w:fldCharType="separate"/>
            </w:r>
            <w:r>
              <w:rPr>
                <w:noProof/>
                <w:webHidden/>
              </w:rPr>
              <w:t>3</w:t>
            </w:r>
            <w:r>
              <w:rPr>
                <w:noProof/>
                <w:webHidden/>
              </w:rPr>
              <w:fldChar w:fldCharType="end"/>
            </w:r>
          </w:hyperlink>
        </w:p>
        <w:p w14:paraId="52A0909D" w14:textId="77777777" w:rsidR="008171D2" w:rsidRDefault="00162FD1">
          <w:pPr>
            <w:pStyle w:val="TOC1"/>
            <w:tabs>
              <w:tab w:val="right" w:leader="dot" w:pos="9350"/>
            </w:tabs>
            <w:rPr>
              <w:noProof/>
            </w:rPr>
          </w:pPr>
          <w:hyperlink w:anchor="_Toc119097457" w:history="1">
            <w:r w:rsidRPr="00C61BF6">
              <w:rPr>
                <w:rStyle w:val="Hyperlink"/>
                <w:noProof/>
              </w:rPr>
              <w:t>Discussion</w:t>
            </w:r>
            <w:r>
              <w:rPr>
                <w:noProof/>
                <w:webHidden/>
              </w:rPr>
              <w:tab/>
            </w:r>
            <w:r>
              <w:rPr>
                <w:noProof/>
                <w:webHidden/>
              </w:rPr>
              <w:fldChar w:fldCharType="begin"/>
            </w:r>
            <w:r>
              <w:rPr>
                <w:noProof/>
                <w:webHidden/>
              </w:rPr>
              <w:instrText xml:space="preserve"> PAGEREF _Toc119097457 \h </w:instrText>
            </w:r>
            <w:r>
              <w:rPr>
                <w:noProof/>
                <w:webHidden/>
              </w:rPr>
            </w:r>
            <w:r>
              <w:rPr>
                <w:noProof/>
                <w:webHidden/>
              </w:rPr>
              <w:fldChar w:fldCharType="separate"/>
            </w:r>
            <w:r>
              <w:rPr>
                <w:noProof/>
                <w:webHidden/>
              </w:rPr>
              <w:t>3</w:t>
            </w:r>
            <w:r>
              <w:rPr>
                <w:noProof/>
                <w:webHidden/>
              </w:rPr>
              <w:fldChar w:fldCharType="end"/>
            </w:r>
          </w:hyperlink>
        </w:p>
        <w:p w14:paraId="74D8A841" w14:textId="77777777" w:rsidR="008171D2" w:rsidRDefault="00162FD1">
          <w:pPr>
            <w:pStyle w:val="TOC1"/>
            <w:tabs>
              <w:tab w:val="right" w:leader="dot" w:pos="9350"/>
            </w:tabs>
            <w:rPr>
              <w:noProof/>
            </w:rPr>
          </w:pPr>
          <w:hyperlink w:anchor="_Toc119097458" w:history="1">
            <w:r w:rsidRPr="00C61BF6">
              <w:rPr>
                <w:rStyle w:val="Hyperlink"/>
                <w:noProof/>
              </w:rPr>
              <w:t>Conclusion</w:t>
            </w:r>
            <w:r>
              <w:rPr>
                <w:noProof/>
                <w:webHidden/>
              </w:rPr>
              <w:tab/>
            </w:r>
            <w:r>
              <w:rPr>
                <w:noProof/>
                <w:webHidden/>
              </w:rPr>
              <w:fldChar w:fldCharType="begin"/>
            </w:r>
            <w:r>
              <w:rPr>
                <w:noProof/>
                <w:webHidden/>
              </w:rPr>
              <w:instrText xml:space="preserve"> PAGEREF _Toc119097458 \h </w:instrText>
            </w:r>
            <w:r>
              <w:rPr>
                <w:noProof/>
                <w:webHidden/>
              </w:rPr>
            </w:r>
            <w:r>
              <w:rPr>
                <w:noProof/>
                <w:webHidden/>
              </w:rPr>
              <w:fldChar w:fldCharType="separate"/>
            </w:r>
            <w:r>
              <w:rPr>
                <w:noProof/>
                <w:webHidden/>
              </w:rPr>
              <w:t>5</w:t>
            </w:r>
            <w:r>
              <w:rPr>
                <w:noProof/>
                <w:webHidden/>
              </w:rPr>
              <w:fldChar w:fldCharType="end"/>
            </w:r>
          </w:hyperlink>
        </w:p>
        <w:p w14:paraId="36BBC1EC" w14:textId="77777777" w:rsidR="008171D2" w:rsidRDefault="00162FD1">
          <w:pPr>
            <w:pStyle w:val="TOC1"/>
            <w:tabs>
              <w:tab w:val="right" w:leader="dot" w:pos="9350"/>
            </w:tabs>
            <w:rPr>
              <w:noProof/>
            </w:rPr>
          </w:pPr>
          <w:hyperlink w:anchor="_Toc119097459" w:history="1">
            <w:r w:rsidRPr="00C61BF6">
              <w:rPr>
                <w:rStyle w:val="Hyperlink"/>
                <w:noProof/>
              </w:rPr>
              <w:t>References</w:t>
            </w:r>
            <w:r>
              <w:rPr>
                <w:noProof/>
                <w:webHidden/>
              </w:rPr>
              <w:tab/>
            </w:r>
            <w:r>
              <w:rPr>
                <w:noProof/>
                <w:webHidden/>
              </w:rPr>
              <w:fldChar w:fldCharType="begin"/>
            </w:r>
            <w:r>
              <w:rPr>
                <w:noProof/>
                <w:webHidden/>
              </w:rPr>
              <w:instrText xml:space="preserve"> PAGEREF _Toc119097459 \h </w:instrText>
            </w:r>
            <w:r>
              <w:rPr>
                <w:noProof/>
                <w:webHidden/>
              </w:rPr>
            </w:r>
            <w:r>
              <w:rPr>
                <w:noProof/>
                <w:webHidden/>
              </w:rPr>
              <w:fldChar w:fldCharType="separate"/>
            </w:r>
            <w:r>
              <w:rPr>
                <w:noProof/>
                <w:webHidden/>
              </w:rPr>
              <w:t>7</w:t>
            </w:r>
            <w:r>
              <w:rPr>
                <w:noProof/>
                <w:webHidden/>
              </w:rPr>
              <w:fldChar w:fldCharType="end"/>
            </w:r>
          </w:hyperlink>
        </w:p>
        <w:p w14:paraId="5C0B3B65" w14:textId="77777777" w:rsidR="008171D2" w:rsidRDefault="00162FD1">
          <w:r>
            <w:rPr>
              <w:b/>
              <w:bCs/>
              <w:noProof/>
            </w:rPr>
            <w:fldChar w:fldCharType="end"/>
          </w:r>
        </w:p>
      </w:sdtContent>
    </w:sdt>
    <w:p w14:paraId="35F28887" w14:textId="77777777" w:rsidR="008171D2" w:rsidRDefault="008171D2">
      <w:pPr>
        <w:spacing w:after="160" w:line="259" w:lineRule="auto"/>
        <w:ind w:firstLine="0"/>
        <w:jc w:val="left"/>
      </w:pPr>
    </w:p>
    <w:p w14:paraId="346C8008" w14:textId="77777777" w:rsidR="00E47712" w:rsidRDefault="00162FD1">
      <w:pPr>
        <w:spacing w:after="160" w:line="259" w:lineRule="auto"/>
        <w:ind w:firstLine="0"/>
        <w:jc w:val="left"/>
        <w:rPr>
          <w:rFonts w:eastAsiaTheme="majorEastAsia" w:cstheme="majorBidi"/>
          <w:b/>
          <w:bCs/>
          <w:szCs w:val="32"/>
        </w:rPr>
      </w:pPr>
      <w:r>
        <w:br w:type="page"/>
      </w:r>
    </w:p>
    <w:p w14:paraId="41787658" w14:textId="77777777" w:rsidR="00F02FE4" w:rsidRDefault="00162FD1" w:rsidP="007E42B2">
      <w:pPr>
        <w:pStyle w:val="Heading1"/>
      </w:pPr>
      <w:bookmarkStart w:id="0" w:name="_Toc119097456"/>
      <w:r>
        <w:lastRenderedPageBreak/>
        <w:t>Introduction</w:t>
      </w:r>
      <w:bookmarkEnd w:id="0"/>
    </w:p>
    <w:p w14:paraId="4560D3BA" w14:textId="77777777" w:rsidR="007E42B2" w:rsidRDefault="00162FD1" w:rsidP="007E42B2">
      <w:r>
        <w:t xml:space="preserve">In UK law, a legal responsibility to act must exist before criminal penalties may be imposed. Because of the serious consequences that might result from ignoring an urgent need, this rule is not a harmless </w:t>
      </w:r>
      <w:r>
        <w:t xml:space="preserve">truism. Unless the non-rescuer has a legal connection to the child that is judged to imply or demand a welfare responsibility to the child, he or she is under no obligation to provide immediate assistance to a child who is drowning or otherwise in danger. </w:t>
      </w:r>
      <w:r>
        <w:t>In time, both the breadth and depth of this recognised legal connection have grown (</w:t>
      </w:r>
      <w:proofErr w:type="spellStart"/>
      <w:r>
        <w:rPr>
          <w:shd w:val="clear" w:color="auto" w:fill="FFFFFF"/>
        </w:rPr>
        <w:t>Kotzamani</w:t>
      </w:r>
      <w:proofErr w:type="spellEnd"/>
      <w:r>
        <w:rPr>
          <w:shd w:val="clear" w:color="auto" w:fill="FFFFFF"/>
        </w:rPr>
        <w:t>, 2020</w:t>
      </w:r>
      <w:r>
        <w:t xml:space="preserve">). The duty to render aid is rooted in common law obligations (such as a parent's duty to support his dependent children), but it has been expanded to </w:t>
      </w:r>
      <w:r>
        <w:t>include contractual relationships (such as that between a master and an apprentice) and even some informal "undertakings."</w:t>
      </w:r>
    </w:p>
    <w:p w14:paraId="2EA76488" w14:textId="77777777" w:rsidR="00407386" w:rsidRDefault="00407386"/>
    <w:p w14:paraId="66C886B4" w14:textId="77777777" w:rsidR="00407386" w:rsidRDefault="00162FD1" w:rsidP="007E42B2">
      <w:pPr>
        <w:pStyle w:val="Heading1"/>
      </w:pPr>
      <w:bookmarkStart w:id="1" w:name="_Toc119097457"/>
      <w:r>
        <w:t>Discussion</w:t>
      </w:r>
      <w:bookmarkEnd w:id="1"/>
    </w:p>
    <w:p w14:paraId="35E4844D" w14:textId="77777777" w:rsidR="007E42B2" w:rsidRDefault="00162FD1" w:rsidP="007E42B2">
      <w:r>
        <w:t>The morally significant distinction between acts of commission and omission has deep historical roots. Scholars have cons</w:t>
      </w:r>
      <w:r>
        <w:t>idered using this distinction to limit the scope of moral responsibility by focusing only on commissions as the foundation for attributing blame. Omissions, which may be seen as non-doings, have traditionally been used to expand the scope of accountability</w:t>
      </w:r>
      <w:r>
        <w:t xml:space="preserve"> beyond commissions (</w:t>
      </w:r>
      <w:proofErr w:type="spellStart"/>
      <w:r>
        <w:rPr>
          <w:shd w:val="clear" w:color="auto" w:fill="FFFFFF"/>
        </w:rPr>
        <w:t>Estrin</w:t>
      </w:r>
      <w:proofErr w:type="spellEnd"/>
      <w:r>
        <w:rPr>
          <w:shd w:val="clear" w:color="auto" w:fill="FFFFFF"/>
        </w:rPr>
        <w:t xml:space="preserve"> and </w:t>
      </w:r>
      <w:proofErr w:type="spellStart"/>
      <w:r>
        <w:rPr>
          <w:shd w:val="clear" w:color="auto" w:fill="FFFFFF"/>
        </w:rPr>
        <w:t>Galvao</w:t>
      </w:r>
      <w:proofErr w:type="spellEnd"/>
      <w:r>
        <w:rPr>
          <w:shd w:val="clear" w:color="auto" w:fill="FFFFFF"/>
        </w:rPr>
        <w:t xml:space="preserve"> Ferreira, 2020</w:t>
      </w:r>
      <w:r>
        <w:t>). Individuals might incur consequences for their actions both now and in the future. A modest but sophisticated collection of ideas carved out of the seeming "vacuum" of non-doing has emerged. As a resu</w:t>
      </w:r>
      <w:r>
        <w:t>lt, giving rise to a rich and broad lexicon of omission.</w:t>
      </w:r>
    </w:p>
    <w:p w14:paraId="1AB460CE" w14:textId="77777777" w:rsidR="007E42B2" w:rsidRDefault="00162FD1" w:rsidP="007E42B2">
      <w:r>
        <w:t>Stroud, writing in the early 20th century, argued that an omission is neither an act nor a genuine occurrence since it "is just an artificial construct consisting of the denial of a certain activity.</w:t>
      </w:r>
      <w:r>
        <w:t xml:space="preserve">" People expect those in certain positions and relationships to aid the poor. </w:t>
      </w:r>
      <w:proofErr w:type="gramStart"/>
      <w:r>
        <w:t>Therefore</w:t>
      </w:r>
      <w:proofErr w:type="gramEnd"/>
      <w:r>
        <w:t xml:space="preserve"> it's puzzling that they don't demand assistance in situations where neither a position nor a willing connection already exists, to the point of drafting a law that can </w:t>
      </w:r>
      <w:r>
        <w:t>be enforced (</w:t>
      </w:r>
      <w:proofErr w:type="spellStart"/>
      <w:r>
        <w:rPr>
          <w:shd w:val="clear" w:color="auto" w:fill="FFFFFF"/>
        </w:rPr>
        <w:t>Polelle</w:t>
      </w:r>
      <w:proofErr w:type="spellEnd"/>
      <w:r>
        <w:rPr>
          <w:shd w:val="clear" w:color="auto" w:fill="FFFFFF"/>
        </w:rPr>
        <w:t xml:space="preserve"> et al., 2021</w:t>
      </w:r>
      <w:r>
        <w:t xml:space="preserve">). It's not unreasonable to expect individuals to </w:t>
      </w:r>
      <w:proofErr w:type="gramStart"/>
      <w:r>
        <w:t>help out</w:t>
      </w:r>
      <w:proofErr w:type="gramEnd"/>
      <w:r>
        <w:t xml:space="preserve"> a little bit, even if the foundation for such an expectation is dubious. The wisdom of </w:t>
      </w:r>
      <w:proofErr w:type="gramStart"/>
      <w:r>
        <w:t>actually carrying</w:t>
      </w:r>
      <w:proofErr w:type="gramEnd"/>
      <w:r>
        <w:t xml:space="preserve"> out this anticipation is a matter of less widespread agreem</w:t>
      </w:r>
      <w:r>
        <w:t xml:space="preserve">ent. Is helping others an inviolable moral principle, or is this an intolerable intrusion on personal freedom? Most people agree that it's fair to </w:t>
      </w:r>
      <w:proofErr w:type="gramStart"/>
      <w:r>
        <w:t>take action</w:t>
      </w:r>
      <w:proofErr w:type="gramEnd"/>
      <w:r>
        <w:t xml:space="preserve"> against persons who misuse their independence by attacking, deceiving, or defaulting on others (</w:t>
      </w:r>
      <w:r>
        <w:rPr>
          <w:shd w:val="clear" w:color="auto" w:fill="FFFFFF"/>
        </w:rPr>
        <w:t>F</w:t>
      </w:r>
      <w:r>
        <w:rPr>
          <w:shd w:val="clear" w:color="auto" w:fill="FFFFFF"/>
        </w:rPr>
        <w:t>eatherstone, 2021</w:t>
      </w:r>
      <w:r>
        <w:t xml:space="preserve">). When people abuse their freedom in this manner, it not only undermines the reasonable </w:t>
      </w:r>
      <w:r>
        <w:lastRenderedPageBreak/>
        <w:t>expectations of others around them but also leads to anarchy. At first look, this may seem like an odd thing to say about someone who flat-out refuses</w:t>
      </w:r>
      <w:r>
        <w:t xml:space="preserve"> to help. Most of the time, an observer is not the one responsible for the potentially harmful situation or the hopes in which the person in danger has put their confidence. The presence of the onlooker was completely coincidental (</w:t>
      </w:r>
      <w:r>
        <w:rPr>
          <w:shd w:val="clear" w:color="auto" w:fill="FFFFFF"/>
        </w:rPr>
        <w:t>Smith, 2018</w:t>
      </w:r>
      <w:r>
        <w:t>). Although t</w:t>
      </w:r>
      <w:r>
        <w:t>he bystander's loss of freedom would be little and reasonable given the circumstances, it may be argued that the duty to offer such modest aid violates the autonomy of the bystander since it denies one person's entitlement to another's need.</w:t>
      </w:r>
    </w:p>
    <w:p w14:paraId="14F288B8" w14:textId="77777777" w:rsidR="007E42B2" w:rsidRDefault="00162FD1" w:rsidP="007E42B2">
      <w:r>
        <w:t xml:space="preserve">Correctly, if </w:t>
      </w:r>
      <w:r>
        <w:t>people, like action theorists, focus on certain physiological configurations, then abstaining from completing a given decided action does not characterise a determined action (</w:t>
      </w:r>
      <w:r>
        <w:rPr>
          <w:shd w:val="clear" w:color="auto" w:fill="FFFFFF"/>
        </w:rPr>
        <w:t>Herbst and Grant-Smith, 2020</w:t>
      </w:r>
      <w:r>
        <w:t xml:space="preserve">). Omissions, as defined by Ryle, are "higher order </w:t>
      </w:r>
      <w:r>
        <w:t>operations upon lower order positive actions" in which the focus is not on the description of a specific physiological configuration but on "lines of action" in which, certain justified expectations remain unmet. These more complex behaviours are just as m</w:t>
      </w:r>
      <w:r>
        <w:t>uch a part of a person as the simpler ones upon which they are built. The only real distinction is that no universally consistent pattern of behaviour is used in either the production or representation of either (</w:t>
      </w:r>
      <w:r>
        <w:rPr>
          <w:shd w:val="clear" w:color="auto" w:fill="FFFFFF"/>
        </w:rPr>
        <w:t>Campbell, 2021</w:t>
      </w:r>
      <w:r>
        <w:t>). To classify intentional om</w:t>
      </w:r>
      <w:r>
        <w:t>issions like refraining and waiting, Ryle relied on the higher order/lower order paradigm because he refused to give up on his lifelong quest to purge the machine of its spectral inhabitants. However, the concept's usefulness is unaffected by Ryle's specia</w:t>
      </w:r>
      <w:r>
        <w:t>l relevance for "</w:t>
      </w:r>
      <w:proofErr w:type="spellStart"/>
      <w:r>
        <w:t>behaviouralism</w:t>
      </w:r>
      <w:proofErr w:type="spellEnd"/>
      <w:r>
        <w:t>." In the same way that chairs and tables hold up furniture, lower-order activities support higher-order ones (</w:t>
      </w:r>
      <w:r>
        <w:rPr>
          <w:shd w:val="clear" w:color="auto" w:fill="FFFFFF"/>
        </w:rPr>
        <w:t>Grabow, 2022</w:t>
      </w:r>
      <w:r>
        <w:t>). In the same way that people need to consult a wide range of cultural norms to understand how differ</w:t>
      </w:r>
      <w:r>
        <w:t>ent actions can be construed as omissions, they need to do the same to understand how different things can be used to make different pieces of furniture.</w:t>
      </w:r>
    </w:p>
    <w:p w14:paraId="3773B211" w14:textId="77777777" w:rsidR="007E42B2" w:rsidRDefault="00162FD1" w:rsidP="007E42B2">
      <w:r>
        <w:t>Brand argues that this can be shown and that it allows omissions to count as "something" rather than "</w:t>
      </w:r>
      <w:r>
        <w:t xml:space="preserve">nothing" since people do not need to understand b as undertaking some other action </w:t>
      </w:r>
      <w:proofErr w:type="gramStart"/>
      <w:r>
        <w:t>in order to</w:t>
      </w:r>
      <w:proofErr w:type="gramEnd"/>
      <w:r>
        <w:t xml:space="preserve"> not execute. Act b does not need physical exertion, but if people choose to undertake it instead of act a, they may behave inappropriately. The addition of anyth</w:t>
      </w:r>
      <w:r>
        <w:t>ing more, though, is unnecessary. To be deemed abstinent, one must put aside short-term desires and think about the bigger picture while avoiding a second dessert. There is no need to take any preventative measures, either active or passive.</w:t>
      </w:r>
    </w:p>
    <w:p w14:paraId="6C830AFE" w14:textId="77777777" w:rsidR="007E42B2" w:rsidRDefault="00162FD1" w:rsidP="007E42B2">
      <w:proofErr w:type="gramStart"/>
      <w:r>
        <w:t>In order to</w:t>
      </w:r>
      <w:proofErr w:type="gramEnd"/>
      <w:r>
        <w:t xml:space="preserve"> de</w:t>
      </w:r>
      <w:r>
        <w:t xml:space="preserve">ny that omissions constitute acts, one must either not comprehend the difference between acts and actions or assume that acts are a subset of actions. Many writers shift </w:t>
      </w:r>
      <w:r>
        <w:lastRenderedPageBreak/>
        <w:t>their attention back and forth between concepts and procedures when they describe proc</w:t>
      </w:r>
      <w:r>
        <w:t xml:space="preserve">esses. The data suggests that every activity results in </w:t>
      </w:r>
      <w:proofErr w:type="gramStart"/>
      <w:r>
        <w:t>some kind of mechanical</w:t>
      </w:r>
      <w:proofErr w:type="gramEnd"/>
      <w:r>
        <w:t xml:space="preserve"> motion (</w:t>
      </w:r>
      <w:proofErr w:type="spellStart"/>
      <w:r>
        <w:rPr>
          <w:shd w:val="clear" w:color="auto" w:fill="FFFFFF"/>
        </w:rPr>
        <w:t>Boozary</w:t>
      </w:r>
      <w:proofErr w:type="spellEnd"/>
      <w:r>
        <w:rPr>
          <w:shd w:val="clear" w:color="auto" w:fill="FFFFFF"/>
        </w:rPr>
        <w:t xml:space="preserve"> and </w:t>
      </w:r>
      <w:proofErr w:type="spellStart"/>
      <w:r>
        <w:rPr>
          <w:shd w:val="clear" w:color="auto" w:fill="FFFFFF"/>
        </w:rPr>
        <w:t>Laupacis</w:t>
      </w:r>
      <w:proofErr w:type="spellEnd"/>
      <w:r>
        <w:rPr>
          <w:shd w:val="clear" w:color="auto" w:fill="FFFFFF"/>
        </w:rPr>
        <w:t>, 2020</w:t>
      </w:r>
      <w:r>
        <w:t>). Because of how important motion is to their understanding of movement, people often use the term "activity" to describe even inanimate obje</w:t>
      </w:r>
      <w:r>
        <w:t xml:space="preserve">cts (for example, the action of a watch mechanism). Even though humans are usually solely responsible for an activity, the difference between an action and mere bodily motion has been hotly debated in this setting. This issue emerges because body language </w:t>
      </w:r>
      <w:r>
        <w:t>directly conveys behaviour. It is hardly unexpected, given the connection between acts and actions and the focus on the latter, that the absence of a clear bodily movement from omissions is seen as evidence of their phoney or false existence (</w:t>
      </w:r>
      <w:proofErr w:type="spellStart"/>
      <w:r>
        <w:rPr>
          <w:shd w:val="clear" w:color="auto" w:fill="FFFFFF"/>
        </w:rPr>
        <w:t>Polelle</w:t>
      </w:r>
      <w:proofErr w:type="spellEnd"/>
      <w:r>
        <w:rPr>
          <w:shd w:val="clear" w:color="auto" w:fill="FFFFFF"/>
        </w:rPr>
        <w:t xml:space="preserve"> et al</w:t>
      </w:r>
      <w:r>
        <w:rPr>
          <w:shd w:val="clear" w:color="auto" w:fill="FFFFFF"/>
        </w:rPr>
        <w:t>., 2021</w:t>
      </w:r>
      <w:r>
        <w:t>). But contrary to first impressions, the idea of an act requires little to no actual work. Because bodily motion is the actual manifestation of activities, it may be necessary to explicitly explain some actions by moving the body (in which case the</w:t>
      </w:r>
      <w:r>
        <w:t xml:space="preserve">y may also be </w:t>
      </w:r>
      <w:proofErr w:type="spellStart"/>
      <w:r>
        <w:t>characterisable</w:t>
      </w:r>
      <w:proofErr w:type="spellEnd"/>
      <w:r>
        <w:t xml:space="preserve"> as actions). On the other hand, it does not seem that they must be physically realised in a certain order of operations. An obvious epistemological challenge is that it may be hard to tell whether someone is acting or behaving</w:t>
      </w:r>
      <w:r>
        <w:t xml:space="preserve"> in a specific way </w:t>
      </w:r>
      <w:proofErr w:type="gramStart"/>
      <w:r>
        <w:t>in light of</w:t>
      </w:r>
      <w:proofErr w:type="gramEnd"/>
      <w:r>
        <w:t xml:space="preserve"> this experience </w:t>
      </w:r>
      <w:r>
        <w:rPr>
          <w:shd w:val="clear" w:color="auto" w:fill="FFFFFF"/>
        </w:rPr>
        <w:t>(Sheehan, 2021</w:t>
      </w:r>
      <w:r>
        <w:t>). Though inseparable from the ontological conundrum, these epistemological problems are not to be confused with them.</w:t>
      </w:r>
    </w:p>
    <w:p w14:paraId="7A49A3C9" w14:textId="77777777" w:rsidR="00407386" w:rsidRDefault="00407386"/>
    <w:p w14:paraId="761D5D69" w14:textId="77777777" w:rsidR="00407386" w:rsidRDefault="00162FD1" w:rsidP="007E42B2">
      <w:pPr>
        <w:pStyle w:val="Heading1"/>
      </w:pPr>
      <w:bookmarkStart w:id="2" w:name="_Toc119097458"/>
      <w:r>
        <w:t>Conclusion</w:t>
      </w:r>
      <w:bookmarkEnd w:id="2"/>
    </w:p>
    <w:p w14:paraId="5F958E09" w14:textId="77777777" w:rsidR="007E42B2" w:rsidRDefault="00162FD1" w:rsidP="007E42B2">
      <w:proofErr w:type="gramStart"/>
      <w:r w:rsidRPr="002C781D">
        <w:t>In spite of</w:t>
      </w:r>
      <w:proofErr w:type="gramEnd"/>
      <w:r w:rsidRPr="002C781D">
        <w:t xml:space="preserve"> these challenges, there is a large body of research </w:t>
      </w:r>
      <w:r w:rsidRPr="002C781D">
        <w:t>that supports such legislation, some of which has been discussed in other contexts. The legal status of inactions is murky, but they play a significant role in explaining why aid is not being supplied. The prevalent tendency to mix actions with deeds is on</w:t>
      </w:r>
      <w:r w:rsidRPr="002C781D">
        <w:t>e cause of reluctance in this area. Further, it is argued that doing away with these reservations would get rid of some of the underlying theoretical obstacles that prevent inactions from being recognised as acceptable candidates for criminal liability. Ho</w:t>
      </w:r>
      <w:r w:rsidRPr="002C781D">
        <w:t>wever, the moral need to offer basic help raises a significant theoretical challenge. Based on this premise, some inactions are classified as omissions, making it simpler to identify them as potentially significant acts of omission. Both proponents and det</w:t>
      </w:r>
      <w:r w:rsidRPr="002C781D">
        <w:t>ractors of good Samaritan legislation tend to agree that helping others is morally required, but they dispute whether this requirement should be formalised. On the other hand, the vast gulf in opinion between supporters and detractors has been shown in ano</w:t>
      </w:r>
      <w:r w:rsidRPr="002C781D">
        <w:t xml:space="preserve">ther way. It might be hard to see the morality in helping a stranger if </w:t>
      </w:r>
      <w:r>
        <w:t>anyone</w:t>
      </w:r>
      <w:r w:rsidRPr="002C781D">
        <w:t xml:space="preserve"> has a strong </w:t>
      </w:r>
      <w:r w:rsidRPr="002C781D">
        <w:lastRenderedPageBreak/>
        <w:t>commitment to individualism and see social ties as only an incidental by</w:t>
      </w:r>
      <w:r>
        <w:t>-</w:t>
      </w:r>
      <w:r w:rsidRPr="002C781D">
        <w:t>product of individuality rather than a core component of it. Only if exceptionality is seen</w:t>
      </w:r>
      <w:r w:rsidRPr="002C781D">
        <w:t xml:space="preserve"> mainly as a social achievement will it then need to help be morally justifiable. The theoretical challenges associated with criminalising idleness need further examination at this level.</w:t>
      </w:r>
    </w:p>
    <w:p w14:paraId="0776EA15" w14:textId="77777777" w:rsidR="00407386" w:rsidRDefault="00407386" w:rsidP="007E42B2">
      <w:pPr>
        <w:rPr>
          <w:highlight w:val="yellow"/>
        </w:rPr>
      </w:pPr>
    </w:p>
    <w:p w14:paraId="77FECFF0" w14:textId="77777777" w:rsidR="007E42B2" w:rsidRDefault="00162FD1">
      <w:pPr>
        <w:spacing w:after="160" w:line="259" w:lineRule="auto"/>
        <w:ind w:firstLine="0"/>
        <w:jc w:val="left"/>
        <w:rPr>
          <w:highlight w:val="yellow"/>
        </w:rPr>
      </w:pPr>
      <w:r>
        <w:rPr>
          <w:highlight w:val="yellow"/>
        </w:rPr>
        <w:br w:type="page"/>
      </w:r>
    </w:p>
    <w:p w14:paraId="057C1FC1" w14:textId="77777777" w:rsidR="007E42B2" w:rsidRPr="007E42B2" w:rsidRDefault="00162FD1" w:rsidP="007E42B2">
      <w:pPr>
        <w:pStyle w:val="Heading1"/>
      </w:pPr>
      <w:bookmarkStart w:id="3" w:name="_Toc119097459"/>
      <w:r w:rsidRPr="007E42B2">
        <w:lastRenderedPageBreak/>
        <w:t>References</w:t>
      </w:r>
      <w:bookmarkEnd w:id="3"/>
    </w:p>
    <w:p w14:paraId="05DAE271" w14:textId="77777777" w:rsidR="007E42B2" w:rsidRDefault="00162FD1" w:rsidP="007E42B2">
      <w:pPr>
        <w:ind w:left="720" w:hanging="720"/>
        <w:rPr>
          <w:shd w:val="clear" w:color="auto" w:fill="FFFFFF"/>
        </w:rPr>
      </w:pPr>
      <w:proofErr w:type="spellStart"/>
      <w:r>
        <w:rPr>
          <w:shd w:val="clear" w:color="auto" w:fill="FFFFFF"/>
        </w:rPr>
        <w:t>Boozary</w:t>
      </w:r>
      <w:proofErr w:type="spellEnd"/>
      <w:r>
        <w:rPr>
          <w:shd w:val="clear" w:color="auto" w:fill="FFFFFF"/>
        </w:rPr>
        <w:t xml:space="preserve">, A. and </w:t>
      </w:r>
      <w:proofErr w:type="spellStart"/>
      <w:r>
        <w:rPr>
          <w:shd w:val="clear" w:color="auto" w:fill="FFFFFF"/>
        </w:rPr>
        <w:t>Laupacis</w:t>
      </w:r>
      <w:proofErr w:type="spellEnd"/>
      <w:r>
        <w:rPr>
          <w:shd w:val="clear" w:color="auto" w:fill="FFFFFF"/>
        </w:rPr>
        <w:t>, A., 2020. The mirage of univ</w:t>
      </w:r>
      <w:r>
        <w:rPr>
          <w:shd w:val="clear" w:color="auto" w:fill="FFFFFF"/>
        </w:rPr>
        <w:t>ersality: Canada’s failure to act on social policy and health care. </w:t>
      </w:r>
      <w:proofErr w:type="spellStart"/>
      <w:r>
        <w:rPr>
          <w:i/>
          <w:iCs/>
          <w:shd w:val="clear" w:color="auto" w:fill="FFFFFF"/>
        </w:rPr>
        <w:t>Cmaj</w:t>
      </w:r>
      <w:proofErr w:type="spellEnd"/>
      <w:r>
        <w:rPr>
          <w:shd w:val="clear" w:color="auto" w:fill="FFFFFF"/>
        </w:rPr>
        <w:t>, </w:t>
      </w:r>
      <w:r>
        <w:rPr>
          <w:i/>
          <w:iCs/>
          <w:shd w:val="clear" w:color="auto" w:fill="FFFFFF"/>
        </w:rPr>
        <w:t>192</w:t>
      </w:r>
      <w:r>
        <w:rPr>
          <w:shd w:val="clear" w:color="auto" w:fill="FFFFFF"/>
        </w:rPr>
        <w:t xml:space="preserve">(5), </w:t>
      </w:r>
      <w:proofErr w:type="gramStart"/>
      <w:r>
        <w:rPr>
          <w:shd w:val="clear" w:color="auto" w:fill="FFFFFF"/>
        </w:rPr>
        <w:t>pp.E</w:t>
      </w:r>
      <w:proofErr w:type="gramEnd"/>
      <w:r>
        <w:rPr>
          <w:shd w:val="clear" w:color="auto" w:fill="FFFFFF"/>
        </w:rPr>
        <w:t>105-E106.</w:t>
      </w:r>
    </w:p>
    <w:p w14:paraId="392DCCC9" w14:textId="77777777" w:rsidR="007E42B2" w:rsidRDefault="00162FD1" w:rsidP="007E42B2">
      <w:pPr>
        <w:ind w:left="720" w:hanging="720"/>
        <w:rPr>
          <w:shd w:val="clear" w:color="auto" w:fill="FFFFFF"/>
        </w:rPr>
      </w:pPr>
      <w:r>
        <w:rPr>
          <w:shd w:val="clear" w:color="auto" w:fill="FFFFFF"/>
        </w:rPr>
        <w:t xml:space="preserve">Campbell, R., 2021. Matter of </w:t>
      </w:r>
      <w:proofErr w:type="spellStart"/>
      <w:r>
        <w:rPr>
          <w:shd w:val="clear" w:color="auto" w:fill="FFFFFF"/>
        </w:rPr>
        <w:t>Negusie</w:t>
      </w:r>
      <w:proofErr w:type="spellEnd"/>
      <w:r>
        <w:rPr>
          <w:shd w:val="clear" w:color="auto" w:fill="FFFFFF"/>
        </w:rPr>
        <w:t xml:space="preserve"> and the Failure of Asylum Law to Recognise Child Soldiers. </w:t>
      </w:r>
      <w:r>
        <w:rPr>
          <w:i/>
          <w:iCs/>
          <w:shd w:val="clear" w:color="auto" w:fill="FFFFFF"/>
        </w:rPr>
        <w:t>Lewis &amp; Clark L. Rev.</w:t>
      </w:r>
      <w:r>
        <w:rPr>
          <w:shd w:val="clear" w:color="auto" w:fill="FFFFFF"/>
        </w:rPr>
        <w:t>, </w:t>
      </w:r>
      <w:r>
        <w:rPr>
          <w:i/>
          <w:iCs/>
          <w:shd w:val="clear" w:color="auto" w:fill="FFFFFF"/>
        </w:rPr>
        <w:t>25</w:t>
      </w:r>
      <w:r>
        <w:rPr>
          <w:shd w:val="clear" w:color="auto" w:fill="FFFFFF"/>
        </w:rPr>
        <w:t>, p.997.</w:t>
      </w:r>
    </w:p>
    <w:p w14:paraId="2D161CA7" w14:textId="77777777" w:rsidR="007E42B2" w:rsidRDefault="00162FD1" w:rsidP="007E42B2">
      <w:pPr>
        <w:ind w:left="720" w:hanging="720"/>
        <w:rPr>
          <w:shd w:val="clear" w:color="auto" w:fill="FFFFFF"/>
        </w:rPr>
      </w:pPr>
      <w:proofErr w:type="spellStart"/>
      <w:r>
        <w:rPr>
          <w:shd w:val="clear" w:color="auto" w:fill="FFFFFF"/>
        </w:rPr>
        <w:t>Estrin</w:t>
      </w:r>
      <w:proofErr w:type="spellEnd"/>
      <w:r>
        <w:rPr>
          <w:shd w:val="clear" w:color="auto" w:fill="FFFFFF"/>
        </w:rPr>
        <w:t xml:space="preserve">, D. and </w:t>
      </w:r>
      <w:proofErr w:type="spellStart"/>
      <w:r>
        <w:rPr>
          <w:shd w:val="clear" w:color="auto" w:fill="FFFFFF"/>
        </w:rPr>
        <w:t>Galvao</w:t>
      </w:r>
      <w:proofErr w:type="spellEnd"/>
      <w:r>
        <w:rPr>
          <w:shd w:val="clear" w:color="auto" w:fill="FFFFFF"/>
        </w:rPr>
        <w:t xml:space="preserve"> Ferreir</w:t>
      </w:r>
      <w:r>
        <w:rPr>
          <w:shd w:val="clear" w:color="auto" w:fill="FFFFFF"/>
        </w:rPr>
        <w:t xml:space="preserve">a, P., 2020, February. Advancing Climate Justice: </w:t>
      </w:r>
      <w:proofErr w:type="gramStart"/>
      <w:r>
        <w:rPr>
          <w:shd w:val="clear" w:color="auto" w:fill="FFFFFF"/>
        </w:rPr>
        <w:t>the</w:t>
      </w:r>
      <w:proofErr w:type="gramEnd"/>
      <w:r>
        <w:rPr>
          <w:shd w:val="clear" w:color="auto" w:fill="FFFFFF"/>
        </w:rPr>
        <w:t xml:space="preserve"> New IBA Model Statute for Proceedings Challenging Government Failure to Act on Climate Change. In </w:t>
      </w:r>
      <w:r>
        <w:rPr>
          <w:i/>
          <w:iCs/>
          <w:shd w:val="clear" w:color="auto" w:fill="FFFFFF"/>
        </w:rPr>
        <w:t xml:space="preserve">David </w:t>
      </w:r>
      <w:proofErr w:type="spellStart"/>
      <w:r>
        <w:rPr>
          <w:i/>
          <w:iCs/>
          <w:shd w:val="clear" w:color="auto" w:fill="FFFFFF"/>
        </w:rPr>
        <w:t>Estrin</w:t>
      </w:r>
      <w:proofErr w:type="spellEnd"/>
      <w:r>
        <w:rPr>
          <w:i/>
          <w:iCs/>
          <w:shd w:val="clear" w:color="auto" w:fill="FFFFFF"/>
        </w:rPr>
        <w:t xml:space="preserve"> and Patricia </w:t>
      </w:r>
      <w:proofErr w:type="spellStart"/>
      <w:r>
        <w:rPr>
          <w:i/>
          <w:iCs/>
          <w:shd w:val="clear" w:color="auto" w:fill="FFFFFF"/>
        </w:rPr>
        <w:t>Galvao</w:t>
      </w:r>
      <w:proofErr w:type="spellEnd"/>
      <w:r>
        <w:rPr>
          <w:i/>
          <w:iCs/>
          <w:shd w:val="clear" w:color="auto" w:fill="FFFFFF"/>
        </w:rPr>
        <w:t xml:space="preserve"> Ferreira," Advancing Climate Justice: </w:t>
      </w:r>
      <w:proofErr w:type="gramStart"/>
      <w:r>
        <w:rPr>
          <w:i/>
          <w:iCs/>
          <w:shd w:val="clear" w:color="auto" w:fill="FFFFFF"/>
        </w:rPr>
        <w:t>the</w:t>
      </w:r>
      <w:proofErr w:type="gramEnd"/>
      <w:r>
        <w:rPr>
          <w:i/>
          <w:iCs/>
          <w:shd w:val="clear" w:color="auto" w:fill="FFFFFF"/>
        </w:rPr>
        <w:t xml:space="preserve"> New IBA Model Statute for Pro</w:t>
      </w:r>
      <w:r>
        <w:rPr>
          <w:i/>
          <w:iCs/>
          <w:shd w:val="clear" w:color="auto" w:fill="FFFFFF"/>
        </w:rPr>
        <w:t>ceedings Challenging Government Failure to Act on Climate Change," in Proc. WCEL 2nd World Environmental Law Congress, Forthcoming</w:t>
      </w:r>
      <w:r>
        <w:rPr>
          <w:shd w:val="clear" w:color="auto" w:fill="FFFFFF"/>
        </w:rPr>
        <w:t>.</w:t>
      </w:r>
    </w:p>
    <w:p w14:paraId="44560025" w14:textId="77777777" w:rsidR="007E42B2" w:rsidRDefault="00162FD1" w:rsidP="007E42B2">
      <w:pPr>
        <w:ind w:left="720" w:hanging="720"/>
        <w:rPr>
          <w:shd w:val="clear" w:color="auto" w:fill="FFFFFF"/>
        </w:rPr>
      </w:pPr>
      <w:r>
        <w:rPr>
          <w:shd w:val="clear" w:color="auto" w:fill="FFFFFF"/>
        </w:rPr>
        <w:t xml:space="preserve">Featherstone, L., 2021. Institutions: Disclosure and Failure </w:t>
      </w:r>
      <w:proofErr w:type="gramStart"/>
      <w:r>
        <w:rPr>
          <w:shd w:val="clear" w:color="auto" w:fill="FFFFFF"/>
        </w:rPr>
        <w:t>To</w:t>
      </w:r>
      <w:proofErr w:type="gramEnd"/>
      <w:r>
        <w:rPr>
          <w:shd w:val="clear" w:color="auto" w:fill="FFFFFF"/>
        </w:rPr>
        <w:t xml:space="preserve"> Act. In </w:t>
      </w:r>
      <w:r>
        <w:rPr>
          <w:i/>
          <w:iCs/>
          <w:shd w:val="clear" w:color="auto" w:fill="FFFFFF"/>
        </w:rPr>
        <w:t>Sexual Violence in Australia, the 1970s–1980s</w:t>
      </w:r>
      <w:r>
        <w:rPr>
          <w:shd w:val="clear" w:color="auto" w:fill="FFFFFF"/>
        </w:rPr>
        <w:t> (pp. 2</w:t>
      </w:r>
      <w:r>
        <w:rPr>
          <w:shd w:val="clear" w:color="auto" w:fill="FFFFFF"/>
        </w:rPr>
        <w:t>07-230). Palgrave Macmillan, Cham.</w:t>
      </w:r>
    </w:p>
    <w:p w14:paraId="32505E3D" w14:textId="77777777" w:rsidR="007E42B2" w:rsidRDefault="00162FD1" w:rsidP="007E42B2">
      <w:pPr>
        <w:ind w:left="720" w:hanging="720"/>
        <w:rPr>
          <w:shd w:val="clear" w:color="auto" w:fill="FFFFFF"/>
        </w:rPr>
      </w:pPr>
      <w:r>
        <w:rPr>
          <w:shd w:val="clear" w:color="auto" w:fill="FFFFFF"/>
        </w:rPr>
        <w:t>Grabow, C., 2022. Jones Act Numbers Reveal the Law’s Failure.</w:t>
      </w:r>
    </w:p>
    <w:p w14:paraId="503C18FC" w14:textId="77777777" w:rsidR="007E42B2" w:rsidRDefault="00162FD1" w:rsidP="007E42B2">
      <w:pPr>
        <w:ind w:left="720" w:hanging="720"/>
        <w:rPr>
          <w:shd w:val="clear" w:color="auto" w:fill="FFFFFF"/>
        </w:rPr>
      </w:pPr>
      <w:r>
        <w:rPr>
          <w:shd w:val="clear" w:color="auto" w:fill="FFFFFF"/>
        </w:rPr>
        <w:t>Herbst, J. and Grant-Smith, D., 2020. Failure to Act or Impossible Task? The Pursuit of Climate Justice and Energy Security Through Litigation. In </w:t>
      </w:r>
      <w:r>
        <w:rPr>
          <w:i/>
          <w:iCs/>
          <w:shd w:val="clear" w:color="auto" w:fill="FFFFFF"/>
        </w:rPr>
        <w:t>Discourses o</w:t>
      </w:r>
      <w:r>
        <w:rPr>
          <w:i/>
          <w:iCs/>
          <w:shd w:val="clear" w:color="auto" w:fill="FFFFFF"/>
        </w:rPr>
        <w:t>n Sustainability</w:t>
      </w:r>
      <w:r>
        <w:rPr>
          <w:shd w:val="clear" w:color="auto" w:fill="FFFFFF"/>
        </w:rPr>
        <w:t> (pp. 55-78). Palgrave Macmillan, Cham.</w:t>
      </w:r>
    </w:p>
    <w:p w14:paraId="2C9758AF" w14:textId="77777777" w:rsidR="007E42B2" w:rsidRDefault="00162FD1" w:rsidP="007E42B2">
      <w:pPr>
        <w:ind w:left="720" w:hanging="720"/>
        <w:rPr>
          <w:shd w:val="clear" w:color="auto" w:fill="FFFFFF"/>
        </w:rPr>
      </w:pPr>
      <w:proofErr w:type="spellStart"/>
      <w:r>
        <w:rPr>
          <w:shd w:val="clear" w:color="auto" w:fill="FFFFFF"/>
        </w:rPr>
        <w:t>Kotzamani</w:t>
      </w:r>
      <w:proofErr w:type="spellEnd"/>
      <w:r>
        <w:rPr>
          <w:shd w:val="clear" w:color="auto" w:fill="FFFFFF"/>
        </w:rPr>
        <w:t xml:space="preserve">, P., 2020. Failure to Act in Times of Pandemic: Is There a Role for the International Criminal Law Doctrine of Superior </w:t>
      </w:r>
      <w:proofErr w:type="gramStart"/>
      <w:r>
        <w:rPr>
          <w:shd w:val="clear" w:color="auto" w:fill="FFFFFF"/>
        </w:rPr>
        <w:t>Responsibility?.</w:t>
      </w:r>
      <w:proofErr w:type="gramEnd"/>
    </w:p>
    <w:p w14:paraId="453202F2" w14:textId="77777777" w:rsidR="007E42B2" w:rsidRDefault="00162FD1" w:rsidP="007E42B2">
      <w:pPr>
        <w:ind w:left="720" w:hanging="720"/>
        <w:rPr>
          <w:shd w:val="clear" w:color="auto" w:fill="FFFFFF"/>
        </w:rPr>
      </w:pPr>
      <w:proofErr w:type="spellStart"/>
      <w:r>
        <w:rPr>
          <w:shd w:val="clear" w:color="auto" w:fill="FFFFFF"/>
        </w:rPr>
        <w:t>Polelle</w:t>
      </w:r>
      <w:proofErr w:type="spellEnd"/>
      <w:r>
        <w:rPr>
          <w:shd w:val="clear" w:color="auto" w:fill="FFFFFF"/>
        </w:rPr>
        <w:t xml:space="preserve">, M.J., Ottley, B.L. and Lasso, R.A., </w:t>
      </w:r>
      <w:r>
        <w:rPr>
          <w:shd w:val="clear" w:color="auto" w:fill="FFFFFF"/>
        </w:rPr>
        <w:t>2021. </w:t>
      </w:r>
      <w:r>
        <w:rPr>
          <w:i/>
          <w:iCs/>
          <w:shd w:val="clear" w:color="auto" w:fill="FFFFFF"/>
        </w:rPr>
        <w:t>Illinois Tort Law</w:t>
      </w:r>
      <w:r>
        <w:rPr>
          <w:shd w:val="clear" w:color="auto" w:fill="FFFFFF"/>
        </w:rPr>
        <w:t>. LexisNexis.</w:t>
      </w:r>
    </w:p>
    <w:p w14:paraId="2AA7E1CC" w14:textId="77777777" w:rsidR="007E42B2" w:rsidRDefault="00162FD1" w:rsidP="007E42B2">
      <w:pPr>
        <w:ind w:left="720" w:hanging="720"/>
        <w:rPr>
          <w:shd w:val="clear" w:color="auto" w:fill="FFFFFF"/>
        </w:rPr>
      </w:pPr>
      <w:r>
        <w:rPr>
          <w:shd w:val="clear" w:color="auto" w:fill="FFFFFF"/>
        </w:rPr>
        <w:t>Sheehan, J., 2021. A Failure to Act or What’s Most Remarkable: Paradox IV. In </w:t>
      </w:r>
      <w:r>
        <w:rPr>
          <w:i/>
          <w:iCs/>
          <w:shd w:val="clear" w:color="auto" w:fill="FFFFFF"/>
        </w:rPr>
        <w:t>American Democracy in Crisis</w:t>
      </w:r>
      <w:r>
        <w:rPr>
          <w:shd w:val="clear" w:color="auto" w:fill="FFFFFF"/>
        </w:rPr>
        <w:t> (pp. 135-163). Palgrave Macmillan, Cham.</w:t>
      </w:r>
    </w:p>
    <w:p w14:paraId="058E0776" w14:textId="77777777" w:rsidR="007E42B2" w:rsidRDefault="00162FD1" w:rsidP="007E42B2">
      <w:pPr>
        <w:ind w:left="720" w:hanging="720"/>
        <w:rPr>
          <w:shd w:val="clear" w:color="auto" w:fill="FFFFFF"/>
        </w:rPr>
      </w:pPr>
      <w:r>
        <w:rPr>
          <w:shd w:val="clear" w:color="auto" w:fill="FFFFFF"/>
        </w:rPr>
        <w:t>Smith, M., 2018. GP obstetrician liable for failure to act in accordanc</w:t>
      </w:r>
      <w:r>
        <w:rPr>
          <w:shd w:val="clear" w:color="auto" w:fill="FFFFFF"/>
        </w:rPr>
        <w:t xml:space="preserve">e with competent professional </w:t>
      </w:r>
      <w:proofErr w:type="spellStart"/>
      <w:r>
        <w:rPr>
          <w:shd w:val="clear" w:color="auto" w:fill="FFFFFF"/>
        </w:rPr>
        <w:t>practice:'Ellis</w:t>
      </w:r>
      <w:proofErr w:type="spellEnd"/>
      <w:r>
        <w:rPr>
          <w:shd w:val="clear" w:color="auto" w:fill="FFFFFF"/>
        </w:rPr>
        <w:t xml:space="preserve"> v East Metropolitan Health Service'. </w:t>
      </w:r>
      <w:r>
        <w:rPr>
          <w:i/>
          <w:iCs/>
          <w:shd w:val="clear" w:color="auto" w:fill="FFFFFF"/>
        </w:rPr>
        <w:t>AUSTRALIAN HEALTH LAW BULLETIN</w:t>
      </w:r>
      <w:r>
        <w:rPr>
          <w:shd w:val="clear" w:color="auto" w:fill="FFFFFF"/>
        </w:rPr>
        <w:t>, </w:t>
      </w:r>
      <w:r>
        <w:rPr>
          <w:i/>
          <w:iCs/>
          <w:shd w:val="clear" w:color="auto" w:fill="FFFFFF"/>
        </w:rPr>
        <w:t>26</w:t>
      </w:r>
      <w:r>
        <w:rPr>
          <w:shd w:val="clear" w:color="auto" w:fill="FFFFFF"/>
        </w:rPr>
        <w:t>(5), pp.89-91.</w:t>
      </w:r>
    </w:p>
    <w:sectPr w:rsidR="007E42B2" w:rsidSect="00884B05">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F70FC" w14:textId="77777777" w:rsidR="004706EE" w:rsidRDefault="004706EE">
      <w:pPr>
        <w:spacing w:line="240" w:lineRule="auto"/>
      </w:pPr>
      <w:r>
        <w:separator/>
      </w:r>
    </w:p>
  </w:endnote>
  <w:endnote w:type="continuationSeparator" w:id="0">
    <w:p w14:paraId="3AFE69DC" w14:textId="77777777" w:rsidR="004706EE" w:rsidRDefault="004706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4355" w14:textId="77777777" w:rsidR="004706EE" w:rsidRDefault="004706EE">
      <w:pPr>
        <w:spacing w:line="240" w:lineRule="auto"/>
      </w:pPr>
      <w:r>
        <w:separator/>
      </w:r>
    </w:p>
  </w:footnote>
  <w:footnote w:type="continuationSeparator" w:id="0">
    <w:p w14:paraId="44A7CFE6" w14:textId="77777777" w:rsidR="004706EE" w:rsidRDefault="004706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98407"/>
      <w:docPartObj>
        <w:docPartGallery w:val="Page Numbers (Top of Page)"/>
        <w:docPartUnique/>
      </w:docPartObj>
    </w:sdtPr>
    <w:sdtEndPr>
      <w:rPr>
        <w:noProof/>
      </w:rPr>
    </w:sdtEndPr>
    <w:sdtContent>
      <w:p w14:paraId="5BF3D211" w14:textId="77777777" w:rsidR="00884B05" w:rsidRDefault="00162FD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3CEBDCD" w14:textId="77777777" w:rsidR="00884B05" w:rsidRDefault="00884B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16877" w14:textId="246BE9F3" w:rsidR="002F4305" w:rsidRPr="002F4305" w:rsidRDefault="002F4305">
    <w:pPr>
      <w:pStyle w:val="Header"/>
      <w:rPr>
        <w:b/>
        <w:bCs/>
      </w:rPr>
    </w:pPr>
    <w:r>
      <w:rPr>
        <w:b/>
        <w:bCs/>
      </w:rPr>
      <w:t>Rohid Hussain: 1805526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386"/>
    <w:rsid w:val="001B63BB"/>
    <w:rsid w:val="002C781D"/>
    <w:rsid w:val="002F4305"/>
    <w:rsid w:val="00407386"/>
    <w:rsid w:val="004706EE"/>
    <w:rsid w:val="00660CB7"/>
    <w:rsid w:val="007E42B2"/>
    <w:rsid w:val="008171D2"/>
    <w:rsid w:val="00884B05"/>
    <w:rsid w:val="00C0441A"/>
    <w:rsid w:val="00C61BF6"/>
    <w:rsid w:val="00D30A14"/>
    <w:rsid w:val="00E41B63"/>
    <w:rsid w:val="00E47712"/>
    <w:rsid w:val="00F02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CBE91"/>
  <w15:chartTrackingRefBased/>
  <w15:docId w15:val="{67E858F2-2471-4974-97D5-FB65FAFAF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3BB"/>
    <w:pPr>
      <w:spacing w:after="0" w:line="360" w:lineRule="auto"/>
      <w:ind w:firstLine="720"/>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7E42B2"/>
    <w:pPr>
      <w:keepNext/>
      <w:keepLines/>
      <w:ind w:firstLine="0"/>
      <w:outlineLvl w:val="0"/>
    </w:pPr>
    <w:rPr>
      <w:rFonts w:eastAsiaTheme="majorEastAsia" w:cstheme="majorBidi"/>
      <w:b/>
      <w:bCs/>
      <w:szCs w:val="32"/>
    </w:rPr>
  </w:style>
  <w:style w:type="paragraph" w:styleId="Heading2">
    <w:name w:val="heading 2"/>
    <w:basedOn w:val="Normal"/>
    <w:next w:val="Normal"/>
    <w:link w:val="Heading2Char"/>
    <w:autoRedefine/>
    <w:uiPriority w:val="9"/>
    <w:semiHidden/>
    <w:unhideWhenUsed/>
    <w:qFormat/>
    <w:rsid w:val="001B63BB"/>
    <w:pPr>
      <w:keepNext/>
      <w:keepLines/>
      <w:ind w:firstLine="0"/>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2B2"/>
    <w:rPr>
      <w:rFonts w:ascii="Times New Roman" w:eastAsiaTheme="majorEastAsia" w:hAnsi="Times New Roman" w:cstheme="majorBidi"/>
      <w:b/>
      <w:bCs/>
      <w:color w:val="000000" w:themeColor="text1"/>
      <w:sz w:val="24"/>
      <w:szCs w:val="32"/>
      <w:lang w:val="en-GB"/>
    </w:rPr>
  </w:style>
  <w:style w:type="character" w:customStyle="1" w:styleId="Heading2Char">
    <w:name w:val="Heading 2 Char"/>
    <w:basedOn w:val="DefaultParagraphFont"/>
    <w:link w:val="Heading2"/>
    <w:uiPriority w:val="9"/>
    <w:semiHidden/>
    <w:rsid w:val="001B63BB"/>
    <w:rPr>
      <w:rFonts w:ascii="Times New Roman" w:eastAsiaTheme="majorEastAsia" w:hAnsi="Times New Roman" w:cstheme="majorBidi"/>
      <w:b/>
      <w:i/>
      <w:color w:val="000000" w:themeColor="text1"/>
      <w:sz w:val="26"/>
      <w:szCs w:val="26"/>
    </w:rPr>
  </w:style>
  <w:style w:type="paragraph" w:styleId="TOCHeading">
    <w:name w:val="TOC Heading"/>
    <w:basedOn w:val="Heading1"/>
    <w:next w:val="Normal"/>
    <w:uiPriority w:val="39"/>
    <w:unhideWhenUsed/>
    <w:qFormat/>
    <w:rsid w:val="008171D2"/>
    <w:pPr>
      <w:spacing w:before="240" w:line="259" w:lineRule="auto"/>
      <w:jc w:val="left"/>
      <w:outlineLvl w:val="9"/>
    </w:pPr>
    <w:rPr>
      <w:rFonts w:asciiTheme="majorHAnsi" w:hAnsiTheme="majorHAnsi"/>
      <w:b w:val="0"/>
      <w:bCs w:val="0"/>
      <w:color w:val="2F5496" w:themeColor="accent1" w:themeShade="BF"/>
      <w:sz w:val="32"/>
      <w:lang w:val="en-US"/>
    </w:rPr>
  </w:style>
  <w:style w:type="paragraph" w:styleId="TOC1">
    <w:name w:val="toc 1"/>
    <w:basedOn w:val="Normal"/>
    <w:next w:val="Normal"/>
    <w:autoRedefine/>
    <w:uiPriority w:val="39"/>
    <w:unhideWhenUsed/>
    <w:rsid w:val="008171D2"/>
    <w:pPr>
      <w:spacing w:after="100"/>
    </w:pPr>
  </w:style>
  <w:style w:type="character" w:styleId="Hyperlink">
    <w:name w:val="Hyperlink"/>
    <w:basedOn w:val="DefaultParagraphFont"/>
    <w:uiPriority w:val="99"/>
    <w:unhideWhenUsed/>
    <w:rsid w:val="008171D2"/>
    <w:rPr>
      <w:color w:val="0563C1" w:themeColor="hyperlink"/>
      <w:u w:val="single"/>
    </w:rPr>
  </w:style>
  <w:style w:type="paragraph" w:styleId="Header">
    <w:name w:val="header"/>
    <w:basedOn w:val="Normal"/>
    <w:link w:val="HeaderChar"/>
    <w:uiPriority w:val="99"/>
    <w:unhideWhenUsed/>
    <w:rsid w:val="00884B05"/>
    <w:pPr>
      <w:tabs>
        <w:tab w:val="center" w:pos="4680"/>
        <w:tab w:val="right" w:pos="9360"/>
      </w:tabs>
      <w:spacing w:line="240" w:lineRule="auto"/>
    </w:pPr>
  </w:style>
  <w:style w:type="character" w:customStyle="1" w:styleId="HeaderChar">
    <w:name w:val="Header Char"/>
    <w:basedOn w:val="DefaultParagraphFont"/>
    <w:link w:val="Header"/>
    <w:uiPriority w:val="99"/>
    <w:rsid w:val="00884B05"/>
    <w:rPr>
      <w:rFonts w:ascii="Times New Roman" w:hAnsi="Times New Roman"/>
      <w:color w:val="000000" w:themeColor="text1"/>
      <w:sz w:val="24"/>
      <w:lang w:val="en-GB"/>
    </w:rPr>
  </w:style>
  <w:style w:type="paragraph" w:styleId="Footer">
    <w:name w:val="footer"/>
    <w:basedOn w:val="Normal"/>
    <w:link w:val="FooterChar"/>
    <w:uiPriority w:val="99"/>
    <w:unhideWhenUsed/>
    <w:rsid w:val="00884B05"/>
    <w:pPr>
      <w:tabs>
        <w:tab w:val="center" w:pos="4680"/>
        <w:tab w:val="right" w:pos="9360"/>
      </w:tabs>
      <w:spacing w:line="240" w:lineRule="auto"/>
    </w:pPr>
  </w:style>
  <w:style w:type="character" w:customStyle="1" w:styleId="FooterChar">
    <w:name w:val="Footer Char"/>
    <w:basedOn w:val="DefaultParagraphFont"/>
    <w:link w:val="Footer"/>
    <w:uiPriority w:val="99"/>
    <w:rsid w:val="00884B05"/>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551DA-606A-428E-A259-8D65B5F24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1602</Words>
  <Characters>9132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Rohid Hussain</cp:lastModifiedBy>
  <cp:revision>2</cp:revision>
  <dcterms:created xsi:type="dcterms:W3CDTF">2022-11-11T23:31:00Z</dcterms:created>
  <dcterms:modified xsi:type="dcterms:W3CDTF">2022-11-11T23:31:00Z</dcterms:modified>
</cp:coreProperties>
</file>