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605792" w14:textId="4015B4B3" w:rsidR="00683DE4" w:rsidRPr="0040014E" w:rsidRDefault="00683DE4" w:rsidP="0040014E">
      <w:pPr>
        <w:spacing w:line="360" w:lineRule="auto"/>
        <w:rPr>
          <w:rFonts w:ascii="Arial" w:hAnsi="Arial" w:cs="Arial"/>
          <w:u w:val="single"/>
        </w:rPr>
      </w:pPr>
      <w:r w:rsidRPr="0040014E">
        <w:rPr>
          <w:rFonts w:ascii="Arial" w:hAnsi="Arial" w:cs="Arial"/>
        </w:rPr>
        <w:tab/>
      </w:r>
      <w:r w:rsidRPr="0040014E">
        <w:rPr>
          <w:rFonts w:ascii="Arial" w:hAnsi="Arial" w:cs="Arial"/>
        </w:rPr>
        <w:tab/>
      </w:r>
      <w:r w:rsidRPr="0040014E">
        <w:rPr>
          <w:rFonts w:ascii="Arial" w:hAnsi="Arial" w:cs="Arial"/>
        </w:rPr>
        <w:tab/>
      </w:r>
      <w:r w:rsidRPr="0040014E">
        <w:rPr>
          <w:rFonts w:ascii="Arial" w:hAnsi="Arial" w:cs="Arial"/>
        </w:rPr>
        <w:tab/>
      </w:r>
      <w:r w:rsidRPr="0040014E">
        <w:rPr>
          <w:rFonts w:ascii="Arial" w:hAnsi="Arial" w:cs="Arial"/>
        </w:rPr>
        <w:tab/>
      </w:r>
      <w:r w:rsidR="00615384" w:rsidRPr="0040014E">
        <w:rPr>
          <w:rFonts w:ascii="Arial" w:hAnsi="Arial" w:cs="Arial"/>
          <w:u w:val="single"/>
        </w:rPr>
        <w:t>Early Years Curricula</w:t>
      </w:r>
    </w:p>
    <w:p w14:paraId="69EB6749" w14:textId="3134821C" w:rsidR="00927D3E" w:rsidRPr="0040014E" w:rsidRDefault="00927D3E" w:rsidP="0040014E">
      <w:pPr>
        <w:spacing w:line="360" w:lineRule="auto"/>
        <w:rPr>
          <w:rFonts w:ascii="Arial" w:hAnsi="Arial" w:cs="Arial"/>
          <w:u w:val="single"/>
        </w:rPr>
      </w:pPr>
      <w:r w:rsidRPr="0040014E">
        <w:rPr>
          <w:rFonts w:ascii="Arial" w:hAnsi="Arial" w:cs="Arial"/>
          <w:u w:val="single"/>
        </w:rPr>
        <w:t xml:space="preserve">Section 1 </w:t>
      </w:r>
    </w:p>
    <w:p w14:paraId="3483BE27" w14:textId="2EE18530" w:rsidR="00CB6240" w:rsidRPr="0040014E" w:rsidRDefault="00CB6240" w:rsidP="0040014E">
      <w:pPr>
        <w:spacing w:line="360" w:lineRule="auto"/>
        <w:rPr>
          <w:rFonts w:ascii="Arial" w:hAnsi="Arial" w:cs="Arial"/>
        </w:rPr>
      </w:pPr>
      <w:r w:rsidRPr="0040014E">
        <w:rPr>
          <w:rFonts w:ascii="Arial" w:hAnsi="Arial" w:cs="Arial"/>
        </w:rPr>
        <w:t>The Montessori approach, developed by Dr. Maria Montessori in the early 20th century, is a child-centred educational approach grounded in the belief that children learn best through self-directed activity, hands-on learning, and collaborative play (Montessori, 1967). It emphasises autonomy, independence, and a carefully prepared environment that encourages exploration and discovery (Isaacs, 2010).</w:t>
      </w:r>
    </w:p>
    <w:p w14:paraId="3D22B755" w14:textId="55627714" w:rsidR="00CB6240" w:rsidRPr="0040014E" w:rsidRDefault="00CB6240" w:rsidP="0040014E">
      <w:pPr>
        <w:spacing w:line="360" w:lineRule="auto"/>
        <w:rPr>
          <w:rFonts w:ascii="Arial" w:hAnsi="Arial" w:cs="Arial"/>
        </w:rPr>
      </w:pPr>
      <w:r w:rsidRPr="0040014E">
        <w:rPr>
          <w:rFonts w:ascii="Arial" w:hAnsi="Arial" w:cs="Arial"/>
        </w:rPr>
        <w:t>In a Montessori setting, children are free to choose activities from a range of appropriate resources, allowing them to work at their own pace. The role of the adult is to observe and support rather than instruct, providing scaffolding only when necessary (Lillard, 2005). Montessori materials are specifically designed to be self-correcting and to promote sensory engagement and logical thinking, fostering intrinsic motivation and concentration (Edwards, 2002).</w:t>
      </w:r>
    </w:p>
    <w:p w14:paraId="77E0178F" w14:textId="257FC24E" w:rsidR="00CB6240" w:rsidRPr="0040014E" w:rsidRDefault="00CB6240" w:rsidP="0040014E">
      <w:pPr>
        <w:spacing w:line="360" w:lineRule="auto"/>
        <w:rPr>
          <w:rFonts w:ascii="Arial" w:hAnsi="Arial" w:cs="Arial"/>
        </w:rPr>
      </w:pPr>
      <w:r w:rsidRPr="0040014E">
        <w:rPr>
          <w:rFonts w:ascii="Arial" w:hAnsi="Arial" w:cs="Arial"/>
        </w:rPr>
        <w:t>A distinctive feature of the Montessori approach is the mixed-age classroom, which supports peer learning, mentoring, and a strong sense of community. Settings with mixed age classrooms are becoming more common in Wales for a number of reasons, some of which include staffing shortages and budgeting (Welsh Government 2019), around 25% of primary schools in Wales have mixed-age classes due to small pupil numbers (Estyn 2013) and lastly as stated in the Curriculum for Wales (2022) having mixed age classes encourages thematic, cross-phase teaching well suited to mixed-age learning. Settings such as these facilitates the development of leadership skills and cooperative social behaviours, as older children model and support the younger ones (Lillard, 2011).</w:t>
      </w:r>
    </w:p>
    <w:p w14:paraId="6AF4C76D" w14:textId="619A6538" w:rsidR="00CB6240" w:rsidRPr="0040014E" w:rsidRDefault="00CB6240" w:rsidP="0040014E">
      <w:pPr>
        <w:spacing w:line="360" w:lineRule="auto"/>
        <w:rPr>
          <w:rFonts w:ascii="Arial" w:hAnsi="Arial" w:cs="Arial"/>
        </w:rPr>
      </w:pPr>
      <w:r w:rsidRPr="0040014E">
        <w:rPr>
          <w:rFonts w:ascii="Arial" w:hAnsi="Arial" w:cs="Arial"/>
        </w:rPr>
        <w:t>In relation to curriculum guidance, the Montessori method shares core values with the Early Years Foundation Stage (EYFS) in Wales, particularly the focus on independence, active learning, and holistic development (Department for Education [DfE], 2021). However, while EYFS encourages a balance of adult-led and child-initiated learning, Montessori education places much greater emphasis on child-led activities and minimises adult direction (Isaacs, 2010). This divergence can lead to tensions when implementing Montessori within mainstream settings guided by national frameworks.</w:t>
      </w:r>
    </w:p>
    <w:p w14:paraId="3E9DE599" w14:textId="57612752" w:rsidR="005665AF" w:rsidRPr="0040014E" w:rsidRDefault="005665AF" w:rsidP="0040014E">
      <w:pPr>
        <w:spacing w:line="360" w:lineRule="auto"/>
        <w:rPr>
          <w:rFonts w:ascii="Arial" w:hAnsi="Arial" w:cs="Arial"/>
        </w:rPr>
      </w:pPr>
      <w:r w:rsidRPr="0040014E">
        <w:rPr>
          <w:rFonts w:ascii="Arial" w:hAnsi="Arial" w:cs="Arial"/>
        </w:rPr>
        <w:lastRenderedPageBreak/>
        <w:t>Looking at The Reggio Emilia approach it originated in post-World War II Italy and was founded by Loris Malaguzzi in collaboration with local parents (Edwards, Gandini, &amp; Forman, 2012). It is a constructivist, play-based philosophy that views children as competent, curious, and capable of directing their own learning. Unlike more structured pedagogies, Reggio Emilia emphasises emergent, project-based learning, where curriculum topics arise from children’s interests and questions.</w:t>
      </w:r>
    </w:p>
    <w:p w14:paraId="4A7DEBE8" w14:textId="701C61CE" w:rsidR="005665AF" w:rsidRPr="0040014E" w:rsidRDefault="005665AF" w:rsidP="0040014E">
      <w:pPr>
        <w:spacing w:line="360" w:lineRule="auto"/>
        <w:rPr>
          <w:rFonts w:ascii="Arial" w:hAnsi="Arial" w:cs="Arial"/>
        </w:rPr>
      </w:pPr>
      <w:r w:rsidRPr="0040014E">
        <w:rPr>
          <w:rFonts w:ascii="Arial" w:hAnsi="Arial" w:cs="Arial"/>
        </w:rPr>
        <w:t xml:space="preserve">A central concept in this approach is the "hundred languages of children," which recognises the many ways children express themselves—through art, music, movement, play, construction, and conversation (Malaguzzi, 1996). The environment is considered </w:t>
      </w:r>
      <w:r w:rsidR="00731B58" w:rsidRPr="0040014E">
        <w:rPr>
          <w:rFonts w:ascii="Arial" w:hAnsi="Arial" w:cs="Arial"/>
        </w:rPr>
        <w:t>as an additional member of staff</w:t>
      </w:r>
      <w:r w:rsidRPr="0040014E">
        <w:rPr>
          <w:rFonts w:ascii="Arial" w:hAnsi="Arial" w:cs="Arial"/>
        </w:rPr>
        <w:t xml:space="preserve"> and is</w:t>
      </w:r>
      <w:r w:rsidR="00E75F1E" w:rsidRPr="0040014E">
        <w:rPr>
          <w:rFonts w:ascii="Arial" w:hAnsi="Arial" w:cs="Arial"/>
        </w:rPr>
        <w:t xml:space="preserve"> </w:t>
      </w:r>
      <w:r w:rsidRPr="0040014E">
        <w:rPr>
          <w:rFonts w:ascii="Arial" w:hAnsi="Arial" w:cs="Arial"/>
        </w:rPr>
        <w:t>designed to inspire curiosity, collaboration, and discovery (Strong-Wilson &amp; Ellis, 2007).</w:t>
      </w:r>
    </w:p>
    <w:p w14:paraId="5BD00E81" w14:textId="77777777" w:rsidR="005665AF" w:rsidRPr="0040014E" w:rsidRDefault="005665AF" w:rsidP="0040014E">
      <w:pPr>
        <w:spacing w:line="360" w:lineRule="auto"/>
        <w:rPr>
          <w:rFonts w:ascii="Arial" w:hAnsi="Arial" w:cs="Arial"/>
        </w:rPr>
      </w:pPr>
      <w:r w:rsidRPr="0040014E">
        <w:rPr>
          <w:rFonts w:ascii="Arial" w:hAnsi="Arial" w:cs="Arial"/>
        </w:rPr>
        <w:t>Adults in Reggio Emilia settings act as facilitators and co-learners, rather than direct instructors. Teachers carefully observe children, document their learning, and use these observations to inform future projects and learning opportunities. Documentation serves not only as assessment but as a reflection tool for both educators and children, supporting deeper understanding and continuous development (Rinaldi, 2006).</w:t>
      </w:r>
    </w:p>
    <w:p w14:paraId="57C941EE" w14:textId="77777777" w:rsidR="005665AF" w:rsidRPr="0040014E" w:rsidRDefault="005665AF" w:rsidP="0040014E">
      <w:pPr>
        <w:spacing w:line="360" w:lineRule="auto"/>
        <w:rPr>
          <w:rFonts w:ascii="Arial" w:hAnsi="Arial" w:cs="Arial"/>
        </w:rPr>
      </w:pPr>
      <w:r w:rsidRPr="0040014E">
        <w:rPr>
          <w:rFonts w:ascii="Arial" w:hAnsi="Arial" w:cs="Arial"/>
        </w:rPr>
        <w:t>From a curriculum standpoint, Reggio Emilia is not a fixed framework but rather a philosophy, making alignment with national curriculum guidance like the Early Years Foundation Stage (EYFS) both flexible and challenging. While EYFS (DfE, 2021) emphasises characteristics of effective teaching such as active learning, creativity, and critical thinking, Reggio goes further by positioning children as the primary drivers of curriculum content. This can create practical difficulties in mainstream settings that are required to evidence progress against specific learning outcomes. However, the Reggio focus on child-led learning, creativity, and rich environments closely echoes the EYFS’s guiding principles and its emphasis on enabling environments and positive relationships.</w:t>
      </w:r>
    </w:p>
    <w:p w14:paraId="6B15243A" w14:textId="77777777" w:rsidR="00E24EEA" w:rsidRPr="0040014E" w:rsidRDefault="00E24EEA" w:rsidP="0040014E">
      <w:pPr>
        <w:spacing w:line="360" w:lineRule="auto"/>
        <w:rPr>
          <w:rFonts w:ascii="Arial" w:hAnsi="Arial" w:cs="Arial"/>
        </w:rPr>
      </w:pPr>
      <w:r w:rsidRPr="0040014E">
        <w:rPr>
          <w:rFonts w:ascii="Arial" w:hAnsi="Arial" w:cs="Arial"/>
        </w:rPr>
        <w:t>When comparing</w:t>
      </w:r>
      <w:r w:rsidRPr="0040014E">
        <w:rPr>
          <w:rFonts w:ascii="Arial" w:hAnsi="Arial" w:cs="Arial"/>
          <w:b/>
          <w:bCs/>
        </w:rPr>
        <w:t xml:space="preserve"> </w:t>
      </w:r>
      <w:r w:rsidRPr="0040014E">
        <w:rPr>
          <w:rFonts w:ascii="Arial" w:hAnsi="Arial" w:cs="Arial"/>
        </w:rPr>
        <w:t>both the Montessori and Reggio Emilia approaches, they are grounded in child-centred, play-based learning and share a commitment to nurturing the whole child. However, they differ significantly in pedagogical philosophy, curriculum design, the role of the adult, and views on learning environments.</w:t>
      </w:r>
    </w:p>
    <w:p w14:paraId="251BAE1F" w14:textId="0BE101F7" w:rsidR="00E24EEA" w:rsidRPr="0040014E" w:rsidRDefault="00E24EEA" w:rsidP="0040014E">
      <w:pPr>
        <w:spacing w:line="360" w:lineRule="auto"/>
        <w:rPr>
          <w:rFonts w:ascii="Arial" w:hAnsi="Arial" w:cs="Arial"/>
        </w:rPr>
      </w:pPr>
      <w:r w:rsidRPr="0040014E">
        <w:rPr>
          <w:rFonts w:ascii="Arial" w:hAnsi="Arial" w:cs="Arial"/>
        </w:rPr>
        <w:lastRenderedPageBreak/>
        <w:t>Montessori education is structured around a sequenced curriculum and specialised materials designed by Dr. Maria Montessori to support self-directed learning (Lillard, 2005). It emphasises internal order, repetition, and individual progression through set tasks. In contrast, Reggio Emilia embraces a flexible, emergent curriculum based on children’s interests and inquiries, often developed through long-term, collaborative projects (Edwards, Gandini, &amp; Forman, 2012). While Montessori classrooms follow a prepared sequence of learning materials, Reggio classrooms allow learning content to evolve organically.</w:t>
      </w:r>
    </w:p>
    <w:p w14:paraId="31F3A837" w14:textId="171B4A4F" w:rsidR="00E24EEA" w:rsidRPr="0040014E" w:rsidRDefault="00E24EEA" w:rsidP="0040014E">
      <w:pPr>
        <w:spacing w:line="360" w:lineRule="auto"/>
        <w:rPr>
          <w:rFonts w:ascii="Arial" w:hAnsi="Arial" w:cs="Arial"/>
        </w:rPr>
      </w:pPr>
      <w:r w:rsidRPr="0040014E">
        <w:rPr>
          <w:rFonts w:ascii="Arial" w:hAnsi="Arial" w:cs="Arial"/>
        </w:rPr>
        <w:t>When comparing the role of the adult within both methods Montessori classrooms, the adult is seen as a guide who introduces materials and quietly observes, intervening only when necessary to support independence (Montessori, 1967). However, Reggio Emilia educators act as co-learners and researchers, engaging with children in a dialogic process of discovery (Rinaldi, 2006). This more collaborative role in Reggio reflects a relational pedagogy where adults and children construct knowledge together.</w:t>
      </w:r>
    </w:p>
    <w:p w14:paraId="6B890E5C" w14:textId="0CFE8115" w:rsidR="00E24EEA" w:rsidRPr="0040014E" w:rsidRDefault="00E24EEA" w:rsidP="0040014E">
      <w:pPr>
        <w:spacing w:line="360" w:lineRule="auto"/>
        <w:rPr>
          <w:rFonts w:ascii="Arial" w:hAnsi="Arial" w:cs="Arial"/>
        </w:rPr>
      </w:pPr>
      <w:r w:rsidRPr="0040014E">
        <w:rPr>
          <w:rFonts w:ascii="Arial" w:hAnsi="Arial" w:cs="Arial"/>
        </w:rPr>
        <w:t>Both approaches value the environment as integral to learning but use it differently. In Montessori settings, the environment is highly ordered, with didactic materials placed methodically to encourage independent learning and self-correction (Isaacs, 2010). Reggio Emilia, however, views the environment as a dynamic "third teacher"—a place that encourages interaction, creativity, and investigation through open-ended materials and aesthetic design (Strong-Wilson &amp; Ellis, 2007).</w:t>
      </w:r>
    </w:p>
    <w:p w14:paraId="03F8CB19" w14:textId="1AAAC7F1" w:rsidR="00E24EEA" w:rsidRPr="0040014E" w:rsidRDefault="00E24EEA" w:rsidP="0040014E">
      <w:pPr>
        <w:spacing w:line="360" w:lineRule="auto"/>
        <w:rPr>
          <w:rFonts w:ascii="Arial" w:hAnsi="Arial" w:cs="Arial"/>
        </w:rPr>
      </w:pPr>
      <w:r w:rsidRPr="0040014E">
        <w:rPr>
          <w:rFonts w:ascii="Arial" w:hAnsi="Arial" w:cs="Arial"/>
        </w:rPr>
        <w:t>Assessment in Montessori is primarily observational, focusing on individual progress through developmental stages and mastery of specific skills (Lillard, 2005). Reggio Emilia relies heavily on pedagogical documentation—photos, videos, and transcripts—which capture the learning process and allow for reflection and future planning (Rinaldi, 2006). This form of assessment is more qualitative and collaborative, involving children and families in the learning journey.</w:t>
      </w:r>
    </w:p>
    <w:p w14:paraId="7A94324E" w14:textId="24C51CB4" w:rsidR="00E24EEA" w:rsidRPr="0040014E" w:rsidRDefault="00E24EEA" w:rsidP="0040014E">
      <w:pPr>
        <w:spacing w:line="360" w:lineRule="auto"/>
        <w:rPr>
          <w:rFonts w:ascii="Arial" w:hAnsi="Arial" w:cs="Arial"/>
        </w:rPr>
      </w:pPr>
      <w:r w:rsidRPr="0040014E">
        <w:rPr>
          <w:rFonts w:ascii="Arial" w:hAnsi="Arial" w:cs="Arial"/>
        </w:rPr>
        <w:t xml:space="preserve">Both approaches have elements that align with the </w:t>
      </w:r>
      <w:r w:rsidRPr="0040014E">
        <w:rPr>
          <w:rFonts w:ascii="Arial" w:hAnsi="Arial" w:cs="Arial"/>
          <w:b/>
          <w:bCs/>
        </w:rPr>
        <w:t>EYFS</w:t>
      </w:r>
      <w:r w:rsidRPr="0040014E">
        <w:rPr>
          <w:rFonts w:ascii="Arial" w:hAnsi="Arial" w:cs="Arial"/>
        </w:rPr>
        <w:t xml:space="preserve"> framework (DfE, 2021), such as promoting independence, child-led learning, and holistic development. However, Montessori’s structured, sequenced curriculum can contrast with the EYFS’s emphasis on playfulness and flexible outcomes. Similarly, Reggio Emilia’s open-ended, emergent style may pose challenges in evidencing specific learning </w:t>
      </w:r>
      <w:r w:rsidRPr="0040014E">
        <w:rPr>
          <w:rFonts w:ascii="Arial" w:hAnsi="Arial" w:cs="Arial"/>
        </w:rPr>
        <w:lastRenderedPageBreak/>
        <w:t>outcomes within a framework driven by early learning goals and assessments. Nonetheless, both methods support the EYFS principles of enabling environments and positive relationships, suggesting that they can enrich mainstream practice when adapted thoughtfully.</w:t>
      </w:r>
    </w:p>
    <w:p w14:paraId="1B28DC4E" w14:textId="77777777" w:rsidR="00EE3B86" w:rsidRPr="0040014E" w:rsidRDefault="00EE3B86" w:rsidP="0040014E">
      <w:pPr>
        <w:spacing w:line="360" w:lineRule="auto"/>
        <w:rPr>
          <w:rFonts w:ascii="Arial" w:hAnsi="Arial" w:cs="Arial"/>
        </w:rPr>
      </w:pPr>
      <w:r w:rsidRPr="0040014E">
        <w:rPr>
          <w:rFonts w:ascii="Arial" w:hAnsi="Arial" w:cs="Arial"/>
        </w:rPr>
        <w:t>Furthermore, the critical analysis of curriculum guidance reveals key tensions when implementing these philosophies within the statutory framework. The EYFS encourages autonomy and holistic development, yet its emphasis on predefined learning outcomes and assessment practices can limit the depth and freedom of authentic play-based pedagogies. Outcome-driven accountability may conflict with the open-ended, process-oriented nature of Reggio Emilia and the individualised pace of Montessori education.</w:t>
      </w:r>
    </w:p>
    <w:p w14:paraId="2DF52825" w14:textId="2C0D7406" w:rsidR="00EE3B86" w:rsidRPr="0040014E" w:rsidRDefault="00EE3B86" w:rsidP="0040014E">
      <w:pPr>
        <w:spacing w:line="360" w:lineRule="auto"/>
        <w:rPr>
          <w:rFonts w:ascii="Arial" w:hAnsi="Arial" w:cs="Arial"/>
        </w:rPr>
      </w:pPr>
      <w:r w:rsidRPr="0040014E">
        <w:rPr>
          <w:rFonts w:ascii="Arial" w:hAnsi="Arial" w:cs="Arial"/>
        </w:rPr>
        <w:t>In conclusion, both the Montessori and Reggio Emilia approaches offer rich, child-centred models of play-based education that honour the rights, abilities, and agency of young learners. While their philosophies differ Montessori favouring structure, order, and self-direction, and Reggio Emilia embracing flexibility, collaboration, and emergent inquiry both place the child at the heart of learning. Each approach cultivates critical early skills through hands-on exploration, creative expression, and responsive adult interaction, aligning in many ways with the Early Years Foundation Stage (EYFS) principles.</w:t>
      </w:r>
    </w:p>
    <w:p w14:paraId="5BC7FC8E" w14:textId="6CA03CB7" w:rsidR="00E24EEA" w:rsidRPr="0040014E" w:rsidRDefault="00E24EEA" w:rsidP="0040014E">
      <w:pPr>
        <w:spacing w:line="360" w:lineRule="auto"/>
        <w:rPr>
          <w:rFonts w:ascii="Arial" w:hAnsi="Arial" w:cs="Arial"/>
          <w:u w:val="single"/>
        </w:rPr>
      </w:pPr>
      <w:r w:rsidRPr="0040014E">
        <w:rPr>
          <w:rFonts w:ascii="Arial" w:hAnsi="Arial" w:cs="Arial"/>
          <w:u w:val="single"/>
        </w:rPr>
        <w:t xml:space="preserve">Section 2 </w:t>
      </w:r>
    </w:p>
    <w:p w14:paraId="0B3BF9C5" w14:textId="77777777" w:rsidR="00793FB2" w:rsidRPr="0040014E" w:rsidRDefault="00793FB2" w:rsidP="0040014E">
      <w:pPr>
        <w:spacing w:line="360" w:lineRule="auto"/>
        <w:rPr>
          <w:rFonts w:ascii="Arial" w:hAnsi="Arial" w:cs="Arial"/>
        </w:rPr>
      </w:pPr>
      <w:r w:rsidRPr="0040014E">
        <w:rPr>
          <w:rFonts w:ascii="Arial" w:hAnsi="Arial" w:cs="Arial"/>
        </w:rPr>
        <w:t xml:space="preserve">The term </w:t>
      </w:r>
      <w:r w:rsidRPr="0040014E">
        <w:rPr>
          <w:rFonts w:ascii="Arial" w:hAnsi="Arial" w:cs="Arial"/>
          <w:i/>
          <w:iCs/>
        </w:rPr>
        <w:t>“unique child”</w:t>
      </w:r>
      <w:r w:rsidRPr="0040014E">
        <w:rPr>
          <w:rFonts w:ascii="Arial" w:hAnsi="Arial" w:cs="Arial"/>
        </w:rPr>
        <w:t xml:space="preserve"> is a core principle in early years education and is especially emphasised in the Early Years Foundation Stage (EYFS) framework in the United Kingdom. It refers to the idea that every child is an individual with their own personality, learning style, background, and rate of development. Recognising children as unique means acknowledging that no two children develop the same, it is also essential for fostering an inclusive, responsive, and supportive learning environment that meets the needs of all children.</w:t>
      </w:r>
    </w:p>
    <w:p w14:paraId="16E9A820" w14:textId="77777777" w:rsidR="00793FB2" w:rsidRPr="0040014E" w:rsidRDefault="00793FB2" w:rsidP="0040014E">
      <w:pPr>
        <w:spacing w:line="360" w:lineRule="auto"/>
        <w:rPr>
          <w:rFonts w:ascii="Arial" w:hAnsi="Arial" w:cs="Arial"/>
        </w:rPr>
      </w:pPr>
      <w:r w:rsidRPr="0040014E">
        <w:rPr>
          <w:rFonts w:ascii="Arial" w:hAnsi="Arial" w:cs="Arial"/>
        </w:rPr>
        <w:t xml:space="preserve">According to the Department for Education (DfE, 2021), the EYFS framework promotes the idea that every child is a competent learner from birth, who can be resilient, capable, confident, and self-assured. A unique child will bring their own </w:t>
      </w:r>
      <w:r w:rsidRPr="0040014E">
        <w:rPr>
          <w:rFonts w:ascii="Arial" w:hAnsi="Arial" w:cs="Arial"/>
        </w:rPr>
        <w:lastRenderedPageBreak/>
        <w:t>experiences, interests, and needs to the setting, shaped by factors such as family life, culture, language, and any additional needs they may have (Tickell, 2011).</w:t>
      </w:r>
    </w:p>
    <w:p w14:paraId="1CE397E3" w14:textId="77777777" w:rsidR="00793FB2" w:rsidRPr="0040014E" w:rsidRDefault="00793FB2" w:rsidP="0040014E">
      <w:pPr>
        <w:spacing w:line="360" w:lineRule="auto"/>
        <w:rPr>
          <w:rFonts w:ascii="Arial" w:hAnsi="Arial" w:cs="Arial"/>
        </w:rPr>
      </w:pPr>
      <w:r w:rsidRPr="0040014E">
        <w:rPr>
          <w:rFonts w:ascii="Arial" w:hAnsi="Arial" w:cs="Arial"/>
        </w:rPr>
        <w:t>Understanding each child as unique requires practitioners to observe, listen, and respond sensitively. This includes recognising individual learning styles and tailoring learning opportunities accordingly. Effective early years practice involves adapting activities and environments to support children's development in ways that reflect their personal interests and needs (Nutbrown, 2012). For instance, one child may benefit from hands-on, sensory experiences, while another may thrive in imaginative role play or social interaction with peers.</w:t>
      </w:r>
    </w:p>
    <w:p w14:paraId="6246A525" w14:textId="77777777" w:rsidR="00793FB2" w:rsidRPr="0040014E" w:rsidRDefault="00793FB2" w:rsidP="0040014E">
      <w:pPr>
        <w:spacing w:line="360" w:lineRule="auto"/>
        <w:rPr>
          <w:rFonts w:ascii="Arial" w:hAnsi="Arial" w:cs="Arial"/>
        </w:rPr>
      </w:pPr>
      <w:r w:rsidRPr="0040014E">
        <w:rPr>
          <w:rFonts w:ascii="Arial" w:hAnsi="Arial" w:cs="Arial"/>
        </w:rPr>
        <w:t>Furthermore, the principle of the unique child is closely linked to building strong, secure relationships. Children who feel recognised, valued, and safe are more likely to develop confidence and resilience. Bronfenbrenner’s ecological systems theory supports this by emphasising the role of close, nurturing relationships in a child’s development (Bronfenbrenner, 1979). Positive relationships with adults provide children with a secure base from which to explore and learn.</w:t>
      </w:r>
    </w:p>
    <w:p w14:paraId="4B3A79CC" w14:textId="77777777" w:rsidR="00793FB2" w:rsidRPr="0040014E" w:rsidRDefault="00793FB2" w:rsidP="0040014E">
      <w:pPr>
        <w:spacing w:line="360" w:lineRule="auto"/>
        <w:rPr>
          <w:rFonts w:ascii="Arial" w:hAnsi="Arial" w:cs="Arial"/>
        </w:rPr>
      </w:pPr>
      <w:r w:rsidRPr="0040014E">
        <w:rPr>
          <w:rFonts w:ascii="Arial" w:hAnsi="Arial" w:cs="Arial"/>
        </w:rPr>
        <w:t>Recognising the uniqueness of each child also promotes inclusive practice, ensuring that children with special educational needs, disabilities, or different cultural backgrounds are fully supported in their learning and development. Practitioners are expected to work in partnership with families and use their knowledge of the child’s home life to inform their practice (DfE, 2021).</w:t>
      </w:r>
    </w:p>
    <w:p w14:paraId="6E6D8394" w14:textId="77777777" w:rsidR="00793FB2" w:rsidRPr="0040014E" w:rsidRDefault="00793FB2" w:rsidP="0040014E">
      <w:pPr>
        <w:spacing w:line="360" w:lineRule="auto"/>
        <w:rPr>
          <w:rFonts w:ascii="Arial" w:hAnsi="Arial" w:cs="Arial"/>
        </w:rPr>
      </w:pPr>
      <w:r w:rsidRPr="0040014E">
        <w:rPr>
          <w:rFonts w:ascii="Arial" w:hAnsi="Arial" w:cs="Arial"/>
        </w:rPr>
        <w:t>Undertaking assessments is a vital part of understanding and supporting children’s development, especially within early years education. When considering play-based assessments, the concept of "assessment" takes on a unique and child-centred meaning. Rather than focusing on formal testing or structured evaluations, play-based assessment involves the systematic observation and analysis of a child’s learning, behaviour, and development through their natural play. It should be a flexible, holistic approach that allows educators and practitioners to gather meaningful insights into a child's progress in a way that is engaging and comfortable for the child (Sheridan, Howard and Alderton, 2011).</w:t>
      </w:r>
    </w:p>
    <w:p w14:paraId="7A5DAB1D" w14:textId="77777777" w:rsidR="00793FB2" w:rsidRPr="0040014E" w:rsidRDefault="00793FB2" w:rsidP="0040014E">
      <w:pPr>
        <w:spacing w:line="360" w:lineRule="auto"/>
        <w:rPr>
          <w:rFonts w:ascii="Arial" w:hAnsi="Arial" w:cs="Arial"/>
        </w:rPr>
      </w:pPr>
      <w:r w:rsidRPr="0040014E">
        <w:rPr>
          <w:rFonts w:ascii="Arial" w:hAnsi="Arial" w:cs="Arial"/>
        </w:rPr>
        <w:t xml:space="preserve">In a play-based assessment, the child is observed in a familiar and relaxed setting such as a classroom, engaged in activities that they choose and enjoy. Through </w:t>
      </w:r>
      <w:r w:rsidRPr="0040014E">
        <w:rPr>
          <w:rFonts w:ascii="Arial" w:hAnsi="Arial" w:cs="Arial"/>
        </w:rPr>
        <w:lastRenderedPageBreak/>
        <w:t>these observations, educators can assess various areas of development, including communication and language skills, social and emotional understanding, physical coordination, problem-solving abilities, and creativity. Because play is a natural and primary way in which young children learn and express themselves, it becomes a powerful tool for identifying their current levels of ability, interests, and potential areas of need (Broadhead, Howard and Wood, 2010).</w:t>
      </w:r>
    </w:p>
    <w:p w14:paraId="767A7C88" w14:textId="77777777" w:rsidR="00793FB2" w:rsidRPr="0040014E" w:rsidRDefault="00793FB2" w:rsidP="0040014E">
      <w:pPr>
        <w:spacing w:line="360" w:lineRule="auto"/>
        <w:rPr>
          <w:rFonts w:ascii="Arial" w:hAnsi="Arial" w:cs="Arial"/>
        </w:rPr>
      </w:pPr>
      <w:r w:rsidRPr="0040014E">
        <w:rPr>
          <w:rFonts w:ascii="Arial" w:hAnsi="Arial" w:cs="Arial"/>
        </w:rPr>
        <w:t>A key feature of play-based assessment is that it is child-led and informal. The adult plays a more observational role, stepping back to allow the child to take the lead while recording their interactions, choices, and responses. This process helps to ensure that the assessment reflects the child’s genuine capabilities, rather than being influenced by the pressure or unfamiliarity that can come with more traditional, structured assessment methods. It also allows for a more accurate understanding of how the child uses language, interacts with peers, and navigates their environment.</w:t>
      </w:r>
    </w:p>
    <w:p w14:paraId="54085721" w14:textId="3D95345D" w:rsidR="00793FB2" w:rsidRPr="0040014E" w:rsidRDefault="00793FB2" w:rsidP="0040014E">
      <w:pPr>
        <w:spacing w:line="360" w:lineRule="auto"/>
        <w:rPr>
          <w:rFonts w:ascii="Arial" w:hAnsi="Arial" w:cs="Arial"/>
        </w:rPr>
      </w:pPr>
      <w:r w:rsidRPr="0040014E">
        <w:rPr>
          <w:rFonts w:ascii="Arial" w:hAnsi="Arial" w:cs="Arial"/>
        </w:rPr>
        <w:t xml:space="preserve">Furthermore, </w:t>
      </w:r>
      <w:r w:rsidR="00EE3B86" w:rsidRPr="0040014E">
        <w:rPr>
          <w:rFonts w:ascii="Arial" w:hAnsi="Arial" w:cs="Arial"/>
        </w:rPr>
        <w:t>i</w:t>
      </w:r>
      <w:r w:rsidRPr="0040014E">
        <w:rPr>
          <w:rFonts w:ascii="Arial" w:hAnsi="Arial" w:cs="Arial"/>
        </w:rPr>
        <w:t>t also allows for a more inclusive and culturally responsive way of assessing children, as it takes place in contexts that are meaningful to them and respects their individual learning styles and backgrounds (Carr and Lee, 2012).</w:t>
      </w:r>
    </w:p>
    <w:p w14:paraId="2BCFD6F1" w14:textId="0F94175B" w:rsidR="00EE3B86" w:rsidRPr="0040014E" w:rsidRDefault="00EE3B86" w:rsidP="0040014E">
      <w:pPr>
        <w:spacing w:line="360" w:lineRule="auto"/>
        <w:rPr>
          <w:rFonts w:ascii="Arial" w:hAnsi="Arial" w:cs="Arial"/>
        </w:rPr>
      </w:pPr>
      <w:r w:rsidRPr="0040014E">
        <w:rPr>
          <w:rFonts w:ascii="Arial" w:hAnsi="Arial" w:cs="Arial"/>
        </w:rPr>
        <w:t>The Foundation Phase is the statutory curriculum for children aged 3 to 7 years in Wales, and it represents a significant shift in early years education by placing emphasis on experiential learning, active participation, and a play-based approach. Assessment within the Foundation Phase reflects these values by prioritising ongoing, observation-based methods over formal testing. The aim is to ensure that children’s development is understood in a holistic, individualised, and developmentally appropriate manner, allowing practitioners to support and plan for each child’s unique learning journey.</w:t>
      </w:r>
    </w:p>
    <w:p w14:paraId="5F75A1AF" w14:textId="77777777" w:rsidR="00EE3B86" w:rsidRPr="0040014E" w:rsidRDefault="00EE3B86" w:rsidP="0040014E">
      <w:pPr>
        <w:spacing w:line="360" w:lineRule="auto"/>
        <w:rPr>
          <w:rFonts w:ascii="Arial" w:hAnsi="Arial" w:cs="Arial"/>
        </w:rPr>
      </w:pPr>
      <w:r w:rsidRPr="0040014E">
        <w:rPr>
          <w:rFonts w:ascii="Arial" w:hAnsi="Arial" w:cs="Arial"/>
        </w:rPr>
        <w:t>One of the central features of Foundation Phase assessment is the focus on continuous observation. Rather than relying on isolated tests or tasks, practitioners assess children by observing them in everyday situations and play-based contexts. According to the Welsh Government (2015), assessment should be "an integral part of the learning and teaching process," providing practitioners with a natural and authentic way to identify children’s progress, abilities, and areas for further support. This allows educators to build a fuller picture of each child's development over time.</w:t>
      </w:r>
    </w:p>
    <w:p w14:paraId="3EC89103" w14:textId="09872540" w:rsidR="00EE3B86" w:rsidRPr="0040014E" w:rsidRDefault="00EE3B86" w:rsidP="0040014E">
      <w:pPr>
        <w:spacing w:line="360" w:lineRule="auto"/>
        <w:rPr>
          <w:rFonts w:ascii="Arial" w:hAnsi="Arial" w:cs="Arial"/>
        </w:rPr>
      </w:pPr>
      <w:r w:rsidRPr="0040014E">
        <w:rPr>
          <w:rFonts w:ascii="Arial" w:hAnsi="Arial" w:cs="Arial"/>
        </w:rPr>
        <w:lastRenderedPageBreak/>
        <w:t>The approach is also holistic, meaning it considers the full range of developmental domains</w:t>
      </w:r>
      <w:r w:rsidR="00EF5CF6">
        <w:rPr>
          <w:rFonts w:ascii="Arial" w:hAnsi="Arial" w:cs="Arial"/>
        </w:rPr>
        <w:t xml:space="preserve"> </w:t>
      </w:r>
      <w:r w:rsidRPr="0040014E">
        <w:rPr>
          <w:rFonts w:ascii="Arial" w:hAnsi="Arial" w:cs="Arial"/>
        </w:rPr>
        <w:t>cognitive, physical, emotional, social, and language development</w:t>
      </w:r>
      <w:r w:rsidR="00EF5CF6">
        <w:rPr>
          <w:rFonts w:ascii="Arial" w:hAnsi="Arial" w:cs="Arial"/>
        </w:rPr>
        <w:t xml:space="preserve"> </w:t>
      </w:r>
      <w:r w:rsidRPr="0040014E">
        <w:rPr>
          <w:rFonts w:ascii="Arial" w:hAnsi="Arial" w:cs="Arial"/>
        </w:rPr>
        <w:t>rather than focusing solely on literacy or numeracy skills. Donaldson (2015) highlights that learning should not be reduced to a narrow set of outcomes, but should recognise the importance of creativity, wellbeing, and personal development. As such, assessment within the Foundation Phase considers how children explore, communicate, socialise, and solve problems in real-world contexts.</w:t>
      </w:r>
    </w:p>
    <w:p w14:paraId="2F700325" w14:textId="77777777" w:rsidR="00EE3B86" w:rsidRPr="0040014E" w:rsidRDefault="00EE3B86" w:rsidP="0040014E">
      <w:pPr>
        <w:spacing w:line="360" w:lineRule="auto"/>
        <w:rPr>
          <w:rFonts w:ascii="Arial" w:hAnsi="Arial" w:cs="Arial"/>
        </w:rPr>
      </w:pPr>
      <w:r w:rsidRPr="0040014E">
        <w:rPr>
          <w:rFonts w:ascii="Arial" w:hAnsi="Arial" w:cs="Arial"/>
        </w:rPr>
        <w:t>By observing children during self-directed and adult-initiated activities, educators can tailor their teaching strategies and learning environments to suit individual interests and needs. This flexibility makes it easier to plan inclusive activities that support all learners, including those with additional learning needs or children from diverse cultural and linguistic backgrounds (Estyn, 2019). It also ensures that the child’s voice is recognised, fostering a sense of agency and self-worth.</w:t>
      </w:r>
    </w:p>
    <w:p w14:paraId="77358139" w14:textId="77777777" w:rsidR="00EE3B86" w:rsidRPr="0040014E" w:rsidRDefault="00EE3B86" w:rsidP="0040014E">
      <w:pPr>
        <w:spacing w:line="360" w:lineRule="auto"/>
        <w:rPr>
          <w:rFonts w:ascii="Arial" w:hAnsi="Arial" w:cs="Arial"/>
        </w:rPr>
      </w:pPr>
      <w:r w:rsidRPr="0040014E">
        <w:rPr>
          <w:rFonts w:ascii="Arial" w:hAnsi="Arial" w:cs="Arial"/>
        </w:rPr>
        <w:t>Furthermore, Foundation Phase assessment provides a more developmentally appropriate alternative to formal testing. As argued by Papatheodorou and Moyles (2009), traditional tests often fail to capture young children’s true abilities, especially when they are still developing language skills or adjusting to structured learning environments. In contrast, assessment through play allows children to demonstrate what they know and can do in meaningful, familiar contexts.</w:t>
      </w:r>
    </w:p>
    <w:p w14:paraId="1A7743FC" w14:textId="77777777" w:rsidR="00EE3B86" w:rsidRPr="0040014E" w:rsidRDefault="00EE3B86" w:rsidP="0040014E">
      <w:pPr>
        <w:spacing w:line="360" w:lineRule="auto"/>
        <w:rPr>
          <w:rFonts w:ascii="Arial" w:hAnsi="Arial" w:cs="Arial"/>
        </w:rPr>
      </w:pPr>
      <w:r w:rsidRPr="0040014E">
        <w:rPr>
          <w:rFonts w:ascii="Arial" w:hAnsi="Arial" w:cs="Arial"/>
        </w:rPr>
        <w:t>While the Foundation Phase assessment framework presents many advantages for early years education, it is essential to acknowledge its limitations and potential weaknesses. A key weakness with the Foundation Phase assessment is its dependence on subjective observation. Since practitioners primarily assess children's development through ongoing observations, there is a potential for inconsistent interpretations. Different educators might view the same behaviour or skill in varying ways, leading to discrepancies in judgments regarding a child's progress (Brooker, 2011).</w:t>
      </w:r>
    </w:p>
    <w:p w14:paraId="6C77E33A" w14:textId="77777777" w:rsidR="00EE3B86" w:rsidRPr="0040014E" w:rsidRDefault="00EE3B86" w:rsidP="0040014E">
      <w:pPr>
        <w:spacing w:line="360" w:lineRule="auto"/>
        <w:rPr>
          <w:rFonts w:ascii="Arial" w:hAnsi="Arial" w:cs="Arial"/>
        </w:rPr>
      </w:pPr>
      <w:r w:rsidRPr="0040014E">
        <w:rPr>
          <w:rFonts w:ascii="Arial" w:hAnsi="Arial" w:cs="Arial"/>
        </w:rPr>
        <w:t xml:space="preserve">Another significant weakness is the time-intensive nature of continuous observational assessment. Documenting learning journeys and tracking development across multiple areas necessitate substantial effort and organization. Early years practitioners often deal with heavy workloads, making it difficult to </w:t>
      </w:r>
      <w:r w:rsidRPr="0040014E">
        <w:rPr>
          <w:rFonts w:ascii="Arial" w:hAnsi="Arial" w:cs="Arial"/>
        </w:rPr>
        <w:lastRenderedPageBreak/>
        <w:t>allocate adequate time for thorough observation and meticulous record-keeping (Nutbrown, 2012).</w:t>
      </w:r>
    </w:p>
    <w:p w14:paraId="4E550940" w14:textId="77777777" w:rsidR="00EE3B86" w:rsidRPr="0040014E" w:rsidRDefault="00EE3B86" w:rsidP="0040014E">
      <w:pPr>
        <w:spacing w:line="360" w:lineRule="auto"/>
        <w:rPr>
          <w:rFonts w:ascii="Arial" w:hAnsi="Arial" w:cs="Arial"/>
        </w:rPr>
      </w:pPr>
      <w:r w:rsidRPr="0040014E">
        <w:rPr>
          <w:rFonts w:ascii="Arial" w:hAnsi="Arial" w:cs="Arial"/>
        </w:rPr>
        <w:t>Moreover, the effectiveness of Foundation Phase assessment significantly relies on the skills and experience of practitioners. Experienced educators are generally better at identifying developmental milestones, learning styles, and potential challenges. In contrast, less experienced staff may find it challenging to make precise observations or interpret behaviours accurately (Siraj-Blatchford, 2010).</w:t>
      </w:r>
    </w:p>
    <w:p w14:paraId="2F50CCB8" w14:textId="77777777" w:rsidR="00EE3B86" w:rsidRPr="0040014E" w:rsidRDefault="00EE3B86" w:rsidP="0040014E">
      <w:pPr>
        <w:spacing w:line="360" w:lineRule="auto"/>
        <w:rPr>
          <w:rFonts w:ascii="Arial" w:hAnsi="Arial" w:cs="Arial"/>
        </w:rPr>
      </w:pPr>
      <w:r w:rsidRPr="0040014E">
        <w:rPr>
          <w:rFonts w:ascii="Arial" w:hAnsi="Arial" w:cs="Arial"/>
        </w:rPr>
        <w:t>Lastly, even though the Foundation Phase aims to endorse inclusive practices, there can be hurdles in effectively supporting children with complex additional needs or disabilities within this framework. The flexible, play-based approach might not always furnish the structured support or specialist input that some children require, leading to their needs being overlooked or insufficiently catered for (Rose, 2009).</w:t>
      </w:r>
    </w:p>
    <w:p w14:paraId="49CA7AF8" w14:textId="77777777" w:rsidR="00EE3B86" w:rsidRPr="0040014E" w:rsidRDefault="00EE3B86" w:rsidP="0040014E">
      <w:pPr>
        <w:spacing w:line="360" w:lineRule="auto"/>
        <w:rPr>
          <w:rFonts w:ascii="Arial" w:hAnsi="Arial" w:cs="Arial"/>
        </w:rPr>
      </w:pPr>
      <w:r w:rsidRPr="0040014E">
        <w:rPr>
          <w:rFonts w:ascii="Arial" w:hAnsi="Arial" w:cs="Arial"/>
        </w:rPr>
        <w:t>In summary, The Eary Years Foundation Phase assessment is a powerful tool for supporting young children’s development in a way that is authentic, respectful, and meaningful. Its emphasis on observation, and the whole child makes it well-suited to early years education, where learning unfolds through exploration, play, and relationships. As early years educators, recognising and valuing this approach helps ensure that all children are given the best possible start to their educational journey.</w:t>
      </w:r>
    </w:p>
    <w:p w14:paraId="3ED0ECD4" w14:textId="77777777" w:rsidR="00FE6B4A" w:rsidRPr="0040014E" w:rsidRDefault="00FE6B4A" w:rsidP="0040014E">
      <w:pPr>
        <w:spacing w:line="360" w:lineRule="auto"/>
        <w:rPr>
          <w:rFonts w:ascii="Arial" w:hAnsi="Arial" w:cs="Arial"/>
        </w:rPr>
      </w:pPr>
      <w:r w:rsidRPr="0040014E">
        <w:rPr>
          <w:rFonts w:ascii="Arial" w:hAnsi="Arial" w:cs="Arial"/>
        </w:rPr>
        <w:t>One significant positive of assessment arrangements in non-maintained settings is the flexibility and individualised approach they often bring. Without the constraints of a maintained school system, settings may have more freedom to adapt their assessment methods to suit the needs and contexts of individual children (Pascal &amp; Bertram, 2015). This can lead to more child-centred observations and deeper understanding of developmental progress, especially when delivered by experienced and well-trained practitioners.</w:t>
      </w:r>
    </w:p>
    <w:p w14:paraId="701A6112" w14:textId="77777777" w:rsidR="00FE6B4A" w:rsidRPr="0040014E" w:rsidRDefault="00FE6B4A" w:rsidP="0040014E">
      <w:pPr>
        <w:spacing w:line="360" w:lineRule="auto"/>
        <w:rPr>
          <w:rFonts w:ascii="Arial" w:hAnsi="Arial" w:cs="Arial"/>
        </w:rPr>
      </w:pPr>
      <w:r w:rsidRPr="0040014E">
        <w:rPr>
          <w:rFonts w:ascii="Arial" w:hAnsi="Arial" w:cs="Arial"/>
        </w:rPr>
        <w:t xml:space="preserve">Another advantage is the use of formative assessment through observation, which is embedded within daily practice. This informal and ongoing method aligns well with young children’s learning styles and can provide rich insights into their interests, strengths, and needs (Broadhead et al., 2008). </w:t>
      </w:r>
    </w:p>
    <w:p w14:paraId="3F0AEA7F" w14:textId="77777777" w:rsidR="00FE6B4A" w:rsidRPr="0040014E" w:rsidRDefault="00FE6B4A" w:rsidP="0040014E">
      <w:pPr>
        <w:spacing w:line="360" w:lineRule="auto"/>
        <w:rPr>
          <w:rFonts w:ascii="Arial" w:hAnsi="Arial" w:cs="Arial"/>
        </w:rPr>
      </w:pPr>
      <w:r w:rsidRPr="0040014E">
        <w:rPr>
          <w:rFonts w:ascii="Arial" w:hAnsi="Arial" w:cs="Arial"/>
        </w:rPr>
        <w:t xml:space="preserve">In addition to flexibility and informality, close relationships with families are another positive feature. Many non-maintained settings operate on a smaller scale, allowing </w:t>
      </w:r>
      <w:r w:rsidRPr="0040014E">
        <w:rPr>
          <w:rFonts w:ascii="Arial" w:hAnsi="Arial" w:cs="Arial"/>
        </w:rPr>
        <w:lastRenderedPageBreak/>
        <w:t>staff to build strong partnerships with parents and carers. These relationships support a two-way flow of information that enhances the accuracy and usefulness of assessments (Sylva et al., 2004). By involving families in observations and progress discussions, practitioners can gain a fuller picture of a child’s development across different environments.</w:t>
      </w:r>
    </w:p>
    <w:p w14:paraId="20D2E6D3" w14:textId="77777777" w:rsidR="00FE6B4A" w:rsidRPr="0040014E" w:rsidRDefault="00FE6B4A" w:rsidP="0040014E">
      <w:pPr>
        <w:spacing w:line="360" w:lineRule="auto"/>
        <w:rPr>
          <w:rFonts w:ascii="Arial" w:hAnsi="Arial" w:cs="Arial"/>
        </w:rPr>
      </w:pPr>
      <w:r w:rsidRPr="0040014E">
        <w:rPr>
          <w:rFonts w:ascii="Arial" w:hAnsi="Arial" w:cs="Arial"/>
        </w:rPr>
        <w:t>However, there are notable challenges. One key issue is the variation in quality and consistency of assessment practices across non-maintained settings. Unlike maintained nurseries, providers can differ greatly in their staffing qualifications, access to training, and understanding of assessment expectations (Ofsted, 2022). This can lead to inconsistent judgements and under-identification of needs, particularly for children with special educational needs and disabilities (SEND).</w:t>
      </w:r>
    </w:p>
    <w:p w14:paraId="55EDFA94" w14:textId="77777777" w:rsidR="00FE6B4A" w:rsidRPr="0040014E" w:rsidRDefault="00FE6B4A" w:rsidP="0040014E">
      <w:pPr>
        <w:spacing w:line="360" w:lineRule="auto"/>
        <w:rPr>
          <w:rFonts w:ascii="Arial" w:hAnsi="Arial" w:cs="Arial"/>
        </w:rPr>
      </w:pPr>
      <w:r w:rsidRPr="0040014E">
        <w:rPr>
          <w:rFonts w:ascii="Arial" w:hAnsi="Arial" w:cs="Arial"/>
        </w:rPr>
        <w:t>Furthermore, funding constraints can negatively impact the capacity of non-maintained settings to carry out robust assessments. Many rely on part-time or low-paid staff with limited non-contact time to complete detailed observations and paperwork. This administrative burden may reduce the time spent on meaningful interactions with children and limit the depth of assessments (Hutchinson et al., 2020). Additionally, while data collection is required for local authority monitoring, it can sometimes feel disconnected from practice, serving bureaucratic needs rather than directly supporting children’s development (Bradbury, 2019).</w:t>
      </w:r>
    </w:p>
    <w:p w14:paraId="25B2D603" w14:textId="42A358A4" w:rsidR="00FE6B4A" w:rsidRPr="0040014E" w:rsidRDefault="00731B58" w:rsidP="0040014E">
      <w:pPr>
        <w:spacing w:line="360" w:lineRule="auto"/>
        <w:rPr>
          <w:rFonts w:ascii="Arial" w:hAnsi="Arial" w:cs="Arial"/>
        </w:rPr>
      </w:pPr>
      <w:r w:rsidRPr="0040014E">
        <w:rPr>
          <w:rFonts w:ascii="Arial" w:hAnsi="Arial" w:cs="Arial"/>
        </w:rPr>
        <w:t>Lastly another</w:t>
      </w:r>
      <w:r w:rsidR="00FE6B4A" w:rsidRPr="0040014E">
        <w:rPr>
          <w:rFonts w:ascii="Arial" w:hAnsi="Arial" w:cs="Arial"/>
        </w:rPr>
        <w:t xml:space="preserve"> challenge is communication and continuity between non-maintained settings and primary schools. While transition documents are commonly used, there is often a lack of consistent sharing of assessment data, leading to children starting Reception without a clear understanding of their previous development (Taggart et al., 2015). This gap can be particularly problematic for disadvantaged children or those with additional needs.</w:t>
      </w:r>
    </w:p>
    <w:p w14:paraId="58C8E730" w14:textId="77777777" w:rsidR="00FE6B4A" w:rsidRPr="0040014E" w:rsidRDefault="00FE6B4A" w:rsidP="0040014E">
      <w:pPr>
        <w:spacing w:line="360" w:lineRule="auto"/>
        <w:rPr>
          <w:rFonts w:ascii="Arial" w:hAnsi="Arial" w:cs="Arial"/>
        </w:rPr>
      </w:pPr>
      <w:r w:rsidRPr="0040014E">
        <w:rPr>
          <w:rFonts w:ascii="Arial" w:hAnsi="Arial" w:cs="Arial"/>
        </w:rPr>
        <w:t>In conclusion, while assessment arrangements in funded non-maintained nursery settings offer personalised and flexible approaches aligned with the EYFS, they are not without their limitations. Ensuring consistency, supporting staff development, and improving communication with schools are critical to enhancing the effectiveness of these assessments. Continued investment and guidance from local authorities and national bodies are essential to ensure that all children receive high-quality early assessment, regardless of the setting they attend.</w:t>
      </w:r>
    </w:p>
    <w:p w14:paraId="00AA693A" w14:textId="5E7353D7" w:rsidR="00FE6B4A" w:rsidRPr="0040014E" w:rsidRDefault="00B6602F" w:rsidP="0040014E">
      <w:pPr>
        <w:spacing w:line="360" w:lineRule="auto"/>
        <w:rPr>
          <w:rFonts w:ascii="Arial" w:hAnsi="Arial" w:cs="Arial"/>
          <w:u w:val="single"/>
        </w:rPr>
      </w:pPr>
      <w:r w:rsidRPr="0040014E">
        <w:rPr>
          <w:rFonts w:ascii="Arial" w:hAnsi="Arial" w:cs="Arial"/>
          <w:u w:val="single"/>
        </w:rPr>
        <w:lastRenderedPageBreak/>
        <w:t xml:space="preserve">Section 3 </w:t>
      </w:r>
    </w:p>
    <w:p w14:paraId="7E83951B" w14:textId="77777777" w:rsidR="0040014E" w:rsidRPr="0040014E" w:rsidRDefault="0040014E" w:rsidP="0040014E">
      <w:pPr>
        <w:spacing w:line="360" w:lineRule="auto"/>
        <w:rPr>
          <w:rFonts w:ascii="Arial" w:hAnsi="Arial" w:cs="Arial"/>
        </w:rPr>
      </w:pPr>
      <w:r w:rsidRPr="0040014E">
        <w:rPr>
          <w:rFonts w:ascii="Arial" w:hAnsi="Arial" w:cs="Arial"/>
        </w:rPr>
        <w:t>In this blog, I’ll explore key considerations that must be addressed when implementing or evolving a play-based curriculum when applying early intervention to ensure it remains meaningful, inclusive, aligned with developmental goals.</w:t>
      </w:r>
    </w:p>
    <w:p w14:paraId="18FC3B2D" w14:textId="77777777" w:rsidR="0040014E" w:rsidRPr="0040014E" w:rsidRDefault="0040014E" w:rsidP="0040014E">
      <w:pPr>
        <w:spacing w:line="360" w:lineRule="auto"/>
        <w:rPr>
          <w:rFonts w:ascii="Arial" w:hAnsi="Arial" w:cs="Arial"/>
        </w:rPr>
      </w:pPr>
      <w:r w:rsidRPr="0040014E">
        <w:rPr>
          <w:rFonts w:ascii="Arial" w:hAnsi="Arial" w:cs="Arial"/>
        </w:rPr>
        <w:t>A successful play-based curriculum is built on a solid understanding of child development and early years pedagogy. It is not simply “letting children play,” it is a carefully structured approach that provides freedom within boundaries (Wood, 2013). Educators must be clear about what purposeful play looks like, how it supports the EYFS (Early Years Foundation Stage) framework, and how it links to outcomes (DfE, 2021).</w:t>
      </w:r>
    </w:p>
    <w:p w14:paraId="1F76E552" w14:textId="77777777" w:rsidR="0040014E" w:rsidRPr="0040014E" w:rsidRDefault="0040014E" w:rsidP="0040014E">
      <w:pPr>
        <w:spacing w:line="360" w:lineRule="auto"/>
        <w:rPr>
          <w:rFonts w:ascii="Arial" w:hAnsi="Arial" w:cs="Arial"/>
        </w:rPr>
      </w:pPr>
      <w:r w:rsidRPr="006467A3">
        <w:rPr>
          <w:rFonts w:ascii="Arial" w:hAnsi="Arial" w:cs="Arial"/>
        </w:rPr>
        <w:t>Early intervention is widely recognised as supporting the development of children who exhibit delays or are at risk of developmental difficulties. It refers to the provision of targeted support and services to children</w:t>
      </w:r>
      <w:r w:rsidRPr="0040014E">
        <w:rPr>
          <w:rFonts w:ascii="Arial" w:hAnsi="Arial" w:cs="Arial"/>
        </w:rPr>
        <w:t xml:space="preserve"> both individually and within groups, the</w:t>
      </w:r>
      <w:r w:rsidRPr="006467A3">
        <w:rPr>
          <w:rFonts w:ascii="Arial" w:hAnsi="Arial" w:cs="Arial"/>
        </w:rPr>
        <w:t xml:space="preserve"> ai</w:t>
      </w:r>
      <w:r w:rsidRPr="0040014E">
        <w:rPr>
          <w:rFonts w:ascii="Arial" w:hAnsi="Arial" w:cs="Arial"/>
        </w:rPr>
        <w:t>m is</w:t>
      </w:r>
      <w:r w:rsidRPr="006467A3">
        <w:rPr>
          <w:rFonts w:ascii="Arial" w:hAnsi="Arial" w:cs="Arial"/>
        </w:rPr>
        <w:t xml:space="preserve"> to improve developmental outcomes and reduce the long-term impact of delay or disability. The rationale behind early intervention is grounded in neuroscience, developmental psychology, and educational research, all of which support the notion that early experiences play a significant role in shaping a child's cognitive, social, emotional, and physical development.</w:t>
      </w:r>
    </w:p>
    <w:p w14:paraId="2F484891" w14:textId="77777777" w:rsidR="0040014E" w:rsidRPr="0040014E" w:rsidRDefault="0040014E" w:rsidP="0040014E">
      <w:pPr>
        <w:spacing w:line="360" w:lineRule="auto"/>
        <w:rPr>
          <w:rFonts w:ascii="Arial" w:hAnsi="Arial" w:cs="Arial"/>
        </w:rPr>
      </w:pPr>
      <w:r w:rsidRPr="0040014E">
        <w:rPr>
          <w:rFonts w:ascii="Arial" w:hAnsi="Arial" w:cs="Arial"/>
        </w:rPr>
        <w:t>Intervention in early years education can take many forms, addressing a broad spectrum of developmental needs, including physical literacy, numeracy, speech and language, and fine and gross motor skills. Most interventions can be effectively implemented within the classroom environment, allowing children to benefit from inclusive practice and social learning opportunities among their peers (Department for Education [DfE], 2015). For instance, differentiated instruction, peer-assisted learning, and scaffolded support can be embedded into everyday teaching strategies to support individual needs without disrupting the class dynamic (Florian &amp; Black-Hawkins, 2011).</w:t>
      </w:r>
    </w:p>
    <w:p w14:paraId="0314AAFC" w14:textId="77777777" w:rsidR="0040014E" w:rsidRPr="0040014E" w:rsidRDefault="0040014E" w:rsidP="0040014E">
      <w:pPr>
        <w:spacing w:line="360" w:lineRule="auto"/>
        <w:rPr>
          <w:rFonts w:ascii="Arial" w:hAnsi="Arial" w:cs="Arial"/>
        </w:rPr>
      </w:pPr>
      <w:r w:rsidRPr="0040014E">
        <w:rPr>
          <w:rFonts w:ascii="Arial" w:hAnsi="Arial" w:cs="Arial"/>
        </w:rPr>
        <w:t xml:space="preserve">However, certain intervention programmes, particularly those targeting speech and language difficulties or requiring focused physical exercises to improve muscle dexterity, may necessitate withdrawal from the classroom setting. In such cases, a quieter and distraction-free space allows for more targeted, intensive support, </w:t>
      </w:r>
      <w:r w:rsidRPr="0040014E">
        <w:rPr>
          <w:rFonts w:ascii="Arial" w:hAnsi="Arial" w:cs="Arial"/>
        </w:rPr>
        <w:lastRenderedPageBreak/>
        <w:t>enabling practitioners to work closely with the child on specific goals (Law et al., 2017). Regardless of the setting, it is crucial that interventions remain engaging and enjoyable for children. Making learning fun has been shown to enhance motivation and retention, particularly for younger learners (Whitebread, 2012). Interactive games, movement-based learning, and creative play can all be harnessed to reinforce key skills in an enjoyable and meaningful way.</w:t>
      </w:r>
    </w:p>
    <w:p w14:paraId="4AF043E3" w14:textId="77777777" w:rsidR="0040014E" w:rsidRPr="0040014E" w:rsidRDefault="0040014E" w:rsidP="0040014E">
      <w:pPr>
        <w:spacing w:line="360" w:lineRule="auto"/>
        <w:rPr>
          <w:rFonts w:ascii="Arial" w:hAnsi="Arial" w:cs="Arial"/>
        </w:rPr>
      </w:pPr>
      <w:r w:rsidRPr="0040014E">
        <w:rPr>
          <w:rFonts w:ascii="Arial" w:hAnsi="Arial" w:cs="Arial"/>
        </w:rPr>
        <w:t xml:space="preserve">In my experience some educators are unwilling to implement intervention in the early years as this is they believe due to difference in ages that some children need to “catch up” meaning that they just need time to reach developmental stages, the issue here is that the stage of development usually is not the cause of the needs of interventions. This is where I believe that management should be undertaking progress review meetings regularly to ensure all staff are following current curricular and meeting the needs of each child. Additionally, settings should invest educating staff by sending them on courses which promote early intervention and strategies to implement it correctly. </w:t>
      </w:r>
    </w:p>
    <w:p w14:paraId="7E693A19" w14:textId="77777777" w:rsidR="0040014E" w:rsidRPr="006467A3" w:rsidRDefault="0040014E" w:rsidP="0040014E">
      <w:pPr>
        <w:spacing w:line="360" w:lineRule="auto"/>
        <w:rPr>
          <w:rFonts w:ascii="Arial" w:hAnsi="Arial" w:cs="Arial"/>
        </w:rPr>
      </w:pPr>
      <w:r w:rsidRPr="006467A3">
        <w:rPr>
          <w:rFonts w:ascii="Arial" w:hAnsi="Arial" w:cs="Arial"/>
        </w:rPr>
        <w:t>The early years of life are a time of extraordinary growth. Research has shown that more than one million new neural connections are formed in a child’s brain every second during the first few years of life (Shonkoff &amp; Phillips, 2000). These connections provide the foundation for all future learning, behaviour, and health. Consequently, when children receive the right support early on, their chances of reaching their full developmental potential significantly increase. Intervening during this critical window allows for more effective support, as a child’s brain is more malleable and responsive to change at this stage than later in life.</w:t>
      </w:r>
    </w:p>
    <w:p w14:paraId="25E6D1BC" w14:textId="77777777" w:rsidR="0040014E" w:rsidRPr="006467A3" w:rsidRDefault="0040014E" w:rsidP="0040014E">
      <w:pPr>
        <w:spacing w:line="360" w:lineRule="auto"/>
        <w:rPr>
          <w:rFonts w:ascii="Arial" w:hAnsi="Arial" w:cs="Arial"/>
        </w:rPr>
      </w:pPr>
      <w:r w:rsidRPr="006467A3">
        <w:rPr>
          <w:rFonts w:ascii="Arial" w:hAnsi="Arial" w:cs="Arial"/>
        </w:rPr>
        <w:t>Early intervention is particularly effective in addressing delays in speech and language, social interaction, motor development, and emotional regulation. For instance, children who receive speech and language therapy in the early years often show more significant improvement compared to those who begin intervention at a later age (Law, Garrett &amp; Nye, 2004). Early support does not only help close developmental gaps but also builds confidence and independence in young children, preparing them more adequately for school and lifelong learning.</w:t>
      </w:r>
    </w:p>
    <w:p w14:paraId="2308EE7E" w14:textId="77777777" w:rsidR="0040014E" w:rsidRPr="0040014E" w:rsidRDefault="0040014E" w:rsidP="0040014E">
      <w:pPr>
        <w:spacing w:line="360" w:lineRule="auto"/>
        <w:rPr>
          <w:rFonts w:ascii="Arial" w:hAnsi="Arial" w:cs="Arial"/>
        </w:rPr>
      </w:pPr>
      <w:r w:rsidRPr="006467A3">
        <w:rPr>
          <w:rFonts w:ascii="Arial" w:hAnsi="Arial" w:cs="Arial"/>
        </w:rPr>
        <w:t xml:space="preserve">Another vital aspect of early intervention is the role of families. Effective early intervention programs take a family-centred approach, recognising that parents and </w:t>
      </w:r>
      <w:r w:rsidRPr="006467A3">
        <w:rPr>
          <w:rFonts w:ascii="Arial" w:hAnsi="Arial" w:cs="Arial"/>
        </w:rPr>
        <w:lastRenderedPageBreak/>
        <w:t>caregivers are a child’s first and most influential teachers. Involving families in intervention supports stronger outcomes and empowers them with strategies to assist their child’s development in everyday settings (Dunst, Trivette, &amp; Hamby, 2007). When families are supported early, their ability to manage stress and build strong relationships with their children also improves.</w:t>
      </w:r>
    </w:p>
    <w:p w14:paraId="28B21F68" w14:textId="5406E751" w:rsidR="0040014E" w:rsidRPr="006467A3" w:rsidRDefault="0040014E" w:rsidP="0040014E">
      <w:pPr>
        <w:spacing w:line="360" w:lineRule="auto"/>
        <w:rPr>
          <w:rFonts w:ascii="Arial" w:hAnsi="Arial" w:cs="Arial"/>
        </w:rPr>
      </w:pPr>
      <w:r w:rsidRPr="0040014E">
        <w:rPr>
          <w:rFonts w:ascii="Arial" w:hAnsi="Arial" w:cs="Arial"/>
        </w:rPr>
        <w:t xml:space="preserve">Importantly, early intervention strategies are highly compatible with play-based learning, which is a key element of early years education in many curricula around the world. A play-based curriculum emphasises exploration, creativity, and learning through meaningful experiences in a child-led environment. This approach provides an ideal context for delivering intervention in a way that feels natural, engaging, and non-intrusive. For example, therapists and educators can embed speech and language goals within storytelling, role-play, and group games, allowing children to practise communication skills in social and imaginative contexts. Similarly, motor development goals can be supported through climbing, construction play, or fine-motor activities like drawing and threading beads. Play is the natural language of young </w:t>
      </w:r>
      <w:r w:rsidR="003B30A9" w:rsidRPr="0040014E">
        <w:rPr>
          <w:rFonts w:ascii="Arial" w:hAnsi="Arial" w:cs="Arial"/>
        </w:rPr>
        <w:t>children;</w:t>
      </w:r>
      <w:r w:rsidRPr="0040014E">
        <w:rPr>
          <w:rFonts w:ascii="Arial" w:hAnsi="Arial" w:cs="Arial"/>
        </w:rPr>
        <w:t xml:space="preserve"> it offers a powerful platform for observing and supporting development in real time. Professionals can assess a child’s strengths and needs through observation during play and adapt intervention strategies accordingly. As noted by Bergen (2002), high-quality play supports cognitive, language, and social-emotional development, making it an effective medium for both teaching and assessment. Integrating intervention into play ensures that children remain motivated and reduces the stigma that can sometimes be associated with more structured or clinical approaches.</w:t>
      </w:r>
    </w:p>
    <w:p w14:paraId="546BA522" w14:textId="77777777" w:rsidR="0040014E" w:rsidRPr="0040014E" w:rsidRDefault="0040014E" w:rsidP="0040014E">
      <w:pPr>
        <w:spacing w:line="360" w:lineRule="auto"/>
        <w:rPr>
          <w:rFonts w:ascii="Arial" w:hAnsi="Arial" w:cs="Arial"/>
        </w:rPr>
      </w:pPr>
      <w:r w:rsidRPr="006467A3">
        <w:rPr>
          <w:rFonts w:ascii="Arial" w:hAnsi="Arial" w:cs="Arial"/>
        </w:rPr>
        <w:t>Furthermore, early intervention offers long-term economic and societal benefits. Studies have shown that investing in high-quality early support results in reduced costs for education, health, and social services in later years (Heckman, 2006). Preventing or mitigating developmental difficulties early can reduce the need for more intensive and costly interventions in the future.</w:t>
      </w:r>
    </w:p>
    <w:p w14:paraId="40AAE6B6" w14:textId="77777777" w:rsidR="0040014E" w:rsidRPr="0040014E" w:rsidRDefault="0040014E" w:rsidP="0040014E">
      <w:pPr>
        <w:spacing w:line="360" w:lineRule="auto"/>
        <w:rPr>
          <w:rFonts w:ascii="Arial" w:hAnsi="Arial" w:cs="Arial"/>
        </w:rPr>
      </w:pPr>
      <w:r w:rsidRPr="0040014E">
        <w:rPr>
          <w:rFonts w:ascii="Arial" w:hAnsi="Arial" w:cs="Arial"/>
        </w:rPr>
        <w:t xml:space="preserve">Kotter’s (1996) change management theory reminds us that successful change requires a shared vision, short-term wins, and broad-based support. If transitioning from a more traditional or structured framework, change management must be </w:t>
      </w:r>
      <w:r w:rsidRPr="0040014E">
        <w:rPr>
          <w:rFonts w:ascii="Arial" w:hAnsi="Arial" w:cs="Arial"/>
        </w:rPr>
        <w:lastRenderedPageBreak/>
        <w:t>managed sensitively. Staff may feel uncertain, especially if they are used to working within a rigid timetable or are worried about perceived “gaps” in academic readiness.</w:t>
      </w:r>
    </w:p>
    <w:p w14:paraId="7761BA64" w14:textId="77777777" w:rsidR="0040014E" w:rsidRPr="006467A3" w:rsidRDefault="0040014E" w:rsidP="0040014E">
      <w:pPr>
        <w:spacing w:line="360" w:lineRule="auto"/>
        <w:rPr>
          <w:rFonts w:ascii="Arial" w:hAnsi="Arial" w:cs="Arial"/>
        </w:rPr>
      </w:pPr>
      <w:r w:rsidRPr="006467A3">
        <w:rPr>
          <w:rFonts w:ascii="Arial" w:hAnsi="Arial" w:cs="Arial"/>
        </w:rPr>
        <w:t>In conclusion, early intervention is a vital part of child development support. It takes advantage of the brain’s natural plasticity during the early years and can significantly improve developmental outcomes for children who are at risk of or experiencing delays. By identifying concerns early and involving families in responsive, targeted strategies, early intervention lays the groundwork for a child’s lifelong learning and wellbeing. It is not only a moral imperative but also a sound economic investment in the future of children and society.</w:t>
      </w:r>
    </w:p>
    <w:p w14:paraId="19BABC20" w14:textId="77777777" w:rsidR="00EE3B86" w:rsidRPr="00FE6B4A" w:rsidRDefault="00EE3B86" w:rsidP="00793FB2">
      <w:pPr>
        <w:rPr>
          <w:rFonts w:ascii="Arial" w:hAnsi="Arial" w:cs="Arial"/>
        </w:rPr>
      </w:pPr>
    </w:p>
    <w:p w14:paraId="730338F6" w14:textId="144259E8" w:rsidR="00FE6B4A" w:rsidRPr="003B30A9" w:rsidRDefault="00927D3E" w:rsidP="00F94493">
      <w:pPr>
        <w:rPr>
          <w:rFonts w:ascii="Arial" w:hAnsi="Arial" w:cs="Arial"/>
          <w:u w:val="single"/>
        </w:rPr>
      </w:pPr>
      <w:r w:rsidRPr="00927D3E">
        <w:rPr>
          <w:rFonts w:ascii="Arial" w:hAnsi="Arial" w:cs="Arial"/>
          <w:u w:val="single"/>
        </w:rPr>
        <w:t xml:space="preserve">Reference List </w:t>
      </w:r>
    </w:p>
    <w:p w14:paraId="22E68314" w14:textId="77777777" w:rsidR="003B30A9" w:rsidRPr="00FE6B4A" w:rsidRDefault="003B30A9" w:rsidP="00FE6B4A">
      <w:pPr>
        <w:rPr>
          <w:rFonts w:ascii="Arial" w:hAnsi="Arial" w:cs="Arial"/>
        </w:rPr>
      </w:pPr>
      <w:r w:rsidRPr="00FE6B4A">
        <w:rPr>
          <w:rFonts w:ascii="Arial" w:hAnsi="Arial" w:cs="Arial"/>
        </w:rPr>
        <w:t xml:space="preserve">Bradbury, A. (2019). </w:t>
      </w:r>
      <w:r w:rsidRPr="00FE6B4A">
        <w:rPr>
          <w:rFonts w:ascii="Arial" w:hAnsi="Arial" w:cs="Arial"/>
          <w:i/>
          <w:iCs/>
        </w:rPr>
        <w:t>The impact of the EYFS profile on practitioners’ assessment practices</w:t>
      </w:r>
      <w:r w:rsidRPr="00FE6B4A">
        <w:rPr>
          <w:rFonts w:ascii="Arial" w:hAnsi="Arial" w:cs="Arial"/>
        </w:rPr>
        <w:t>. British Educational Research Journal, 45(1), 26-43.</w:t>
      </w:r>
    </w:p>
    <w:p w14:paraId="003F5D87" w14:textId="77777777" w:rsidR="003B30A9" w:rsidRPr="00FE6B4A" w:rsidRDefault="003B30A9" w:rsidP="00F94493">
      <w:pPr>
        <w:rPr>
          <w:rFonts w:ascii="Arial" w:hAnsi="Arial" w:cs="Arial"/>
        </w:rPr>
      </w:pPr>
      <w:r w:rsidRPr="00FE6B4A">
        <w:rPr>
          <w:rFonts w:ascii="Arial" w:hAnsi="Arial" w:cs="Arial"/>
        </w:rPr>
        <w:t xml:space="preserve">Broadhead, P., Howard, J. and Wood, E. (2010) </w:t>
      </w:r>
      <w:r w:rsidRPr="00FE6B4A">
        <w:rPr>
          <w:rFonts w:ascii="Arial" w:hAnsi="Arial" w:cs="Arial"/>
          <w:i/>
          <w:iCs/>
        </w:rPr>
        <w:t>Play and learning in the early years: From research to practice</w:t>
      </w:r>
      <w:r w:rsidRPr="00FE6B4A">
        <w:rPr>
          <w:rFonts w:ascii="Arial" w:hAnsi="Arial" w:cs="Arial"/>
        </w:rPr>
        <w:t>. London: SAGE Publications.</w:t>
      </w:r>
    </w:p>
    <w:p w14:paraId="19F3AD8E" w14:textId="77777777" w:rsidR="003B30A9" w:rsidRPr="00FE6B4A" w:rsidRDefault="003B30A9" w:rsidP="00FE6B4A">
      <w:pPr>
        <w:rPr>
          <w:rFonts w:ascii="Arial" w:hAnsi="Arial" w:cs="Arial"/>
        </w:rPr>
      </w:pPr>
      <w:r w:rsidRPr="00FE6B4A">
        <w:rPr>
          <w:rFonts w:ascii="Arial" w:hAnsi="Arial" w:cs="Arial"/>
        </w:rPr>
        <w:t xml:space="preserve">Broadhead, P., </w:t>
      </w:r>
      <w:proofErr w:type="spellStart"/>
      <w:r w:rsidRPr="00FE6B4A">
        <w:rPr>
          <w:rFonts w:ascii="Arial" w:hAnsi="Arial" w:cs="Arial"/>
        </w:rPr>
        <w:t>Meleady</w:t>
      </w:r>
      <w:proofErr w:type="spellEnd"/>
      <w:r w:rsidRPr="00FE6B4A">
        <w:rPr>
          <w:rFonts w:ascii="Arial" w:hAnsi="Arial" w:cs="Arial"/>
        </w:rPr>
        <w:t xml:space="preserve">, C., &amp; Delgado, M. A. (2008). </w:t>
      </w:r>
      <w:r w:rsidRPr="00FE6B4A">
        <w:rPr>
          <w:rFonts w:ascii="Arial" w:hAnsi="Arial" w:cs="Arial"/>
          <w:i/>
          <w:iCs/>
        </w:rPr>
        <w:t>Children, families and communities: Creating and sustaining integrated services</w:t>
      </w:r>
      <w:r w:rsidRPr="00FE6B4A">
        <w:rPr>
          <w:rFonts w:ascii="Arial" w:hAnsi="Arial" w:cs="Arial"/>
        </w:rPr>
        <w:t>. Open University Press.</w:t>
      </w:r>
    </w:p>
    <w:p w14:paraId="3455EC31" w14:textId="77777777" w:rsidR="003B30A9" w:rsidRPr="00FE6B4A" w:rsidRDefault="003B30A9" w:rsidP="00927D3E">
      <w:pPr>
        <w:rPr>
          <w:rFonts w:ascii="Arial" w:hAnsi="Arial" w:cs="Arial"/>
        </w:rPr>
      </w:pPr>
      <w:r w:rsidRPr="00FE6B4A">
        <w:rPr>
          <w:rFonts w:ascii="Arial" w:hAnsi="Arial" w:cs="Arial"/>
        </w:rPr>
        <w:t xml:space="preserve">Bronfenbrenner, U. (1979). </w:t>
      </w:r>
      <w:r w:rsidRPr="00FE6B4A">
        <w:rPr>
          <w:rFonts w:ascii="Arial" w:hAnsi="Arial" w:cs="Arial"/>
          <w:i/>
          <w:iCs/>
        </w:rPr>
        <w:t>The Ecology of Human Development: Experiments by Nature and Design</w:t>
      </w:r>
      <w:r w:rsidRPr="00FE6B4A">
        <w:rPr>
          <w:rFonts w:ascii="Arial" w:hAnsi="Arial" w:cs="Arial"/>
        </w:rPr>
        <w:t>. Harvard University Press.</w:t>
      </w:r>
    </w:p>
    <w:p w14:paraId="5F52E035" w14:textId="77777777" w:rsidR="003B30A9" w:rsidRPr="00990782" w:rsidRDefault="003B30A9" w:rsidP="00990782">
      <w:pPr>
        <w:rPr>
          <w:rFonts w:ascii="Arial" w:hAnsi="Arial" w:cs="Arial"/>
        </w:rPr>
      </w:pPr>
      <w:r w:rsidRPr="00990782">
        <w:rPr>
          <w:rFonts w:ascii="Arial" w:hAnsi="Arial" w:cs="Arial"/>
        </w:rPr>
        <w:t xml:space="preserve">Brooker, L. (2011) </w:t>
      </w:r>
      <w:r w:rsidRPr="00990782">
        <w:rPr>
          <w:rFonts w:ascii="Arial" w:hAnsi="Arial" w:cs="Arial"/>
          <w:i/>
          <w:iCs/>
        </w:rPr>
        <w:t>Learning to teach in the early years</w:t>
      </w:r>
      <w:r w:rsidRPr="00990782">
        <w:rPr>
          <w:rFonts w:ascii="Arial" w:hAnsi="Arial" w:cs="Arial"/>
        </w:rPr>
        <w:t>. 3rd ed. London: Routledge.</w:t>
      </w:r>
    </w:p>
    <w:p w14:paraId="09703D74" w14:textId="77777777" w:rsidR="003B30A9" w:rsidRPr="00FE6B4A" w:rsidRDefault="003B30A9" w:rsidP="00F94493">
      <w:pPr>
        <w:rPr>
          <w:rFonts w:ascii="Arial" w:hAnsi="Arial" w:cs="Arial"/>
        </w:rPr>
      </w:pPr>
      <w:r w:rsidRPr="00FE6B4A">
        <w:rPr>
          <w:rFonts w:ascii="Arial" w:hAnsi="Arial" w:cs="Arial"/>
        </w:rPr>
        <w:t xml:space="preserve">Carr, M. and Lee, W. (2012) </w:t>
      </w:r>
      <w:r w:rsidRPr="00FE6B4A">
        <w:rPr>
          <w:rFonts w:ascii="Arial" w:hAnsi="Arial" w:cs="Arial"/>
          <w:i/>
          <w:iCs/>
        </w:rPr>
        <w:t>Learning stories: Constructing learner identities in early education</w:t>
      </w:r>
      <w:r w:rsidRPr="00FE6B4A">
        <w:rPr>
          <w:rFonts w:ascii="Arial" w:hAnsi="Arial" w:cs="Arial"/>
        </w:rPr>
        <w:t>. London: SAGE Publications.</w:t>
      </w:r>
    </w:p>
    <w:p w14:paraId="31F249B5" w14:textId="77777777" w:rsidR="003B30A9" w:rsidRPr="00FE6B4A" w:rsidRDefault="003B30A9" w:rsidP="00FE6B4A">
      <w:pPr>
        <w:rPr>
          <w:rFonts w:ascii="Arial" w:hAnsi="Arial" w:cs="Arial"/>
        </w:rPr>
      </w:pPr>
      <w:r w:rsidRPr="00FE6B4A">
        <w:rPr>
          <w:rFonts w:ascii="Arial" w:hAnsi="Arial" w:cs="Arial"/>
        </w:rPr>
        <w:t xml:space="preserve">Clark, A. &amp; Moss, P. (2011). </w:t>
      </w:r>
      <w:r w:rsidRPr="00FE6B4A">
        <w:rPr>
          <w:rFonts w:ascii="Arial" w:hAnsi="Arial" w:cs="Arial"/>
          <w:i/>
          <w:iCs/>
        </w:rPr>
        <w:t>Listening to Young Children: The Mosaic Approach</w:t>
      </w:r>
      <w:r w:rsidRPr="00FE6B4A">
        <w:rPr>
          <w:rFonts w:ascii="Arial" w:hAnsi="Arial" w:cs="Arial"/>
        </w:rPr>
        <w:t>. NCB.</w:t>
      </w:r>
    </w:p>
    <w:p w14:paraId="370271EE" w14:textId="77777777" w:rsidR="003B30A9" w:rsidRPr="00FE6B4A" w:rsidRDefault="003B30A9" w:rsidP="00927D3E">
      <w:pPr>
        <w:rPr>
          <w:rFonts w:ascii="Arial" w:hAnsi="Arial" w:cs="Arial"/>
        </w:rPr>
      </w:pPr>
      <w:r w:rsidRPr="00FE6B4A">
        <w:rPr>
          <w:rFonts w:ascii="Arial" w:hAnsi="Arial" w:cs="Arial"/>
        </w:rPr>
        <w:t xml:space="preserve">Department for Education (DfE). (2021). </w:t>
      </w:r>
      <w:r w:rsidRPr="00FE6B4A">
        <w:rPr>
          <w:rFonts w:ascii="Arial" w:hAnsi="Arial" w:cs="Arial"/>
          <w:i/>
          <w:iCs/>
        </w:rPr>
        <w:t xml:space="preserve">Development Matters: Non-statutory curriculum guidance for the early </w:t>
      </w:r>
      <w:proofErr w:type="gramStart"/>
      <w:r w:rsidRPr="00FE6B4A">
        <w:rPr>
          <w:rFonts w:ascii="Arial" w:hAnsi="Arial" w:cs="Arial"/>
          <w:i/>
          <w:iCs/>
        </w:rPr>
        <w:t>years</w:t>
      </w:r>
      <w:proofErr w:type="gramEnd"/>
      <w:r w:rsidRPr="00FE6B4A">
        <w:rPr>
          <w:rFonts w:ascii="Arial" w:hAnsi="Arial" w:cs="Arial"/>
          <w:i/>
          <w:iCs/>
        </w:rPr>
        <w:t xml:space="preserve"> foundation stage</w:t>
      </w:r>
      <w:r w:rsidRPr="00FE6B4A">
        <w:rPr>
          <w:rFonts w:ascii="Arial" w:hAnsi="Arial" w:cs="Arial"/>
        </w:rPr>
        <w:t>.</w:t>
      </w:r>
    </w:p>
    <w:p w14:paraId="73D994BE" w14:textId="77777777" w:rsidR="003B30A9" w:rsidRPr="0040014E" w:rsidRDefault="003B30A9" w:rsidP="0040014E">
      <w:pPr>
        <w:rPr>
          <w:rFonts w:ascii="Arial" w:hAnsi="Arial" w:cs="Arial"/>
        </w:rPr>
      </w:pPr>
      <w:r w:rsidRPr="0040014E">
        <w:rPr>
          <w:rFonts w:ascii="Arial" w:hAnsi="Arial" w:cs="Arial"/>
        </w:rPr>
        <w:t xml:space="preserve">Department for Education. (2015). </w:t>
      </w:r>
      <w:r w:rsidRPr="0040014E">
        <w:rPr>
          <w:rFonts w:ascii="Arial" w:hAnsi="Arial" w:cs="Arial"/>
          <w:i/>
          <w:iCs/>
        </w:rPr>
        <w:t>Special educational needs and disability code of practice: 0 to 25 years</w:t>
      </w:r>
      <w:r w:rsidRPr="0040014E">
        <w:rPr>
          <w:rFonts w:ascii="Arial" w:hAnsi="Arial" w:cs="Arial"/>
        </w:rPr>
        <w:t>. https://www.gov.uk/government/publications/send-code-of-practice-0-to-25</w:t>
      </w:r>
    </w:p>
    <w:p w14:paraId="7D2C42B1" w14:textId="77777777" w:rsidR="003B30A9" w:rsidRPr="00FE6B4A" w:rsidRDefault="003B30A9" w:rsidP="00FE6B4A">
      <w:pPr>
        <w:pStyle w:val="NormalWeb"/>
        <w:rPr>
          <w:rFonts w:ascii="Arial" w:hAnsi="Arial" w:cs="Arial"/>
        </w:rPr>
      </w:pPr>
      <w:r w:rsidRPr="00FE6B4A">
        <w:rPr>
          <w:rFonts w:ascii="Arial" w:hAnsi="Arial" w:cs="Arial"/>
        </w:rPr>
        <w:t xml:space="preserve">Department for Education. (2021). </w:t>
      </w:r>
      <w:r w:rsidRPr="00FE6B4A">
        <w:rPr>
          <w:rStyle w:val="Emphasis"/>
          <w:rFonts w:ascii="Arial" w:eastAsiaTheme="majorEastAsia" w:hAnsi="Arial" w:cs="Arial"/>
        </w:rPr>
        <w:t>Statutory framework for the Early Years Foundation Stage: Setting the standards for learning, development and care for children from birth to five</w:t>
      </w:r>
      <w:r w:rsidRPr="00FE6B4A">
        <w:rPr>
          <w:rFonts w:ascii="Arial" w:hAnsi="Arial" w:cs="Arial"/>
        </w:rPr>
        <w:t xml:space="preserve">. </w:t>
      </w:r>
      <w:hyperlink r:id="rId7" w:history="1">
        <w:r w:rsidRPr="00FE6B4A">
          <w:rPr>
            <w:rStyle w:val="Hyperlink"/>
            <w:rFonts w:ascii="Arial" w:hAnsi="Arial" w:cs="Arial"/>
          </w:rPr>
          <w:t>https://www.gov.uk/government/publications/early-years-foundation-stage-framework--2</w:t>
        </w:r>
      </w:hyperlink>
    </w:p>
    <w:p w14:paraId="2607824E" w14:textId="77777777" w:rsidR="003B30A9" w:rsidRPr="00EE3B86" w:rsidRDefault="003B30A9" w:rsidP="00EE3B86">
      <w:pPr>
        <w:rPr>
          <w:rFonts w:ascii="Arial" w:hAnsi="Arial" w:cs="Arial"/>
        </w:rPr>
      </w:pPr>
      <w:r w:rsidRPr="00EE3B86">
        <w:rPr>
          <w:rFonts w:ascii="Arial" w:hAnsi="Arial" w:cs="Arial"/>
        </w:rPr>
        <w:lastRenderedPageBreak/>
        <w:t xml:space="preserve">Donaldson, G. (2015) </w:t>
      </w:r>
      <w:r w:rsidRPr="00EE3B86">
        <w:rPr>
          <w:rFonts w:ascii="Arial" w:hAnsi="Arial" w:cs="Arial"/>
          <w:i/>
          <w:iCs/>
        </w:rPr>
        <w:t>Successful Futures: Independent Review of Curriculum and Assessment Arrangements in Wales</w:t>
      </w:r>
      <w:r w:rsidRPr="00EE3B86">
        <w:rPr>
          <w:rFonts w:ascii="Arial" w:hAnsi="Arial" w:cs="Arial"/>
        </w:rPr>
        <w:t>. Cardiff: Welsh Government.</w:t>
      </w:r>
    </w:p>
    <w:p w14:paraId="091EA383" w14:textId="77777777" w:rsidR="003B30A9" w:rsidRPr="00FE6B4A" w:rsidRDefault="003B30A9" w:rsidP="00927D3E">
      <w:pPr>
        <w:rPr>
          <w:rFonts w:ascii="Arial" w:hAnsi="Arial" w:cs="Arial"/>
        </w:rPr>
      </w:pPr>
      <w:r w:rsidRPr="002A4C4F">
        <w:rPr>
          <w:rFonts w:ascii="Arial" w:hAnsi="Arial" w:cs="Arial"/>
        </w:rPr>
        <w:t xml:space="preserve">Dunst, C. J., Trivette, C. M., &amp; Hamby, D. W. (2007). Meta-analysis of family-centred </w:t>
      </w:r>
      <w:proofErr w:type="spellStart"/>
      <w:r w:rsidRPr="002A4C4F">
        <w:rPr>
          <w:rFonts w:ascii="Arial" w:hAnsi="Arial" w:cs="Arial"/>
        </w:rPr>
        <w:t>helpgiving</w:t>
      </w:r>
      <w:proofErr w:type="spellEnd"/>
      <w:r w:rsidRPr="002A4C4F">
        <w:rPr>
          <w:rFonts w:ascii="Arial" w:hAnsi="Arial" w:cs="Arial"/>
        </w:rPr>
        <w:t xml:space="preserve"> practices research. </w:t>
      </w:r>
      <w:r w:rsidRPr="002A4C4F">
        <w:rPr>
          <w:rFonts w:ascii="Arial" w:hAnsi="Arial" w:cs="Arial"/>
          <w:i/>
          <w:iCs/>
        </w:rPr>
        <w:t>Mental Retardation and Developmental Disabilities Research Reviews</w:t>
      </w:r>
      <w:r w:rsidRPr="002A4C4F">
        <w:rPr>
          <w:rFonts w:ascii="Arial" w:hAnsi="Arial" w:cs="Arial"/>
        </w:rPr>
        <w:t>, 13(4), 370–378.</w:t>
      </w:r>
    </w:p>
    <w:p w14:paraId="77737C67" w14:textId="77777777" w:rsidR="003B30A9" w:rsidRPr="00FE6B4A" w:rsidRDefault="003B30A9" w:rsidP="00F94493">
      <w:pPr>
        <w:rPr>
          <w:rFonts w:ascii="Arial" w:hAnsi="Arial" w:cs="Arial"/>
        </w:rPr>
      </w:pPr>
      <w:r w:rsidRPr="00FE6B4A">
        <w:rPr>
          <w:rFonts w:ascii="Arial" w:hAnsi="Arial" w:cs="Arial"/>
        </w:rPr>
        <w:t xml:space="preserve">Early Education (2021). </w:t>
      </w:r>
      <w:r w:rsidRPr="00FE6B4A">
        <w:rPr>
          <w:rFonts w:ascii="Arial" w:hAnsi="Arial" w:cs="Arial"/>
          <w:i/>
          <w:iCs/>
        </w:rPr>
        <w:t>Birth to 5 Matters: Guidance by the sector, for the sector</w:t>
      </w:r>
      <w:r w:rsidRPr="00FE6B4A">
        <w:rPr>
          <w:rFonts w:ascii="Arial" w:hAnsi="Arial" w:cs="Arial"/>
        </w:rPr>
        <w:t xml:space="preserve">. </w:t>
      </w:r>
      <w:hyperlink r:id="rId8" w:tgtFrame="_new" w:history="1">
        <w:r w:rsidRPr="00FE6B4A">
          <w:rPr>
            <w:rStyle w:val="Hyperlink"/>
            <w:rFonts w:ascii="Arial" w:hAnsi="Arial" w:cs="Arial"/>
          </w:rPr>
          <w:t>https://www.birthto5matters.org.uk/</w:t>
        </w:r>
      </w:hyperlink>
    </w:p>
    <w:p w14:paraId="247874E1" w14:textId="77777777" w:rsidR="003B30A9" w:rsidRPr="00FE6B4A" w:rsidRDefault="003B30A9" w:rsidP="00FE6B4A">
      <w:pPr>
        <w:rPr>
          <w:rFonts w:ascii="Arial" w:hAnsi="Arial" w:cs="Arial"/>
        </w:rPr>
      </w:pPr>
      <w:r w:rsidRPr="00FE6B4A">
        <w:rPr>
          <w:rFonts w:ascii="Arial" w:hAnsi="Arial" w:cs="Arial"/>
        </w:rPr>
        <w:t xml:space="preserve">Edwards, C. P. (2002). </w:t>
      </w:r>
      <w:r w:rsidRPr="00FE6B4A">
        <w:rPr>
          <w:rFonts w:ascii="Arial" w:hAnsi="Arial" w:cs="Arial"/>
          <w:i/>
          <w:iCs/>
        </w:rPr>
        <w:t>Three approaches from Europe: Waldorf, Montessori, and Reggio Emilia</w:t>
      </w:r>
      <w:r w:rsidRPr="00FE6B4A">
        <w:rPr>
          <w:rFonts w:ascii="Arial" w:hAnsi="Arial" w:cs="Arial"/>
        </w:rPr>
        <w:t>. Early Childhood Research &amp; Practice, 4(1).</w:t>
      </w:r>
    </w:p>
    <w:p w14:paraId="3C28A026" w14:textId="77777777" w:rsidR="003B30A9" w:rsidRPr="00FE6B4A" w:rsidRDefault="003B30A9" w:rsidP="00FE6B4A">
      <w:pPr>
        <w:pStyle w:val="NormalWeb"/>
        <w:rPr>
          <w:rFonts w:ascii="Arial" w:hAnsi="Arial" w:cs="Arial"/>
        </w:rPr>
      </w:pPr>
      <w:r w:rsidRPr="00FE6B4A">
        <w:rPr>
          <w:rFonts w:ascii="Arial" w:hAnsi="Arial" w:cs="Arial"/>
        </w:rPr>
        <w:t xml:space="preserve">Edwards, C., Gandini, L., &amp; Forman, G. (2012). </w:t>
      </w:r>
      <w:r w:rsidRPr="00FE6B4A">
        <w:rPr>
          <w:rStyle w:val="Emphasis"/>
          <w:rFonts w:ascii="Arial" w:eastAsiaTheme="majorEastAsia" w:hAnsi="Arial" w:cs="Arial"/>
        </w:rPr>
        <w:t>The hundred languages of children: The Reggio Emilia experience in transformation</w:t>
      </w:r>
      <w:r w:rsidRPr="00FE6B4A">
        <w:rPr>
          <w:rFonts w:ascii="Arial" w:hAnsi="Arial" w:cs="Arial"/>
        </w:rPr>
        <w:t xml:space="preserve"> (3rd ed.). Praeger.</w:t>
      </w:r>
    </w:p>
    <w:p w14:paraId="7D94A56C" w14:textId="77777777" w:rsidR="003B30A9" w:rsidRPr="00FE6B4A" w:rsidRDefault="003B30A9" w:rsidP="00927D3E">
      <w:pPr>
        <w:rPr>
          <w:rFonts w:ascii="Arial" w:hAnsi="Arial" w:cs="Arial"/>
        </w:rPr>
      </w:pPr>
      <w:r w:rsidRPr="00FE6B4A">
        <w:rPr>
          <w:rFonts w:ascii="Arial" w:hAnsi="Arial" w:cs="Arial"/>
        </w:rPr>
        <w:t xml:space="preserve">Epstein, J. L. (2011). </w:t>
      </w:r>
      <w:r w:rsidRPr="00FE6B4A">
        <w:rPr>
          <w:rFonts w:ascii="Arial" w:hAnsi="Arial" w:cs="Arial"/>
          <w:i/>
          <w:iCs/>
        </w:rPr>
        <w:t>School, Family, and Community Partnerships: Preparing Educators and Improving Schools</w:t>
      </w:r>
      <w:r w:rsidRPr="00FE6B4A">
        <w:rPr>
          <w:rFonts w:ascii="Arial" w:hAnsi="Arial" w:cs="Arial"/>
        </w:rPr>
        <w:t xml:space="preserve"> (2nd ed.). Routledge.</w:t>
      </w:r>
    </w:p>
    <w:p w14:paraId="4A9B1559" w14:textId="77777777" w:rsidR="003B30A9" w:rsidRPr="00EE3B86" w:rsidRDefault="003B30A9" w:rsidP="00EE3B86">
      <w:pPr>
        <w:rPr>
          <w:rFonts w:ascii="Arial" w:hAnsi="Arial" w:cs="Arial"/>
        </w:rPr>
      </w:pPr>
      <w:r w:rsidRPr="00EE3B86">
        <w:rPr>
          <w:rFonts w:ascii="Arial" w:hAnsi="Arial" w:cs="Arial"/>
        </w:rPr>
        <w:t xml:space="preserve">Estyn (2019) </w:t>
      </w:r>
      <w:r w:rsidRPr="00EE3B86">
        <w:rPr>
          <w:rFonts w:ascii="Arial" w:hAnsi="Arial" w:cs="Arial"/>
          <w:i/>
          <w:iCs/>
        </w:rPr>
        <w:t>The impact of the Foundation Phase on primary schools</w:t>
      </w:r>
      <w:r w:rsidRPr="00EE3B86">
        <w:rPr>
          <w:rFonts w:ascii="Arial" w:hAnsi="Arial" w:cs="Arial"/>
        </w:rPr>
        <w:t>. Cardiff: Estyn.</w:t>
      </w:r>
    </w:p>
    <w:p w14:paraId="3A8ECD93" w14:textId="77777777" w:rsidR="003B30A9" w:rsidRDefault="003B30A9" w:rsidP="0040014E">
      <w:pPr>
        <w:rPr>
          <w:rFonts w:ascii="Arial" w:hAnsi="Arial" w:cs="Arial"/>
        </w:rPr>
      </w:pPr>
      <w:r w:rsidRPr="0040014E">
        <w:rPr>
          <w:rFonts w:ascii="Arial" w:hAnsi="Arial" w:cs="Arial"/>
        </w:rPr>
        <w:t xml:space="preserve">Florian, L., &amp; Black-Hawkins, K. (2011). Exploring inclusive pedagogy. </w:t>
      </w:r>
      <w:r w:rsidRPr="0040014E">
        <w:rPr>
          <w:rFonts w:ascii="Arial" w:hAnsi="Arial" w:cs="Arial"/>
          <w:i/>
          <w:iCs/>
        </w:rPr>
        <w:t>British Educational Research Journal</w:t>
      </w:r>
      <w:r w:rsidRPr="0040014E">
        <w:rPr>
          <w:rFonts w:ascii="Arial" w:hAnsi="Arial" w:cs="Arial"/>
        </w:rPr>
        <w:t>, 37(5), 813–828.</w:t>
      </w:r>
    </w:p>
    <w:p w14:paraId="13715CDE" w14:textId="77777777" w:rsidR="003B30A9" w:rsidRPr="00FE6B4A" w:rsidRDefault="003B30A9" w:rsidP="00927D3E">
      <w:pPr>
        <w:rPr>
          <w:rFonts w:ascii="Arial" w:hAnsi="Arial" w:cs="Arial"/>
        </w:rPr>
      </w:pPr>
      <w:r w:rsidRPr="00FE6B4A">
        <w:rPr>
          <w:rFonts w:ascii="Arial" w:hAnsi="Arial" w:cs="Arial"/>
        </w:rPr>
        <w:t xml:space="preserve">Harris, A., &amp; Goodall, J. (2008). </w:t>
      </w:r>
      <w:r w:rsidRPr="00FE6B4A">
        <w:rPr>
          <w:rFonts w:ascii="Arial" w:hAnsi="Arial" w:cs="Arial"/>
          <w:i/>
          <w:iCs/>
        </w:rPr>
        <w:t>Do Parents Know They Matter? Engaging All Parents in Learning</w:t>
      </w:r>
      <w:r w:rsidRPr="00FE6B4A">
        <w:rPr>
          <w:rFonts w:ascii="Arial" w:hAnsi="Arial" w:cs="Arial"/>
        </w:rPr>
        <w:t>. Educational Research, 50(3), 277–289.</w:t>
      </w:r>
    </w:p>
    <w:p w14:paraId="7F0469AA" w14:textId="77777777" w:rsidR="003B30A9" w:rsidRDefault="003B30A9" w:rsidP="00927D3E">
      <w:pPr>
        <w:rPr>
          <w:rFonts w:ascii="Arial" w:hAnsi="Arial" w:cs="Arial"/>
        </w:rPr>
      </w:pPr>
      <w:r w:rsidRPr="002A4C4F">
        <w:rPr>
          <w:rFonts w:ascii="Arial" w:hAnsi="Arial" w:cs="Arial"/>
        </w:rPr>
        <w:t xml:space="preserve">Heckman, J. J. (2006). Skill formation and the economics of investing in disadvantaged children. </w:t>
      </w:r>
      <w:r w:rsidRPr="002A4C4F">
        <w:rPr>
          <w:rFonts w:ascii="Arial" w:hAnsi="Arial" w:cs="Arial"/>
          <w:i/>
          <w:iCs/>
        </w:rPr>
        <w:t>Science</w:t>
      </w:r>
      <w:r w:rsidRPr="002A4C4F">
        <w:rPr>
          <w:rFonts w:ascii="Arial" w:hAnsi="Arial" w:cs="Arial"/>
        </w:rPr>
        <w:t>, 312(5782), 1900–1902.</w:t>
      </w:r>
    </w:p>
    <w:p w14:paraId="6756A7BA" w14:textId="77777777" w:rsidR="003B30A9" w:rsidRPr="00FE6B4A" w:rsidRDefault="003B30A9" w:rsidP="00FE6B4A">
      <w:pPr>
        <w:rPr>
          <w:rFonts w:ascii="Arial" w:hAnsi="Arial" w:cs="Arial"/>
        </w:rPr>
      </w:pPr>
      <w:r w:rsidRPr="00FE6B4A">
        <w:rPr>
          <w:rFonts w:ascii="Arial" w:hAnsi="Arial" w:cs="Arial"/>
        </w:rPr>
        <w:t xml:space="preserve">Hutchinson, D., Mitchell, J., &amp; Tait, K. (2020). </w:t>
      </w:r>
      <w:r w:rsidRPr="00FE6B4A">
        <w:rPr>
          <w:rFonts w:ascii="Arial" w:hAnsi="Arial" w:cs="Arial"/>
          <w:i/>
          <w:iCs/>
        </w:rPr>
        <w:t>Early Years Workforce Development: Challenges and Strategies</w:t>
      </w:r>
      <w:r w:rsidRPr="00FE6B4A">
        <w:rPr>
          <w:rFonts w:ascii="Arial" w:hAnsi="Arial" w:cs="Arial"/>
        </w:rPr>
        <w:t>. Early Years Educator, 21(5), 12–16.</w:t>
      </w:r>
    </w:p>
    <w:p w14:paraId="026D65E9" w14:textId="77777777" w:rsidR="003B30A9" w:rsidRPr="00FE6B4A" w:rsidRDefault="003B30A9" w:rsidP="00FE6B4A">
      <w:pPr>
        <w:rPr>
          <w:rFonts w:ascii="Arial" w:hAnsi="Arial" w:cs="Arial"/>
        </w:rPr>
      </w:pPr>
      <w:r w:rsidRPr="00FE6B4A">
        <w:rPr>
          <w:rFonts w:ascii="Arial" w:hAnsi="Arial" w:cs="Arial"/>
        </w:rPr>
        <w:t xml:space="preserve">Isaacs, B. (2010). </w:t>
      </w:r>
      <w:r w:rsidRPr="00FE6B4A">
        <w:rPr>
          <w:rFonts w:ascii="Arial" w:hAnsi="Arial" w:cs="Arial"/>
          <w:i/>
          <w:iCs/>
        </w:rPr>
        <w:t>Bringing the Montessori approach to your early years practice</w:t>
      </w:r>
      <w:r w:rsidRPr="00FE6B4A">
        <w:rPr>
          <w:rFonts w:ascii="Arial" w:hAnsi="Arial" w:cs="Arial"/>
        </w:rPr>
        <w:t xml:space="preserve"> (2nd ed.). Routledge.</w:t>
      </w:r>
    </w:p>
    <w:p w14:paraId="39EB5F3B" w14:textId="77777777" w:rsidR="003B30A9" w:rsidRPr="00FE6B4A" w:rsidRDefault="003B30A9" w:rsidP="00F94493">
      <w:pPr>
        <w:rPr>
          <w:rFonts w:ascii="Arial" w:hAnsi="Arial" w:cs="Arial"/>
        </w:rPr>
      </w:pPr>
      <w:r w:rsidRPr="00FE6B4A">
        <w:rPr>
          <w:rFonts w:ascii="Arial" w:hAnsi="Arial" w:cs="Arial"/>
        </w:rPr>
        <w:t xml:space="preserve">Kotter, J. (1996). </w:t>
      </w:r>
      <w:r w:rsidRPr="00FE6B4A">
        <w:rPr>
          <w:rFonts w:ascii="Arial" w:hAnsi="Arial" w:cs="Arial"/>
          <w:i/>
          <w:iCs/>
        </w:rPr>
        <w:t>Leading Change</w:t>
      </w:r>
      <w:r w:rsidRPr="00FE6B4A">
        <w:rPr>
          <w:rFonts w:ascii="Arial" w:hAnsi="Arial" w:cs="Arial"/>
        </w:rPr>
        <w:t>. Harvard Business Review Press.</w:t>
      </w:r>
    </w:p>
    <w:p w14:paraId="15B12E22" w14:textId="77777777" w:rsidR="003B30A9" w:rsidRPr="00FE6B4A" w:rsidRDefault="003B30A9" w:rsidP="00F94493">
      <w:pPr>
        <w:rPr>
          <w:rFonts w:ascii="Arial" w:hAnsi="Arial" w:cs="Arial"/>
        </w:rPr>
      </w:pPr>
      <w:r w:rsidRPr="00FE6B4A">
        <w:rPr>
          <w:rFonts w:ascii="Arial" w:hAnsi="Arial" w:cs="Arial"/>
        </w:rPr>
        <w:t xml:space="preserve">Laevers, F. (2005). </w:t>
      </w:r>
      <w:r w:rsidRPr="00FE6B4A">
        <w:rPr>
          <w:rFonts w:ascii="Arial" w:hAnsi="Arial" w:cs="Arial"/>
          <w:i/>
          <w:iCs/>
        </w:rPr>
        <w:t>Deep-Level Learning and the Experiential Approach in Early Childhood and Primary Education</w:t>
      </w:r>
      <w:r w:rsidRPr="00FE6B4A">
        <w:rPr>
          <w:rFonts w:ascii="Arial" w:hAnsi="Arial" w:cs="Arial"/>
        </w:rPr>
        <w:t>. Leuven: Centre for Experiential Education.</w:t>
      </w:r>
    </w:p>
    <w:p w14:paraId="494394B6" w14:textId="77777777" w:rsidR="003B30A9" w:rsidRDefault="003B30A9" w:rsidP="0040014E">
      <w:pPr>
        <w:rPr>
          <w:rFonts w:ascii="Arial" w:hAnsi="Arial" w:cs="Arial"/>
        </w:rPr>
      </w:pPr>
      <w:r w:rsidRPr="0040014E">
        <w:rPr>
          <w:rFonts w:ascii="Arial" w:hAnsi="Arial" w:cs="Arial"/>
        </w:rPr>
        <w:t xml:space="preserve">Law, J., Boyle, J., Harris, F., Harkness, A., &amp; Nye, C. (2017). </w:t>
      </w:r>
      <w:r w:rsidRPr="0040014E">
        <w:rPr>
          <w:rFonts w:ascii="Arial" w:hAnsi="Arial" w:cs="Arial"/>
          <w:i/>
          <w:iCs/>
        </w:rPr>
        <w:t>Childhood speech, language and communication difficulties: Supporting children and young people in education</w:t>
      </w:r>
      <w:r w:rsidRPr="0040014E">
        <w:rPr>
          <w:rFonts w:ascii="Arial" w:hAnsi="Arial" w:cs="Arial"/>
        </w:rPr>
        <w:t>. Routledge.</w:t>
      </w:r>
    </w:p>
    <w:p w14:paraId="40ACD319" w14:textId="77777777" w:rsidR="003B30A9" w:rsidRPr="0040014E" w:rsidRDefault="003B30A9" w:rsidP="0040014E">
      <w:pPr>
        <w:rPr>
          <w:rFonts w:ascii="Arial" w:hAnsi="Arial" w:cs="Arial"/>
        </w:rPr>
      </w:pPr>
      <w:r w:rsidRPr="002A4C4F">
        <w:rPr>
          <w:rFonts w:ascii="Arial" w:hAnsi="Arial" w:cs="Arial"/>
        </w:rPr>
        <w:t xml:space="preserve">Law, J., Garrett, Z., &amp; Nye, C. (2004). The efficacy of treatment for children with developmental speech and language delay/disorder: A meta-analysis. </w:t>
      </w:r>
      <w:r w:rsidRPr="002A4C4F">
        <w:rPr>
          <w:rFonts w:ascii="Arial" w:hAnsi="Arial" w:cs="Arial"/>
          <w:i/>
          <w:iCs/>
        </w:rPr>
        <w:t>Journal of Speech, Language and Hearing Research</w:t>
      </w:r>
      <w:r w:rsidRPr="002A4C4F">
        <w:rPr>
          <w:rFonts w:ascii="Arial" w:hAnsi="Arial" w:cs="Arial"/>
        </w:rPr>
        <w:t>, 47(4), 924–943.</w:t>
      </w:r>
    </w:p>
    <w:p w14:paraId="412B3CC6" w14:textId="77777777" w:rsidR="003B30A9" w:rsidRPr="00FE6B4A" w:rsidRDefault="003B30A9" w:rsidP="00FE6B4A">
      <w:pPr>
        <w:rPr>
          <w:rFonts w:ascii="Arial" w:hAnsi="Arial" w:cs="Arial"/>
        </w:rPr>
      </w:pPr>
      <w:r w:rsidRPr="00FE6B4A">
        <w:rPr>
          <w:rFonts w:ascii="Arial" w:hAnsi="Arial" w:cs="Arial"/>
        </w:rPr>
        <w:lastRenderedPageBreak/>
        <w:t xml:space="preserve">Lillard, A. S. (2005). </w:t>
      </w:r>
      <w:r w:rsidRPr="00FE6B4A">
        <w:rPr>
          <w:rFonts w:ascii="Arial" w:hAnsi="Arial" w:cs="Arial"/>
          <w:i/>
          <w:iCs/>
        </w:rPr>
        <w:t>Montessori: The science behind the genius</w:t>
      </w:r>
      <w:r w:rsidRPr="00FE6B4A">
        <w:rPr>
          <w:rFonts w:ascii="Arial" w:hAnsi="Arial" w:cs="Arial"/>
        </w:rPr>
        <w:t>. Oxford University Press.</w:t>
      </w:r>
    </w:p>
    <w:p w14:paraId="32C757D7" w14:textId="77777777" w:rsidR="003B30A9" w:rsidRPr="00FE6B4A" w:rsidRDefault="003B30A9" w:rsidP="00FE6B4A">
      <w:pPr>
        <w:rPr>
          <w:rFonts w:ascii="Arial" w:hAnsi="Arial" w:cs="Arial"/>
        </w:rPr>
      </w:pPr>
      <w:r w:rsidRPr="00FE6B4A">
        <w:rPr>
          <w:rFonts w:ascii="Arial" w:hAnsi="Arial" w:cs="Arial"/>
        </w:rPr>
        <w:t xml:space="preserve">Lillard, A. S. (2011). </w:t>
      </w:r>
      <w:r w:rsidRPr="00FE6B4A">
        <w:rPr>
          <w:rFonts w:ascii="Arial" w:hAnsi="Arial" w:cs="Arial"/>
          <w:i/>
          <w:iCs/>
        </w:rPr>
        <w:t>Mindfulness practices in education: Montessori’s approach</w:t>
      </w:r>
      <w:r w:rsidRPr="00FE6B4A">
        <w:rPr>
          <w:rFonts w:ascii="Arial" w:hAnsi="Arial" w:cs="Arial"/>
        </w:rPr>
        <w:t>. Mindfulness, 2(2), 78–85.</w:t>
      </w:r>
    </w:p>
    <w:p w14:paraId="248199C4" w14:textId="77777777" w:rsidR="003B30A9" w:rsidRPr="00FE6B4A" w:rsidRDefault="003B30A9" w:rsidP="00FE6B4A">
      <w:pPr>
        <w:pStyle w:val="NormalWeb"/>
        <w:rPr>
          <w:rFonts w:ascii="Arial" w:hAnsi="Arial" w:cs="Arial"/>
        </w:rPr>
      </w:pPr>
      <w:r w:rsidRPr="00FE6B4A">
        <w:rPr>
          <w:rFonts w:ascii="Arial" w:hAnsi="Arial" w:cs="Arial"/>
        </w:rPr>
        <w:t xml:space="preserve">Malaguzzi, L. (1996). The hundred languages of children: The Reggio Emilia approach—Advanced reflections. In C. Edwards, L. Gandini, &amp; G. Forman (Eds.), </w:t>
      </w:r>
      <w:r w:rsidRPr="00FE6B4A">
        <w:rPr>
          <w:rStyle w:val="Emphasis"/>
          <w:rFonts w:ascii="Arial" w:eastAsiaTheme="majorEastAsia" w:hAnsi="Arial" w:cs="Arial"/>
        </w:rPr>
        <w:t>The hundred languages of children</w:t>
      </w:r>
      <w:r w:rsidRPr="00FE6B4A">
        <w:rPr>
          <w:rFonts w:ascii="Arial" w:hAnsi="Arial" w:cs="Arial"/>
        </w:rPr>
        <w:t xml:space="preserve"> (pp. 3–10). </w:t>
      </w:r>
      <w:proofErr w:type="spellStart"/>
      <w:r w:rsidRPr="00FE6B4A">
        <w:rPr>
          <w:rFonts w:ascii="Arial" w:hAnsi="Arial" w:cs="Arial"/>
        </w:rPr>
        <w:t>Ablex</w:t>
      </w:r>
      <w:proofErr w:type="spellEnd"/>
      <w:r w:rsidRPr="00FE6B4A">
        <w:rPr>
          <w:rFonts w:ascii="Arial" w:hAnsi="Arial" w:cs="Arial"/>
        </w:rPr>
        <w:t>.</w:t>
      </w:r>
    </w:p>
    <w:p w14:paraId="1AF4B2B2" w14:textId="77777777" w:rsidR="003B30A9" w:rsidRPr="00FE6B4A" w:rsidRDefault="003B30A9" w:rsidP="00FE6B4A">
      <w:pPr>
        <w:rPr>
          <w:rFonts w:ascii="Arial" w:hAnsi="Arial" w:cs="Arial"/>
        </w:rPr>
      </w:pPr>
      <w:r w:rsidRPr="00FE6B4A">
        <w:rPr>
          <w:rFonts w:ascii="Arial" w:hAnsi="Arial" w:cs="Arial"/>
        </w:rPr>
        <w:t xml:space="preserve">Montessori, M. (1967). </w:t>
      </w:r>
      <w:r w:rsidRPr="00FE6B4A">
        <w:rPr>
          <w:rFonts w:ascii="Arial" w:hAnsi="Arial" w:cs="Arial"/>
          <w:i/>
          <w:iCs/>
        </w:rPr>
        <w:t>The discovery of the child</w:t>
      </w:r>
      <w:r w:rsidRPr="00FE6B4A">
        <w:rPr>
          <w:rFonts w:ascii="Arial" w:hAnsi="Arial" w:cs="Arial"/>
        </w:rPr>
        <w:t xml:space="preserve"> (M. J. Costelloe, Trans.). Ballantine Books. (Original work published 1948)</w:t>
      </w:r>
    </w:p>
    <w:p w14:paraId="38781CDF" w14:textId="77777777" w:rsidR="003B30A9" w:rsidRPr="00990782" w:rsidRDefault="003B30A9" w:rsidP="00990782">
      <w:pPr>
        <w:rPr>
          <w:rFonts w:ascii="Arial" w:hAnsi="Arial" w:cs="Arial"/>
        </w:rPr>
      </w:pPr>
      <w:r w:rsidRPr="00990782">
        <w:rPr>
          <w:rFonts w:ascii="Arial" w:hAnsi="Arial" w:cs="Arial"/>
        </w:rPr>
        <w:t xml:space="preserve">Nutbrown, C. (2012) </w:t>
      </w:r>
      <w:r w:rsidRPr="00990782">
        <w:rPr>
          <w:rFonts w:ascii="Arial" w:hAnsi="Arial" w:cs="Arial"/>
          <w:i/>
          <w:iCs/>
        </w:rPr>
        <w:t>Foundations for quality: The independent review of early education and childcare qualifications</w:t>
      </w:r>
      <w:r w:rsidRPr="00990782">
        <w:rPr>
          <w:rFonts w:ascii="Arial" w:hAnsi="Arial" w:cs="Arial"/>
        </w:rPr>
        <w:t>. London: Department for Education.</w:t>
      </w:r>
    </w:p>
    <w:p w14:paraId="72F8786A" w14:textId="77777777" w:rsidR="003B30A9" w:rsidRPr="00FE6B4A" w:rsidRDefault="003B30A9" w:rsidP="00FE6B4A">
      <w:pPr>
        <w:rPr>
          <w:rFonts w:ascii="Arial" w:hAnsi="Arial" w:cs="Arial"/>
        </w:rPr>
      </w:pPr>
      <w:r w:rsidRPr="00FE6B4A">
        <w:rPr>
          <w:rFonts w:ascii="Arial" w:hAnsi="Arial" w:cs="Arial"/>
        </w:rPr>
        <w:t xml:space="preserve">Ofsted. (2022). </w:t>
      </w:r>
      <w:r w:rsidRPr="00FE6B4A">
        <w:rPr>
          <w:rFonts w:ascii="Arial" w:hAnsi="Arial" w:cs="Arial"/>
          <w:i/>
          <w:iCs/>
        </w:rPr>
        <w:t>Best start in life: A research review for the early years</w:t>
      </w:r>
      <w:r w:rsidRPr="00FE6B4A">
        <w:rPr>
          <w:rFonts w:ascii="Arial" w:hAnsi="Arial" w:cs="Arial"/>
        </w:rPr>
        <w:t>. https://www.gov.uk/government/publications/ofsted-early-years-research-review</w:t>
      </w:r>
    </w:p>
    <w:p w14:paraId="41307FCE" w14:textId="77777777" w:rsidR="003B30A9" w:rsidRPr="00FE6B4A" w:rsidRDefault="003B30A9" w:rsidP="00EE3B86">
      <w:pPr>
        <w:rPr>
          <w:rFonts w:ascii="Arial" w:hAnsi="Arial" w:cs="Arial"/>
        </w:rPr>
      </w:pPr>
      <w:r w:rsidRPr="00EE3B86">
        <w:rPr>
          <w:rFonts w:ascii="Arial" w:hAnsi="Arial" w:cs="Arial"/>
        </w:rPr>
        <w:t xml:space="preserve">Papatheodorou, T. and Moyles, J. (2009) </w:t>
      </w:r>
      <w:r w:rsidRPr="00EE3B86">
        <w:rPr>
          <w:rFonts w:ascii="Arial" w:hAnsi="Arial" w:cs="Arial"/>
          <w:i/>
          <w:iCs/>
        </w:rPr>
        <w:t>Learning Together in the Early Years: Exploring Relational Pedagogy</w:t>
      </w:r>
      <w:r w:rsidRPr="00EE3B86">
        <w:rPr>
          <w:rFonts w:ascii="Arial" w:hAnsi="Arial" w:cs="Arial"/>
        </w:rPr>
        <w:t>. London: Routledge.</w:t>
      </w:r>
    </w:p>
    <w:p w14:paraId="7CA3E111" w14:textId="77777777" w:rsidR="003B30A9" w:rsidRPr="00FE6B4A" w:rsidRDefault="003B30A9" w:rsidP="00FE6B4A">
      <w:pPr>
        <w:rPr>
          <w:rFonts w:ascii="Arial" w:hAnsi="Arial" w:cs="Arial"/>
        </w:rPr>
      </w:pPr>
      <w:r w:rsidRPr="00FE6B4A">
        <w:rPr>
          <w:rFonts w:ascii="Arial" w:hAnsi="Arial" w:cs="Arial"/>
        </w:rPr>
        <w:t xml:space="preserve">Pascal, C., &amp; Bertram, T. (2015). </w:t>
      </w:r>
      <w:r w:rsidRPr="00FE6B4A">
        <w:rPr>
          <w:rFonts w:ascii="Arial" w:hAnsi="Arial" w:cs="Arial"/>
          <w:i/>
          <w:iCs/>
        </w:rPr>
        <w:t>Effective early learning: Case studies in improvement</w:t>
      </w:r>
      <w:r w:rsidRPr="00FE6B4A">
        <w:rPr>
          <w:rFonts w:ascii="Arial" w:hAnsi="Arial" w:cs="Arial"/>
        </w:rPr>
        <w:t>. Open University Press.</w:t>
      </w:r>
    </w:p>
    <w:p w14:paraId="35FE4436" w14:textId="77777777" w:rsidR="003B30A9" w:rsidRPr="00FE6B4A" w:rsidRDefault="003B30A9" w:rsidP="00FE6B4A">
      <w:pPr>
        <w:pStyle w:val="NormalWeb"/>
        <w:rPr>
          <w:rFonts w:ascii="Arial" w:hAnsi="Arial" w:cs="Arial"/>
        </w:rPr>
      </w:pPr>
      <w:r w:rsidRPr="00FE6B4A">
        <w:rPr>
          <w:rFonts w:ascii="Arial" w:hAnsi="Arial" w:cs="Arial"/>
        </w:rPr>
        <w:t xml:space="preserve">Rinaldi, C. (2006). </w:t>
      </w:r>
      <w:r w:rsidRPr="00FE6B4A">
        <w:rPr>
          <w:rStyle w:val="Emphasis"/>
          <w:rFonts w:ascii="Arial" w:eastAsiaTheme="majorEastAsia" w:hAnsi="Arial" w:cs="Arial"/>
        </w:rPr>
        <w:t>In dialogue with Reggio Emilia: Listening, researching and learning</w:t>
      </w:r>
      <w:r w:rsidRPr="00FE6B4A">
        <w:rPr>
          <w:rFonts w:ascii="Arial" w:hAnsi="Arial" w:cs="Arial"/>
        </w:rPr>
        <w:t>. Routledge.</w:t>
      </w:r>
    </w:p>
    <w:p w14:paraId="768B88FB" w14:textId="77777777" w:rsidR="003B30A9" w:rsidRPr="00FE6B4A" w:rsidRDefault="003B30A9" w:rsidP="00FE6B4A">
      <w:pPr>
        <w:rPr>
          <w:rFonts w:ascii="Arial" w:hAnsi="Arial" w:cs="Arial"/>
        </w:rPr>
      </w:pPr>
      <w:r w:rsidRPr="00FE6B4A">
        <w:rPr>
          <w:rFonts w:ascii="Arial" w:hAnsi="Arial" w:cs="Arial"/>
        </w:rPr>
        <w:t xml:space="preserve">Roberts-Holmes, G. (2012). </w:t>
      </w:r>
      <w:r w:rsidRPr="00FE6B4A">
        <w:rPr>
          <w:rFonts w:ascii="Arial" w:hAnsi="Arial" w:cs="Arial"/>
          <w:i/>
          <w:iCs/>
        </w:rPr>
        <w:t>‘It’s the bread and butter of our practice’: experiencing the Early Years Foundation Stage</w:t>
      </w:r>
      <w:r w:rsidRPr="00FE6B4A">
        <w:rPr>
          <w:rFonts w:ascii="Arial" w:hAnsi="Arial" w:cs="Arial"/>
        </w:rPr>
        <w:t>. International Journal of Early Years Education, 20(1), 30–42.</w:t>
      </w:r>
    </w:p>
    <w:p w14:paraId="6212FC51" w14:textId="77777777" w:rsidR="003B30A9" w:rsidRPr="00990782" w:rsidRDefault="003B30A9" w:rsidP="00990782">
      <w:pPr>
        <w:rPr>
          <w:rFonts w:ascii="Arial" w:hAnsi="Arial" w:cs="Arial"/>
        </w:rPr>
      </w:pPr>
      <w:r w:rsidRPr="00990782">
        <w:rPr>
          <w:rFonts w:ascii="Arial" w:hAnsi="Arial" w:cs="Arial"/>
        </w:rPr>
        <w:t xml:space="preserve">Rose, R. (2009) </w:t>
      </w:r>
      <w:r w:rsidRPr="00990782">
        <w:rPr>
          <w:rFonts w:ascii="Arial" w:hAnsi="Arial" w:cs="Arial"/>
          <w:i/>
          <w:iCs/>
        </w:rPr>
        <w:t>Supporting children with special educational needs in the early years</w:t>
      </w:r>
      <w:r w:rsidRPr="00990782">
        <w:rPr>
          <w:rFonts w:ascii="Arial" w:hAnsi="Arial" w:cs="Arial"/>
        </w:rPr>
        <w:t>. London: Routledge.</w:t>
      </w:r>
    </w:p>
    <w:p w14:paraId="0D66A870" w14:textId="77777777" w:rsidR="003B30A9" w:rsidRPr="00FE6B4A" w:rsidRDefault="003B30A9" w:rsidP="00F94493">
      <w:pPr>
        <w:rPr>
          <w:rFonts w:ascii="Arial" w:hAnsi="Arial" w:cs="Arial"/>
        </w:rPr>
      </w:pPr>
      <w:r w:rsidRPr="00FE6B4A">
        <w:rPr>
          <w:rFonts w:ascii="Arial" w:hAnsi="Arial" w:cs="Arial"/>
        </w:rPr>
        <w:t xml:space="preserve">Sheridan, S., Howard, L. and Alderton, J. (2011) </w:t>
      </w:r>
      <w:r w:rsidRPr="00FE6B4A">
        <w:rPr>
          <w:rFonts w:ascii="Arial" w:hAnsi="Arial" w:cs="Arial"/>
          <w:i/>
          <w:iCs/>
        </w:rPr>
        <w:t>Play in early childhood education: Learning in diverse contexts</w:t>
      </w:r>
      <w:r w:rsidRPr="00FE6B4A">
        <w:rPr>
          <w:rFonts w:ascii="Arial" w:hAnsi="Arial" w:cs="Arial"/>
        </w:rPr>
        <w:t>. Oxford: Oxford University Press.</w:t>
      </w:r>
    </w:p>
    <w:p w14:paraId="36589194" w14:textId="77777777" w:rsidR="003B30A9" w:rsidRDefault="003B30A9" w:rsidP="0040014E">
      <w:pPr>
        <w:rPr>
          <w:rFonts w:ascii="Arial" w:hAnsi="Arial" w:cs="Arial"/>
        </w:rPr>
      </w:pPr>
      <w:r w:rsidRPr="002A4C4F">
        <w:rPr>
          <w:rFonts w:ascii="Arial" w:hAnsi="Arial" w:cs="Arial"/>
        </w:rPr>
        <w:t xml:space="preserve">Shonkoff, J. P., &amp; Phillips, D. A. (2000). </w:t>
      </w:r>
      <w:r w:rsidRPr="002A4C4F">
        <w:rPr>
          <w:rFonts w:ascii="Arial" w:hAnsi="Arial" w:cs="Arial"/>
          <w:i/>
          <w:iCs/>
        </w:rPr>
        <w:t xml:space="preserve">From neurons to </w:t>
      </w:r>
      <w:proofErr w:type="spellStart"/>
      <w:r w:rsidRPr="002A4C4F">
        <w:rPr>
          <w:rFonts w:ascii="Arial" w:hAnsi="Arial" w:cs="Arial"/>
          <w:i/>
          <w:iCs/>
        </w:rPr>
        <w:t>neighborhoods</w:t>
      </w:r>
      <w:proofErr w:type="spellEnd"/>
      <w:r w:rsidRPr="002A4C4F">
        <w:rPr>
          <w:rFonts w:ascii="Arial" w:hAnsi="Arial" w:cs="Arial"/>
          <w:i/>
          <w:iCs/>
        </w:rPr>
        <w:t>: The science of early childhood development</w:t>
      </w:r>
      <w:r w:rsidRPr="002A4C4F">
        <w:rPr>
          <w:rFonts w:ascii="Arial" w:hAnsi="Arial" w:cs="Arial"/>
        </w:rPr>
        <w:t>. Washington, DC: National Academies Press.</w:t>
      </w:r>
    </w:p>
    <w:p w14:paraId="7ED599C7" w14:textId="77777777" w:rsidR="003B30A9" w:rsidRPr="00990782" w:rsidRDefault="003B30A9" w:rsidP="00990782">
      <w:pPr>
        <w:rPr>
          <w:rFonts w:ascii="Arial" w:hAnsi="Arial" w:cs="Arial"/>
        </w:rPr>
      </w:pPr>
      <w:r w:rsidRPr="00990782">
        <w:rPr>
          <w:rFonts w:ascii="Arial" w:hAnsi="Arial" w:cs="Arial"/>
        </w:rPr>
        <w:t xml:space="preserve">Siraj-Blatchford, I. (2010) </w:t>
      </w:r>
      <w:r w:rsidRPr="00990782">
        <w:rPr>
          <w:rFonts w:ascii="Arial" w:hAnsi="Arial" w:cs="Arial"/>
          <w:i/>
          <w:iCs/>
        </w:rPr>
        <w:t>Effective leadership in the early years sector: The ELEYS study</w:t>
      </w:r>
      <w:r w:rsidRPr="00990782">
        <w:rPr>
          <w:rFonts w:ascii="Arial" w:hAnsi="Arial" w:cs="Arial"/>
        </w:rPr>
        <w:t>. London: Institute of Education.</w:t>
      </w:r>
    </w:p>
    <w:p w14:paraId="63795E47" w14:textId="77777777" w:rsidR="003B30A9" w:rsidRPr="00FE6B4A" w:rsidRDefault="003B30A9" w:rsidP="00FE6B4A">
      <w:pPr>
        <w:pStyle w:val="NormalWeb"/>
        <w:rPr>
          <w:rFonts w:ascii="Arial" w:hAnsi="Arial" w:cs="Arial"/>
        </w:rPr>
      </w:pPr>
      <w:r w:rsidRPr="00FE6B4A">
        <w:rPr>
          <w:rFonts w:ascii="Arial" w:hAnsi="Arial" w:cs="Arial"/>
        </w:rPr>
        <w:t xml:space="preserve">Strong-Wilson, T., &amp; Ellis, J. (2007). Children and place: Reggio Emilia’s environment as third teacher. </w:t>
      </w:r>
      <w:r w:rsidRPr="00FE6B4A">
        <w:rPr>
          <w:rStyle w:val="Emphasis"/>
          <w:rFonts w:ascii="Arial" w:eastAsiaTheme="majorEastAsia" w:hAnsi="Arial" w:cs="Arial"/>
        </w:rPr>
        <w:t>Theory Into Practice, 46</w:t>
      </w:r>
      <w:r w:rsidRPr="00FE6B4A">
        <w:rPr>
          <w:rFonts w:ascii="Arial" w:hAnsi="Arial" w:cs="Arial"/>
        </w:rPr>
        <w:t>(1), 40–47.</w:t>
      </w:r>
    </w:p>
    <w:p w14:paraId="4222B4B7" w14:textId="77777777" w:rsidR="003B30A9" w:rsidRPr="00FE6B4A" w:rsidRDefault="003B30A9" w:rsidP="00F94493">
      <w:pPr>
        <w:rPr>
          <w:rFonts w:ascii="Arial" w:hAnsi="Arial" w:cs="Arial"/>
        </w:rPr>
      </w:pPr>
      <w:r w:rsidRPr="00FE6B4A">
        <w:rPr>
          <w:rFonts w:ascii="Arial" w:hAnsi="Arial" w:cs="Arial"/>
        </w:rPr>
        <w:lastRenderedPageBreak/>
        <w:t xml:space="preserve">Sylva, K., Melhuish, E., Sammons, P., Siraj-Blatchford, I., &amp; Taggart, B. (2004). </w:t>
      </w:r>
      <w:r w:rsidRPr="00FE6B4A">
        <w:rPr>
          <w:rFonts w:ascii="Arial" w:hAnsi="Arial" w:cs="Arial"/>
          <w:i/>
          <w:iCs/>
        </w:rPr>
        <w:t>The Effective Provision of Pre-School Education (EPPE) Project: Final Report</w:t>
      </w:r>
      <w:r w:rsidRPr="00FE6B4A">
        <w:rPr>
          <w:rFonts w:ascii="Arial" w:hAnsi="Arial" w:cs="Arial"/>
        </w:rPr>
        <w:t>. DfES.</w:t>
      </w:r>
    </w:p>
    <w:p w14:paraId="487BB209" w14:textId="77777777" w:rsidR="003B30A9" w:rsidRPr="00FE6B4A" w:rsidRDefault="003B30A9" w:rsidP="00FE6B4A">
      <w:pPr>
        <w:rPr>
          <w:rFonts w:ascii="Arial" w:hAnsi="Arial" w:cs="Arial"/>
        </w:rPr>
      </w:pPr>
      <w:r w:rsidRPr="00FE6B4A">
        <w:rPr>
          <w:rFonts w:ascii="Arial" w:hAnsi="Arial" w:cs="Arial"/>
        </w:rPr>
        <w:t xml:space="preserve">Taggart, B., Sylva, K., Melhuish, E., Sammons, P., &amp; Siraj, I. (2015). </w:t>
      </w:r>
      <w:r w:rsidRPr="00FE6B4A">
        <w:rPr>
          <w:rFonts w:ascii="Arial" w:hAnsi="Arial" w:cs="Arial"/>
          <w:i/>
          <w:iCs/>
        </w:rPr>
        <w:t>Effective Pre-School, Primary and Secondary Education Project (EPPSE 3-16+)</w:t>
      </w:r>
      <w:r w:rsidRPr="00FE6B4A">
        <w:rPr>
          <w:rFonts w:ascii="Arial" w:hAnsi="Arial" w:cs="Arial"/>
        </w:rPr>
        <w:t>. Department for Education.</w:t>
      </w:r>
    </w:p>
    <w:p w14:paraId="4C69F024" w14:textId="77777777" w:rsidR="003B30A9" w:rsidRPr="00FE6B4A" w:rsidRDefault="003B30A9" w:rsidP="00927D3E">
      <w:pPr>
        <w:rPr>
          <w:rFonts w:ascii="Arial" w:hAnsi="Arial" w:cs="Arial"/>
        </w:rPr>
      </w:pPr>
      <w:r w:rsidRPr="00FE6B4A">
        <w:rPr>
          <w:rFonts w:ascii="Arial" w:hAnsi="Arial" w:cs="Arial"/>
        </w:rPr>
        <w:t xml:space="preserve">Weisberg, D. S., Hirsh-Pasek, K., &amp; </w:t>
      </w:r>
      <w:proofErr w:type="spellStart"/>
      <w:r w:rsidRPr="00FE6B4A">
        <w:rPr>
          <w:rFonts w:ascii="Arial" w:hAnsi="Arial" w:cs="Arial"/>
        </w:rPr>
        <w:t>Golinkoff</w:t>
      </w:r>
      <w:proofErr w:type="spellEnd"/>
      <w:r w:rsidRPr="00FE6B4A">
        <w:rPr>
          <w:rFonts w:ascii="Arial" w:hAnsi="Arial" w:cs="Arial"/>
        </w:rPr>
        <w:t xml:space="preserve">, R. M. (2016). Guided Play: Principles and Practices. </w:t>
      </w:r>
      <w:r w:rsidRPr="00FE6B4A">
        <w:rPr>
          <w:rFonts w:ascii="Arial" w:hAnsi="Arial" w:cs="Arial"/>
          <w:i/>
          <w:iCs/>
        </w:rPr>
        <w:t>Current Directions in Psychological Science</w:t>
      </w:r>
      <w:r w:rsidRPr="00FE6B4A">
        <w:rPr>
          <w:rFonts w:ascii="Arial" w:hAnsi="Arial" w:cs="Arial"/>
        </w:rPr>
        <w:t>, 25(3), 177–182.</w:t>
      </w:r>
    </w:p>
    <w:p w14:paraId="172E6BFF" w14:textId="77777777" w:rsidR="003B30A9" w:rsidRPr="00EE3B86" w:rsidRDefault="003B30A9" w:rsidP="00EE3B86">
      <w:pPr>
        <w:rPr>
          <w:rFonts w:ascii="Arial" w:hAnsi="Arial" w:cs="Arial"/>
        </w:rPr>
      </w:pPr>
      <w:r w:rsidRPr="00EE3B86">
        <w:rPr>
          <w:rFonts w:ascii="Arial" w:hAnsi="Arial" w:cs="Arial"/>
        </w:rPr>
        <w:t xml:space="preserve">Welsh Government (2015) </w:t>
      </w:r>
      <w:r w:rsidRPr="00EE3B86">
        <w:rPr>
          <w:rFonts w:ascii="Arial" w:hAnsi="Arial" w:cs="Arial"/>
          <w:i/>
          <w:iCs/>
        </w:rPr>
        <w:t>Foundation Phase Framework</w:t>
      </w:r>
      <w:r w:rsidRPr="00EE3B86">
        <w:rPr>
          <w:rFonts w:ascii="Arial" w:hAnsi="Arial" w:cs="Arial"/>
        </w:rPr>
        <w:t>. Cardiff: Welsh Government.</w:t>
      </w:r>
    </w:p>
    <w:p w14:paraId="6AF1E416" w14:textId="77777777" w:rsidR="003B30A9" w:rsidRDefault="003B30A9" w:rsidP="0040014E">
      <w:pPr>
        <w:rPr>
          <w:rFonts w:ascii="Arial" w:hAnsi="Arial" w:cs="Arial"/>
        </w:rPr>
      </w:pPr>
      <w:r w:rsidRPr="0040014E">
        <w:rPr>
          <w:rFonts w:ascii="Arial" w:hAnsi="Arial" w:cs="Arial"/>
        </w:rPr>
        <w:t xml:space="preserve">Whitebread, D. (2012). </w:t>
      </w:r>
      <w:r w:rsidRPr="0040014E">
        <w:rPr>
          <w:rFonts w:ascii="Arial" w:hAnsi="Arial" w:cs="Arial"/>
          <w:i/>
          <w:iCs/>
        </w:rPr>
        <w:t>The importance of play: A report on the value of children's play with a series of policy recommendations</w:t>
      </w:r>
      <w:r w:rsidRPr="0040014E">
        <w:rPr>
          <w:rFonts w:ascii="Arial" w:hAnsi="Arial" w:cs="Arial"/>
        </w:rPr>
        <w:t>. Toy Industries of Europe.</w:t>
      </w:r>
    </w:p>
    <w:p w14:paraId="5CC800A6" w14:textId="77777777" w:rsidR="003B30A9" w:rsidRPr="00FE6B4A" w:rsidRDefault="003B30A9" w:rsidP="00927D3E">
      <w:pPr>
        <w:rPr>
          <w:rFonts w:ascii="Arial" w:hAnsi="Arial" w:cs="Arial"/>
        </w:rPr>
      </w:pPr>
      <w:r w:rsidRPr="00FE6B4A">
        <w:rPr>
          <w:rFonts w:ascii="Arial" w:hAnsi="Arial" w:cs="Arial"/>
        </w:rPr>
        <w:t xml:space="preserve">Whitebread, D., Coltman, P., Jameson, H., &amp; Lander, R. (2012). </w:t>
      </w:r>
      <w:r w:rsidRPr="00FE6B4A">
        <w:rPr>
          <w:rFonts w:ascii="Arial" w:hAnsi="Arial" w:cs="Arial"/>
          <w:i/>
          <w:iCs/>
        </w:rPr>
        <w:t>Play, cognition and self-regulation: What exactly are children learning when they learn through play?</w:t>
      </w:r>
      <w:r w:rsidRPr="00FE6B4A">
        <w:rPr>
          <w:rFonts w:ascii="Arial" w:hAnsi="Arial" w:cs="Arial"/>
        </w:rPr>
        <w:t xml:space="preserve"> Educational and Child Psychology, 29(3), 44–52.</w:t>
      </w:r>
    </w:p>
    <w:p w14:paraId="7FCDC66E" w14:textId="77777777" w:rsidR="003B30A9" w:rsidRDefault="003B30A9" w:rsidP="00927D3E">
      <w:pPr>
        <w:rPr>
          <w:rFonts w:ascii="Arial" w:hAnsi="Arial" w:cs="Arial"/>
        </w:rPr>
      </w:pPr>
      <w:r w:rsidRPr="00FE6B4A">
        <w:rPr>
          <w:rFonts w:ascii="Arial" w:hAnsi="Arial" w:cs="Arial"/>
        </w:rPr>
        <w:t xml:space="preserve">Wood, E. (2013). </w:t>
      </w:r>
      <w:r w:rsidRPr="00FE6B4A">
        <w:rPr>
          <w:rFonts w:ascii="Arial" w:hAnsi="Arial" w:cs="Arial"/>
          <w:i/>
          <w:iCs/>
        </w:rPr>
        <w:t>Play, Learning and the Early Childhood Curriculum</w:t>
      </w:r>
      <w:r w:rsidRPr="00FE6B4A">
        <w:rPr>
          <w:rFonts w:ascii="Arial" w:hAnsi="Arial" w:cs="Arial"/>
        </w:rPr>
        <w:t xml:space="preserve"> (3rd ed.). SAGE Publications.</w:t>
      </w:r>
    </w:p>
    <w:sectPr w:rsidR="003B30A9">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60A5C90" w14:textId="77777777" w:rsidR="00A82170" w:rsidRDefault="00A82170" w:rsidP="00683DE4">
      <w:pPr>
        <w:spacing w:after="0" w:line="240" w:lineRule="auto"/>
      </w:pPr>
      <w:r>
        <w:separator/>
      </w:r>
    </w:p>
  </w:endnote>
  <w:endnote w:type="continuationSeparator" w:id="0">
    <w:p w14:paraId="7BB1B36E" w14:textId="77777777" w:rsidR="00A82170" w:rsidRDefault="00A82170" w:rsidP="00683D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BCDBDDF" w14:textId="77777777" w:rsidR="00A82170" w:rsidRDefault="00A82170" w:rsidP="00683DE4">
      <w:pPr>
        <w:spacing w:after="0" w:line="240" w:lineRule="auto"/>
      </w:pPr>
      <w:r>
        <w:separator/>
      </w:r>
    </w:p>
  </w:footnote>
  <w:footnote w:type="continuationSeparator" w:id="0">
    <w:p w14:paraId="7F290ADC" w14:textId="77777777" w:rsidR="00A82170" w:rsidRDefault="00A82170" w:rsidP="00683DE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5FB3655" w14:textId="71F8218A" w:rsidR="00683DE4" w:rsidRDefault="00683DE4">
    <w:pPr>
      <w:pStyle w:val="Header"/>
    </w:pPr>
    <w:r>
      <w:t>Rachel Thomas</w:t>
    </w:r>
    <w:r>
      <w:tab/>
      <w:t>2312291</w:t>
    </w:r>
    <w:r>
      <w:ptab w:relativeTo="margin" w:alignment="right" w:leader="none"/>
    </w:r>
    <w:r>
      <w:t>ECEY6010</w:t>
    </w:r>
    <w:r w:rsidR="00D91EF1">
      <w:br/>
    </w:r>
  </w:p>
  <w:p w14:paraId="3CC9C87F" w14:textId="0AB26578" w:rsidR="00D91EF1" w:rsidRDefault="00D91EF1">
    <w:pPr>
      <w:pStyle w:val="Header"/>
    </w:pPr>
    <w:r>
      <w:tab/>
    </w:r>
    <w:r>
      <w:tab/>
      <w:t xml:space="preserve">    Word Count - 4067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4021BB3"/>
    <w:multiLevelType w:val="multilevel"/>
    <w:tmpl w:val="C0AC3A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3831362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3DE4"/>
    <w:rsid w:val="00094CC0"/>
    <w:rsid w:val="00123D35"/>
    <w:rsid w:val="002028CD"/>
    <w:rsid w:val="00241065"/>
    <w:rsid w:val="0024608E"/>
    <w:rsid w:val="002A4C4F"/>
    <w:rsid w:val="00315E29"/>
    <w:rsid w:val="003B30A9"/>
    <w:rsid w:val="0040014E"/>
    <w:rsid w:val="00416775"/>
    <w:rsid w:val="004A3506"/>
    <w:rsid w:val="004F3692"/>
    <w:rsid w:val="005665AF"/>
    <w:rsid w:val="005D1227"/>
    <w:rsid w:val="00615384"/>
    <w:rsid w:val="006703E2"/>
    <w:rsid w:val="00683DE4"/>
    <w:rsid w:val="00731B58"/>
    <w:rsid w:val="00793FB2"/>
    <w:rsid w:val="008D5234"/>
    <w:rsid w:val="00905C9F"/>
    <w:rsid w:val="00927D3E"/>
    <w:rsid w:val="00990782"/>
    <w:rsid w:val="00A82170"/>
    <w:rsid w:val="00B6602F"/>
    <w:rsid w:val="00B810CA"/>
    <w:rsid w:val="00BA0278"/>
    <w:rsid w:val="00CB6240"/>
    <w:rsid w:val="00D91EF1"/>
    <w:rsid w:val="00E24EEA"/>
    <w:rsid w:val="00E75F1E"/>
    <w:rsid w:val="00EE3691"/>
    <w:rsid w:val="00EE3B86"/>
    <w:rsid w:val="00EF5CF6"/>
    <w:rsid w:val="00F23727"/>
    <w:rsid w:val="00F94493"/>
    <w:rsid w:val="00FE1101"/>
    <w:rsid w:val="00FE6B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305D38"/>
  <w15:chartTrackingRefBased/>
  <w15:docId w15:val="{468B45CC-A881-40C8-9650-C59E06613E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83DE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83DE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83DE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83DE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83DE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83DE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83DE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83DE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83DE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83DE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83DE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83DE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83DE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83DE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83DE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83DE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83DE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83DE4"/>
    <w:rPr>
      <w:rFonts w:eastAsiaTheme="majorEastAsia" w:cstheme="majorBidi"/>
      <w:color w:val="272727" w:themeColor="text1" w:themeTint="D8"/>
    </w:rPr>
  </w:style>
  <w:style w:type="paragraph" w:styleId="Title">
    <w:name w:val="Title"/>
    <w:basedOn w:val="Normal"/>
    <w:next w:val="Normal"/>
    <w:link w:val="TitleChar"/>
    <w:uiPriority w:val="10"/>
    <w:qFormat/>
    <w:rsid w:val="00683DE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83DE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83DE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83DE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83DE4"/>
    <w:pPr>
      <w:spacing w:before="160"/>
      <w:jc w:val="center"/>
    </w:pPr>
    <w:rPr>
      <w:i/>
      <w:iCs/>
      <w:color w:val="404040" w:themeColor="text1" w:themeTint="BF"/>
    </w:rPr>
  </w:style>
  <w:style w:type="character" w:customStyle="1" w:styleId="QuoteChar">
    <w:name w:val="Quote Char"/>
    <w:basedOn w:val="DefaultParagraphFont"/>
    <w:link w:val="Quote"/>
    <w:uiPriority w:val="29"/>
    <w:rsid w:val="00683DE4"/>
    <w:rPr>
      <w:i/>
      <w:iCs/>
      <w:color w:val="404040" w:themeColor="text1" w:themeTint="BF"/>
    </w:rPr>
  </w:style>
  <w:style w:type="paragraph" w:styleId="ListParagraph">
    <w:name w:val="List Paragraph"/>
    <w:basedOn w:val="Normal"/>
    <w:uiPriority w:val="34"/>
    <w:qFormat/>
    <w:rsid w:val="00683DE4"/>
    <w:pPr>
      <w:ind w:left="720"/>
      <w:contextualSpacing/>
    </w:pPr>
  </w:style>
  <w:style w:type="character" w:styleId="IntenseEmphasis">
    <w:name w:val="Intense Emphasis"/>
    <w:basedOn w:val="DefaultParagraphFont"/>
    <w:uiPriority w:val="21"/>
    <w:qFormat/>
    <w:rsid w:val="00683DE4"/>
    <w:rPr>
      <w:i/>
      <w:iCs/>
      <w:color w:val="0F4761" w:themeColor="accent1" w:themeShade="BF"/>
    </w:rPr>
  </w:style>
  <w:style w:type="paragraph" w:styleId="IntenseQuote">
    <w:name w:val="Intense Quote"/>
    <w:basedOn w:val="Normal"/>
    <w:next w:val="Normal"/>
    <w:link w:val="IntenseQuoteChar"/>
    <w:uiPriority w:val="30"/>
    <w:qFormat/>
    <w:rsid w:val="00683DE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83DE4"/>
    <w:rPr>
      <w:i/>
      <w:iCs/>
      <w:color w:val="0F4761" w:themeColor="accent1" w:themeShade="BF"/>
    </w:rPr>
  </w:style>
  <w:style w:type="character" w:styleId="IntenseReference">
    <w:name w:val="Intense Reference"/>
    <w:basedOn w:val="DefaultParagraphFont"/>
    <w:uiPriority w:val="32"/>
    <w:qFormat/>
    <w:rsid w:val="00683DE4"/>
    <w:rPr>
      <w:b/>
      <w:bCs/>
      <w:smallCaps/>
      <w:color w:val="0F4761" w:themeColor="accent1" w:themeShade="BF"/>
      <w:spacing w:val="5"/>
    </w:rPr>
  </w:style>
  <w:style w:type="paragraph" w:styleId="Header">
    <w:name w:val="header"/>
    <w:basedOn w:val="Normal"/>
    <w:link w:val="HeaderChar"/>
    <w:uiPriority w:val="99"/>
    <w:unhideWhenUsed/>
    <w:rsid w:val="00683DE4"/>
    <w:pPr>
      <w:tabs>
        <w:tab w:val="center" w:pos="4513"/>
        <w:tab w:val="right" w:pos="9026"/>
      </w:tabs>
      <w:spacing w:after="0" w:line="240" w:lineRule="auto"/>
    </w:pPr>
  </w:style>
  <w:style w:type="character" w:customStyle="1" w:styleId="HeaderChar">
    <w:name w:val="Header Char"/>
    <w:basedOn w:val="DefaultParagraphFont"/>
    <w:link w:val="Header"/>
    <w:uiPriority w:val="99"/>
    <w:rsid w:val="00683DE4"/>
  </w:style>
  <w:style w:type="paragraph" w:styleId="Footer">
    <w:name w:val="footer"/>
    <w:basedOn w:val="Normal"/>
    <w:link w:val="FooterChar"/>
    <w:uiPriority w:val="99"/>
    <w:unhideWhenUsed/>
    <w:rsid w:val="00683DE4"/>
    <w:pPr>
      <w:tabs>
        <w:tab w:val="center" w:pos="4513"/>
        <w:tab w:val="right" w:pos="9026"/>
      </w:tabs>
      <w:spacing w:after="0" w:line="240" w:lineRule="auto"/>
    </w:pPr>
  </w:style>
  <w:style w:type="character" w:customStyle="1" w:styleId="FooterChar">
    <w:name w:val="Footer Char"/>
    <w:basedOn w:val="DefaultParagraphFont"/>
    <w:link w:val="Footer"/>
    <w:uiPriority w:val="99"/>
    <w:rsid w:val="00683DE4"/>
  </w:style>
  <w:style w:type="character" w:styleId="Hyperlink">
    <w:name w:val="Hyperlink"/>
    <w:basedOn w:val="DefaultParagraphFont"/>
    <w:uiPriority w:val="99"/>
    <w:unhideWhenUsed/>
    <w:rsid w:val="00927D3E"/>
    <w:rPr>
      <w:color w:val="467886" w:themeColor="hyperlink"/>
      <w:u w:val="single"/>
    </w:rPr>
  </w:style>
  <w:style w:type="character" w:styleId="UnresolvedMention">
    <w:name w:val="Unresolved Mention"/>
    <w:basedOn w:val="DefaultParagraphFont"/>
    <w:uiPriority w:val="99"/>
    <w:semiHidden/>
    <w:unhideWhenUsed/>
    <w:rsid w:val="00927D3E"/>
    <w:rPr>
      <w:color w:val="605E5C"/>
      <w:shd w:val="clear" w:color="auto" w:fill="E1DFDD"/>
    </w:rPr>
  </w:style>
  <w:style w:type="paragraph" w:styleId="NormalWeb">
    <w:name w:val="Normal (Web)"/>
    <w:basedOn w:val="Normal"/>
    <w:uiPriority w:val="99"/>
    <w:semiHidden/>
    <w:unhideWhenUsed/>
    <w:rsid w:val="005665AF"/>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5665AF"/>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692669">
      <w:bodyDiv w:val="1"/>
      <w:marLeft w:val="0"/>
      <w:marRight w:val="0"/>
      <w:marTop w:val="0"/>
      <w:marBottom w:val="0"/>
      <w:divBdr>
        <w:top w:val="none" w:sz="0" w:space="0" w:color="auto"/>
        <w:left w:val="none" w:sz="0" w:space="0" w:color="auto"/>
        <w:bottom w:val="none" w:sz="0" w:space="0" w:color="auto"/>
        <w:right w:val="none" w:sz="0" w:space="0" w:color="auto"/>
      </w:divBdr>
    </w:div>
    <w:div w:id="108353694">
      <w:bodyDiv w:val="1"/>
      <w:marLeft w:val="0"/>
      <w:marRight w:val="0"/>
      <w:marTop w:val="0"/>
      <w:marBottom w:val="0"/>
      <w:divBdr>
        <w:top w:val="none" w:sz="0" w:space="0" w:color="auto"/>
        <w:left w:val="none" w:sz="0" w:space="0" w:color="auto"/>
        <w:bottom w:val="none" w:sz="0" w:space="0" w:color="auto"/>
        <w:right w:val="none" w:sz="0" w:space="0" w:color="auto"/>
      </w:divBdr>
    </w:div>
    <w:div w:id="313949928">
      <w:bodyDiv w:val="1"/>
      <w:marLeft w:val="0"/>
      <w:marRight w:val="0"/>
      <w:marTop w:val="0"/>
      <w:marBottom w:val="0"/>
      <w:divBdr>
        <w:top w:val="none" w:sz="0" w:space="0" w:color="auto"/>
        <w:left w:val="none" w:sz="0" w:space="0" w:color="auto"/>
        <w:bottom w:val="none" w:sz="0" w:space="0" w:color="auto"/>
        <w:right w:val="none" w:sz="0" w:space="0" w:color="auto"/>
      </w:divBdr>
    </w:div>
    <w:div w:id="362828139">
      <w:bodyDiv w:val="1"/>
      <w:marLeft w:val="0"/>
      <w:marRight w:val="0"/>
      <w:marTop w:val="0"/>
      <w:marBottom w:val="0"/>
      <w:divBdr>
        <w:top w:val="none" w:sz="0" w:space="0" w:color="auto"/>
        <w:left w:val="none" w:sz="0" w:space="0" w:color="auto"/>
        <w:bottom w:val="none" w:sz="0" w:space="0" w:color="auto"/>
        <w:right w:val="none" w:sz="0" w:space="0" w:color="auto"/>
      </w:divBdr>
    </w:div>
    <w:div w:id="435833785">
      <w:bodyDiv w:val="1"/>
      <w:marLeft w:val="0"/>
      <w:marRight w:val="0"/>
      <w:marTop w:val="0"/>
      <w:marBottom w:val="0"/>
      <w:divBdr>
        <w:top w:val="none" w:sz="0" w:space="0" w:color="auto"/>
        <w:left w:val="none" w:sz="0" w:space="0" w:color="auto"/>
        <w:bottom w:val="none" w:sz="0" w:space="0" w:color="auto"/>
        <w:right w:val="none" w:sz="0" w:space="0" w:color="auto"/>
      </w:divBdr>
    </w:div>
    <w:div w:id="500245217">
      <w:bodyDiv w:val="1"/>
      <w:marLeft w:val="0"/>
      <w:marRight w:val="0"/>
      <w:marTop w:val="0"/>
      <w:marBottom w:val="0"/>
      <w:divBdr>
        <w:top w:val="none" w:sz="0" w:space="0" w:color="auto"/>
        <w:left w:val="none" w:sz="0" w:space="0" w:color="auto"/>
        <w:bottom w:val="none" w:sz="0" w:space="0" w:color="auto"/>
        <w:right w:val="none" w:sz="0" w:space="0" w:color="auto"/>
      </w:divBdr>
    </w:div>
    <w:div w:id="642079525">
      <w:bodyDiv w:val="1"/>
      <w:marLeft w:val="0"/>
      <w:marRight w:val="0"/>
      <w:marTop w:val="0"/>
      <w:marBottom w:val="0"/>
      <w:divBdr>
        <w:top w:val="none" w:sz="0" w:space="0" w:color="auto"/>
        <w:left w:val="none" w:sz="0" w:space="0" w:color="auto"/>
        <w:bottom w:val="none" w:sz="0" w:space="0" w:color="auto"/>
        <w:right w:val="none" w:sz="0" w:space="0" w:color="auto"/>
      </w:divBdr>
    </w:div>
    <w:div w:id="703411646">
      <w:bodyDiv w:val="1"/>
      <w:marLeft w:val="0"/>
      <w:marRight w:val="0"/>
      <w:marTop w:val="0"/>
      <w:marBottom w:val="0"/>
      <w:divBdr>
        <w:top w:val="none" w:sz="0" w:space="0" w:color="auto"/>
        <w:left w:val="none" w:sz="0" w:space="0" w:color="auto"/>
        <w:bottom w:val="none" w:sz="0" w:space="0" w:color="auto"/>
        <w:right w:val="none" w:sz="0" w:space="0" w:color="auto"/>
      </w:divBdr>
    </w:div>
    <w:div w:id="792864887">
      <w:bodyDiv w:val="1"/>
      <w:marLeft w:val="0"/>
      <w:marRight w:val="0"/>
      <w:marTop w:val="0"/>
      <w:marBottom w:val="0"/>
      <w:divBdr>
        <w:top w:val="none" w:sz="0" w:space="0" w:color="auto"/>
        <w:left w:val="none" w:sz="0" w:space="0" w:color="auto"/>
        <w:bottom w:val="none" w:sz="0" w:space="0" w:color="auto"/>
        <w:right w:val="none" w:sz="0" w:space="0" w:color="auto"/>
      </w:divBdr>
    </w:div>
    <w:div w:id="848836107">
      <w:bodyDiv w:val="1"/>
      <w:marLeft w:val="0"/>
      <w:marRight w:val="0"/>
      <w:marTop w:val="0"/>
      <w:marBottom w:val="0"/>
      <w:divBdr>
        <w:top w:val="none" w:sz="0" w:space="0" w:color="auto"/>
        <w:left w:val="none" w:sz="0" w:space="0" w:color="auto"/>
        <w:bottom w:val="none" w:sz="0" w:space="0" w:color="auto"/>
        <w:right w:val="none" w:sz="0" w:space="0" w:color="auto"/>
      </w:divBdr>
    </w:div>
    <w:div w:id="1016812625">
      <w:bodyDiv w:val="1"/>
      <w:marLeft w:val="0"/>
      <w:marRight w:val="0"/>
      <w:marTop w:val="0"/>
      <w:marBottom w:val="0"/>
      <w:divBdr>
        <w:top w:val="none" w:sz="0" w:space="0" w:color="auto"/>
        <w:left w:val="none" w:sz="0" w:space="0" w:color="auto"/>
        <w:bottom w:val="none" w:sz="0" w:space="0" w:color="auto"/>
        <w:right w:val="none" w:sz="0" w:space="0" w:color="auto"/>
      </w:divBdr>
    </w:div>
    <w:div w:id="1037435975">
      <w:bodyDiv w:val="1"/>
      <w:marLeft w:val="0"/>
      <w:marRight w:val="0"/>
      <w:marTop w:val="0"/>
      <w:marBottom w:val="0"/>
      <w:divBdr>
        <w:top w:val="none" w:sz="0" w:space="0" w:color="auto"/>
        <w:left w:val="none" w:sz="0" w:space="0" w:color="auto"/>
        <w:bottom w:val="none" w:sz="0" w:space="0" w:color="auto"/>
        <w:right w:val="none" w:sz="0" w:space="0" w:color="auto"/>
      </w:divBdr>
    </w:div>
    <w:div w:id="1168135225">
      <w:bodyDiv w:val="1"/>
      <w:marLeft w:val="0"/>
      <w:marRight w:val="0"/>
      <w:marTop w:val="0"/>
      <w:marBottom w:val="0"/>
      <w:divBdr>
        <w:top w:val="none" w:sz="0" w:space="0" w:color="auto"/>
        <w:left w:val="none" w:sz="0" w:space="0" w:color="auto"/>
        <w:bottom w:val="none" w:sz="0" w:space="0" w:color="auto"/>
        <w:right w:val="none" w:sz="0" w:space="0" w:color="auto"/>
      </w:divBdr>
    </w:div>
    <w:div w:id="1177231077">
      <w:bodyDiv w:val="1"/>
      <w:marLeft w:val="0"/>
      <w:marRight w:val="0"/>
      <w:marTop w:val="0"/>
      <w:marBottom w:val="0"/>
      <w:divBdr>
        <w:top w:val="none" w:sz="0" w:space="0" w:color="auto"/>
        <w:left w:val="none" w:sz="0" w:space="0" w:color="auto"/>
        <w:bottom w:val="none" w:sz="0" w:space="0" w:color="auto"/>
        <w:right w:val="none" w:sz="0" w:space="0" w:color="auto"/>
      </w:divBdr>
    </w:div>
    <w:div w:id="1254167261">
      <w:bodyDiv w:val="1"/>
      <w:marLeft w:val="0"/>
      <w:marRight w:val="0"/>
      <w:marTop w:val="0"/>
      <w:marBottom w:val="0"/>
      <w:divBdr>
        <w:top w:val="none" w:sz="0" w:space="0" w:color="auto"/>
        <w:left w:val="none" w:sz="0" w:space="0" w:color="auto"/>
        <w:bottom w:val="none" w:sz="0" w:space="0" w:color="auto"/>
        <w:right w:val="none" w:sz="0" w:space="0" w:color="auto"/>
      </w:divBdr>
    </w:div>
    <w:div w:id="1311863483">
      <w:bodyDiv w:val="1"/>
      <w:marLeft w:val="0"/>
      <w:marRight w:val="0"/>
      <w:marTop w:val="0"/>
      <w:marBottom w:val="0"/>
      <w:divBdr>
        <w:top w:val="none" w:sz="0" w:space="0" w:color="auto"/>
        <w:left w:val="none" w:sz="0" w:space="0" w:color="auto"/>
        <w:bottom w:val="none" w:sz="0" w:space="0" w:color="auto"/>
        <w:right w:val="none" w:sz="0" w:space="0" w:color="auto"/>
      </w:divBdr>
      <w:divsChild>
        <w:div w:id="933510880">
          <w:marLeft w:val="0"/>
          <w:marRight w:val="0"/>
          <w:marTop w:val="0"/>
          <w:marBottom w:val="0"/>
          <w:divBdr>
            <w:top w:val="none" w:sz="0" w:space="0" w:color="auto"/>
            <w:left w:val="none" w:sz="0" w:space="0" w:color="auto"/>
            <w:bottom w:val="none" w:sz="0" w:space="0" w:color="auto"/>
            <w:right w:val="none" w:sz="0" w:space="0" w:color="auto"/>
          </w:divBdr>
          <w:divsChild>
            <w:div w:id="543904865">
              <w:marLeft w:val="0"/>
              <w:marRight w:val="0"/>
              <w:marTop w:val="0"/>
              <w:marBottom w:val="0"/>
              <w:divBdr>
                <w:top w:val="none" w:sz="0" w:space="0" w:color="auto"/>
                <w:left w:val="none" w:sz="0" w:space="0" w:color="auto"/>
                <w:bottom w:val="none" w:sz="0" w:space="0" w:color="auto"/>
                <w:right w:val="none" w:sz="0" w:space="0" w:color="auto"/>
              </w:divBdr>
              <w:divsChild>
                <w:div w:id="1671449189">
                  <w:marLeft w:val="0"/>
                  <w:marRight w:val="0"/>
                  <w:marTop w:val="0"/>
                  <w:marBottom w:val="0"/>
                  <w:divBdr>
                    <w:top w:val="none" w:sz="0" w:space="0" w:color="auto"/>
                    <w:left w:val="none" w:sz="0" w:space="0" w:color="auto"/>
                    <w:bottom w:val="none" w:sz="0" w:space="0" w:color="auto"/>
                    <w:right w:val="none" w:sz="0" w:space="0" w:color="auto"/>
                  </w:divBdr>
                  <w:divsChild>
                    <w:div w:id="2114550598">
                      <w:marLeft w:val="0"/>
                      <w:marRight w:val="0"/>
                      <w:marTop w:val="0"/>
                      <w:marBottom w:val="0"/>
                      <w:divBdr>
                        <w:top w:val="none" w:sz="0" w:space="0" w:color="auto"/>
                        <w:left w:val="none" w:sz="0" w:space="0" w:color="auto"/>
                        <w:bottom w:val="none" w:sz="0" w:space="0" w:color="auto"/>
                        <w:right w:val="none" w:sz="0" w:space="0" w:color="auto"/>
                      </w:divBdr>
                      <w:divsChild>
                        <w:div w:id="581567785">
                          <w:marLeft w:val="0"/>
                          <w:marRight w:val="0"/>
                          <w:marTop w:val="0"/>
                          <w:marBottom w:val="0"/>
                          <w:divBdr>
                            <w:top w:val="none" w:sz="0" w:space="0" w:color="auto"/>
                            <w:left w:val="none" w:sz="0" w:space="0" w:color="auto"/>
                            <w:bottom w:val="none" w:sz="0" w:space="0" w:color="auto"/>
                            <w:right w:val="none" w:sz="0" w:space="0" w:color="auto"/>
                          </w:divBdr>
                          <w:divsChild>
                            <w:div w:id="1075854438">
                              <w:marLeft w:val="0"/>
                              <w:marRight w:val="0"/>
                              <w:marTop w:val="0"/>
                              <w:marBottom w:val="0"/>
                              <w:divBdr>
                                <w:top w:val="none" w:sz="0" w:space="0" w:color="auto"/>
                                <w:left w:val="none" w:sz="0" w:space="0" w:color="auto"/>
                                <w:bottom w:val="none" w:sz="0" w:space="0" w:color="auto"/>
                                <w:right w:val="none" w:sz="0" w:space="0" w:color="auto"/>
                              </w:divBdr>
                              <w:divsChild>
                                <w:div w:id="1801608760">
                                  <w:marLeft w:val="0"/>
                                  <w:marRight w:val="0"/>
                                  <w:marTop w:val="0"/>
                                  <w:marBottom w:val="0"/>
                                  <w:divBdr>
                                    <w:top w:val="none" w:sz="0" w:space="0" w:color="auto"/>
                                    <w:left w:val="none" w:sz="0" w:space="0" w:color="auto"/>
                                    <w:bottom w:val="none" w:sz="0" w:space="0" w:color="auto"/>
                                    <w:right w:val="none" w:sz="0" w:space="0" w:color="auto"/>
                                  </w:divBdr>
                                  <w:divsChild>
                                    <w:div w:id="6149449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3504263">
          <w:marLeft w:val="0"/>
          <w:marRight w:val="0"/>
          <w:marTop w:val="0"/>
          <w:marBottom w:val="0"/>
          <w:divBdr>
            <w:top w:val="none" w:sz="0" w:space="0" w:color="auto"/>
            <w:left w:val="none" w:sz="0" w:space="0" w:color="auto"/>
            <w:bottom w:val="none" w:sz="0" w:space="0" w:color="auto"/>
            <w:right w:val="none" w:sz="0" w:space="0" w:color="auto"/>
          </w:divBdr>
          <w:divsChild>
            <w:div w:id="1552957121">
              <w:marLeft w:val="0"/>
              <w:marRight w:val="0"/>
              <w:marTop w:val="0"/>
              <w:marBottom w:val="0"/>
              <w:divBdr>
                <w:top w:val="none" w:sz="0" w:space="0" w:color="auto"/>
                <w:left w:val="none" w:sz="0" w:space="0" w:color="auto"/>
                <w:bottom w:val="none" w:sz="0" w:space="0" w:color="auto"/>
                <w:right w:val="none" w:sz="0" w:space="0" w:color="auto"/>
              </w:divBdr>
              <w:divsChild>
                <w:div w:id="1549222572">
                  <w:marLeft w:val="0"/>
                  <w:marRight w:val="0"/>
                  <w:marTop w:val="0"/>
                  <w:marBottom w:val="0"/>
                  <w:divBdr>
                    <w:top w:val="none" w:sz="0" w:space="0" w:color="auto"/>
                    <w:left w:val="none" w:sz="0" w:space="0" w:color="auto"/>
                    <w:bottom w:val="none" w:sz="0" w:space="0" w:color="auto"/>
                    <w:right w:val="none" w:sz="0" w:space="0" w:color="auto"/>
                  </w:divBdr>
                  <w:divsChild>
                    <w:div w:id="1099445524">
                      <w:marLeft w:val="0"/>
                      <w:marRight w:val="0"/>
                      <w:marTop w:val="0"/>
                      <w:marBottom w:val="0"/>
                      <w:divBdr>
                        <w:top w:val="none" w:sz="0" w:space="0" w:color="auto"/>
                        <w:left w:val="none" w:sz="0" w:space="0" w:color="auto"/>
                        <w:bottom w:val="none" w:sz="0" w:space="0" w:color="auto"/>
                        <w:right w:val="none" w:sz="0" w:space="0" w:color="auto"/>
                      </w:divBdr>
                      <w:divsChild>
                        <w:div w:id="375669286">
                          <w:marLeft w:val="0"/>
                          <w:marRight w:val="0"/>
                          <w:marTop w:val="0"/>
                          <w:marBottom w:val="0"/>
                          <w:divBdr>
                            <w:top w:val="none" w:sz="0" w:space="0" w:color="auto"/>
                            <w:left w:val="none" w:sz="0" w:space="0" w:color="auto"/>
                            <w:bottom w:val="none" w:sz="0" w:space="0" w:color="auto"/>
                            <w:right w:val="none" w:sz="0" w:space="0" w:color="auto"/>
                          </w:divBdr>
                          <w:divsChild>
                            <w:div w:id="1215894240">
                              <w:marLeft w:val="0"/>
                              <w:marRight w:val="0"/>
                              <w:marTop w:val="0"/>
                              <w:marBottom w:val="0"/>
                              <w:divBdr>
                                <w:top w:val="none" w:sz="0" w:space="0" w:color="auto"/>
                                <w:left w:val="none" w:sz="0" w:space="0" w:color="auto"/>
                                <w:bottom w:val="none" w:sz="0" w:space="0" w:color="auto"/>
                                <w:right w:val="none" w:sz="0" w:space="0" w:color="auto"/>
                              </w:divBdr>
                              <w:divsChild>
                                <w:div w:id="649865257">
                                  <w:marLeft w:val="0"/>
                                  <w:marRight w:val="0"/>
                                  <w:marTop w:val="0"/>
                                  <w:marBottom w:val="0"/>
                                  <w:divBdr>
                                    <w:top w:val="none" w:sz="0" w:space="0" w:color="auto"/>
                                    <w:left w:val="none" w:sz="0" w:space="0" w:color="auto"/>
                                    <w:bottom w:val="none" w:sz="0" w:space="0" w:color="auto"/>
                                    <w:right w:val="none" w:sz="0" w:space="0" w:color="auto"/>
                                  </w:divBdr>
                                  <w:divsChild>
                                    <w:div w:id="1521581029">
                                      <w:marLeft w:val="0"/>
                                      <w:marRight w:val="0"/>
                                      <w:marTop w:val="0"/>
                                      <w:marBottom w:val="0"/>
                                      <w:divBdr>
                                        <w:top w:val="none" w:sz="0" w:space="0" w:color="auto"/>
                                        <w:left w:val="none" w:sz="0" w:space="0" w:color="auto"/>
                                        <w:bottom w:val="none" w:sz="0" w:space="0" w:color="auto"/>
                                        <w:right w:val="none" w:sz="0" w:space="0" w:color="auto"/>
                                      </w:divBdr>
                                      <w:divsChild>
                                        <w:div w:id="10843045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11067725">
          <w:marLeft w:val="0"/>
          <w:marRight w:val="0"/>
          <w:marTop w:val="0"/>
          <w:marBottom w:val="0"/>
          <w:divBdr>
            <w:top w:val="none" w:sz="0" w:space="0" w:color="auto"/>
            <w:left w:val="none" w:sz="0" w:space="0" w:color="auto"/>
            <w:bottom w:val="none" w:sz="0" w:space="0" w:color="auto"/>
            <w:right w:val="none" w:sz="0" w:space="0" w:color="auto"/>
          </w:divBdr>
          <w:divsChild>
            <w:div w:id="1218472425">
              <w:marLeft w:val="0"/>
              <w:marRight w:val="0"/>
              <w:marTop w:val="0"/>
              <w:marBottom w:val="0"/>
              <w:divBdr>
                <w:top w:val="none" w:sz="0" w:space="0" w:color="auto"/>
                <w:left w:val="none" w:sz="0" w:space="0" w:color="auto"/>
                <w:bottom w:val="none" w:sz="0" w:space="0" w:color="auto"/>
                <w:right w:val="none" w:sz="0" w:space="0" w:color="auto"/>
              </w:divBdr>
              <w:divsChild>
                <w:div w:id="1053039997">
                  <w:marLeft w:val="0"/>
                  <w:marRight w:val="0"/>
                  <w:marTop w:val="0"/>
                  <w:marBottom w:val="0"/>
                  <w:divBdr>
                    <w:top w:val="none" w:sz="0" w:space="0" w:color="auto"/>
                    <w:left w:val="none" w:sz="0" w:space="0" w:color="auto"/>
                    <w:bottom w:val="none" w:sz="0" w:space="0" w:color="auto"/>
                    <w:right w:val="none" w:sz="0" w:space="0" w:color="auto"/>
                  </w:divBdr>
                  <w:divsChild>
                    <w:div w:id="2044288615">
                      <w:marLeft w:val="0"/>
                      <w:marRight w:val="0"/>
                      <w:marTop w:val="0"/>
                      <w:marBottom w:val="0"/>
                      <w:divBdr>
                        <w:top w:val="none" w:sz="0" w:space="0" w:color="auto"/>
                        <w:left w:val="none" w:sz="0" w:space="0" w:color="auto"/>
                        <w:bottom w:val="none" w:sz="0" w:space="0" w:color="auto"/>
                        <w:right w:val="none" w:sz="0" w:space="0" w:color="auto"/>
                      </w:divBdr>
                      <w:divsChild>
                        <w:div w:id="939603721">
                          <w:marLeft w:val="0"/>
                          <w:marRight w:val="0"/>
                          <w:marTop w:val="0"/>
                          <w:marBottom w:val="0"/>
                          <w:divBdr>
                            <w:top w:val="none" w:sz="0" w:space="0" w:color="auto"/>
                            <w:left w:val="none" w:sz="0" w:space="0" w:color="auto"/>
                            <w:bottom w:val="none" w:sz="0" w:space="0" w:color="auto"/>
                            <w:right w:val="none" w:sz="0" w:space="0" w:color="auto"/>
                          </w:divBdr>
                          <w:divsChild>
                            <w:div w:id="1637640684">
                              <w:marLeft w:val="0"/>
                              <w:marRight w:val="0"/>
                              <w:marTop w:val="0"/>
                              <w:marBottom w:val="0"/>
                              <w:divBdr>
                                <w:top w:val="none" w:sz="0" w:space="0" w:color="auto"/>
                                <w:left w:val="none" w:sz="0" w:space="0" w:color="auto"/>
                                <w:bottom w:val="none" w:sz="0" w:space="0" w:color="auto"/>
                                <w:right w:val="none" w:sz="0" w:space="0" w:color="auto"/>
                              </w:divBdr>
                              <w:divsChild>
                                <w:div w:id="1580093134">
                                  <w:marLeft w:val="0"/>
                                  <w:marRight w:val="0"/>
                                  <w:marTop w:val="0"/>
                                  <w:marBottom w:val="0"/>
                                  <w:divBdr>
                                    <w:top w:val="none" w:sz="0" w:space="0" w:color="auto"/>
                                    <w:left w:val="none" w:sz="0" w:space="0" w:color="auto"/>
                                    <w:bottom w:val="none" w:sz="0" w:space="0" w:color="auto"/>
                                    <w:right w:val="none" w:sz="0" w:space="0" w:color="auto"/>
                                  </w:divBdr>
                                  <w:divsChild>
                                    <w:div w:id="19446119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34559896">
      <w:bodyDiv w:val="1"/>
      <w:marLeft w:val="0"/>
      <w:marRight w:val="0"/>
      <w:marTop w:val="0"/>
      <w:marBottom w:val="0"/>
      <w:divBdr>
        <w:top w:val="none" w:sz="0" w:space="0" w:color="auto"/>
        <w:left w:val="none" w:sz="0" w:space="0" w:color="auto"/>
        <w:bottom w:val="none" w:sz="0" w:space="0" w:color="auto"/>
        <w:right w:val="none" w:sz="0" w:space="0" w:color="auto"/>
      </w:divBdr>
    </w:div>
    <w:div w:id="1784684759">
      <w:bodyDiv w:val="1"/>
      <w:marLeft w:val="0"/>
      <w:marRight w:val="0"/>
      <w:marTop w:val="0"/>
      <w:marBottom w:val="0"/>
      <w:divBdr>
        <w:top w:val="none" w:sz="0" w:space="0" w:color="auto"/>
        <w:left w:val="none" w:sz="0" w:space="0" w:color="auto"/>
        <w:bottom w:val="none" w:sz="0" w:space="0" w:color="auto"/>
        <w:right w:val="none" w:sz="0" w:space="0" w:color="auto"/>
      </w:divBdr>
      <w:divsChild>
        <w:div w:id="1901790936">
          <w:marLeft w:val="0"/>
          <w:marRight w:val="0"/>
          <w:marTop w:val="0"/>
          <w:marBottom w:val="0"/>
          <w:divBdr>
            <w:top w:val="none" w:sz="0" w:space="0" w:color="auto"/>
            <w:left w:val="none" w:sz="0" w:space="0" w:color="auto"/>
            <w:bottom w:val="none" w:sz="0" w:space="0" w:color="auto"/>
            <w:right w:val="none" w:sz="0" w:space="0" w:color="auto"/>
          </w:divBdr>
          <w:divsChild>
            <w:div w:id="630861940">
              <w:marLeft w:val="0"/>
              <w:marRight w:val="0"/>
              <w:marTop w:val="0"/>
              <w:marBottom w:val="0"/>
              <w:divBdr>
                <w:top w:val="none" w:sz="0" w:space="0" w:color="auto"/>
                <w:left w:val="none" w:sz="0" w:space="0" w:color="auto"/>
                <w:bottom w:val="none" w:sz="0" w:space="0" w:color="auto"/>
                <w:right w:val="none" w:sz="0" w:space="0" w:color="auto"/>
              </w:divBdr>
              <w:divsChild>
                <w:div w:id="1199899699">
                  <w:marLeft w:val="0"/>
                  <w:marRight w:val="0"/>
                  <w:marTop w:val="0"/>
                  <w:marBottom w:val="0"/>
                  <w:divBdr>
                    <w:top w:val="none" w:sz="0" w:space="0" w:color="auto"/>
                    <w:left w:val="none" w:sz="0" w:space="0" w:color="auto"/>
                    <w:bottom w:val="none" w:sz="0" w:space="0" w:color="auto"/>
                    <w:right w:val="none" w:sz="0" w:space="0" w:color="auto"/>
                  </w:divBdr>
                  <w:divsChild>
                    <w:div w:id="365448860">
                      <w:marLeft w:val="0"/>
                      <w:marRight w:val="0"/>
                      <w:marTop w:val="0"/>
                      <w:marBottom w:val="0"/>
                      <w:divBdr>
                        <w:top w:val="none" w:sz="0" w:space="0" w:color="auto"/>
                        <w:left w:val="none" w:sz="0" w:space="0" w:color="auto"/>
                        <w:bottom w:val="none" w:sz="0" w:space="0" w:color="auto"/>
                        <w:right w:val="none" w:sz="0" w:space="0" w:color="auto"/>
                      </w:divBdr>
                      <w:divsChild>
                        <w:div w:id="1258052955">
                          <w:marLeft w:val="0"/>
                          <w:marRight w:val="0"/>
                          <w:marTop w:val="0"/>
                          <w:marBottom w:val="0"/>
                          <w:divBdr>
                            <w:top w:val="none" w:sz="0" w:space="0" w:color="auto"/>
                            <w:left w:val="none" w:sz="0" w:space="0" w:color="auto"/>
                            <w:bottom w:val="none" w:sz="0" w:space="0" w:color="auto"/>
                            <w:right w:val="none" w:sz="0" w:space="0" w:color="auto"/>
                          </w:divBdr>
                          <w:divsChild>
                            <w:div w:id="405569410">
                              <w:marLeft w:val="0"/>
                              <w:marRight w:val="0"/>
                              <w:marTop w:val="0"/>
                              <w:marBottom w:val="0"/>
                              <w:divBdr>
                                <w:top w:val="none" w:sz="0" w:space="0" w:color="auto"/>
                                <w:left w:val="none" w:sz="0" w:space="0" w:color="auto"/>
                                <w:bottom w:val="none" w:sz="0" w:space="0" w:color="auto"/>
                                <w:right w:val="none" w:sz="0" w:space="0" w:color="auto"/>
                              </w:divBdr>
                              <w:divsChild>
                                <w:div w:id="1886328327">
                                  <w:marLeft w:val="0"/>
                                  <w:marRight w:val="0"/>
                                  <w:marTop w:val="0"/>
                                  <w:marBottom w:val="0"/>
                                  <w:divBdr>
                                    <w:top w:val="none" w:sz="0" w:space="0" w:color="auto"/>
                                    <w:left w:val="none" w:sz="0" w:space="0" w:color="auto"/>
                                    <w:bottom w:val="none" w:sz="0" w:space="0" w:color="auto"/>
                                    <w:right w:val="none" w:sz="0" w:space="0" w:color="auto"/>
                                  </w:divBdr>
                                  <w:divsChild>
                                    <w:div w:id="4374850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94047833">
          <w:marLeft w:val="0"/>
          <w:marRight w:val="0"/>
          <w:marTop w:val="0"/>
          <w:marBottom w:val="0"/>
          <w:divBdr>
            <w:top w:val="none" w:sz="0" w:space="0" w:color="auto"/>
            <w:left w:val="none" w:sz="0" w:space="0" w:color="auto"/>
            <w:bottom w:val="none" w:sz="0" w:space="0" w:color="auto"/>
            <w:right w:val="none" w:sz="0" w:space="0" w:color="auto"/>
          </w:divBdr>
          <w:divsChild>
            <w:div w:id="386419136">
              <w:marLeft w:val="0"/>
              <w:marRight w:val="0"/>
              <w:marTop w:val="0"/>
              <w:marBottom w:val="0"/>
              <w:divBdr>
                <w:top w:val="none" w:sz="0" w:space="0" w:color="auto"/>
                <w:left w:val="none" w:sz="0" w:space="0" w:color="auto"/>
                <w:bottom w:val="none" w:sz="0" w:space="0" w:color="auto"/>
                <w:right w:val="none" w:sz="0" w:space="0" w:color="auto"/>
              </w:divBdr>
              <w:divsChild>
                <w:div w:id="1180435033">
                  <w:marLeft w:val="0"/>
                  <w:marRight w:val="0"/>
                  <w:marTop w:val="0"/>
                  <w:marBottom w:val="0"/>
                  <w:divBdr>
                    <w:top w:val="none" w:sz="0" w:space="0" w:color="auto"/>
                    <w:left w:val="none" w:sz="0" w:space="0" w:color="auto"/>
                    <w:bottom w:val="none" w:sz="0" w:space="0" w:color="auto"/>
                    <w:right w:val="none" w:sz="0" w:space="0" w:color="auto"/>
                  </w:divBdr>
                  <w:divsChild>
                    <w:div w:id="531767971">
                      <w:marLeft w:val="0"/>
                      <w:marRight w:val="0"/>
                      <w:marTop w:val="0"/>
                      <w:marBottom w:val="0"/>
                      <w:divBdr>
                        <w:top w:val="none" w:sz="0" w:space="0" w:color="auto"/>
                        <w:left w:val="none" w:sz="0" w:space="0" w:color="auto"/>
                        <w:bottom w:val="none" w:sz="0" w:space="0" w:color="auto"/>
                        <w:right w:val="none" w:sz="0" w:space="0" w:color="auto"/>
                      </w:divBdr>
                      <w:divsChild>
                        <w:div w:id="1641956731">
                          <w:marLeft w:val="0"/>
                          <w:marRight w:val="0"/>
                          <w:marTop w:val="0"/>
                          <w:marBottom w:val="0"/>
                          <w:divBdr>
                            <w:top w:val="none" w:sz="0" w:space="0" w:color="auto"/>
                            <w:left w:val="none" w:sz="0" w:space="0" w:color="auto"/>
                            <w:bottom w:val="none" w:sz="0" w:space="0" w:color="auto"/>
                            <w:right w:val="none" w:sz="0" w:space="0" w:color="auto"/>
                          </w:divBdr>
                          <w:divsChild>
                            <w:div w:id="2108115559">
                              <w:marLeft w:val="0"/>
                              <w:marRight w:val="0"/>
                              <w:marTop w:val="0"/>
                              <w:marBottom w:val="0"/>
                              <w:divBdr>
                                <w:top w:val="none" w:sz="0" w:space="0" w:color="auto"/>
                                <w:left w:val="none" w:sz="0" w:space="0" w:color="auto"/>
                                <w:bottom w:val="none" w:sz="0" w:space="0" w:color="auto"/>
                                <w:right w:val="none" w:sz="0" w:space="0" w:color="auto"/>
                              </w:divBdr>
                              <w:divsChild>
                                <w:div w:id="250550037">
                                  <w:marLeft w:val="0"/>
                                  <w:marRight w:val="0"/>
                                  <w:marTop w:val="0"/>
                                  <w:marBottom w:val="0"/>
                                  <w:divBdr>
                                    <w:top w:val="none" w:sz="0" w:space="0" w:color="auto"/>
                                    <w:left w:val="none" w:sz="0" w:space="0" w:color="auto"/>
                                    <w:bottom w:val="none" w:sz="0" w:space="0" w:color="auto"/>
                                    <w:right w:val="none" w:sz="0" w:space="0" w:color="auto"/>
                                  </w:divBdr>
                                  <w:divsChild>
                                    <w:div w:id="1286738001">
                                      <w:marLeft w:val="0"/>
                                      <w:marRight w:val="0"/>
                                      <w:marTop w:val="0"/>
                                      <w:marBottom w:val="0"/>
                                      <w:divBdr>
                                        <w:top w:val="none" w:sz="0" w:space="0" w:color="auto"/>
                                        <w:left w:val="none" w:sz="0" w:space="0" w:color="auto"/>
                                        <w:bottom w:val="none" w:sz="0" w:space="0" w:color="auto"/>
                                        <w:right w:val="none" w:sz="0" w:space="0" w:color="auto"/>
                                      </w:divBdr>
                                      <w:divsChild>
                                        <w:div w:id="270087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12782751">
          <w:marLeft w:val="0"/>
          <w:marRight w:val="0"/>
          <w:marTop w:val="0"/>
          <w:marBottom w:val="0"/>
          <w:divBdr>
            <w:top w:val="none" w:sz="0" w:space="0" w:color="auto"/>
            <w:left w:val="none" w:sz="0" w:space="0" w:color="auto"/>
            <w:bottom w:val="none" w:sz="0" w:space="0" w:color="auto"/>
            <w:right w:val="none" w:sz="0" w:space="0" w:color="auto"/>
          </w:divBdr>
          <w:divsChild>
            <w:div w:id="1576821899">
              <w:marLeft w:val="0"/>
              <w:marRight w:val="0"/>
              <w:marTop w:val="0"/>
              <w:marBottom w:val="0"/>
              <w:divBdr>
                <w:top w:val="none" w:sz="0" w:space="0" w:color="auto"/>
                <w:left w:val="none" w:sz="0" w:space="0" w:color="auto"/>
                <w:bottom w:val="none" w:sz="0" w:space="0" w:color="auto"/>
                <w:right w:val="none" w:sz="0" w:space="0" w:color="auto"/>
              </w:divBdr>
              <w:divsChild>
                <w:div w:id="1162937106">
                  <w:marLeft w:val="0"/>
                  <w:marRight w:val="0"/>
                  <w:marTop w:val="0"/>
                  <w:marBottom w:val="0"/>
                  <w:divBdr>
                    <w:top w:val="none" w:sz="0" w:space="0" w:color="auto"/>
                    <w:left w:val="none" w:sz="0" w:space="0" w:color="auto"/>
                    <w:bottom w:val="none" w:sz="0" w:space="0" w:color="auto"/>
                    <w:right w:val="none" w:sz="0" w:space="0" w:color="auto"/>
                  </w:divBdr>
                  <w:divsChild>
                    <w:div w:id="1981958968">
                      <w:marLeft w:val="0"/>
                      <w:marRight w:val="0"/>
                      <w:marTop w:val="0"/>
                      <w:marBottom w:val="0"/>
                      <w:divBdr>
                        <w:top w:val="none" w:sz="0" w:space="0" w:color="auto"/>
                        <w:left w:val="none" w:sz="0" w:space="0" w:color="auto"/>
                        <w:bottom w:val="none" w:sz="0" w:space="0" w:color="auto"/>
                        <w:right w:val="none" w:sz="0" w:space="0" w:color="auto"/>
                      </w:divBdr>
                      <w:divsChild>
                        <w:div w:id="760222514">
                          <w:marLeft w:val="0"/>
                          <w:marRight w:val="0"/>
                          <w:marTop w:val="0"/>
                          <w:marBottom w:val="0"/>
                          <w:divBdr>
                            <w:top w:val="none" w:sz="0" w:space="0" w:color="auto"/>
                            <w:left w:val="none" w:sz="0" w:space="0" w:color="auto"/>
                            <w:bottom w:val="none" w:sz="0" w:space="0" w:color="auto"/>
                            <w:right w:val="none" w:sz="0" w:space="0" w:color="auto"/>
                          </w:divBdr>
                          <w:divsChild>
                            <w:div w:id="118107624">
                              <w:marLeft w:val="0"/>
                              <w:marRight w:val="0"/>
                              <w:marTop w:val="0"/>
                              <w:marBottom w:val="0"/>
                              <w:divBdr>
                                <w:top w:val="none" w:sz="0" w:space="0" w:color="auto"/>
                                <w:left w:val="none" w:sz="0" w:space="0" w:color="auto"/>
                                <w:bottom w:val="none" w:sz="0" w:space="0" w:color="auto"/>
                                <w:right w:val="none" w:sz="0" w:space="0" w:color="auto"/>
                              </w:divBdr>
                              <w:divsChild>
                                <w:div w:id="369694385">
                                  <w:marLeft w:val="0"/>
                                  <w:marRight w:val="0"/>
                                  <w:marTop w:val="0"/>
                                  <w:marBottom w:val="0"/>
                                  <w:divBdr>
                                    <w:top w:val="none" w:sz="0" w:space="0" w:color="auto"/>
                                    <w:left w:val="none" w:sz="0" w:space="0" w:color="auto"/>
                                    <w:bottom w:val="none" w:sz="0" w:space="0" w:color="auto"/>
                                    <w:right w:val="none" w:sz="0" w:space="0" w:color="auto"/>
                                  </w:divBdr>
                                  <w:divsChild>
                                    <w:div w:id="4611886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08165222">
      <w:bodyDiv w:val="1"/>
      <w:marLeft w:val="0"/>
      <w:marRight w:val="0"/>
      <w:marTop w:val="0"/>
      <w:marBottom w:val="0"/>
      <w:divBdr>
        <w:top w:val="none" w:sz="0" w:space="0" w:color="auto"/>
        <w:left w:val="none" w:sz="0" w:space="0" w:color="auto"/>
        <w:bottom w:val="none" w:sz="0" w:space="0" w:color="auto"/>
        <w:right w:val="none" w:sz="0" w:space="0" w:color="auto"/>
      </w:divBdr>
    </w:div>
    <w:div w:id="1855071095">
      <w:bodyDiv w:val="1"/>
      <w:marLeft w:val="0"/>
      <w:marRight w:val="0"/>
      <w:marTop w:val="0"/>
      <w:marBottom w:val="0"/>
      <w:divBdr>
        <w:top w:val="none" w:sz="0" w:space="0" w:color="auto"/>
        <w:left w:val="none" w:sz="0" w:space="0" w:color="auto"/>
        <w:bottom w:val="none" w:sz="0" w:space="0" w:color="auto"/>
        <w:right w:val="none" w:sz="0" w:space="0" w:color="auto"/>
      </w:divBdr>
    </w:div>
    <w:div w:id="1940143511">
      <w:bodyDiv w:val="1"/>
      <w:marLeft w:val="0"/>
      <w:marRight w:val="0"/>
      <w:marTop w:val="0"/>
      <w:marBottom w:val="0"/>
      <w:divBdr>
        <w:top w:val="none" w:sz="0" w:space="0" w:color="auto"/>
        <w:left w:val="none" w:sz="0" w:space="0" w:color="auto"/>
        <w:bottom w:val="none" w:sz="0" w:space="0" w:color="auto"/>
        <w:right w:val="none" w:sz="0" w:space="0" w:color="auto"/>
      </w:divBdr>
    </w:div>
    <w:div w:id="1965884167">
      <w:bodyDiv w:val="1"/>
      <w:marLeft w:val="0"/>
      <w:marRight w:val="0"/>
      <w:marTop w:val="0"/>
      <w:marBottom w:val="0"/>
      <w:divBdr>
        <w:top w:val="none" w:sz="0" w:space="0" w:color="auto"/>
        <w:left w:val="none" w:sz="0" w:space="0" w:color="auto"/>
        <w:bottom w:val="none" w:sz="0" w:space="0" w:color="auto"/>
        <w:right w:val="none" w:sz="0" w:space="0" w:color="auto"/>
      </w:divBdr>
    </w:div>
    <w:div w:id="21325495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irthto5matters.org.uk/" TargetMode="External"/><Relationship Id="rId3" Type="http://schemas.openxmlformats.org/officeDocument/2006/relationships/settings" Target="settings.xml"/><Relationship Id="rId7" Type="http://schemas.openxmlformats.org/officeDocument/2006/relationships/hyperlink" Target="https://www.gov.uk/government/publications/early-years-foundation-stage-framework--2"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2325</TotalTime>
  <Pages>16</Pages>
  <Words>5414</Words>
  <Characters>30863</Characters>
  <Application>Microsoft Office Word</Application>
  <DocSecurity>0</DocSecurity>
  <Lines>257</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36205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Thomas (2312291)</dc:creator>
  <cp:keywords/>
  <dc:description/>
  <cp:lastModifiedBy>Rachel Thomas (2312291)</cp:lastModifiedBy>
  <cp:revision>8</cp:revision>
  <dcterms:created xsi:type="dcterms:W3CDTF">2025-06-13T16:35:00Z</dcterms:created>
  <dcterms:modified xsi:type="dcterms:W3CDTF">2025-06-22T19:21:00Z</dcterms:modified>
</cp:coreProperties>
</file>