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EAC14" w14:textId="77777777" w:rsidR="00A127AD" w:rsidRPr="009F52DB" w:rsidRDefault="00A127AD" w:rsidP="00A127AD">
      <w:r w:rsidRPr="009F52DB">
        <w:rPr>
          <w:noProof/>
        </w:rPr>
        <w:drawing>
          <wp:inline distT="0" distB="0" distL="0" distR="0" wp14:anchorId="51A6C0BB" wp14:editId="11C65651">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79C36C2" w14:textId="77777777" w:rsidR="00A127AD" w:rsidRPr="009F52DB" w:rsidRDefault="00A127AD" w:rsidP="00A127AD"/>
    <w:p w14:paraId="7EED92DB" w14:textId="77777777" w:rsidR="00A127AD" w:rsidRPr="009F52DB" w:rsidRDefault="00A127AD" w:rsidP="00A127AD"/>
    <w:p w14:paraId="7B27C85A" w14:textId="77777777" w:rsidR="00A127AD" w:rsidRPr="009F52DB" w:rsidRDefault="00A127AD" w:rsidP="00A127AD"/>
    <w:p w14:paraId="403E1B02" w14:textId="77777777" w:rsidR="00A127AD" w:rsidRPr="009F52DB" w:rsidRDefault="00A127AD" w:rsidP="00A127AD"/>
    <w:p w14:paraId="299EEE60" w14:textId="77777777" w:rsidR="00A127AD" w:rsidRPr="009F52DB" w:rsidRDefault="00A127AD" w:rsidP="00A127AD"/>
    <w:p w14:paraId="512B99C3" w14:textId="1D525525" w:rsidR="00A127AD" w:rsidRPr="009F52DB" w:rsidRDefault="00A127AD" w:rsidP="00A127AD">
      <w:pPr>
        <w:jc w:val="both"/>
        <w:rPr>
          <w:rFonts w:asciiTheme="minorBidi" w:hAnsiTheme="minorBidi"/>
          <w:sz w:val="28"/>
          <w:szCs w:val="28"/>
        </w:rPr>
      </w:pPr>
      <w:r w:rsidRPr="009F52DB">
        <w:rPr>
          <w:rFonts w:asciiTheme="minorBidi" w:hAnsiTheme="minorBidi"/>
          <w:sz w:val="28"/>
          <w:szCs w:val="28"/>
        </w:rPr>
        <w:t xml:space="preserve">Name: </w:t>
      </w:r>
      <w:proofErr w:type="spellStart"/>
      <w:r w:rsidR="006B2CF0">
        <w:rPr>
          <w:rFonts w:asciiTheme="minorBidi" w:hAnsiTheme="minorBidi"/>
          <w:sz w:val="28"/>
          <w:szCs w:val="28"/>
        </w:rPr>
        <w:t>Luzimayra</w:t>
      </w:r>
      <w:proofErr w:type="spellEnd"/>
      <w:r w:rsidR="006B2CF0">
        <w:rPr>
          <w:rFonts w:asciiTheme="minorBidi" w:hAnsiTheme="minorBidi"/>
          <w:sz w:val="28"/>
          <w:szCs w:val="28"/>
        </w:rPr>
        <w:t xml:space="preserve"> Neto</w:t>
      </w:r>
    </w:p>
    <w:p w14:paraId="10B6B339" w14:textId="7A10F155" w:rsidR="00A127AD" w:rsidRPr="009F52DB" w:rsidRDefault="00A127AD" w:rsidP="00A127AD">
      <w:pPr>
        <w:jc w:val="both"/>
        <w:rPr>
          <w:rFonts w:asciiTheme="minorBidi" w:hAnsiTheme="minorBidi"/>
          <w:sz w:val="28"/>
          <w:szCs w:val="28"/>
        </w:rPr>
      </w:pPr>
      <w:r w:rsidRPr="009F52DB">
        <w:rPr>
          <w:rFonts w:asciiTheme="minorBidi" w:hAnsiTheme="minorBidi"/>
          <w:sz w:val="28"/>
          <w:szCs w:val="28"/>
        </w:rPr>
        <w:t xml:space="preserve">Student ID: </w:t>
      </w:r>
      <w:r w:rsidR="006B2CF0">
        <w:rPr>
          <w:rFonts w:asciiTheme="minorBidi" w:hAnsiTheme="minorBidi"/>
          <w:sz w:val="28"/>
          <w:szCs w:val="28"/>
        </w:rPr>
        <w:t>25</w:t>
      </w:r>
      <w:r w:rsidR="00D04945">
        <w:rPr>
          <w:rFonts w:asciiTheme="minorBidi" w:hAnsiTheme="minorBidi"/>
          <w:sz w:val="28"/>
          <w:szCs w:val="28"/>
        </w:rPr>
        <w:t>1754</w:t>
      </w:r>
      <w:r w:rsidR="004E3F84">
        <w:rPr>
          <w:rFonts w:asciiTheme="minorBidi" w:hAnsiTheme="minorBidi"/>
          <w:sz w:val="28"/>
          <w:szCs w:val="28"/>
        </w:rPr>
        <w:t>3</w:t>
      </w:r>
    </w:p>
    <w:p w14:paraId="4C063BF7" w14:textId="77777777" w:rsidR="00A127AD" w:rsidRPr="009F52DB" w:rsidRDefault="00A127AD" w:rsidP="00A127AD">
      <w:pPr>
        <w:jc w:val="both"/>
        <w:rPr>
          <w:rFonts w:asciiTheme="minorBidi" w:hAnsiTheme="minorBidi"/>
          <w:sz w:val="28"/>
          <w:szCs w:val="28"/>
        </w:rPr>
      </w:pPr>
      <w:r w:rsidRPr="009F52DB">
        <w:rPr>
          <w:rFonts w:asciiTheme="minorBidi" w:hAnsiTheme="minorBidi"/>
          <w:sz w:val="28"/>
          <w:szCs w:val="28"/>
        </w:rPr>
        <w:t xml:space="preserve">Module Code: </w:t>
      </w:r>
    </w:p>
    <w:p w14:paraId="26375DA8" w14:textId="77777777" w:rsidR="00A127AD" w:rsidRPr="009F52DB" w:rsidRDefault="00A127AD" w:rsidP="00A127AD">
      <w:pPr>
        <w:jc w:val="both"/>
        <w:rPr>
          <w:rFonts w:asciiTheme="minorBidi" w:hAnsiTheme="minorBidi"/>
          <w:sz w:val="28"/>
          <w:szCs w:val="28"/>
        </w:rPr>
      </w:pPr>
      <w:r w:rsidRPr="009F52DB">
        <w:rPr>
          <w:rFonts w:asciiTheme="minorBidi" w:hAnsiTheme="minorBidi"/>
          <w:sz w:val="28"/>
          <w:szCs w:val="28"/>
        </w:rPr>
        <w:t xml:space="preserve">Module: </w:t>
      </w:r>
    </w:p>
    <w:p w14:paraId="3510B13A" w14:textId="77777777" w:rsidR="00A127AD" w:rsidRPr="009F52DB" w:rsidRDefault="00A127AD" w:rsidP="00A127AD">
      <w:pPr>
        <w:jc w:val="both"/>
        <w:rPr>
          <w:rFonts w:asciiTheme="minorBidi" w:hAnsiTheme="minorBidi"/>
          <w:sz w:val="28"/>
          <w:szCs w:val="28"/>
        </w:rPr>
      </w:pPr>
      <w:r w:rsidRPr="009F52DB">
        <w:rPr>
          <w:rFonts w:asciiTheme="minorBidi" w:hAnsiTheme="minorBidi"/>
          <w:sz w:val="28"/>
          <w:szCs w:val="28"/>
        </w:rPr>
        <w:t xml:space="preserve">Lecturer: </w:t>
      </w:r>
    </w:p>
    <w:p w14:paraId="5C6BC494" w14:textId="77777777" w:rsidR="00A127AD" w:rsidRPr="009F52DB" w:rsidRDefault="00A127AD" w:rsidP="00A127AD">
      <w:pPr>
        <w:jc w:val="both"/>
        <w:rPr>
          <w:rFonts w:asciiTheme="minorBidi" w:hAnsiTheme="minorBidi"/>
          <w:sz w:val="28"/>
          <w:szCs w:val="28"/>
        </w:rPr>
      </w:pPr>
    </w:p>
    <w:p w14:paraId="2D6138AF" w14:textId="77777777" w:rsidR="00A127AD" w:rsidRPr="009F52DB" w:rsidRDefault="00A127AD" w:rsidP="00A127AD">
      <w:pPr>
        <w:jc w:val="both"/>
        <w:rPr>
          <w:rFonts w:asciiTheme="minorBidi" w:hAnsiTheme="minorBidi"/>
          <w:sz w:val="28"/>
          <w:szCs w:val="28"/>
        </w:rPr>
      </w:pPr>
    </w:p>
    <w:p w14:paraId="05C86007" w14:textId="77777777" w:rsidR="00A127AD" w:rsidRPr="009F52DB" w:rsidRDefault="00A127AD" w:rsidP="00A127AD">
      <w:pPr>
        <w:jc w:val="both"/>
        <w:rPr>
          <w:rFonts w:asciiTheme="minorBidi" w:hAnsiTheme="minorBidi"/>
          <w:sz w:val="28"/>
          <w:szCs w:val="28"/>
        </w:rPr>
      </w:pPr>
    </w:p>
    <w:p w14:paraId="7318A6D6" w14:textId="77777777" w:rsidR="00A127AD" w:rsidRPr="009F52DB" w:rsidRDefault="00A127AD" w:rsidP="00A127AD">
      <w:pPr>
        <w:jc w:val="both"/>
        <w:rPr>
          <w:rFonts w:asciiTheme="minorBidi" w:hAnsiTheme="minorBidi"/>
          <w:sz w:val="28"/>
          <w:szCs w:val="28"/>
        </w:rPr>
      </w:pPr>
    </w:p>
    <w:p w14:paraId="13C545B9" w14:textId="77777777" w:rsidR="00A127AD" w:rsidRPr="009F52DB" w:rsidRDefault="00A127AD" w:rsidP="00A127AD">
      <w:pPr>
        <w:jc w:val="both"/>
        <w:rPr>
          <w:rFonts w:asciiTheme="minorBidi" w:hAnsiTheme="minorBidi"/>
          <w:sz w:val="28"/>
          <w:szCs w:val="28"/>
        </w:rPr>
      </w:pPr>
    </w:p>
    <w:p w14:paraId="121085EE" w14:textId="77777777" w:rsidR="00A127AD" w:rsidRPr="009F52DB" w:rsidRDefault="00A127AD" w:rsidP="00A127AD">
      <w:pPr>
        <w:jc w:val="both"/>
        <w:rPr>
          <w:rFonts w:asciiTheme="minorBidi" w:hAnsiTheme="minorBidi"/>
          <w:sz w:val="28"/>
          <w:szCs w:val="28"/>
        </w:rPr>
      </w:pPr>
    </w:p>
    <w:p w14:paraId="1EEEA606" w14:textId="77777777" w:rsidR="00A127AD" w:rsidRPr="009F52DB" w:rsidRDefault="00A127AD" w:rsidP="00A127AD">
      <w:pPr>
        <w:jc w:val="both"/>
        <w:rPr>
          <w:rFonts w:asciiTheme="minorBidi" w:hAnsiTheme="minorBidi"/>
          <w:sz w:val="28"/>
          <w:szCs w:val="28"/>
        </w:rPr>
      </w:pPr>
    </w:p>
    <w:p w14:paraId="4463EE40" w14:textId="77777777" w:rsidR="00A127AD" w:rsidRPr="009F52DB" w:rsidRDefault="00A127AD" w:rsidP="00A127AD">
      <w:pPr>
        <w:jc w:val="both"/>
        <w:rPr>
          <w:rFonts w:asciiTheme="minorBidi" w:hAnsiTheme="minorBidi"/>
          <w:sz w:val="28"/>
          <w:szCs w:val="28"/>
        </w:rPr>
      </w:pPr>
      <w:r w:rsidRPr="009F52DB">
        <w:rPr>
          <w:rFonts w:asciiTheme="minorBidi" w:hAnsiTheme="minorBidi"/>
          <w:sz w:val="28"/>
          <w:szCs w:val="28"/>
        </w:rPr>
        <w:tab/>
      </w:r>
      <w:r w:rsidRPr="009F52DB">
        <w:rPr>
          <w:rFonts w:asciiTheme="minorBidi" w:hAnsiTheme="minorBidi"/>
          <w:sz w:val="28"/>
          <w:szCs w:val="28"/>
        </w:rPr>
        <w:tab/>
      </w:r>
      <w:r w:rsidRPr="009F52DB">
        <w:rPr>
          <w:rFonts w:asciiTheme="minorBidi" w:hAnsiTheme="minorBidi"/>
          <w:sz w:val="28"/>
          <w:szCs w:val="28"/>
        </w:rPr>
        <w:tab/>
      </w:r>
      <w:r w:rsidRPr="009F52DB">
        <w:rPr>
          <w:rFonts w:asciiTheme="minorBidi" w:hAnsiTheme="minorBidi"/>
          <w:sz w:val="28"/>
          <w:szCs w:val="28"/>
        </w:rPr>
        <w:tab/>
        <w:t xml:space="preserve">Submitted on:    </w:t>
      </w:r>
    </w:p>
    <w:p w14:paraId="48B7DE52" w14:textId="77777777" w:rsidR="00A127AD" w:rsidRPr="009F52DB" w:rsidRDefault="00A127AD" w:rsidP="00A127AD">
      <w:pPr>
        <w:jc w:val="both"/>
        <w:rPr>
          <w:rFonts w:asciiTheme="minorBidi" w:hAnsiTheme="minorBidi"/>
          <w:sz w:val="28"/>
          <w:szCs w:val="28"/>
        </w:rPr>
      </w:pPr>
    </w:p>
    <w:p w14:paraId="50D8DE28" w14:textId="77777777" w:rsidR="00A127AD" w:rsidRPr="009F52DB" w:rsidRDefault="00A127AD" w:rsidP="00A127AD">
      <w:pPr>
        <w:jc w:val="both"/>
        <w:rPr>
          <w:rFonts w:asciiTheme="minorBidi" w:hAnsiTheme="minorBidi"/>
          <w:sz w:val="28"/>
          <w:szCs w:val="28"/>
        </w:rPr>
      </w:pPr>
    </w:p>
    <w:p w14:paraId="2ACF93BA" w14:textId="77777777" w:rsidR="00A127AD" w:rsidRPr="009F52DB" w:rsidRDefault="00A127AD" w:rsidP="00A127AD">
      <w:pPr>
        <w:jc w:val="both"/>
        <w:rPr>
          <w:rFonts w:asciiTheme="minorBidi" w:hAnsiTheme="minorBidi"/>
          <w:sz w:val="28"/>
          <w:szCs w:val="28"/>
        </w:rPr>
      </w:pPr>
    </w:p>
    <w:p w14:paraId="78630F53" w14:textId="77777777" w:rsidR="00A127AD" w:rsidRPr="009F52DB" w:rsidRDefault="00A127AD" w:rsidP="00A127AD">
      <w:pPr>
        <w:jc w:val="both"/>
        <w:rPr>
          <w:rFonts w:asciiTheme="minorBidi" w:hAnsiTheme="minorBidi"/>
          <w:sz w:val="28"/>
          <w:szCs w:val="28"/>
        </w:rPr>
      </w:pPr>
    </w:p>
    <w:p w14:paraId="0B4FCB4E" w14:textId="77777777" w:rsidR="00A127AD" w:rsidRPr="009F52DB" w:rsidRDefault="00A127AD" w:rsidP="00A127AD">
      <w:pPr>
        <w:jc w:val="both"/>
        <w:rPr>
          <w:rFonts w:asciiTheme="minorBidi" w:hAnsiTheme="minorBidi"/>
          <w:sz w:val="28"/>
          <w:szCs w:val="28"/>
        </w:rPr>
      </w:pPr>
    </w:p>
    <w:p w14:paraId="0F373566" w14:textId="77777777" w:rsidR="00A127AD" w:rsidRPr="009F52DB" w:rsidRDefault="00A127AD" w:rsidP="00A127AD">
      <w:pPr>
        <w:jc w:val="both"/>
        <w:rPr>
          <w:rFonts w:asciiTheme="minorBidi" w:hAnsiTheme="minorBidi"/>
          <w:sz w:val="28"/>
          <w:szCs w:val="28"/>
        </w:rPr>
      </w:pPr>
    </w:p>
    <w:p w14:paraId="0093EA25" w14:textId="51D61C82" w:rsidR="00A127AD" w:rsidRPr="009F52DB" w:rsidRDefault="00A127AD" w:rsidP="00A127AD">
      <w:pPr>
        <w:pStyle w:val="TOC2"/>
        <w:tabs>
          <w:tab w:val="right" w:leader="dot" w:pos="9015"/>
        </w:tabs>
        <w:rPr>
          <w:rStyle w:val="Hyperlink"/>
          <w:color w:val="auto"/>
        </w:rPr>
      </w:pPr>
    </w:p>
    <w:p w14:paraId="458A3BAC" w14:textId="77777777" w:rsidR="00A127AD" w:rsidRPr="009F52DB" w:rsidRDefault="00A127AD" w:rsidP="00A127AD"/>
    <w:p w14:paraId="63201218" w14:textId="77777777" w:rsidR="00A127AD" w:rsidRPr="009F52DB" w:rsidRDefault="00A127AD" w:rsidP="00A127AD">
      <w:pPr>
        <w:jc w:val="both"/>
        <w:rPr>
          <w:rFonts w:asciiTheme="minorBidi" w:hAnsiTheme="minorBidi"/>
          <w:b/>
          <w:bCs/>
          <w:sz w:val="28"/>
          <w:szCs w:val="28"/>
        </w:rPr>
      </w:pPr>
    </w:p>
    <w:p w14:paraId="60631B80" w14:textId="77777777" w:rsidR="00A127AD" w:rsidRPr="009F52DB" w:rsidRDefault="00A127AD" w:rsidP="00A127AD">
      <w:pPr>
        <w:jc w:val="both"/>
        <w:rPr>
          <w:rFonts w:asciiTheme="minorBidi" w:hAnsiTheme="minorBidi"/>
          <w:b/>
          <w:bCs/>
          <w:sz w:val="28"/>
          <w:szCs w:val="28"/>
        </w:rPr>
      </w:pPr>
    </w:p>
    <w:p w14:paraId="5522F635" w14:textId="77777777" w:rsidR="00A127AD" w:rsidRPr="009F52DB" w:rsidRDefault="00A127AD" w:rsidP="00A127AD">
      <w:pPr>
        <w:jc w:val="both"/>
        <w:rPr>
          <w:rFonts w:asciiTheme="minorBidi" w:hAnsiTheme="minorBidi"/>
          <w:b/>
          <w:bCs/>
          <w:sz w:val="28"/>
          <w:szCs w:val="28"/>
        </w:rPr>
      </w:pPr>
    </w:p>
    <w:p w14:paraId="394C40FF" w14:textId="77777777" w:rsidR="00A127AD" w:rsidRPr="009F52DB" w:rsidRDefault="00A127AD" w:rsidP="00A127AD">
      <w:pPr>
        <w:jc w:val="both"/>
        <w:rPr>
          <w:rFonts w:asciiTheme="minorBidi" w:hAnsiTheme="minorBidi"/>
          <w:b/>
          <w:bCs/>
          <w:sz w:val="28"/>
          <w:szCs w:val="28"/>
        </w:rPr>
      </w:pPr>
    </w:p>
    <w:p w14:paraId="3D664623" w14:textId="77777777" w:rsidR="00A127AD" w:rsidRPr="009F52DB" w:rsidRDefault="00A127AD" w:rsidP="00A127AD">
      <w:pPr>
        <w:jc w:val="both"/>
        <w:rPr>
          <w:rFonts w:asciiTheme="minorBidi" w:hAnsiTheme="minorBidi"/>
          <w:b/>
          <w:bCs/>
          <w:sz w:val="28"/>
          <w:szCs w:val="28"/>
        </w:rPr>
      </w:pPr>
    </w:p>
    <w:p w14:paraId="179D7BD8" w14:textId="77777777" w:rsidR="00A127AD" w:rsidRPr="009F52DB" w:rsidRDefault="00A127AD" w:rsidP="00A127AD">
      <w:pPr>
        <w:jc w:val="both"/>
        <w:rPr>
          <w:rFonts w:asciiTheme="minorBidi" w:hAnsiTheme="minorBidi"/>
          <w:b/>
          <w:bCs/>
          <w:sz w:val="28"/>
          <w:szCs w:val="28"/>
        </w:rPr>
      </w:pPr>
    </w:p>
    <w:p w14:paraId="0FA4B9C1" w14:textId="77777777" w:rsidR="00A127AD" w:rsidRPr="009F52DB" w:rsidRDefault="00A127AD" w:rsidP="00A127AD">
      <w:pPr>
        <w:jc w:val="both"/>
        <w:rPr>
          <w:rFonts w:asciiTheme="minorBidi" w:hAnsiTheme="minorBidi"/>
          <w:b/>
          <w:bCs/>
          <w:sz w:val="28"/>
          <w:szCs w:val="28"/>
        </w:rPr>
      </w:pPr>
    </w:p>
    <w:p w14:paraId="3D76E200" w14:textId="77777777" w:rsidR="00A127AD" w:rsidRPr="009F52DB" w:rsidRDefault="00A127AD" w:rsidP="00A127AD">
      <w:pPr>
        <w:jc w:val="both"/>
        <w:rPr>
          <w:rFonts w:asciiTheme="minorBidi" w:hAnsiTheme="minorBidi"/>
          <w:b/>
          <w:bCs/>
          <w:sz w:val="28"/>
          <w:szCs w:val="28"/>
        </w:rPr>
      </w:pPr>
    </w:p>
    <w:p w14:paraId="14C8FF62" w14:textId="77777777" w:rsidR="00A127AD" w:rsidRPr="009F52DB" w:rsidRDefault="00A127AD" w:rsidP="00A127AD">
      <w:pPr>
        <w:jc w:val="both"/>
        <w:rPr>
          <w:rFonts w:asciiTheme="minorBidi" w:hAnsiTheme="minorBidi"/>
          <w:b/>
          <w:bCs/>
          <w:sz w:val="28"/>
          <w:szCs w:val="28"/>
        </w:rPr>
      </w:pPr>
    </w:p>
    <w:p w14:paraId="7DF9FCDC" w14:textId="77777777" w:rsidR="00A127AD" w:rsidRPr="009F52DB" w:rsidRDefault="00A127AD" w:rsidP="00A127AD"/>
    <w:p w14:paraId="7A666ED7" w14:textId="77777777" w:rsidR="00A127AD" w:rsidRPr="009F52DB" w:rsidRDefault="00A127AD" w:rsidP="00A127AD">
      <w:pPr>
        <w:rPr>
          <w:b/>
          <w:bCs/>
          <w:sz w:val="21"/>
          <w:szCs w:val="21"/>
        </w:rPr>
      </w:pPr>
      <w:r w:rsidRPr="009F52DB">
        <w:rPr>
          <w:b/>
          <w:bCs/>
          <w:sz w:val="21"/>
          <w:szCs w:val="21"/>
        </w:rPr>
        <w:br w:type="page"/>
      </w:r>
    </w:p>
    <w:p w14:paraId="6B9A76E2" w14:textId="0083043B" w:rsidR="009F52DB" w:rsidRPr="009F52DB" w:rsidRDefault="009F52DB" w:rsidP="009F52DB">
      <w:pPr>
        <w:pStyle w:val="Heading1"/>
      </w:pPr>
      <w:r w:rsidRPr="009F52DB">
        <w:t>1.Introduction</w:t>
      </w:r>
    </w:p>
    <w:p w14:paraId="1FCFA7C7" w14:textId="5F53191A" w:rsidR="009F52DB" w:rsidRPr="009F52DB" w:rsidRDefault="00196B3B" w:rsidP="009F52DB">
      <w:pPr>
        <w:spacing w:after="0"/>
        <w:jc w:val="both"/>
      </w:pPr>
      <w:r w:rsidRPr="00196B3B">
        <w:rPr>
          <w:rFonts w:ascii="Times New Roman" w:eastAsia="Times New Roman" w:hAnsi="Times New Roman" w:cs="Times New Roman"/>
          <w:sz w:val="24"/>
        </w:rPr>
        <w:t>The health and social care sector are premised on a collection of professionals who work together to provide a holistic, person-</w:t>
      </w:r>
      <w:proofErr w:type="spellStart"/>
      <w:r w:rsidRPr="00196B3B">
        <w:rPr>
          <w:rFonts w:ascii="Times New Roman" w:eastAsia="Times New Roman" w:hAnsi="Times New Roman" w:cs="Times New Roman"/>
          <w:sz w:val="24"/>
        </w:rPr>
        <w:t>centered</w:t>
      </w:r>
      <w:proofErr w:type="spellEnd"/>
      <w:r w:rsidRPr="00196B3B">
        <w:rPr>
          <w:rFonts w:ascii="Times New Roman" w:eastAsia="Times New Roman" w:hAnsi="Times New Roman" w:cs="Times New Roman"/>
          <w:sz w:val="24"/>
        </w:rPr>
        <w:t xml:space="preserve"> approach (Gov.uk, 2025). A critical, non-clinical aspect of such an integrated system is the Medical Social Worker, who helps address the psychosocial, emotional, and practical problems related to the illness and medical care. This report </w:t>
      </w:r>
      <w:proofErr w:type="spellStart"/>
      <w:r w:rsidRPr="00196B3B">
        <w:rPr>
          <w:rFonts w:ascii="Times New Roman" w:eastAsia="Times New Roman" w:hAnsi="Times New Roman" w:cs="Times New Roman"/>
          <w:sz w:val="24"/>
        </w:rPr>
        <w:t>analyzes</w:t>
      </w:r>
      <w:proofErr w:type="spellEnd"/>
      <w:r w:rsidRPr="00196B3B">
        <w:rPr>
          <w:rFonts w:ascii="Times New Roman" w:eastAsia="Times New Roman" w:hAnsi="Times New Roman" w:cs="Times New Roman"/>
          <w:sz w:val="24"/>
        </w:rPr>
        <w:t xml:space="preserve"> the Medical Social Worker position. It will begin by describing the targeted job duties and why they are applicable in medical practices. The report will then outline and define the three most significant skills that require practice and recommend evidence-based practices that can be specifically applied to improve them.</w:t>
      </w:r>
    </w:p>
    <w:p w14:paraId="7C643184" w14:textId="77777777" w:rsidR="009F52DB" w:rsidRPr="009F52DB" w:rsidRDefault="009F52DB" w:rsidP="009F52DB">
      <w:pPr>
        <w:pStyle w:val="Heading1"/>
      </w:pPr>
      <w:r w:rsidRPr="009F52DB">
        <w:t>2. Medical Social Worker in the Health and Social Care Field</w:t>
      </w:r>
    </w:p>
    <w:p w14:paraId="2ACC85F2" w14:textId="77777777" w:rsidR="009F52DB" w:rsidRPr="009F52DB" w:rsidRDefault="009F52DB" w:rsidP="00196B3B">
      <w:pPr>
        <w:pStyle w:val="Heading1"/>
      </w:pPr>
      <w:r w:rsidRPr="009F52DB">
        <w:t>2.1 Description of a Medical Social Worker in Health and Social Care</w:t>
      </w:r>
    </w:p>
    <w:p w14:paraId="1996397A" w14:textId="74BED574" w:rsidR="009F52DB" w:rsidRDefault="00196B3B" w:rsidP="00196B3B">
      <w:pPr>
        <w:spacing w:after="0"/>
        <w:rPr>
          <w:rFonts w:ascii="Times New Roman" w:eastAsia="Times New Roman" w:hAnsi="Times New Roman" w:cs="Times New Roman"/>
          <w:sz w:val="24"/>
        </w:rPr>
      </w:pPr>
      <w:r w:rsidRPr="00196B3B">
        <w:rPr>
          <w:rFonts w:ascii="Times New Roman" w:eastAsia="Times New Roman" w:hAnsi="Times New Roman" w:cs="Times New Roman"/>
          <w:sz w:val="24"/>
        </w:rPr>
        <w:t>The Medical Social Worker role is essential in delivering patient-centred care in the complicated healthcare environment. These practitioners serve as key mediators, connecting medical care with a patient’s broader psychosocial well-being (Mayo Clinic, n.d.). They are primarily in helping the patients and their families deal with the emotional, social, and financial stresses that come about with the illness, the disability, or hospitalisation. Some of the most important responsibilities include intake assessment to determine patients’ needs, psychosocial assessment, discharge planning, and crisis intervention and counselling (Keuka College, n.d.). Their cooperation with an interdisciplinary team comprising doctors, nurses, and therapists helps ensure that a patient’s non-medical needs are incorporated into a comprehensive care plan, thereby making the recovery process holistic and practical.</w:t>
      </w:r>
      <w:r w:rsidRPr="00196B3B">
        <w:rPr>
          <w:rFonts w:ascii="Times New Roman" w:eastAsia="Times New Roman" w:hAnsi="Times New Roman" w:cs="Times New Roman"/>
          <w:sz w:val="24"/>
        </w:rPr>
        <w:br/>
      </w:r>
      <w:r w:rsidRPr="00196B3B">
        <w:rPr>
          <w:rFonts w:ascii="Times New Roman" w:eastAsia="Times New Roman" w:hAnsi="Times New Roman" w:cs="Times New Roman"/>
          <w:sz w:val="24"/>
        </w:rPr>
        <w:br/>
        <w:t>To undertake these roles, a Medical Social Worker must possess a unique combination of skills. They assist patients in navigating the often-confusing healthcare system, connect them with necessary community resources, provide financial support, and connect them with support groups (Keuka College, n.d.). It takes not only extensive knowledge of the services available but also outstanding communication skills. The most important core competencies include communication, advocacy, and critical thinking (Franklin University, n.d.). These are skills that will help them earn the trust of vulnerable people, advocate effectively in patients’ interests, and design individualized care plans. Conclusively, the role of the Medical Social Worker in enhancing patient outcomes, patient satisfaction, and maintaining the core value of comprehensive and dignified care is crucial.</w:t>
      </w:r>
    </w:p>
    <w:p w14:paraId="724E1396" w14:textId="77777777" w:rsidR="009F52DB" w:rsidRPr="009F52DB" w:rsidRDefault="009F52DB" w:rsidP="009F52DB">
      <w:pPr>
        <w:spacing w:after="0"/>
        <w:jc w:val="both"/>
      </w:pPr>
    </w:p>
    <w:p w14:paraId="3327CC39" w14:textId="77777777" w:rsidR="009F52DB" w:rsidRPr="009F52DB" w:rsidRDefault="009F52DB" w:rsidP="009F52DB">
      <w:pPr>
        <w:pStyle w:val="Heading1"/>
      </w:pPr>
      <w:r w:rsidRPr="009F52DB">
        <w:t>2.2 Explanation of Most Significant Skills Needed for a Medical Social Worker in Health and Social Care</w:t>
      </w:r>
    </w:p>
    <w:p w14:paraId="69D5D08B" w14:textId="2E173D76" w:rsidR="009F52DB" w:rsidRPr="009F52DB" w:rsidRDefault="00893029" w:rsidP="00893029">
      <w:pPr>
        <w:spacing w:after="0"/>
      </w:pPr>
      <w:r w:rsidRPr="00893029">
        <w:rPr>
          <w:rFonts w:ascii="Times New Roman" w:eastAsia="Times New Roman" w:hAnsi="Times New Roman" w:cs="Times New Roman"/>
          <w:sz w:val="24"/>
        </w:rPr>
        <w:t xml:space="preserve">The most essential skill of a Medical Social Worker is </w:t>
      </w:r>
      <w:r w:rsidRPr="00303EE3">
        <w:rPr>
          <w:rFonts w:ascii="Times New Roman" w:eastAsia="Times New Roman" w:hAnsi="Times New Roman" w:cs="Times New Roman"/>
          <w:b/>
          <w:bCs/>
          <w:sz w:val="24"/>
        </w:rPr>
        <w:t>effective communication</w:t>
      </w:r>
      <w:r w:rsidRPr="00893029">
        <w:rPr>
          <w:rFonts w:ascii="Times New Roman" w:eastAsia="Times New Roman" w:hAnsi="Times New Roman" w:cs="Times New Roman"/>
          <w:sz w:val="24"/>
        </w:rPr>
        <w:t>, since it is the cornerstone of all their functions. This skill goes beyond mere talking to include effective listening, empathy, and verbal skills that help decode complex medical terms into understandable forms that patients and their families can comprehend (Socialwork.buffalo.edu, n.d.). A social worker must speak in clear language to a wide range of people, including patients and distraught relatives, as well as to professional staff, such as physicians and nurses. To use the example, a Medical Social worker, through active listening to understand the issues underlying the family’s response to a new dementia diagnosis, can communicate, in a more compassionate tone, the services available to them, including respite care and local support groups. This relationship-building skill and the need to ensure that both sides understand each other are the foundation for building trust, which is the key to successful care coordination and therapeutic relationships (Keuka College, n.d.).</w:t>
      </w:r>
      <w:r w:rsidRPr="00893029">
        <w:rPr>
          <w:rFonts w:ascii="Times New Roman" w:eastAsia="Times New Roman" w:hAnsi="Times New Roman" w:cs="Times New Roman"/>
          <w:sz w:val="24"/>
        </w:rPr>
        <w:br/>
      </w:r>
      <w:r w:rsidRPr="00893029">
        <w:rPr>
          <w:rFonts w:ascii="Times New Roman" w:eastAsia="Times New Roman" w:hAnsi="Times New Roman" w:cs="Times New Roman"/>
          <w:sz w:val="24"/>
        </w:rPr>
        <w:br/>
        <w:t xml:space="preserve">Another pillar of the profession of the Medical Social Worker is </w:t>
      </w:r>
      <w:r w:rsidRPr="00303EE3">
        <w:rPr>
          <w:rFonts w:ascii="Times New Roman" w:eastAsia="Times New Roman" w:hAnsi="Times New Roman" w:cs="Times New Roman"/>
          <w:b/>
          <w:bCs/>
          <w:sz w:val="24"/>
        </w:rPr>
        <w:t>advocacy</w:t>
      </w:r>
      <w:r w:rsidRPr="00893029">
        <w:rPr>
          <w:rFonts w:ascii="Times New Roman" w:eastAsia="Times New Roman" w:hAnsi="Times New Roman" w:cs="Times New Roman"/>
          <w:sz w:val="24"/>
        </w:rPr>
        <w:t>, which empowers patients and defends their rights in a complex healthcare system. Social workers introduce a voice for people, especially those who are unsophisticated or are unable to protect themselves, as their needs, values, and preferences are addressed by the medical team (Socialwork.buffalo.edu, n.d.). It can include bargaining with service providers, demurring insurance decisions, or contesting early discharge plans. An example of this is that a social worker can protect an elderly patient who thinks they are leaving the hospital too early by appealing the decision officially and working with a home health agency to arrange a safe transfer home (Keuka College, n.d.). By doing so, advocacy will make the patient’s holistic well-being the core concern of care.</w:t>
      </w:r>
      <w:r w:rsidRPr="00893029">
        <w:rPr>
          <w:rFonts w:ascii="Times New Roman" w:eastAsia="Times New Roman" w:hAnsi="Times New Roman" w:cs="Times New Roman"/>
          <w:sz w:val="24"/>
        </w:rPr>
        <w:br/>
      </w:r>
      <w:r w:rsidRPr="00893029">
        <w:rPr>
          <w:rFonts w:ascii="Times New Roman" w:eastAsia="Times New Roman" w:hAnsi="Times New Roman" w:cs="Times New Roman"/>
          <w:sz w:val="24"/>
        </w:rPr>
        <w:br/>
        <w:t xml:space="preserve">This is because </w:t>
      </w:r>
      <w:r w:rsidRPr="00303EE3">
        <w:rPr>
          <w:rFonts w:ascii="Times New Roman" w:eastAsia="Times New Roman" w:hAnsi="Times New Roman" w:cs="Times New Roman"/>
          <w:b/>
          <w:bCs/>
          <w:sz w:val="24"/>
        </w:rPr>
        <w:t>critical thinking</w:t>
      </w:r>
      <w:r w:rsidRPr="00893029">
        <w:rPr>
          <w:rFonts w:ascii="Times New Roman" w:eastAsia="Times New Roman" w:hAnsi="Times New Roman" w:cs="Times New Roman"/>
          <w:sz w:val="24"/>
        </w:rPr>
        <w:t xml:space="preserve"> helps a Medical Social Worker remain objective in approaching complex cases, identify underlying problems, and create effective, evidence-based intervention plans. This is an ability that entails collecting and interpreting information from sources such as interviews, observations, and medical records, without individual bias, to make informed decisions (Socialwork.buffalo.edu, n.d.). Cases in social work are seldom as simple as they might encompass related problems like a psychological malfunction, drugs, poverty, and family feud. A social worker should be able to think critically to differentiate root causes and symptoms. For example, a social worker who is trying to identify barriers to non-compliance beyond mere patient non-attendance may think critically, investigate possible barriers, including insufficient transport, financial limitations, fear, and misperceptions of the patient’s condition, and then design a specific support strategy upon recognizing the patient.</w:t>
      </w:r>
      <w:r w:rsidRPr="00893029">
        <w:rPr>
          <w:rFonts w:ascii="Times New Roman" w:eastAsia="Times New Roman" w:hAnsi="Times New Roman" w:cs="Times New Roman"/>
          <w:sz w:val="24"/>
        </w:rPr>
        <w:br/>
      </w:r>
      <w:r w:rsidRPr="00893029">
        <w:rPr>
          <w:rFonts w:ascii="Times New Roman" w:eastAsia="Times New Roman" w:hAnsi="Times New Roman" w:cs="Times New Roman"/>
          <w:sz w:val="24"/>
        </w:rPr>
        <w:br/>
        <w:t xml:space="preserve">A lack of those </w:t>
      </w:r>
      <w:r w:rsidRPr="00303EE3">
        <w:rPr>
          <w:rFonts w:ascii="Times New Roman" w:eastAsia="Times New Roman" w:hAnsi="Times New Roman" w:cs="Times New Roman"/>
          <w:b/>
          <w:bCs/>
          <w:sz w:val="24"/>
        </w:rPr>
        <w:t>necessary skills</w:t>
      </w:r>
      <w:r w:rsidRPr="00893029">
        <w:rPr>
          <w:rFonts w:ascii="Times New Roman" w:eastAsia="Times New Roman" w:hAnsi="Times New Roman" w:cs="Times New Roman"/>
          <w:sz w:val="24"/>
        </w:rPr>
        <w:t xml:space="preserve"> among healthcare professionals can have serious consequences for patient care. Communication breakdown can lead to misunderstandings in treatment, medication errors, and a breakdown in trust between the patient and medical staff. In the absence of powerful advocacy, vulnerable patients might be discharged too soon, receive insufficient care, or have their rights ignored, resulting in poor health outcomes and higher hospital readmission rates (Keuka College, n.d.). Failure to critically </w:t>
      </w:r>
      <w:proofErr w:type="spellStart"/>
      <w:r w:rsidRPr="00893029">
        <w:rPr>
          <w:rFonts w:ascii="Times New Roman" w:eastAsia="Times New Roman" w:hAnsi="Times New Roman" w:cs="Times New Roman"/>
          <w:sz w:val="24"/>
        </w:rPr>
        <w:t>analyze</w:t>
      </w:r>
      <w:proofErr w:type="spellEnd"/>
      <w:r w:rsidRPr="00893029">
        <w:rPr>
          <w:rFonts w:ascii="Times New Roman" w:eastAsia="Times New Roman" w:hAnsi="Times New Roman" w:cs="Times New Roman"/>
          <w:sz w:val="24"/>
        </w:rPr>
        <w:t xml:space="preserve"> the situation may lead to incorrect judgments about a client, resulting in ineffective or harmful interventions. An example is a failure to diagnose underlying domestic abuse as the source of the patient’s anxiety, which may result in an inappropriate planning of actions, which will not address the root of the safety problem and will put the patient in more danger.</w:t>
      </w:r>
    </w:p>
    <w:p w14:paraId="4AAE5FE7" w14:textId="77777777" w:rsidR="009F52DB" w:rsidRPr="009F52DB" w:rsidRDefault="009F52DB" w:rsidP="009F52DB">
      <w:pPr>
        <w:pStyle w:val="Heading1"/>
      </w:pPr>
      <w:r w:rsidRPr="009F52DB">
        <w:t>3. Strategies for Skill Improvement for a Medical Social Worker</w:t>
      </w:r>
    </w:p>
    <w:p w14:paraId="1EA200FA" w14:textId="77777777" w:rsidR="009F52DB" w:rsidRPr="009F52DB" w:rsidRDefault="009F52DB" w:rsidP="007C5C2B">
      <w:pPr>
        <w:pStyle w:val="Heading1"/>
      </w:pPr>
      <w:r w:rsidRPr="009F52DB">
        <w:t>3.1 Three Strategies to Improve the Skills for a Medical Social Worker</w:t>
      </w:r>
    </w:p>
    <w:p w14:paraId="52E2B238" w14:textId="42327540" w:rsidR="009F52DB" w:rsidRPr="009F52DB" w:rsidRDefault="0038728C" w:rsidP="000E5989">
      <w:pPr>
        <w:spacing w:after="0"/>
      </w:pPr>
      <w:r w:rsidRPr="0038728C">
        <w:rPr>
          <w:rFonts w:ascii="Times New Roman" w:eastAsia="Times New Roman" w:hAnsi="Times New Roman" w:cs="Times New Roman"/>
          <w:sz w:val="24"/>
        </w:rPr>
        <w:t>Simulation-based training (SBT) with standardized patients is an evidence-based practice that can equip medical social workers with communication skills in a safe, controlled setting, without the risk of harming patients (</w:t>
      </w:r>
      <w:proofErr w:type="spellStart"/>
      <w:r w:rsidRPr="0038728C">
        <w:rPr>
          <w:rFonts w:ascii="Times New Roman" w:eastAsia="Times New Roman" w:hAnsi="Times New Roman" w:cs="Times New Roman"/>
          <w:sz w:val="24"/>
        </w:rPr>
        <w:t>Elendu</w:t>
      </w:r>
      <w:proofErr w:type="spellEnd"/>
      <w:r w:rsidRPr="0038728C">
        <w:rPr>
          <w:rFonts w:ascii="Times New Roman" w:eastAsia="Times New Roman" w:hAnsi="Times New Roman" w:cs="Times New Roman"/>
          <w:sz w:val="24"/>
        </w:rPr>
        <w:t xml:space="preserve">, Amaechi, and </w:t>
      </w:r>
      <w:proofErr w:type="spellStart"/>
      <w:r w:rsidRPr="0038728C">
        <w:rPr>
          <w:rFonts w:ascii="Times New Roman" w:eastAsia="Times New Roman" w:hAnsi="Times New Roman" w:cs="Times New Roman"/>
          <w:sz w:val="24"/>
        </w:rPr>
        <w:t>Okatta</w:t>
      </w:r>
      <w:proofErr w:type="spellEnd"/>
      <w:r w:rsidRPr="0038728C">
        <w:rPr>
          <w:rFonts w:ascii="Times New Roman" w:eastAsia="Times New Roman" w:hAnsi="Times New Roman" w:cs="Times New Roman"/>
          <w:sz w:val="24"/>
        </w:rPr>
        <w:t>, 2024). The strategy enables the training on real-life scenarios, such as bad news delivery or crisis management, conversations with end-of-life actors, and timely guided feedback and structured debriefing on areas of strength and the opportunities to continue learning (</w:t>
      </w:r>
      <w:proofErr w:type="spellStart"/>
      <w:r w:rsidRPr="0038728C">
        <w:rPr>
          <w:rFonts w:ascii="Times New Roman" w:eastAsia="Times New Roman" w:hAnsi="Times New Roman" w:cs="Times New Roman"/>
          <w:sz w:val="24"/>
        </w:rPr>
        <w:t>Abulebda</w:t>
      </w:r>
      <w:proofErr w:type="spellEnd"/>
      <w:r w:rsidRPr="0038728C">
        <w:rPr>
          <w:rFonts w:ascii="Times New Roman" w:eastAsia="Times New Roman" w:hAnsi="Times New Roman" w:cs="Times New Roman"/>
          <w:sz w:val="24"/>
        </w:rPr>
        <w:t xml:space="preserve"> et al., 2022). It has been proven that SBT leads to enhanced learner confidence, more accurate diagnoses, and overall professional growth (</w:t>
      </w:r>
      <w:proofErr w:type="spellStart"/>
      <w:r w:rsidRPr="0038728C">
        <w:rPr>
          <w:rFonts w:ascii="Times New Roman" w:eastAsia="Times New Roman" w:hAnsi="Times New Roman" w:cs="Times New Roman"/>
          <w:sz w:val="24"/>
        </w:rPr>
        <w:t>Elendu</w:t>
      </w:r>
      <w:proofErr w:type="spellEnd"/>
      <w:r w:rsidRPr="0038728C">
        <w:rPr>
          <w:rFonts w:ascii="Times New Roman" w:eastAsia="Times New Roman" w:hAnsi="Times New Roman" w:cs="Times New Roman"/>
          <w:sz w:val="24"/>
        </w:rPr>
        <w:t xml:space="preserve">, Amaechi, and </w:t>
      </w:r>
      <w:proofErr w:type="spellStart"/>
      <w:r w:rsidRPr="0038728C">
        <w:rPr>
          <w:rFonts w:ascii="Times New Roman" w:eastAsia="Times New Roman" w:hAnsi="Times New Roman" w:cs="Times New Roman"/>
          <w:sz w:val="24"/>
        </w:rPr>
        <w:t>Okatta</w:t>
      </w:r>
      <w:proofErr w:type="spellEnd"/>
      <w:r w:rsidRPr="0038728C">
        <w:rPr>
          <w:rFonts w:ascii="Times New Roman" w:eastAsia="Times New Roman" w:hAnsi="Times New Roman" w:cs="Times New Roman"/>
          <w:sz w:val="24"/>
        </w:rPr>
        <w:t>, 2024).</w:t>
      </w:r>
      <w:r w:rsidRPr="0038728C">
        <w:rPr>
          <w:rFonts w:ascii="Times New Roman" w:eastAsia="Times New Roman" w:hAnsi="Times New Roman" w:cs="Times New Roman"/>
          <w:sz w:val="24"/>
        </w:rPr>
        <w:br/>
      </w:r>
      <w:r w:rsidRPr="0038728C">
        <w:rPr>
          <w:rFonts w:ascii="Times New Roman" w:eastAsia="Times New Roman" w:hAnsi="Times New Roman" w:cs="Times New Roman"/>
          <w:sz w:val="24"/>
        </w:rPr>
        <w:br/>
        <w:t>Mentorship initiatives involve assigning less experienced social workers to professional mentors as part of an intensive mentorship program to develop advocacy skills through knowledge sharing and guidance in advanced organizational and legal healthcare systems (Scandiffio et al., 2024). The mentors offer some viable tips on operations, such as negotiating with insurance companies, making clinical judgments, and coordinating multidisciplinary teams, including presenting cases to ethics committees. This mentoring benefits career development, socialization, turnover reduction, and professional identity, leading to improved advocacy performance (De Vries et al., 2023).</w:t>
      </w:r>
      <w:r w:rsidRPr="0038728C">
        <w:rPr>
          <w:rFonts w:ascii="Times New Roman" w:eastAsia="Times New Roman" w:hAnsi="Times New Roman" w:cs="Times New Roman"/>
          <w:sz w:val="24"/>
        </w:rPr>
        <w:br/>
      </w:r>
      <w:r w:rsidRPr="0038728C">
        <w:rPr>
          <w:rFonts w:ascii="Times New Roman" w:eastAsia="Times New Roman" w:hAnsi="Times New Roman" w:cs="Times New Roman"/>
          <w:sz w:val="24"/>
        </w:rPr>
        <w:br/>
        <w:t>Through continuous evidence-based practice (EBP) and peer review, critical thinking is developed through the integration of research evidence, clinical expertise, and client values (Yeh et al., 2025). To enable essential analysis of the research and its implementation in the actual case, with support from constructive peer input, activities such as journal clubs or case conferences facilitate peer discussion (Rosenthal et al., 2020). Such shared thinking will enhance long-term learning and promote degrees of analytical thinking in clinical decision-making.</w:t>
      </w:r>
    </w:p>
    <w:p w14:paraId="5DDBE8B5" w14:textId="77777777" w:rsidR="009F52DB" w:rsidRPr="009F52DB" w:rsidRDefault="009F52DB" w:rsidP="009F52DB">
      <w:pPr>
        <w:pStyle w:val="Heading1"/>
      </w:pPr>
      <w:r w:rsidRPr="009F52DB">
        <w:t>4. Conclusion</w:t>
      </w:r>
    </w:p>
    <w:p w14:paraId="587B43D7" w14:textId="704E8450" w:rsidR="009F52DB" w:rsidRPr="009F52DB" w:rsidRDefault="000E5989" w:rsidP="009F52DB">
      <w:pPr>
        <w:spacing w:after="0"/>
        <w:jc w:val="both"/>
      </w:pPr>
      <w:r w:rsidRPr="000E5989">
        <w:rPr>
          <w:rFonts w:ascii="Times New Roman" w:eastAsia="Times New Roman" w:hAnsi="Times New Roman" w:cs="Times New Roman"/>
          <w:sz w:val="24"/>
        </w:rPr>
        <w:t>The Medical Social Worker is a specialist that cannot be overlooked, and the care quality and holistic and safe service delivery depend on the quality of work performed by the professional. As it has been emphasized, the role is crucial towards addressing psychosocial needs of patients, considering that other tasks include assessment, care coordination and crisis intervention. The main competencies, which are communication, advocacy, and critical thinking, were defined as core to effective practice, and a lack of them is hazardous to patients. These key competencies can be continuously developed by applying specific enhancement measures, including simulation-based training, formal mentorship, adherence to the principles of evidence-based practice, and a desire to receive peer feedback, which will help keep medical personnel competent in addressing changing healthcare needs.</w:t>
      </w:r>
    </w:p>
    <w:p w14:paraId="0BE67204" w14:textId="77777777" w:rsidR="009F52DB" w:rsidRPr="009F52DB" w:rsidRDefault="009F52DB" w:rsidP="009F52DB">
      <w:pPr>
        <w:pStyle w:val="Heading1"/>
      </w:pPr>
      <w:r w:rsidRPr="009F52DB">
        <w:t>5. Reference List</w:t>
      </w:r>
    </w:p>
    <w:p w14:paraId="22B0ADF1" w14:textId="77777777" w:rsidR="009F52DB" w:rsidRPr="009F52DB" w:rsidRDefault="009F52DB" w:rsidP="009F52DB">
      <w:pPr>
        <w:pStyle w:val="ListBullet"/>
        <w:tabs>
          <w:tab w:val="num" w:pos="360"/>
        </w:tabs>
        <w:spacing w:after="20" w:line="240" w:lineRule="auto"/>
        <w:ind w:left="360" w:hanging="360"/>
      </w:pPr>
      <w:proofErr w:type="spellStart"/>
      <w:r w:rsidRPr="009F52DB">
        <w:rPr>
          <w:rFonts w:ascii="Times New Roman" w:hAnsi="Times New Roman"/>
          <w:sz w:val="24"/>
        </w:rPr>
        <w:t>Abulebda</w:t>
      </w:r>
      <w:proofErr w:type="spellEnd"/>
      <w:r w:rsidRPr="009F52DB">
        <w:rPr>
          <w:rFonts w:ascii="Times New Roman" w:hAnsi="Times New Roman"/>
          <w:sz w:val="24"/>
        </w:rPr>
        <w:t xml:space="preserve">, K., Cates, A. and Auerbach, M. (2022). *Debriefing in simulation-based education*, </w:t>
      </w:r>
      <w:proofErr w:type="spellStart"/>
      <w:r w:rsidRPr="009F52DB">
        <w:rPr>
          <w:rFonts w:ascii="Times New Roman" w:hAnsi="Times New Roman"/>
          <w:sz w:val="24"/>
        </w:rPr>
        <w:t>StatPearls</w:t>
      </w:r>
      <w:proofErr w:type="spellEnd"/>
      <w:r w:rsidRPr="009F52DB">
        <w:rPr>
          <w:rFonts w:ascii="Times New Roman" w:hAnsi="Times New Roman"/>
          <w:sz w:val="24"/>
        </w:rPr>
        <w:t>. Available at: https://www.ncbi.nlm.nih.gov/books/NBK546660/ (Accessed: 16 December 2025).</w:t>
      </w:r>
    </w:p>
    <w:p w14:paraId="6F0DA9A6" w14:textId="77777777" w:rsidR="009F52DB" w:rsidRPr="009F52DB" w:rsidRDefault="009F52DB" w:rsidP="009F52DB">
      <w:pPr>
        <w:pStyle w:val="ListBullet"/>
        <w:tabs>
          <w:tab w:val="num" w:pos="360"/>
        </w:tabs>
        <w:spacing w:after="20" w:line="240" w:lineRule="auto"/>
        <w:ind w:left="360" w:hanging="360"/>
      </w:pPr>
      <w:r w:rsidRPr="009F52DB">
        <w:rPr>
          <w:rFonts w:ascii="Times New Roman" w:hAnsi="Times New Roman"/>
          <w:sz w:val="24"/>
        </w:rPr>
        <w:t>De Vries, N. et al. (2023). 'Interventions for job retention of healthcare workers: A systematic review', *</w:t>
      </w:r>
      <w:proofErr w:type="spellStart"/>
      <w:r w:rsidRPr="009F52DB">
        <w:rPr>
          <w:rFonts w:ascii="Times New Roman" w:hAnsi="Times New Roman"/>
          <w:sz w:val="24"/>
        </w:rPr>
        <w:t>PLoS</w:t>
      </w:r>
      <w:proofErr w:type="spellEnd"/>
      <w:r w:rsidRPr="009F52DB">
        <w:rPr>
          <w:rFonts w:ascii="Times New Roman" w:hAnsi="Times New Roman"/>
          <w:sz w:val="24"/>
        </w:rPr>
        <w:t xml:space="preserve"> ONE*, 18(7), e0288428. </w:t>
      </w:r>
      <w:proofErr w:type="gramStart"/>
      <w:r w:rsidRPr="009F52DB">
        <w:rPr>
          <w:rFonts w:ascii="Times New Roman" w:hAnsi="Times New Roman"/>
          <w:sz w:val="24"/>
        </w:rPr>
        <w:t>doi:10.1371/journal.pone</w:t>
      </w:r>
      <w:proofErr w:type="gramEnd"/>
      <w:r w:rsidRPr="009F52DB">
        <w:rPr>
          <w:rFonts w:ascii="Times New Roman" w:hAnsi="Times New Roman"/>
          <w:sz w:val="24"/>
        </w:rPr>
        <w:t>.0288428.</w:t>
      </w:r>
    </w:p>
    <w:p w14:paraId="7A3240DC" w14:textId="77777777" w:rsidR="009F52DB" w:rsidRPr="009F52DB" w:rsidRDefault="009F52DB" w:rsidP="009F52DB">
      <w:pPr>
        <w:pStyle w:val="ListBullet"/>
        <w:tabs>
          <w:tab w:val="num" w:pos="360"/>
        </w:tabs>
        <w:spacing w:after="20" w:line="240" w:lineRule="auto"/>
        <w:ind w:left="360" w:hanging="360"/>
      </w:pPr>
      <w:proofErr w:type="spellStart"/>
      <w:r w:rsidRPr="009F52DB">
        <w:rPr>
          <w:rFonts w:ascii="Times New Roman" w:hAnsi="Times New Roman"/>
          <w:sz w:val="24"/>
        </w:rPr>
        <w:t>Elendu</w:t>
      </w:r>
      <w:proofErr w:type="spellEnd"/>
      <w:r w:rsidRPr="009F52DB">
        <w:rPr>
          <w:rFonts w:ascii="Times New Roman" w:hAnsi="Times New Roman"/>
          <w:sz w:val="24"/>
        </w:rPr>
        <w:t xml:space="preserve">, C., Amaechi, D.C. and </w:t>
      </w:r>
      <w:proofErr w:type="spellStart"/>
      <w:r w:rsidRPr="009F52DB">
        <w:rPr>
          <w:rFonts w:ascii="Times New Roman" w:hAnsi="Times New Roman"/>
          <w:sz w:val="24"/>
        </w:rPr>
        <w:t>Okatta</w:t>
      </w:r>
      <w:proofErr w:type="spellEnd"/>
      <w:r w:rsidRPr="009F52DB">
        <w:rPr>
          <w:rFonts w:ascii="Times New Roman" w:hAnsi="Times New Roman"/>
          <w:sz w:val="24"/>
        </w:rPr>
        <w:t>, A.U. (2024). 'The impact of simulation-based training in medical education: A review', *Medicine*, 103(27), e38813. doi:10.1097/MD.0000000000038813.</w:t>
      </w:r>
    </w:p>
    <w:p w14:paraId="74EF25FD" w14:textId="77777777" w:rsidR="009F52DB" w:rsidRPr="009F52DB" w:rsidRDefault="009F52DB" w:rsidP="009F52DB">
      <w:pPr>
        <w:pStyle w:val="ListBullet"/>
        <w:tabs>
          <w:tab w:val="num" w:pos="360"/>
        </w:tabs>
        <w:spacing w:after="20" w:line="240" w:lineRule="auto"/>
        <w:ind w:left="360" w:hanging="360"/>
      </w:pPr>
      <w:r w:rsidRPr="009F52DB">
        <w:rPr>
          <w:rFonts w:ascii="Times New Roman" w:hAnsi="Times New Roman"/>
          <w:sz w:val="24"/>
        </w:rPr>
        <w:t xml:space="preserve">Franklin University (n.d.). *What Do Medical Social Workers </w:t>
      </w:r>
      <w:proofErr w:type="gramStart"/>
      <w:r w:rsidRPr="009F52DB">
        <w:rPr>
          <w:rFonts w:ascii="Times New Roman" w:hAnsi="Times New Roman"/>
          <w:sz w:val="24"/>
        </w:rPr>
        <w:t>Do?*</w:t>
      </w:r>
      <w:proofErr w:type="gramEnd"/>
      <w:r w:rsidRPr="009F52DB">
        <w:rPr>
          <w:rFonts w:ascii="Times New Roman" w:hAnsi="Times New Roman"/>
          <w:sz w:val="24"/>
        </w:rPr>
        <w:t>. Available at: https://www.franklin.edu/career-guide/healthcare-social-workers/what-do-medical-social-workers-do (Accessed: 16 December 2025).</w:t>
      </w:r>
    </w:p>
    <w:p w14:paraId="159154AC" w14:textId="77777777" w:rsidR="009F52DB" w:rsidRPr="009F52DB" w:rsidRDefault="009F52DB" w:rsidP="009F52DB">
      <w:pPr>
        <w:pStyle w:val="ListBullet"/>
        <w:tabs>
          <w:tab w:val="num" w:pos="360"/>
        </w:tabs>
        <w:spacing w:after="20" w:line="240" w:lineRule="auto"/>
        <w:ind w:left="360" w:hanging="360"/>
      </w:pPr>
      <w:r w:rsidRPr="009F52DB">
        <w:rPr>
          <w:rFonts w:ascii="Times New Roman" w:hAnsi="Times New Roman"/>
          <w:sz w:val="24"/>
        </w:rPr>
        <w:t>Gov.uk (2025). *Care workforce pathway for adult social care: overview*. Available at: https://www.gov.uk/government/publications/care-workforce-pathway-for-adult-social-care/care-workforce-pathway-for-adult-social-care-overview (Accessed: 16 December 2025).</w:t>
      </w:r>
    </w:p>
    <w:p w14:paraId="036A0468" w14:textId="77777777" w:rsidR="009F52DB" w:rsidRPr="009F52DB" w:rsidRDefault="009F52DB" w:rsidP="009F52DB">
      <w:pPr>
        <w:pStyle w:val="ListBullet"/>
        <w:tabs>
          <w:tab w:val="num" w:pos="360"/>
        </w:tabs>
        <w:spacing w:after="20" w:line="240" w:lineRule="auto"/>
        <w:ind w:left="360" w:hanging="360"/>
      </w:pPr>
      <w:r w:rsidRPr="009F52DB">
        <w:rPr>
          <w:rFonts w:ascii="Times New Roman" w:hAnsi="Times New Roman"/>
          <w:sz w:val="24"/>
        </w:rPr>
        <w:t xml:space="preserve">Keuka College (n.d.). *What Does a Medical Social Worker </w:t>
      </w:r>
      <w:proofErr w:type="gramStart"/>
      <w:r w:rsidRPr="009F52DB">
        <w:rPr>
          <w:rFonts w:ascii="Times New Roman" w:hAnsi="Times New Roman"/>
          <w:sz w:val="24"/>
        </w:rPr>
        <w:t>Do?*</w:t>
      </w:r>
      <w:proofErr w:type="gramEnd"/>
      <w:r w:rsidRPr="009F52DB">
        <w:rPr>
          <w:rFonts w:ascii="Times New Roman" w:hAnsi="Times New Roman"/>
          <w:sz w:val="24"/>
        </w:rPr>
        <w:t>. Available at: https://onlinedegrees.keuka.edu/blog/medical-social-worker (Accessed: 16 December 2025).</w:t>
      </w:r>
    </w:p>
    <w:p w14:paraId="1537CCEC" w14:textId="77777777" w:rsidR="009F52DB" w:rsidRPr="009F52DB" w:rsidRDefault="009F52DB" w:rsidP="009F52DB">
      <w:pPr>
        <w:pStyle w:val="ListBullet"/>
        <w:tabs>
          <w:tab w:val="num" w:pos="360"/>
        </w:tabs>
        <w:spacing w:after="20" w:line="240" w:lineRule="auto"/>
        <w:ind w:left="360" w:hanging="360"/>
      </w:pPr>
      <w:r w:rsidRPr="009F52DB">
        <w:rPr>
          <w:rFonts w:ascii="Times New Roman" w:hAnsi="Times New Roman"/>
          <w:sz w:val="24"/>
        </w:rPr>
        <w:t>Mayo Clinic (n.d.). *Medical social worker*. Available at: https://college.mayo.edu/academics/explore-health-care-careers/careers-a-z/medical-social-worker/ (Accessed: 16 December 2025).</w:t>
      </w:r>
    </w:p>
    <w:p w14:paraId="18BD239F" w14:textId="77777777" w:rsidR="009F52DB" w:rsidRPr="009F52DB" w:rsidRDefault="009F52DB" w:rsidP="009F52DB">
      <w:pPr>
        <w:pStyle w:val="ListBullet"/>
        <w:tabs>
          <w:tab w:val="num" w:pos="360"/>
        </w:tabs>
        <w:spacing w:after="20" w:line="240" w:lineRule="auto"/>
        <w:ind w:left="360" w:hanging="360"/>
      </w:pPr>
      <w:r w:rsidRPr="009F52DB">
        <w:rPr>
          <w:rFonts w:ascii="Times New Roman" w:hAnsi="Times New Roman"/>
          <w:sz w:val="24"/>
        </w:rPr>
        <w:t>Rosenthal, M.A. et al. (2020). 'Peer Feedback in Hospital Medicine: A Narrative Review and Conceptual Model', *Journal of Hospital Medicine*, 15(12), pp. 747-753. doi:10.12788/jhm.3479.</w:t>
      </w:r>
    </w:p>
    <w:p w14:paraId="2B0C52D8" w14:textId="77777777" w:rsidR="009F52DB" w:rsidRPr="009F52DB" w:rsidRDefault="009F52DB" w:rsidP="009F52DB">
      <w:pPr>
        <w:pStyle w:val="ListBullet"/>
        <w:tabs>
          <w:tab w:val="num" w:pos="360"/>
        </w:tabs>
        <w:spacing w:after="20" w:line="240" w:lineRule="auto"/>
        <w:ind w:left="360" w:hanging="360"/>
      </w:pPr>
      <w:r w:rsidRPr="009F52DB">
        <w:rPr>
          <w:rFonts w:ascii="Times New Roman" w:hAnsi="Times New Roman"/>
          <w:sz w:val="24"/>
        </w:rPr>
        <w:t>Scandiffio, J. et al. (2024). 'The role of mentoring and coaching practices within digital technology education for health care professionals: A scoping review', *Journal of Continuing Education in the Health Professions*, 44(1), pp. 58-69. doi:10.1097/CEH.0000000000000511.</w:t>
      </w:r>
    </w:p>
    <w:p w14:paraId="12D2F845" w14:textId="77777777" w:rsidR="009F52DB" w:rsidRPr="009F52DB" w:rsidRDefault="009F52DB" w:rsidP="009F52DB">
      <w:pPr>
        <w:pStyle w:val="ListBullet"/>
        <w:tabs>
          <w:tab w:val="num" w:pos="360"/>
        </w:tabs>
        <w:spacing w:after="20" w:line="240" w:lineRule="auto"/>
        <w:ind w:left="360" w:hanging="360"/>
      </w:pPr>
      <w:r w:rsidRPr="009F52DB">
        <w:rPr>
          <w:rFonts w:ascii="Times New Roman" w:hAnsi="Times New Roman"/>
          <w:sz w:val="24"/>
        </w:rPr>
        <w:t>Socialwork.buffalo.edu (n.d.). *List of Essential Skills in Social Work*. University at Buffalo School of Social Work. Available at: https://socialwork.buffalo.edu/admissions/is-social-work-right-career-for-me/list-of-essential-skills-in-social-work.html (Accessed: 16 December 2025).</w:t>
      </w:r>
    </w:p>
    <w:p w14:paraId="42AF2270" w14:textId="77777777" w:rsidR="00196B3B" w:rsidRPr="00196B3B" w:rsidRDefault="009F52DB" w:rsidP="009F52DB">
      <w:pPr>
        <w:pStyle w:val="ListBullet"/>
        <w:tabs>
          <w:tab w:val="num" w:pos="360"/>
        </w:tabs>
        <w:spacing w:after="20" w:line="240" w:lineRule="auto"/>
        <w:ind w:left="360" w:hanging="360"/>
      </w:pPr>
      <w:r w:rsidRPr="009F52DB">
        <w:rPr>
          <w:rFonts w:ascii="Times New Roman" w:hAnsi="Times New Roman"/>
          <w:sz w:val="24"/>
        </w:rPr>
        <w:t>TWC London (2025). *The Difference Between Health and Social Care*. Available at: https://www.twclondon.org.uk/blogs/difference-between-health-and-social-care (Accessed: 16 December 2025).</w:t>
      </w:r>
    </w:p>
    <w:p w14:paraId="583627CD" w14:textId="312DBCC2" w:rsidR="00322A05" w:rsidRPr="009F52DB" w:rsidRDefault="009F52DB" w:rsidP="009F52DB">
      <w:pPr>
        <w:pStyle w:val="ListBullet"/>
        <w:tabs>
          <w:tab w:val="num" w:pos="360"/>
        </w:tabs>
        <w:spacing w:after="20" w:line="240" w:lineRule="auto"/>
        <w:ind w:left="360" w:hanging="360"/>
      </w:pPr>
      <w:r w:rsidRPr="00196B3B">
        <w:rPr>
          <w:rFonts w:ascii="Times New Roman" w:hAnsi="Times New Roman"/>
          <w:sz w:val="24"/>
        </w:rPr>
        <w:t xml:space="preserve">Yeh, M.-L. et al. (2025). 'Effectiveness of an evidence-based practice education program on nurses’ knowledge, attitude, and skills: A quasi-experimental study', *Nurse Education in Practice*, 82, 103778. </w:t>
      </w:r>
      <w:proofErr w:type="gramStart"/>
      <w:r w:rsidRPr="00196B3B">
        <w:rPr>
          <w:rFonts w:ascii="Times New Roman" w:hAnsi="Times New Roman"/>
          <w:sz w:val="24"/>
        </w:rPr>
        <w:t>doi:10.1016/j.nepr</w:t>
      </w:r>
      <w:proofErr w:type="gramEnd"/>
      <w:r w:rsidRPr="00196B3B">
        <w:rPr>
          <w:rFonts w:ascii="Times New Roman" w:hAnsi="Times New Roman"/>
          <w:sz w:val="24"/>
        </w:rPr>
        <w:t>.2024.103778.</w:t>
      </w:r>
    </w:p>
    <w:sectPr w:rsidR="00322A05" w:rsidRPr="009F52DB" w:rsidSect="00A127AD">
      <w:headerReference w:type="even" r:id="rId8"/>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3BA56" w14:textId="77777777" w:rsidR="00E25A50" w:rsidRDefault="00E25A50">
      <w:pPr>
        <w:spacing w:after="0" w:line="240" w:lineRule="auto"/>
      </w:pPr>
      <w:r>
        <w:separator/>
      </w:r>
    </w:p>
  </w:endnote>
  <w:endnote w:type="continuationSeparator" w:id="0">
    <w:p w14:paraId="3484FD81" w14:textId="77777777" w:rsidR="00E25A50" w:rsidRDefault="00E25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Han Sans SC">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63AE4" w14:textId="77777777" w:rsidR="00E25A50" w:rsidRDefault="00E25A50">
      <w:pPr>
        <w:spacing w:after="0" w:line="240" w:lineRule="auto"/>
      </w:pPr>
      <w:r>
        <w:separator/>
      </w:r>
    </w:p>
  </w:footnote>
  <w:footnote w:type="continuationSeparator" w:id="0">
    <w:p w14:paraId="0EF9B52C" w14:textId="77777777" w:rsidR="00E25A50" w:rsidRDefault="00E25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00DBAB57" w14:textId="77777777" w:rsidR="00A127AD" w:rsidRDefault="00A127AD"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48D86A" w14:textId="77777777" w:rsidR="00A127AD" w:rsidRDefault="00A127AD"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10B5A138" w14:textId="77777777" w:rsidR="00A127AD" w:rsidRDefault="00A127AD"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2F6A438" w14:textId="77777777" w:rsidR="00A127AD" w:rsidRDefault="00A127AD"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F629C1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542198"/>
    <w:multiLevelType w:val="hybridMultilevel"/>
    <w:tmpl w:val="FC0044BE"/>
    <w:lvl w:ilvl="0" w:tplc="8624A7AA">
      <w:start w:val="1"/>
      <w:numFmt w:val="bullet"/>
      <w:lvlText w:val=""/>
      <w:lvlJc w:val="left"/>
      <w:pPr>
        <w:ind w:left="720" w:hanging="360"/>
      </w:pPr>
      <w:rPr>
        <w:rFonts w:ascii="Symbol" w:hAnsi="Symbol" w:hint="default"/>
      </w:rPr>
    </w:lvl>
    <w:lvl w:ilvl="1" w:tplc="D3C83BCE">
      <w:start w:val="1"/>
      <w:numFmt w:val="bullet"/>
      <w:lvlText w:val="o"/>
      <w:lvlJc w:val="left"/>
      <w:pPr>
        <w:ind w:left="1440" w:hanging="360"/>
      </w:pPr>
      <w:rPr>
        <w:rFonts w:ascii="Courier New" w:hAnsi="Courier New" w:hint="default"/>
      </w:rPr>
    </w:lvl>
    <w:lvl w:ilvl="2" w:tplc="D938C540">
      <w:start w:val="1"/>
      <w:numFmt w:val="bullet"/>
      <w:lvlText w:val=""/>
      <w:lvlJc w:val="left"/>
      <w:pPr>
        <w:ind w:left="2160" w:hanging="360"/>
      </w:pPr>
      <w:rPr>
        <w:rFonts w:ascii="Wingdings" w:hAnsi="Wingdings" w:hint="default"/>
      </w:rPr>
    </w:lvl>
    <w:lvl w:ilvl="3" w:tplc="BBC4D35A">
      <w:start w:val="1"/>
      <w:numFmt w:val="bullet"/>
      <w:lvlText w:val=""/>
      <w:lvlJc w:val="left"/>
      <w:pPr>
        <w:ind w:left="2880" w:hanging="360"/>
      </w:pPr>
      <w:rPr>
        <w:rFonts w:ascii="Symbol" w:hAnsi="Symbol" w:hint="default"/>
      </w:rPr>
    </w:lvl>
    <w:lvl w:ilvl="4" w:tplc="AED80094">
      <w:start w:val="1"/>
      <w:numFmt w:val="bullet"/>
      <w:lvlText w:val="o"/>
      <w:lvlJc w:val="left"/>
      <w:pPr>
        <w:ind w:left="3600" w:hanging="360"/>
      </w:pPr>
      <w:rPr>
        <w:rFonts w:ascii="Courier New" w:hAnsi="Courier New" w:hint="default"/>
      </w:rPr>
    </w:lvl>
    <w:lvl w:ilvl="5" w:tplc="ADBA6354">
      <w:start w:val="1"/>
      <w:numFmt w:val="bullet"/>
      <w:lvlText w:val=""/>
      <w:lvlJc w:val="left"/>
      <w:pPr>
        <w:ind w:left="4320" w:hanging="360"/>
      </w:pPr>
      <w:rPr>
        <w:rFonts w:ascii="Wingdings" w:hAnsi="Wingdings" w:hint="default"/>
      </w:rPr>
    </w:lvl>
    <w:lvl w:ilvl="6" w:tplc="0AE099BA">
      <w:start w:val="1"/>
      <w:numFmt w:val="bullet"/>
      <w:lvlText w:val=""/>
      <w:lvlJc w:val="left"/>
      <w:pPr>
        <w:ind w:left="5040" w:hanging="360"/>
      </w:pPr>
      <w:rPr>
        <w:rFonts w:ascii="Symbol" w:hAnsi="Symbol" w:hint="default"/>
      </w:rPr>
    </w:lvl>
    <w:lvl w:ilvl="7" w:tplc="F566D172">
      <w:start w:val="1"/>
      <w:numFmt w:val="bullet"/>
      <w:lvlText w:val="o"/>
      <w:lvlJc w:val="left"/>
      <w:pPr>
        <w:ind w:left="5760" w:hanging="360"/>
      </w:pPr>
      <w:rPr>
        <w:rFonts w:ascii="Courier New" w:hAnsi="Courier New" w:hint="default"/>
      </w:rPr>
    </w:lvl>
    <w:lvl w:ilvl="8" w:tplc="B63E0C3E">
      <w:start w:val="1"/>
      <w:numFmt w:val="bullet"/>
      <w:lvlText w:val=""/>
      <w:lvlJc w:val="left"/>
      <w:pPr>
        <w:ind w:left="6480" w:hanging="360"/>
      </w:pPr>
      <w:rPr>
        <w:rFonts w:ascii="Wingdings" w:hAnsi="Wingdings" w:hint="default"/>
      </w:rPr>
    </w:lvl>
  </w:abstractNum>
  <w:abstractNum w:abstractNumId="2" w15:restartNumberingAfterBreak="0">
    <w:nsid w:val="0ACA6C03"/>
    <w:multiLevelType w:val="hybridMultilevel"/>
    <w:tmpl w:val="AAEA784A"/>
    <w:lvl w:ilvl="0" w:tplc="495EEB5A">
      <w:start w:val="1"/>
      <w:numFmt w:val="bullet"/>
      <w:lvlText w:val=""/>
      <w:lvlJc w:val="left"/>
      <w:pPr>
        <w:ind w:left="720" w:hanging="360"/>
      </w:pPr>
      <w:rPr>
        <w:rFonts w:ascii="Symbol" w:hAnsi="Symbol" w:hint="default"/>
      </w:rPr>
    </w:lvl>
    <w:lvl w:ilvl="1" w:tplc="81F05078">
      <w:start w:val="1"/>
      <w:numFmt w:val="bullet"/>
      <w:lvlText w:val="o"/>
      <w:lvlJc w:val="left"/>
      <w:pPr>
        <w:ind w:left="1440" w:hanging="360"/>
      </w:pPr>
      <w:rPr>
        <w:rFonts w:ascii="Courier New" w:hAnsi="Courier New" w:hint="default"/>
      </w:rPr>
    </w:lvl>
    <w:lvl w:ilvl="2" w:tplc="6F8A814E">
      <w:start w:val="1"/>
      <w:numFmt w:val="bullet"/>
      <w:lvlText w:val=""/>
      <w:lvlJc w:val="left"/>
      <w:pPr>
        <w:ind w:left="2160" w:hanging="360"/>
      </w:pPr>
      <w:rPr>
        <w:rFonts w:ascii="Wingdings" w:hAnsi="Wingdings" w:hint="default"/>
      </w:rPr>
    </w:lvl>
    <w:lvl w:ilvl="3" w:tplc="31389F92">
      <w:start w:val="1"/>
      <w:numFmt w:val="bullet"/>
      <w:lvlText w:val=""/>
      <w:lvlJc w:val="left"/>
      <w:pPr>
        <w:ind w:left="2880" w:hanging="360"/>
      </w:pPr>
      <w:rPr>
        <w:rFonts w:ascii="Symbol" w:hAnsi="Symbol" w:hint="default"/>
      </w:rPr>
    </w:lvl>
    <w:lvl w:ilvl="4" w:tplc="29DA0152">
      <w:start w:val="1"/>
      <w:numFmt w:val="bullet"/>
      <w:lvlText w:val="o"/>
      <w:lvlJc w:val="left"/>
      <w:pPr>
        <w:ind w:left="3600" w:hanging="360"/>
      </w:pPr>
      <w:rPr>
        <w:rFonts w:ascii="Courier New" w:hAnsi="Courier New" w:hint="default"/>
      </w:rPr>
    </w:lvl>
    <w:lvl w:ilvl="5" w:tplc="E3028642">
      <w:start w:val="1"/>
      <w:numFmt w:val="bullet"/>
      <w:lvlText w:val=""/>
      <w:lvlJc w:val="left"/>
      <w:pPr>
        <w:ind w:left="4320" w:hanging="360"/>
      </w:pPr>
      <w:rPr>
        <w:rFonts w:ascii="Wingdings" w:hAnsi="Wingdings" w:hint="default"/>
      </w:rPr>
    </w:lvl>
    <w:lvl w:ilvl="6" w:tplc="0B2A9DC2">
      <w:start w:val="1"/>
      <w:numFmt w:val="bullet"/>
      <w:lvlText w:val=""/>
      <w:lvlJc w:val="left"/>
      <w:pPr>
        <w:ind w:left="5040" w:hanging="360"/>
      </w:pPr>
      <w:rPr>
        <w:rFonts w:ascii="Symbol" w:hAnsi="Symbol" w:hint="default"/>
      </w:rPr>
    </w:lvl>
    <w:lvl w:ilvl="7" w:tplc="A46895E6">
      <w:start w:val="1"/>
      <w:numFmt w:val="bullet"/>
      <w:lvlText w:val="o"/>
      <w:lvlJc w:val="left"/>
      <w:pPr>
        <w:ind w:left="5760" w:hanging="360"/>
      </w:pPr>
      <w:rPr>
        <w:rFonts w:ascii="Courier New" w:hAnsi="Courier New" w:hint="default"/>
      </w:rPr>
    </w:lvl>
    <w:lvl w:ilvl="8" w:tplc="39B4FB5C">
      <w:start w:val="1"/>
      <w:numFmt w:val="bullet"/>
      <w:lvlText w:val=""/>
      <w:lvlJc w:val="left"/>
      <w:pPr>
        <w:ind w:left="6480" w:hanging="360"/>
      </w:pPr>
      <w:rPr>
        <w:rFonts w:ascii="Wingdings" w:hAnsi="Wingdings" w:hint="default"/>
      </w:r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789E61"/>
    <w:multiLevelType w:val="hybridMultilevel"/>
    <w:tmpl w:val="13BE9C78"/>
    <w:lvl w:ilvl="0" w:tplc="3DFE876A">
      <w:start w:val="1"/>
      <w:numFmt w:val="bullet"/>
      <w:lvlText w:val=""/>
      <w:lvlJc w:val="left"/>
      <w:pPr>
        <w:ind w:left="720" w:hanging="360"/>
      </w:pPr>
      <w:rPr>
        <w:rFonts w:ascii="Symbol" w:hAnsi="Symbol" w:hint="default"/>
      </w:rPr>
    </w:lvl>
    <w:lvl w:ilvl="1" w:tplc="6CC67A6C">
      <w:start w:val="1"/>
      <w:numFmt w:val="bullet"/>
      <w:lvlText w:val="o"/>
      <w:lvlJc w:val="left"/>
      <w:pPr>
        <w:ind w:left="1440" w:hanging="360"/>
      </w:pPr>
      <w:rPr>
        <w:rFonts w:ascii="Courier New" w:hAnsi="Courier New" w:hint="default"/>
      </w:rPr>
    </w:lvl>
    <w:lvl w:ilvl="2" w:tplc="F7A4F1A8">
      <w:start w:val="1"/>
      <w:numFmt w:val="bullet"/>
      <w:lvlText w:val=""/>
      <w:lvlJc w:val="left"/>
      <w:pPr>
        <w:ind w:left="2160" w:hanging="360"/>
      </w:pPr>
      <w:rPr>
        <w:rFonts w:ascii="Wingdings" w:hAnsi="Wingdings" w:hint="default"/>
      </w:rPr>
    </w:lvl>
    <w:lvl w:ilvl="3" w:tplc="62BC3610">
      <w:start w:val="1"/>
      <w:numFmt w:val="bullet"/>
      <w:lvlText w:val=""/>
      <w:lvlJc w:val="left"/>
      <w:pPr>
        <w:ind w:left="2880" w:hanging="360"/>
      </w:pPr>
      <w:rPr>
        <w:rFonts w:ascii="Symbol" w:hAnsi="Symbol" w:hint="default"/>
      </w:rPr>
    </w:lvl>
    <w:lvl w:ilvl="4" w:tplc="95403A0C">
      <w:start w:val="1"/>
      <w:numFmt w:val="bullet"/>
      <w:lvlText w:val="o"/>
      <w:lvlJc w:val="left"/>
      <w:pPr>
        <w:ind w:left="3600" w:hanging="360"/>
      </w:pPr>
      <w:rPr>
        <w:rFonts w:ascii="Courier New" w:hAnsi="Courier New" w:hint="default"/>
      </w:rPr>
    </w:lvl>
    <w:lvl w:ilvl="5" w:tplc="5B5409A6">
      <w:start w:val="1"/>
      <w:numFmt w:val="bullet"/>
      <w:lvlText w:val=""/>
      <w:lvlJc w:val="left"/>
      <w:pPr>
        <w:ind w:left="4320" w:hanging="360"/>
      </w:pPr>
      <w:rPr>
        <w:rFonts w:ascii="Wingdings" w:hAnsi="Wingdings" w:hint="default"/>
      </w:rPr>
    </w:lvl>
    <w:lvl w:ilvl="6" w:tplc="7DD6EC36">
      <w:start w:val="1"/>
      <w:numFmt w:val="bullet"/>
      <w:lvlText w:val=""/>
      <w:lvlJc w:val="left"/>
      <w:pPr>
        <w:ind w:left="5040" w:hanging="360"/>
      </w:pPr>
      <w:rPr>
        <w:rFonts w:ascii="Symbol" w:hAnsi="Symbol" w:hint="default"/>
      </w:rPr>
    </w:lvl>
    <w:lvl w:ilvl="7" w:tplc="51E8861C">
      <w:start w:val="1"/>
      <w:numFmt w:val="bullet"/>
      <w:lvlText w:val="o"/>
      <w:lvlJc w:val="left"/>
      <w:pPr>
        <w:ind w:left="5760" w:hanging="360"/>
      </w:pPr>
      <w:rPr>
        <w:rFonts w:ascii="Courier New" w:hAnsi="Courier New" w:hint="default"/>
      </w:rPr>
    </w:lvl>
    <w:lvl w:ilvl="8" w:tplc="444A5FF6">
      <w:start w:val="1"/>
      <w:numFmt w:val="bullet"/>
      <w:lvlText w:val=""/>
      <w:lvlJc w:val="left"/>
      <w:pPr>
        <w:ind w:left="6480" w:hanging="360"/>
      </w:pPr>
      <w:rPr>
        <w:rFonts w:ascii="Wingdings" w:hAnsi="Wingdings" w:hint="default"/>
      </w:rPr>
    </w:lvl>
  </w:abstractNum>
  <w:abstractNum w:abstractNumId="5" w15:restartNumberingAfterBreak="0">
    <w:nsid w:val="3AB16C17"/>
    <w:multiLevelType w:val="hybridMultilevel"/>
    <w:tmpl w:val="C6D2F8B8"/>
    <w:lvl w:ilvl="0" w:tplc="72409012">
      <w:start w:val="1"/>
      <w:numFmt w:val="bullet"/>
      <w:lvlText w:val=""/>
      <w:lvlJc w:val="left"/>
      <w:pPr>
        <w:ind w:left="720" w:hanging="360"/>
      </w:pPr>
      <w:rPr>
        <w:rFonts w:ascii="Symbol" w:hAnsi="Symbol" w:hint="default"/>
      </w:rPr>
    </w:lvl>
    <w:lvl w:ilvl="1" w:tplc="652CA23C">
      <w:start w:val="1"/>
      <w:numFmt w:val="bullet"/>
      <w:lvlText w:val="o"/>
      <w:lvlJc w:val="left"/>
      <w:pPr>
        <w:ind w:left="1440" w:hanging="360"/>
      </w:pPr>
      <w:rPr>
        <w:rFonts w:ascii="Courier New" w:hAnsi="Courier New" w:hint="default"/>
      </w:rPr>
    </w:lvl>
    <w:lvl w:ilvl="2" w:tplc="82CC3A3A">
      <w:start w:val="1"/>
      <w:numFmt w:val="bullet"/>
      <w:lvlText w:val=""/>
      <w:lvlJc w:val="left"/>
      <w:pPr>
        <w:ind w:left="2160" w:hanging="360"/>
      </w:pPr>
      <w:rPr>
        <w:rFonts w:ascii="Wingdings" w:hAnsi="Wingdings" w:hint="default"/>
      </w:rPr>
    </w:lvl>
    <w:lvl w:ilvl="3" w:tplc="3EF8055E">
      <w:start w:val="1"/>
      <w:numFmt w:val="bullet"/>
      <w:lvlText w:val=""/>
      <w:lvlJc w:val="left"/>
      <w:pPr>
        <w:ind w:left="2880" w:hanging="360"/>
      </w:pPr>
      <w:rPr>
        <w:rFonts w:ascii="Symbol" w:hAnsi="Symbol" w:hint="default"/>
      </w:rPr>
    </w:lvl>
    <w:lvl w:ilvl="4" w:tplc="3000F07C">
      <w:start w:val="1"/>
      <w:numFmt w:val="bullet"/>
      <w:lvlText w:val="o"/>
      <w:lvlJc w:val="left"/>
      <w:pPr>
        <w:ind w:left="3600" w:hanging="360"/>
      </w:pPr>
      <w:rPr>
        <w:rFonts w:ascii="Courier New" w:hAnsi="Courier New" w:hint="default"/>
      </w:rPr>
    </w:lvl>
    <w:lvl w:ilvl="5" w:tplc="7BB4206C">
      <w:start w:val="1"/>
      <w:numFmt w:val="bullet"/>
      <w:lvlText w:val=""/>
      <w:lvlJc w:val="left"/>
      <w:pPr>
        <w:ind w:left="4320" w:hanging="360"/>
      </w:pPr>
      <w:rPr>
        <w:rFonts w:ascii="Wingdings" w:hAnsi="Wingdings" w:hint="default"/>
      </w:rPr>
    </w:lvl>
    <w:lvl w:ilvl="6" w:tplc="2244D6DC">
      <w:start w:val="1"/>
      <w:numFmt w:val="bullet"/>
      <w:lvlText w:val=""/>
      <w:lvlJc w:val="left"/>
      <w:pPr>
        <w:ind w:left="5040" w:hanging="360"/>
      </w:pPr>
      <w:rPr>
        <w:rFonts w:ascii="Symbol" w:hAnsi="Symbol" w:hint="default"/>
      </w:rPr>
    </w:lvl>
    <w:lvl w:ilvl="7" w:tplc="55F86726">
      <w:start w:val="1"/>
      <w:numFmt w:val="bullet"/>
      <w:lvlText w:val="o"/>
      <w:lvlJc w:val="left"/>
      <w:pPr>
        <w:ind w:left="5760" w:hanging="360"/>
      </w:pPr>
      <w:rPr>
        <w:rFonts w:ascii="Courier New" w:hAnsi="Courier New" w:hint="default"/>
      </w:rPr>
    </w:lvl>
    <w:lvl w:ilvl="8" w:tplc="98D6B20C">
      <w:start w:val="1"/>
      <w:numFmt w:val="bullet"/>
      <w:lvlText w:val=""/>
      <w:lvlJc w:val="left"/>
      <w:pPr>
        <w:ind w:left="6480" w:hanging="360"/>
      </w:pPr>
      <w:rPr>
        <w:rFonts w:ascii="Wingdings" w:hAnsi="Wingdings" w:hint="default"/>
      </w:rPr>
    </w:lvl>
  </w:abstractNum>
  <w:abstractNum w:abstractNumId="6" w15:restartNumberingAfterBreak="0">
    <w:nsid w:val="4A224439"/>
    <w:multiLevelType w:val="hybridMultilevel"/>
    <w:tmpl w:val="ACC23DBC"/>
    <w:lvl w:ilvl="0" w:tplc="A67C6740">
      <w:start w:val="1"/>
      <w:numFmt w:val="bullet"/>
      <w:lvlText w:val=""/>
      <w:lvlJc w:val="left"/>
      <w:pPr>
        <w:ind w:left="720" w:hanging="360"/>
      </w:pPr>
      <w:rPr>
        <w:rFonts w:ascii="Symbol" w:hAnsi="Symbol" w:hint="default"/>
      </w:rPr>
    </w:lvl>
    <w:lvl w:ilvl="1" w:tplc="94CCECB6">
      <w:start w:val="1"/>
      <w:numFmt w:val="bullet"/>
      <w:lvlText w:val="o"/>
      <w:lvlJc w:val="left"/>
      <w:pPr>
        <w:ind w:left="1440" w:hanging="360"/>
      </w:pPr>
      <w:rPr>
        <w:rFonts w:ascii="Courier New" w:hAnsi="Courier New" w:hint="default"/>
      </w:rPr>
    </w:lvl>
    <w:lvl w:ilvl="2" w:tplc="C73E23F2">
      <w:start w:val="1"/>
      <w:numFmt w:val="bullet"/>
      <w:lvlText w:val=""/>
      <w:lvlJc w:val="left"/>
      <w:pPr>
        <w:ind w:left="2160" w:hanging="360"/>
      </w:pPr>
      <w:rPr>
        <w:rFonts w:ascii="Wingdings" w:hAnsi="Wingdings" w:hint="default"/>
      </w:rPr>
    </w:lvl>
    <w:lvl w:ilvl="3" w:tplc="6714EE94">
      <w:start w:val="1"/>
      <w:numFmt w:val="bullet"/>
      <w:lvlText w:val=""/>
      <w:lvlJc w:val="left"/>
      <w:pPr>
        <w:ind w:left="2880" w:hanging="360"/>
      </w:pPr>
      <w:rPr>
        <w:rFonts w:ascii="Symbol" w:hAnsi="Symbol" w:hint="default"/>
      </w:rPr>
    </w:lvl>
    <w:lvl w:ilvl="4" w:tplc="53E8556C">
      <w:start w:val="1"/>
      <w:numFmt w:val="bullet"/>
      <w:lvlText w:val="o"/>
      <w:lvlJc w:val="left"/>
      <w:pPr>
        <w:ind w:left="3600" w:hanging="360"/>
      </w:pPr>
      <w:rPr>
        <w:rFonts w:ascii="Courier New" w:hAnsi="Courier New" w:hint="default"/>
      </w:rPr>
    </w:lvl>
    <w:lvl w:ilvl="5" w:tplc="96723934">
      <w:start w:val="1"/>
      <w:numFmt w:val="bullet"/>
      <w:lvlText w:val=""/>
      <w:lvlJc w:val="left"/>
      <w:pPr>
        <w:ind w:left="4320" w:hanging="360"/>
      </w:pPr>
      <w:rPr>
        <w:rFonts w:ascii="Wingdings" w:hAnsi="Wingdings" w:hint="default"/>
      </w:rPr>
    </w:lvl>
    <w:lvl w:ilvl="6" w:tplc="F8AED6F4">
      <w:start w:val="1"/>
      <w:numFmt w:val="bullet"/>
      <w:lvlText w:val=""/>
      <w:lvlJc w:val="left"/>
      <w:pPr>
        <w:ind w:left="5040" w:hanging="360"/>
      </w:pPr>
      <w:rPr>
        <w:rFonts w:ascii="Symbol" w:hAnsi="Symbol" w:hint="default"/>
      </w:rPr>
    </w:lvl>
    <w:lvl w:ilvl="7" w:tplc="0AA496E8">
      <w:start w:val="1"/>
      <w:numFmt w:val="bullet"/>
      <w:lvlText w:val="o"/>
      <w:lvlJc w:val="left"/>
      <w:pPr>
        <w:ind w:left="5760" w:hanging="360"/>
      </w:pPr>
      <w:rPr>
        <w:rFonts w:ascii="Courier New" w:hAnsi="Courier New" w:hint="default"/>
      </w:rPr>
    </w:lvl>
    <w:lvl w:ilvl="8" w:tplc="DCA42306">
      <w:start w:val="1"/>
      <w:numFmt w:val="bullet"/>
      <w:lvlText w:val=""/>
      <w:lvlJc w:val="left"/>
      <w:pPr>
        <w:ind w:left="6480" w:hanging="360"/>
      </w:pPr>
      <w:rPr>
        <w:rFonts w:ascii="Wingdings" w:hAnsi="Wingdings" w:hint="default"/>
      </w:rPr>
    </w:lvl>
  </w:abstractNum>
  <w:abstractNum w:abstractNumId="7" w15:restartNumberingAfterBreak="0">
    <w:nsid w:val="62126354"/>
    <w:multiLevelType w:val="hybridMultilevel"/>
    <w:tmpl w:val="D6A890C8"/>
    <w:lvl w:ilvl="0" w:tplc="CDB06660">
      <w:start w:val="1"/>
      <w:numFmt w:val="bullet"/>
      <w:lvlText w:val=""/>
      <w:lvlJc w:val="left"/>
      <w:pPr>
        <w:ind w:left="720" w:hanging="360"/>
      </w:pPr>
      <w:rPr>
        <w:rFonts w:ascii="Symbol" w:hAnsi="Symbol" w:hint="default"/>
      </w:rPr>
    </w:lvl>
    <w:lvl w:ilvl="1" w:tplc="ED5A5248">
      <w:start w:val="1"/>
      <w:numFmt w:val="bullet"/>
      <w:lvlText w:val="o"/>
      <w:lvlJc w:val="left"/>
      <w:pPr>
        <w:ind w:left="1440" w:hanging="360"/>
      </w:pPr>
      <w:rPr>
        <w:rFonts w:ascii="Courier New" w:hAnsi="Courier New" w:hint="default"/>
      </w:rPr>
    </w:lvl>
    <w:lvl w:ilvl="2" w:tplc="F61C4A10">
      <w:start w:val="1"/>
      <w:numFmt w:val="bullet"/>
      <w:lvlText w:val=""/>
      <w:lvlJc w:val="left"/>
      <w:pPr>
        <w:ind w:left="2160" w:hanging="360"/>
      </w:pPr>
      <w:rPr>
        <w:rFonts w:ascii="Wingdings" w:hAnsi="Wingdings" w:hint="default"/>
      </w:rPr>
    </w:lvl>
    <w:lvl w:ilvl="3" w:tplc="D51879A4">
      <w:start w:val="1"/>
      <w:numFmt w:val="bullet"/>
      <w:lvlText w:val=""/>
      <w:lvlJc w:val="left"/>
      <w:pPr>
        <w:ind w:left="2880" w:hanging="360"/>
      </w:pPr>
      <w:rPr>
        <w:rFonts w:ascii="Symbol" w:hAnsi="Symbol" w:hint="default"/>
      </w:rPr>
    </w:lvl>
    <w:lvl w:ilvl="4" w:tplc="EA706656">
      <w:start w:val="1"/>
      <w:numFmt w:val="bullet"/>
      <w:lvlText w:val="o"/>
      <w:lvlJc w:val="left"/>
      <w:pPr>
        <w:ind w:left="3600" w:hanging="360"/>
      </w:pPr>
      <w:rPr>
        <w:rFonts w:ascii="Courier New" w:hAnsi="Courier New" w:hint="default"/>
      </w:rPr>
    </w:lvl>
    <w:lvl w:ilvl="5" w:tplc="6314851E">
      <w:start w:val="1"/>
      <w:numFmt w:val="bullet"/>
      <w:lvlText w:val=""/>
      <w:lvlJc w:val="left"/>
      <w:pPr>
        <w:ind w:left="4320" w:hanging="360"/>
      </w:pPr>
      <w:rPr>
        <w:rFonts w:ascii="Wingdings" w:hAnsi="Wingdings" w:hint="default"/>
      </w:rPr>
    </w:lvl>
    <w:lvl w:ilvl="6" w:tplc="5EB22A32">
      <w:start w:val="1"/>
      <w:numFmt w:val="bullet"/>
      <w:lvlText w:val=""/>
      <w:lvlJc w:val="left"/>
      <w:pPr>
        <w:ind w:left="5040" w:hanging="360"/>
      </w:pPr>
      <w:rPr>
        <w:rFonts w:ascii="Symbol" w:hAnsi="Symbol" w:hint="default"/>
      </w:rPr>
    </w:lvl>
    <w:lvl w:ilvl="7" w:tplc="3A3C667E">
      <w:start w:val="1"/>
      <w:numFmt w:val="bullet"/>
      <w:lvlText w:val="o"/>
      <w:lvlJc w:val="left"/>
      <w:pPr>
        <w:ind w:left="5760" w:hanging="360"/>
      </w:pPr>
      <w:rPr>
        <w:rFonts w:ascii="Courier New" w:hAnsi="Courier New" w:hint="default"/>
      </w:rPr>
    </w:lvl>
    <w:lvl w:ilvl="8" w:tplc="5D226F14">
      <w:start w:val="1"/>
      <w:numFmt w:val="bullet"/>
      <w:lvlText w:val=""/>
      <w:lvlJc w:val="left"/>
      <w:pPr>
        <w:ind w:left="6480" w:hanging="360"/>
      </w:pPr>
      <w:rPr>
        <w:rFonts w:ascii="Wingdings" w:hAnsi="Wingdings" w:hint="default"/>
      </w:rPr>
    </w:lvl>
  </w:abstractNum>
  <w:abstractNum w:abstractNumId="8"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7621164">
    <w:abstractNumId w:val="4"/>
  </w:num>
  <w:num w:numId="2" w16cid:durableId="519858222">
    <w:abstractNumId w:val="5"/>
  </w:num>
  <w:num w:numId="3" w16cid:durableId="414013571">
    <w:abstractNumId w:val="1"/>
  </w:num>
  <w:num w:numId="4" w16cid:durableId="302271809">
    <w:abstractNumId w:val="2"/>
  </w:num>
  <w:num w:numId="5" w16cid:durableId="267735998">
    <w:abstractNumId w:val="6"/>
  </w:num>
  <w:num w:numId="6" w16cid:durableId="1826237350">
    <w:abstractNumId w:val="7"/>
  </w:num>
  <w:num w:numId="7" w16cid:durableId="1132019979">
    <w:abstractNumId w:val="3"/>
  </w:num>
  <w:num w:numId="8" w16cid:durableId="817497522">
    <w:abstractNumId w:val="9"/>
  </w:num>
  <w:num w:numId="9" w16cid:durableId="1306274523">
    <w:abstractNumId w:val="8"/>
  </w:num>
  <w:num w:numId="10" w16cid:durableId="1115753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7AD"/>
    <w:rsid w:val="000E5989"/>
    <w:rsid w:val="00196B3B"/>
    <w:rsid w:val="001E447D"/>
    <w:rsid w:val="00303EE3"/>
    <w:rsid w:val="00322A05"/>
    <w:rsid w:val="0038728C"/>
    <w:rsid w:val="00492736"/>
    <w:rsid w:val="004E3F84"/>
    <w:rsid w:val="0050027E"/>
    <w:rsid w:val="005019C5"/>
    <w:rsid w:val="006B2CF0"/>
    <w:rsid w:val="007C5C2B"/>
    <w:rsid w:val="00855169"/>
    <w:rsid w:val="00893029"/>
    <w:rsid w:val="009F52DB"/>
    <w:rsid w:val="00A127AD"/>
    <w:rsid w:val="00D04945"/>
    <w:rsid w:val="00D7528C"/>
    <w:rsid w:val="00E25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CDDFA"/>
  <w15:chartTrackingRefBased/>
  <w15:docId w15:val="{BE5CB23A-BB33-43A3-A08A-5A2EFDC5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7AD"/>
    <w:pPr>
      <w:spacing w:line="259" w:lineRule="auto"/>
    </w:pPr>
    <w:rPr>
      <w:rFonts w:ascii="Segoe UI" w:eastAsiaTheme="minorEastAsia" w:hAnsi="Segoe UI"/>
      <w:sz w:val="20"/>
      <w:szCs w:val="22"/>
      <w:lang w:val="en-GB" w:eastAsia="zh-CN"/>
    </w:rPr>
  </w:style>
  <w:style w:type="paragraph" w:styleId="Heading1">
    <w:name w:val="heading 1"/>
    <w:basedOn w:val="Normal"/>
    <w:next w:val="Normal"/>
    <w:link w:val="Heading1Char"/>
    <w:uiPriority w:val="9"/>
    <w:qFormat/>
    <w:rsid w:val="009F52DB"/>
    <w:pPr>
      <w:keepNext/>
      <w:keepLines/>
      <w:spacing w:before="540" w:after="80" w:line="490" w:lineRule="exact"/>
      <w:outlineLvl w:val="0"/>
    </w:pPr>
    <w:rPr>
      <w:rFonts w:ascii="Arial" w:eastAsia="Arial" w:hAnsi="Arial" w:cs="Arial"/>
      <w:b/>
      <w:bCs/>
      <w:sz w:val="36"/>
      <w:szCs w:val="40"/>
    </w:rPr>
  </w:style>
  <w:style w:type="paragraph" w:styleId="Heading2">
    <w:name w:val="heading 2"/>
    <w:basedOn w:val="Normal"/>
    <w:next w:val="Normal"/>
    <w:link w:val="Heading2Char"/>
    <w:uiPriority w:val="9"/>
    <w:unhideWhenUsed/>
    <w:qFormat/>
    <w:rsid w:val="00A127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7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7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7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7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7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7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7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2DB"/>
    <w:rPr>
      <w:rFonts w:ascii="Arial" w:eastAsia="Arial" w:hAnsi="Arial" w:cs="Arial"/>
      <w:b/>
      <w:bCs/>
      <w:sz w:val="36"/>
      <w:szCs w:val="40"/>
      <w:lang w:val="en-GB" w:eastAsia="zh-CN"/>
    </w:rPr>
  </w:style>
  <w:style w:type="character" w:customStyle="1" w:styleId="Heading2Char">
    <w:name w:val="Heading 2 Char"/>
    <w:basedOn w:val="DefaultParagraphFont"/>
    <w:link w:val="Heading2"/>
    <w:uiPriority w:val="9"/>
    <w:rsid w:val="00A127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27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7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7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7AD"/>
    <w:rPr>
      <w:rFonts w:eastAsiaTheme="majorEastAsia" w:cstheme="majorBidi"/>
      <w:color w:val="272727" w:themeColor="text1" w:themeTint="D8"/>
    </w:rPr>
  </w:style>
  <w:style w:type="paragraph" w:styleId="Title">
    <w:name w:val="Title"/>
    <w:basedOn w:val="Normal"/>
    <w:next w:val="Normal"/>
    <w:link w:val="TitleChar"/>
    <w:uiPriority w:val="10"/>
    <w:qFormat/>
    <w:rsid w:val="00A12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7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7AD"/>
    <w:pPr>
      <w:spacing w:before="160"/>
      <w:jc w:val="center"/>
    </w:pPr>
    <w:rPr>
      <w:i/>
      <w:iCs/>
      <w:color w:val="404040" w:themeColor="text1" w:themeTint="BF"/>
    </w:rPr>
  </w:style>
  <w:style w:type="character" w:customStyle="1" w:styleId="QuoteChar">
    <w:name w:val="Quote Char"/>
    <w:basedOn w:val="DefaultParagraphFont"/>
    <w:link w:val="Quote"/>
    <w:uiPriority w:val="29"/>
    <w:rsid w:val="00A127AD"/>
    <w:rPr>
      <w:i/>
      <w:iCs/>
      <w:color w:val="404040" w:themeColor="text1" w:themeTint="BF"/>
    </w:rPr>
  </w:style>
  <w:style w:type="paragraph" w:styleId="ListParagraph">
    <w:name w:val="List Paragraph"/>
    <w:basedOn w:val="Normal"/>
    <w:uiPriority w:val="34"/>
    <w:qFormat/>
    <w:rsid w:val="00A127AD"/>
    <w:pPr>
      <w:ind w:left="720"/>
      <w:contextualSpacing/>
    </w:pPr>
  </w:style>
  <w:style w:type="character" w:styleId="IntenseEmphasis">
    <w:name w:val="Intense Emphasis"/>
    <w:basedOn w:val="DefaultParagraphFont"/>
    <w:uiPriority w:val="21"/>
    <w:qFormat/>
    <w:rsid w:val="00A127AD"/>
    <w:rPr>
      <w:i/>
      <w:iCs/>
      <w:color w:val="0F4761" w:themeColor="accent1" w:themeShade="BF"/>
    </w:rPr>
  </w:style>
  <w:style w:type="paragraph" w:styleId="IntenseQuote">
    <w:name w:val="Intense Quote"/>
    <w:basedOn w:val="Normal"/>
    <w:next w:val="Normal"/>
    <w:link w:val="IntenseQuoteChar"/>
    <w:uiPriority w:val="30"/>
    <w:qFormat/>
    <w:rsid w:val="00A127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7AD"/>
    <w:rPr>
      <w:i/>
      <w:iCs/>
      <w:color w:val="0F4761" w:themeColor="accent1" w:themeShade="BF"/>
    </w:rPr>
  </w:style>
  <w:style w:type="character" w:styleId="IntenseReference">
    <w:name w:val="Intense Reference"/>
    <w:basedOn w:val="DefaultParagraphFont"/>
    <w:uiPriority w:val="32"/>
    <w:qFormat/>
    <w:rsid w:val="00A127AD"/>
    <w:rPr>
      <w:b/>
      <w:bCs/>
      <w:smallCaps/>
      <w:color w:val="0F4761" w:themeColor="accent1" w:themeShade="BF"/>
      <w:spacing w:val="5"/>
    </w:rPr>
  </w:style>
  <w:style w:type="paragraph" w:styleId="TOCHeading">
    <w:name w:val="TOC Heading"/>
    <w:basedOn w:val="Heading1"/>
    <w:next w:val="Normal"/>
    <w:uiPriority w:val="39"/>
    <w:unhideWhenUsed/>
    <w:qFormat/>
    <w:rsid w:val="00A127AD"/>
    <w:pPr>
      <w:spacing w:before="480" w:after="0" w:line="276" w:lineRule="auto"/>
      <w:outlineLvl w:val="9"/>
    </w:pPr>
    <w:rPr>
      <w:rFonts w:ascii="Segoe UI" w:hAnsi="Segoe UI"/>
      <w:bCs w:val="0"/>
      <w:kern w:val="0"/>
      <w:sz w:val="28"/>
      <w:szCs w:val="28"/>
      <w14:ligatures w14:val="none"/>
    </w:rPr>
  </w:style>
  <w:style w:type="paragraph" w:styleId="TOC2">
    <w:name w:val="toc 2"/>
    <w:basedOn w:val="Normal"/>
    <w:next w:val="Normal"/>
    <w:autoRedefine/>
    <w:uiPriority w:val="39"/>
    <w:unhideWhenUsed/>
    <w:rsid w:val="00A127AD"/>
    <w:pPr>
      <w:spacing w:before="120" w:after="0"/>
      <w:ind w:left="220"/>
    </w:pPr>
    <w:rPr>
      <w:rFonts w:cstheme="minorHAnsi"/>
      <w:b/>
      <w:bCs/>
    </w:rPr>
  </w:style>
  <w:style w:type="character" w:styleId="Hyperlink">
    <w:name w:val="Hyperlink"/>
    <w:basedOn w:val="DefaultParagraphFont"/>
    <w:uiPriority w:val="99"/>
    <w:unhideWhenUsed/>
    <w:rsid w:val="00A127AD"/>
    <w:rPr>
      <w:color w:val="467886" w:themeColor="hyperlink"/>
      <w:u w:val="single"/>
    </w:rPr>
  </w:style>
  <w:style w:type="paragraph" w:styleId="Header">
    <w:name w:val="header"/>
    <w:basedOn w:val="Normal"/>
    <w:link w:val="HeaderChar"/>
    <w:uiPriority w:val="99"/>
    <w:unhideWhenUsed/>
    <w:rsid w:val="00A127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7AD"/>
    <w:rPr>
      <w:rFonts w:ascii="Segoe UI" w:eastAsiaTheme="minorEastAsia" w:hAnsi="Segoe UI"/>
      <w:sz w:val="20"/>
      <w:szCs w:val="22"/>
      <w:lang w:val="en-GB" w:eastAsia="zh-CN"/>
    </w:rPr>
  </w:style>
  <w:style w:type="character" w:styleId="PageNumber">
    <w:name w:val="page number"/>
    <w:basedOn w:val="DefaultParagraphFont"/>
    <w:uiPriority w:val="99"/>
    <w:semiHidden/>
    <w:unhideWhenUsed/>
    <w:rsid w:val="00A127AD"/>
  </w:style>
  <w:style w:type="paragraph" w:styleId="ListBullet">
    <w:name w:val="List Bullet"/>
    <w:basedOn w:val="Normal"/>
    <w:uiPriority w:val="99"/>
    <w:unhideWhenUsed/>
    <w:rsid w:val="009F52DB"/>
    <w:pPr>
      <w:numPr>
        <w:numId w:val="10"/>
      </w:numPr>
      <w:tabs>
        <w:tab w:val="clear" w:pos="360"/>
      </w:tabs>
      <w:spacing w:after="200" w:line="276" w:lineRule="auto"/>
      <w:ind w:left="0" w:firstLine="0"/>
      <w:contextualSpacing/>
    </w:pPr>
    <w:rPr>
      <w:rFonts w:ascii="Source Han Sans SC" w:eastAsia="Times New Roman" w:hAnsi="Source Han Sans SC" w:cs="Times New Roman"/>
      <w:kern w:val="0"/>
      <w:sz w:val="14"/>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1829</Words>
  <Characters>10429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3444</dc:creator>
  <cp:keywords/>
  <dc:description/>
  <cp:lastModifiedBy>luzimayraneto@gmail.com</cp:lastModifiedBy>
  <cp:revision>5</cp:revision>
  <dcterms:created xsi:type="dcterms:W3CDTF">2025-12-19T12:54:00Z</dcterms:created>
  <dcterms:modified xsi:type="dcterms:W3CDTF">2025-12-19T12:56:00Z</dcterms:modified>
</cp:coreProperties>
</file>