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center"/>
        <w:rPr>
          <w:rFonts w:ascii="Arial" w:hAnsi="Arial" w:cs="Arial"/>
          <w:b/>
          <w:b/>
          <w:sz w:val="32"/>
        </w:rPr>
      </w:pPr>
      <w:r>
        <w:rPr>
          <w:rFonts w:cs="Arial" w:ascii="Arial" w:hAnsi="Arial"/>
          <w:b/>
          <w:sz w:val="32"/>
        </w:rPr>
        <w:drawing>
          <wp:anchor behindDoc="0" distT="0" distB="0" distL="0" distR="0" simplePos="0" locked="0" layoutInCell="1" allowOverlap="1" relativeHeight="12">
            <wp:simplePos x="0" y="0"/>
            <wp:positionH relativeFrom="column">
              <wp:align>center</wp:align>
            </wp:positionH>
            <wp:positionV relativeFrom="paragraph">
              <wp:posOffset>635</wp:posOffset>
            </wp:positionV>
            <wp:extent cx="2743200" cy="1371600"/>
            <wp:effectExtent l="0" t="0" r="0" b="0"/>
            <wp:wrapSquare wrapText="largest"/>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2743200" cy="1371600"/>
                    </a:xfrm>
                    <a:prstGeom prst="rect">
                      <a:avLst/>
                    </a:prstGeom>
                  </pic:spPr>
                </pic:pic>
              </a:graphicData>
            </a:graphic>
          </wp:anchor>
        </w:drawing>
      </w:r>
    </w:p>
    <w:p>
      <w:pPr>
        <w:pStyle w:val="Normal"/>
        <w:jc w:val="center"/>
        <w:rPr>
          <w:rFonts w:ascii="Arial" w:hAnsi="Arial" w:cs="Arial"/>
          <w:b/>
          <w:b/>
          <w:sz w:val="32"/>
        </w:rPr>
      </w:pPr>
      <w:r>
        <w:rPr>
          <w:rFonts w:cs="Arial" w:ascii="Arial" w:hAnsi="Arial"/>
          <w:b/>
          <w:sz w:val="32"/>
        </w:rPr>
      </w:r>
    </w:p>
    <w:p>
      <w:pPr>
        <w:pStyle w:val="Normal"/>
        <w:jc w:val="center"/>
        <w:rPr>
          <w:rFonts w:ascii="Arial" w:hAnsi="Arial" w:cs="Arial"/>
          <w:b/>
          <w:b/>
          <w:sz w:val="32"/>
        </w:rPr>
      </w:pPr>
      <w:r>
        <w:rPr>
          <w:rFonts w:cs="Arial" w:ascii="Arial" w:hAnsi="Arial"/>
          <w:b/>
          <w:sz w:val="32"/>
        </w:rPr>
      </w:r>
    </w:p>
    <w:p>
      <w:pPr>
        <w:pStyle w:val="Normal"/>
        <w:jc w:val="center"/>
        <w:rPr>
          <w:rFonts w:ascii="Arial" w:hAnsi="Arial" w:cs="Arial"/>
          <w:b/>
          <w:b/>
          <w:sz w:val="32"/>
        </w:rPr>
      </w:pPr>
      <w:r>
        <w:rPr>
          <w:rFonts w:cs="Arial" w:ascii="Arial" w:hAnsi="Arial"/>
          <w:b/>
          <w:sz w:val="32"/>
        </w:rPr>
      </w:r>
    </w:p>
    <w:p>
      <w:pPr>
        <w:pStyle w:val="Normal"/>
        <w:jc w:val="center"/>
        <w:rPr>
          <w:rFonts w:ascii="Arial" w:hAnsi="Arial" w:cs="Arial"/>
          <w:b/>
          <w:b/>
          <w:sz w:val="32"/>
        </w:rPr>
      </w:pPr>
      <w:r>
        <w:rPr>
          <w:rFonts w:cs="Arial" w:ascii="Arial" w:hAnsi="Arial"/>
          <w:b/>
          <w:sz w:val="32"/>
        </w:rPr>
      </w:r>
    </w:p>
    <w:p>
      <w:pPr>
        <w:pStyle w:val="Normal"/>
        <w:spacing w:lineRule="auto" w:line="360"/>
        <w:jc w:val="center"/>
        <w:rPr/>
      </w:pPr>
      <w:r>
        <w:rPr>
          <w:rFonts w:eastAsia="Times New Roman" w:cs="Times New Roman"/>
          <w:b/>
          <w:sz w:val="52"/>
          <w:szCs w:val="52"/>
          <w:lang w:val="en-GB"/>
        </w:rPr>
        <w:t>MANAGING PEOPLE</w:t>
      </w:r>
    </w:p>
    <w:p>
      <w:pPr>
        <w:pStyle w:val="Normal1"/>
        <w:spacing w:lineRule="auto" w:line="360"/>
        <w:jc w:val="center"/>
        <w:rPr/>
      </w:pPr>
      <w:r>
        <w:rPr>
          <w:rFonts w:eastAsia="Times New Roman" w:cs="Times New Roman" w:ascii="Times New Roman" w:hAnsi="Times New Roman"/>
          <w:b/>
          <w:sz w:val="48"/>
          <w:szCs w:val="48"/>
          <w:lang w:val="en-GB"/>
        </w:rPr>
        <w:t>Assessment 2</w:t>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center"/>
        <w:rPr>
          <w:rFonts w:ascii="Times New Roman" w:hAnsi="Times New Roman" w:eastAsia="Times New Roman" w:cs="Times New Roman"/>
          <w:b/>
          <w:b/>
          <w:sz w:val="32"/>
          <w:szCs w:val="32"/>
          <w:lang w:val="en-GB"/>
        </w:rPr>
      </w:pPr>
      <w:r>
        <w:rPr>
          <w:rFonts w:eastAsia="Times New Roman" w:cs="Times New Roman" w:ascii="Times New Roman" w:hAnsi="Times New Roman"/>
          <w:b/>
          <w:sz w:val="32"/>
          <w:szCs w:val="32"/>
          <w:lang w:val="en-GB"/>
        </w:rPr>
      </w:r>
    </w:p>
    <w:p>
      <w:pPr>
        <w:pStyle w:val="Normal1"/>
        <w:spacing w:lineRule="auto" w:line="360"/>
        <w:jc w:val="right"/>
        <w:rPr/>
      </w:pPr>
      <w:r>
        <w:rPr>
          <w:rFonts w:eastAsia="Times New Roman" w:cs="Times New Roman" w:ascii="Times New Roman" w:hAnsi="Times New Roman"/>
          <w:b/>
          <w:sz w:val="32"/>
          <w:szCs w:val="32"/>
          <w:lang w:val="en-GB"/>
        </w:rPr>
        <w:t>Name student: ANA BAICU</w:t>
      </w:r>
    </w:p>
    <w:p>
      <w:pPr>
        <w:pStyle w:val="Normal1"/>
        <w:spacing w:lineRule="auto" w:line="360"/>
        <w:jc w:val="right"/>
        <w:rPr/>
      </w:pPr>
      <w:r>
        <w:rPr>
          <w:rFonts w:eastAsia="Times New Roman" w:cs="Times New Roman" w:ascii="Times New Roman" w:hAnsi="Times New Roman"/>
          <w:b/>
          <w:sz w:val="32"/>
          <w:szCs w:val="32"/>
          <w:lang w:val="en-GB"/>
        </w:rPr>
        <w:t>Student Number: 2012401</w:t>
      </w:r>
    </w:p>
    <w:p>
      <w:pPr>
        <w:pStyle w:val="Normal1"/>
        <w:spacing w:lineRule="auto" w:line="360"/>
        <w:jc w:val="right"/>
        <w:rPr/>
      </w:pPr>
      <w:r>
        <w:rPr>
          <w:rFonts w:eastAsia="Times New Roman" w:cs="Times New Roman" w:ascii="Times New Roman" w:hAnsi="Times New Roman"/>
          <w:b/>
          <w:sz w:val="32"/>
          <w:szCs w:val="32"/>
          <w:lang w:val="en-GB"/>
        </w:rPr>
        <w:t>Module code: LCBB5004</w:t>
      </w:r>
    </w:p>
    <w:p>
      <w:pPr>
        <w:pStyle w:val="Normal"/>
        <w:spacing w:lineRule="auto" w:line="360"/>
        <w:jc w:val="right"/>
        <w:rPr/>
      </w:pPr>
      <w:r>
        <w:rPr>
          <w:rFonts w:eastAsia="Times New Roman" w:cs="Times New Roman" w:ascii="Arial" w:hAnsi="Arial"/>
          <w:b/>
          <w:color w:val="000000"/>
          <w:sz w:val="32"/>
          <w:szCs w:val="32"/>
          <w:lang w:val="en-GB"/>
        </w:rPr>
        <w:t>Module lecturer’s name:  CHARLES OHAM</w:t>
      </w:r>
    </w:p>
    <w:p>
      <w:pPr>
        <w:pStyle w:val="Normal"/>
        <w:spacing w:lineRule="auto" w:line="360"/>
        <w:jc w:val="right"/>
        <w:rPr>
          <w:rFonts w:ascii="Arial" w:hAnsi="Arial" w:eastAsia="Times New Roman" w:cs="Arial"/>
          <w:b/>
          <w:b/>
          <w:color w:val="000000"/>
          <w:sz w:val="32"/>
          <w:szCs w:val="32"/>
          <w:lang w:val="en-GB"/>
        </w:rPr>
      </w:pPr>
      <w:r>
        <w:rPr/>
      </w:r>
    </w:p>
    <w:p>
      <w:pPr>
        <w:pStyle w:val="Normal"/>
        <w:spacing w:lineRule="auto" w:line="360"/>
        <w:jc w:val="right"/>
        <w:rPr>
          <w:rFonts w:ascii="Arial" w:hAnsi="Arial" w:eastAsia="Times New Roman" w:cs="Arial"/>
          <w:b/>
          <w:b/>
          <w:color w:val="000000"/>
          <w:sz w:val="32"/>
          <w:szCs w:val="32"/>
          <w:lang w:val="en-GB"/>
        </w:rPr>
      </w:pPr>
      <w:r>
        <w:rPr/>
      </w:r>
    </w:p>
    <w:p>
      <w:pPr>
        <w:pStyle w:val="Normal"/>
        <w:spacing w:lineRule="auto" w:line="360"/>
        <w:jc w:val="right"/>
        <w:rPr>
          <w:rFonts w:ascii="Arial" w:hAnsi="Arial" w:eastAsia="Times New Roman" w:cs="Arial"/>
          <w:b/>
          <w:b/>
          <w:color w:val="000000"/>
          <w:sz w:val="32"/>
          <w:szCs w:val="32"/>
          <w:lang w:val="en-GB"/>
        </w:rPr>
      </w:pPr>
      <w:r>
        <w:rPr/>
      </w:r>
    </w:p>
    <w:p>
      <w:pPr>
        <w:pStyle w:val="Normal"/>
        <w:spacing w:lineRule="auto" w:line="360"/>
        <w:jc w:val="right"/>
        <w:rPr>
          <w:rFonts w:ascii="Arial" w:hAnsi="Arial" w:eastAsia="Times New Roman" w:cs="Arial"/>
          <w:b/>
          <w:b/>
          <w:color w:val="000000"/>
          <w:sz w:val="32"/>
          <w:szCs w:val="32"/>
          <w:lang w:val="en-GB"/>
        </w:rPr>
      </w:pPr>
      <w:r>
        <w:rPr/>
      </w:r>
    </w:p>
    <w:p>
      <w:pPr>
        <w:pStyle w:val="Normal"/>
        <w:spacing w:lineRule="auto" w:line="360"/>
        <w:jc w:val="right"/>
        <w:rPr>
          <w:rFonts w:ascii="Arial" w:hAnsi="Arial" w:eastAsia="Times New Roman" w:cs="Arial"/>
          <w:b/>
          <w:b/>
          <w:color w:val="000000"/>
          <w:sz w:val="32"/>
          <w:szCs w:val="32"/>
          <w:lang w:val="en-GB"/>
        </w:rPr>
      </w:pPr>
      <w:r>
        <w:rPr/>
      </w:r>
    </w:p>
    <w:sdt>
      <w:sdtPr>
        <w:docPartObj>
          <w:docPartGallery w:val="Table of Contents"/>
          <w:docPartUnique w:val="true"/>
        </w:docPartObj>
      </w:sdtPr>
      <w:sdtContent>
        <w:p>
          <w:pPr>
            <w:pStyle w:val="TOCHeading"/>
            <w:pBdr>
              <w:bottom w:val="single" w:sz="4" w:space="1" w:color="000000"/>
            </w:pBdr>
            <w:shd w:fill="002060" w:val="clear"/>
            <w:spacing w:lineRule="auto" w:line="360"/>
            <w:jc w:val="center"/>
            <w:rPr>
              <w:rFonts w:ascii="Arial" w:hAnsi="Arial" w:cs="Arial"/>
              <w:b/>
              <w:b/>
              <w:color w:val="FFFFFF" w:themeColor="background1"/>
            </w:rPr>
          </w:pPr>
          <w:r>
            <w:rPr>
              <w:rFonts w:cs="Arial" w:ascii="Arial" w:hAnsi="Arial"/>
              <w:b/>
              <w:color w:val="FFFFFF" w:themeColor="background1"/>
            </w:rPr>
            <w:t>Table of Contents</w:t>
          </w:r>
        </w:p>
        <w:p>
          <w:pPr>
            <w:pStyle w:val="Contents1"/>
            <w:tabs>
              <w:tab w:val="clear" w:pos="720"/>
              <w:tab w:val="right" w:pos="9016" w:leader="dot"/>
            </w:tabs>
            <w:rPr>
              <w:rFonts w:ascii="Arial" w:hAnsi="Arial" w:eastAsia="" w:cs="Arial" w:eastAsiaTheme="minorEastAsia"/>
              <w:sz w:val="22"/>
              <w:szCs w:val="28"/>
              <w:lang w:eastAsia="en-GB" w:bidi="bn-BD"/>
            </w:rPr>
          </w:pPr>
          <w:r>
            <w:fldChar w:fldCharType="begin"/>
          </w:r>
          <w:r>
            <w:rPr>
              <w:webHidden/>
              <w:rStyle w:val="IndexLink"/>
              <w:vanish w:val="false"/>
              <w:rFonts w:cs="Arial" w:ascii="Arial" w:hAnsi="Arial"/>
            </w:rPr>
            <w:instrText> TOC \z \o "1-3" \u \h</w:instrText>
          </w:r>
          <w:r>
            <w:rPr>
              <w:webHidden/>
              <w:rStyle w:val="IndexLink"/>
              <w:vanish w:val="false"/>
              <w:rFonts w:cs="Arial" w:ascii="Arial" w:hAnsi="Arial"/>
            </w:rPr>
            <w:fldChar w:fldCharType="separate"/>
          </w:r>
          <w:hyperlink w:anchor="_Toc98018329">
            <w:r>
              <w:rPr>
                <w:webHidden/>
              </w:rPr>
              <w:fldChar w:fldCharType="begin"/>
            </w:r>
            <w:r>
              <w:rPr>
                <w:webHidden/>
              </w:rPr>
              <w:instrText>PAGEREF _Toc98018329 \h</w:instrText>
            </w:r>
            <w:r>
              <w:rPr>
                <w:webHidden/>
              </w:rPr>
              <w:fldChar w:fldCharType="separate"/>
            </w:r>
            <w:r>
              <w:rPr>
                <w:webHidden/>
                <w:rStyle w:val="IndexLink"/>
                <w:rFonts w:cs="Arial" w:ascii="Arial" w:hAnsi="Arial"/>
                <w:vanish w:val="false"/>
              </w:rPr>
              <w:t>Introduction</w:t>
              <w:tab/>
              <w:t>3</w:t>
            </w:r>
            <w:r>
              <w:rPr>
                <w:webHidden/>
              </w:rPr>
              <w:fldChar w:fldCharType="end"/>
            </w:r>
          </w:hyperlink>
        </w:p>
        <w:p>
          <w:pPr>
            <w:pStyle w:val="Contents1"/>
            <w:tabs>
              <w:tab w:val="clear" w:pos="720"/>
              <w:tab w:val="right" w:pos="9016" w:leader="dot"/>
            </w:tabs>
            <w:rPr>
              <w:rFonts w:ascii="Arial" w:hAnsi="Arial" w:eastAsia="" w:cs="Arial" w:eastAsiaTheme="minorEastAsia"/>
              <w:sz w:val="22"/>
              <w:szCs w:val="28"/>
              <w:lang w:eastAsia="en-GB" w:bidi="bn-BD"/>
            </w:rPr>
          </w:pPr>
          <w:hyperlink w:anchor="_Toc98018330">
            <w:r>
              <w:rPr>
                <w:webHidden/>
              </w:rPr>
              <w:fldChar w:fldCharType="begin"/>
            </w:r>
            <w:r>
              <w:rPr>
                <w:webHidden/>
              </w:rPr>
              <w:instrText>PAGEREF _Toc98018330 \h</w:instrText>
            </w:r>
            <w:r>
              <w:rPr>
                <w:webHidden/>
              </w:rPr>
              <w:fldChar w:fldCharType="separate"/>
            </w:r>
            <w:r>
              <w:rPr>
                <w:webHidden/>
                <w:rStyle w:val="IndexLink"/>
                <w:rFonts w:cs="Arial" w:ascii="Arial" w:hAnsi="Arial"/>
                <w:vanish w:val="false"/>
              </w:rPr>
              <w:t>Concept and Drivers of Employee Engagement</w:t>
              <w:tab/>
              <w:t>4</w:t>
            </w:r>
            <w:r>
              <w:rPr>
                <w:webHidden/>
              </w:rPr>
              <w:fldChar w:fldCharType="end"/>
            </w:r>
          </w:hyperlink>
        </w:p>
        <w:p>
          <w:pPr>
            <w:pStyle w:val="Contents1"/>
            <w:tabs>
              <w:tab w:val="clear" w:pos="720"/>
              <w:tab w:val="right" w:pos="9016" w:leader="dot"/>
            </w:tabs>
            <w:rPr>
              <w:rFonts w:ascii="Arial" w:hAnsi="Arial" w:eastAsia="" w:cs="Arial" w:eastAsiaTheme="minorEastAsia"/>
              <w:sz w:val="22"/>
              <w:szCs w:val="28"/>
              <w:lang w:eastAsia="en-GB" w:bidi="bn-BD"/>
            </w:rPr>
          </w:pPr>
          <w:hyperlink w:anchor="_Toc98018331">
            <w:r>
              <w:rPr>
                <w:webHidden/>
              </w:rPr>
              <w:fldChar w:fldCharType="begin"/>
            </w:r>
            <w:r>
              <w:rPr>
                <w:webHidden/>
              </w:rPr>
              <w:instrText>PAGEREF _Toc98018331 \h</w:instrText>
            </w:r>
            <w:r>
              <w:rPr>
                <w:webHidden/>
              </w:rPr>
              <w:fldChar w:fldCharType="separate"/>
            </w:r>
            <w:r>
              <w:rPr>
                <w:webHidden/>
                <w:rStyle w:val="IndexLink"/>
                <w:rFonts w:cs="Arial" w:ascii="Arial" w:hAnsi="Arial"/>
                <w:vanish w:val="false"/>
              </w:rPr>
              <w:t>Diagnostic Tools to Measure the Engagement</w:t>
              <w:tab/>
              <w:t>5</w:t>
            </w:r>
            <w:r>
              <w:rPr>
                <w:webHidden/>
              </w:rPr>
              <w:fldChar w:fldCharType="end"/>
            </w:r>
          </w:hyperlink>
        </w:p>
        <w:p>
          <w:pPr>
            <w:pStyle w:val="Contents1"/>
            <w:tabs>
              <w:tab w:val="clear" w:pos="720"/>
              <w:tab w:val="right" w:pos="9016" w:leader="dot"/>
            </w:tabs>
            <w:rPr>
              <w:rFonts w:ascii="Arial" w:hAnsi="Arial" w:eastAsia="" w:cs="Arial" w:eastAsiaTheme="minorEastAsia"/>
              <w:sz w:val="22"/>
              <w:szCs w:val="28"/>
              <w:lang w:eastAsia="en-GB" w:bidi="bn-BD"/>
            </w:rPr>
          </w:pPr>
          <w:hyperlink w:anchor="_Toc98018332">
            <w:r>
              <w:rPr>
                <w:webHidden/>
              </w:rPr>
              <w:fldChar w:fldCharType="begin"/>
            </w:r>
            <w:r>
              <w:rPr>
                <w:webHidden/>
              </w:rPr>
              <w:instrText>PAGEREF _Toc98018332 \h</w:instrText>
            </w:r>
            <w:r>
              <w:rPr>
                <w:webHidden/>
              </w:rPr>
              <w:fldChar w:fldCharType="separate"/>
            </w:r>
            <w:r>
              <w:rPr>
                <w:webHidden/>
                <w:rStyle w:val="IndexLink"/>
                <w:rFonts w:cs="Arial" w:ascii="Arial" w:hAnsi="Arial"/>
                <w:vanish w:val="false"/>
              </w:rPr>
              <w:t>Employee Value Proposition</w:t>
              <w:tab/>
              <w:t>6</w:t>
            </w:r>
            <w:r>
              <w:rPr>
                <w:webHidden/>
              </w:rPr>
              <w:fldChar w:fldCharType="end"/>
            </w:r>
          </w:hyperlink>
        </w:p>
        <w:p>
          <w:pPr>
            <w:pStyle w:val="Contents1"/>
            <w:tabs>
              <w:tab w:val="clear" w:pos="720"/>
              <w:tab w:val="right" w:pos="9016" w:leader="dot"/>
            </w:tabs>
            <w:rPr>
              <w:rFonts w:ascii="Arial" w:hAnsi="Arial" w:eastAsia="" w:cs="Arial" w:eastAsiaTheme="minorEastAsia"/>
              <w:sz w:val="22"/>
              <w:szCs w:val="28"/>
              <w:lang w:eastAsia="en-GB" w:bidi="bn-BD"/>
            </w:rPr>
          </w:pPr>
          <w:hyperlink w:anchor="_Toc98018333">
            <w:r>
              <w:rPr>
                <w:webHidden/>
              </w:rPr>
              <w:fldChar w:fldCharType="begin"/>
            </w:r>
            <w:r>
              <w:rPr>
                <w:webHidden/>
              </w:rPr>
              <w:instrText>PAGEREF _Toc98018333 \h</w:instrText>
            </w:r>
            <w:r>
              <w:rPr>
                <w:webHidden/>
              </w:rPr>
              <w:fldChar w:fldCharType="separate"/>
            </w:r>
            <w:r>
              <w:rPr>
                <w:webHidden/>
                <w:rStyle w:val="IndexLink"/>
                <w:rFonts w:cs="Arial" w:ascii="Arial" w:hAnsi="Arial"/>
                <w:vanish w:val="false"/>
              </w:rPr>
              <w:t>Conclusion</w:t>
              <w:tab/>
              <w:t>8</w:t>
            </w:r>
            <w:r>
              <w:rPr>
                <w:webHidden/>
              </w:rPr>
              <w:fldChar w:fldCharType="end"/>
            </w:r>
          </w:hyperlink>
        </w:p>
        <w:p>
          <w:pPr>
            <w:pStyle w:val="Contents1"/>
            <w:tabs>
              <w:tab w:val="clear" w:pos="720"/>
              <w:tab w:val="right" w:pos="9016" w:leader="dot"/>
            </w:tabs>
            <w:rPr>
              <w:rFonts w:ascii="Arial" w:hAnsi="Arial" w:eastAsia="" w:cs="Arial" w:eastAsiaTheme="minorEastAsia"/>
              <w:sz w:val="22"/>
              <w:szCs w:val="28"/>
              <w:lang w:eastAsia="en-GB" w:bidi="bn-BD"/>
            </w:rPr>
          </w:pPr>
          <w:hyperlink w:anchor="_Toc98018334">
            <w:r>
              <w:rPr>
                <w:webHidden/>
              </w:rPr>
              <w:fldChar w:fldCharType="begin"/>
            </w:r>
            <w:r>
              <w:rPr>
                <w:webHidden/>
              </w:rPr>
              <w:instrText>PAGEREF _Toc98018334 \h</w:instrText>
            </w:r>
            <w:r>
              <w:rPr>
                <w:webHidden/>
              </w:rPr>
              <w:fldChar w:fldCharType="separate"/>
            </w:r>
            <w:r>
              <w:rPr>
                <w:webHidden/>
                <w:rStyle w:val="IndexLink"/>
                <w:rFonts w:cs="Arial" w:ascii="Arial" w:hAnsi="Arial"/>
                <w:vanish w:val="false"/>
              </w:rPr>
              <w:t>Reference</w:t>
              <w:tab/>
              <w:t>9</w:t>
            </w:r>
            <w:r>
              <w:rPr>
                <w:webHidden/>
              </w:rPr>
              <w:fldChar w:fldCharType="end"/>
            </w:r>
          </w:hyperlink>
        </w:p>
        <w:p>
          <w:pPr>
            <w:pStyle w:val="Normal"/>
            <w:rPr>
              <w:rFonts w:ascii="Arial" w:hAnsi="Arial" w:cs="Arial"/>
            </w:rPr>
          </w:pPr>
          <w:r>
            <w:rPr>
              <w:rFonts w:cs="Arial" w:ascii="Arial" w:hAnsi="Arial"/>
            </w:rPr>
          </w:r>
          <w:r>
            <w:rPr>
              <w:rFonts w:cs="Arial" w:ascii="Arial" w:hAnsi="Arial"/>
            </w:rPr>
            <w:fldChar w:fldCharType="end"/>
          </w:r>
        </w:p>
      </w:sdtContent>
    </w:sdt>
    <w:p>
      <w:pPr>
        <w:pStyle w:val="Normal"/>
        <w:rPr>
          <w:rFonts w:ascii="Arial" w:hAnsi="Arial" w:cs="Arial"/>
        </w:rPr>
      </w:pPr>
      <w:r>
        <w:rPr>
          <w:rFonts w:cs="Arial" w:ascii="Arial" w:hAnsi="Arial"/>
        </w:rPr>
      </w:r>
    </w:p>
    <w:p>
      <w:pPr>
        <w:pStyle w:val="Normal"/>
        <w:jc w:val="left"/>
        <w:rPr>
          <w:rFonts w:ascii="Arial" w:hAnsi="Arial" w:cs="Arial"/>
        </w:rPr>
      </w:pPr>
      <w:r>
        <w:rPr>
          <w:rFonts w:cs="Arial" w:ascii="Arial" w:hAnsi="Arial"/>
        </w:rPr>
      </w:r>
      <w:r>
        <w:br w:type="page"/>
      </w:r>
    </w:p>
    <w:p>
      <w:pPr>
        <w:pStyle w:val="Heading1"/>
        <w:spacing w:lineRule="auto" w:line="360"/>
        <w:jc w:val="center"/>
        <w:rPr>
          <w:rFonts w:ascii="Arial" w:hAnsi="Arial" w:cs="Arial"/>
          <w:b/>
          <w:b/>
          <w:color w:val="auto"/>
        </w:rPr>
      </w:pPr>
      <w:bookmarkStart w:id="0" w:name="_Toc98018329"/>
      <w:r>
        <w:rPr>
          <w:rFonts w:cs="Arial" w:ascii="Arial" w:hAnsi="Arial"/>
          <w:b/>
          <w:color w:val="auto"/>
        </w:rPr>
        <w:t>Introduction</w:t>
      </w:r>
      <w:bookmarkEnd w:id="0"/>
    </w:p>
    <w:p>
      <w:pPr>
        <w:pStyle w:val="Normal"/>
        <w:spacing w:lineRule="auto" w:line="360"/>
        <w:rPr>
          <w:rFonts w:ascii="Arial" w:hAnsi="Arial" w:cs="Arial"/>
        </w:rPr>
      </w:pPr>
      <w:r>
        <w:rPr>
          <w:rFonts w:cs="Arial" w:ascii="Arial" w:hAnsi="Arial"/>
        </w:rPr>
        <w:t>In current times, employee satisfaction methods have proven highly prominent. Employee engagement has been stated as an employee's cognitive, physical, and emotional power aimed at beneficial job outputs. As per the research, motivated personnel are highly prone to be productive, continue with their present workplace, and engage with customers (</w:t>
      </w:r>
      <w:r>
        <w:rPr>
          <w:rFonts w:cs="Arial" w:ascii="Arial" w:hAnsi="Arial"/>
          <w:shd w:fill="FFFFFF" w:val="clear"/>
        </w:rPr>
        <w:t>San Juan et al., 2021)</w:t>
      </w:r>
      <w:r>
        <w:rPr>
          <w:rFonts w:cs="Arial" w:ascii="Arial" w:hAnsi="Arial"/>
        </w:rPr>
        <w:t>. However, analysis reveals that increased employee participation is valuable for companies.  Contrary to prevalent notions, more patient-oriented study outcomes in the fields of health and welfare have emerged, with consequences for corporate environments.</w:t>
      </w:r>
    </w:p>
    <w:p>
      <w:pPr>
        <w:pStyle w:val="Normal"/>
        <w:spacing w:lineRule="auto" w:line="360"/>
        <w:rPr>
          <w:rFonts w:ascii="Arial" w:hAnsi="Arial" w:cs="Arial"/>
        </w:rPr>
      </w:pPr>
      <w:r>
        <w:rPr>
          <w:rFonts w:cs="Arial" w:ascii="Arial" w:hAnsi="Arial"/>
        </w:rPr>
      </w:r>
    </w:p>
    <w:p>
      <w:pPr>
        <w:pStyle w:val="Normal"/>
        <w:jc w:val="left"/>
        <w:rPr>
          <w:rFonts w:ascii="Arial" w:hAnsi="Arial" w:cs="Arial"/>
        </w:rPr>
      </w:pPr>
      <w:r>
        <w:rPr>
          <w:rFonts w:cs="Arial" w:ascii="Arial" w:hAnsi="Arial"/>
        </w:rPr>
      </w:r>
      <w:r>
        <w:br w:type="page"/>
      </w:r>
    </w:p>
    <w:p>
      <w:pPr>
        <w:pStyle w:val="Heading1"/>
        <w:spacing w:lineRule="auto" w:line="360"/>
        <w:jc w:val="center"/>
        <w:rPr>
          <w:rFonts w:ascii="Arial" w:hAnsi="Arial" w:cs="Arial"/>
          <w:b/>
          <w:b/>
          <w:color w:val="auto"/>
        </w:rPr>
      </w:pPr>
      <w:bookmarkStart w:id="1" w:name="_Toc98018330"/>
      <w:r>
        <w:rPr>
          <w:rFonts w:cs="Arial" w:ascii="Arial" w:hAnsi="Arial"/>
          <w:b/>
          <w:color w:val="auto"/>
        </w:rPr>
        <w:t>Concept and Drivers of Employee Engagement</w:t>
      </w:r>
      <w:bookmarkEnd w:id="1"/>
    </w:p>
    <w:p>
      <w:pPr>
        <w:pStyle w:val="Normal"/>
        <w:spacing w:lineRule="auto" w:line="360"/>
        <w:rPr>
          <w:rFonts w:ascii="Arial" w:hAnsi="Arial" w:cs="Arial"/>
        </w:rPr>
      </w:pPr>
      <w:r>
        <w:rPr>
          <w:rFonts w:cs="Arial" w:ascii="Arial" w:hAnsi="Arial"/>
        </w:rPr>
        <w:t xml:space="preserve">Healthier companies have been obligated to develop organizational indicators and methods that foster and strengthen a culture of well-being amongst their staff, leading to enhanced productivity. In industry, the word “harmful or toxic" firm alludes to the contrary structure, which is defined by unsatisfactory working conditions, increased rates of absence, and excessive churn rates. </w:t>
      </w:r>
    </w:p>
    <w:p>
      <w:pPr>
        <w:pStyle w:val="ListParagraph"/>
        <w:numPr>
          <w:ilvl w:val="0"/>
          <w:numId w:val="1"/>
        </w:numPr>
        <w:pBdr>
          <w:top w:val="single" w:sz="4" w:space="1" w:color="000000"/>
          <w:left w:val="single" w:sz="4" w:space="4" w:color="000000"/>
          <w:bottom w:val="single" w:sz="4" w:space="1" w:color="000000"/>
          <w:right w:val="single" w:sz="4" w:space="4" w:color="000000"/>
        </w:pBdr>
        <w:spacing w:lineRule="auto" w:line="360"/>
        <w:jc w:val="both"/>
        <w:rPr>
          <w:rFonts w:ascii="Arial" w:hAnsi="Arial" w:cs="Arial"/>
        </w:rPr>
      </w:pPr>
      <w:r>
        <w:rPr>
          <w:rFonts w:cs="Arial" w:ascii="Arial" w:hAnsi="Arial"/>
        </w:rPr>
        <w:t>This tragedy offers a huge threat to businesses both of fiscal and functional damage (</w:t>
      </w:r>
      <w:r>
        <w:rPr>
          <w:rFonts w:cs="Arial" w:ascii="Arial" w:hAnsi="Arial"/>
          <w:shd w:fill="FFFFFF" w:val="clear"/>
        </w:rPr>
        <w:t>Torrington et al., 2014)</w:t>
      </w:r>
      <w:r>
        <w:rPr>
          <w:rFonts w:cs="Arial" w:ascii="Arial" w:hAnsi="Arial"/>
        </w:rPr>
        <w:t xml:space="preserve">. A high-performing staff adds to enhanced financial conditions. As an outcome, employee engagement and the setting where employees perform possess a major cognitive and emotional effect on positive workplace attitude and commitment. </w:t>
      </w:r>
    </w:p>
    <w:p>
      <w:pPr>
        <w:pStyle w:val="ListParagraph"/>
        <w:numPr>
          <w:ilvl w:val="0"/>
          <w:numId w:val="1"/>
        </w:numPr>
        <w:pBdr>
          <w:top w:val="single" w:sz="4" w:space="1" w:color="000000"/>
          <w:left w:val="single" w:sz="4" w:space="4" w:color="000000"/>
          <w:bottom w:val="single" w:sz="4" w:space="1" w:color="000000"/>
          <w:right w:val="single" w:sz="4" w:space="4" w:color="000000"/>
        </w:pBdr>
        <w:spacing w:lineRule="auto" w:line="360"/>
        <w:jc w:val="both"/>
        <w:rPr>
          <w:rFonts w:ascii="Arial" w:hAnsi="Arial" w:cs="Arial"/>
        </w:rPr>
      </w:pPr>
      <w:r>
        <w:rPr>
          <w:rFonts w:cs="Arial" w:ascii="Arial" w:hAnsi="Arial"/>
        </w:rPr>
        <w:t>Thus, there has been a correlation between corporate productivity and employee pleasure (</w:t>
      </w:r>
      <w:r>
        <w:rPr>
          <w:rFonts w:cs="Arial" w:ascii="Arial" w:hAnsi="Arial"/>
          <w:shd w:fill="FFFFFF" w:val="clear"/>
        </w:rPr>
        <w:t>Meyers et al., 2020)</w:t>
      </w:r>
      <w:r>
        <w:rPr>
          <w:rFonts w:cs="Arial" w:ascii="Arial" w:hAnsi="Arial"/>
        </w:rPr>
        <w:t>. This has been demonstrated that the association between communication and organization performance is correlated with firm accomplishment, which is stated as the attainment of the firm's defined targets by the firm.</w:t>
      </w:r>
    </w:p>
    <w:p>
      <w:pPr>
        <w:pStyle w:val="ListParagraph"/>
        <w:numPr>
          <w:ilvl w:val="0"/>
          <w:numId w:val="1"/>
        </w:numPr>
        <w:pBdr>
          <w:top w:val="single" w:sz="4" w:space="1" w:color="000000"/>
          <w:left w:val="single" w:sz="4" w:space="4" w:color="000000"/>
          <w:bottom w:val="single" w:sz="4" w:space="1" w:color="000000"/>
          <w:right w:val="single" w:sz="4" w:space="4" w:color="000000"/>
        </w:pBdr>
        <w:spacing w:lineRule="auto" w:line="360"/>
        <w:jc w:val="both"/>
        <w:rPr>
          <w:rFonts w:ascii="Arial" w:hAnsi="Arial" w:cs="Arial"/>
        </w:rPr>
      </w:pPr>
      <w:r>
        <w:rPr>
          <w:rFonts w:cs="Arial" w:ascii="Arial" w:hAnsi="Arial"/>
        </w:rPr>
        <w:t>A corporate culture that stimulates the progression of employee pleasure, collaboration, and efficiency could support the well-being and monetary output of the employees. From a transactional approach, workforce health is necessary to attain long-term work performance and business commitment (</w:t>
      </w:r>
      <w:r>
        <w:rPr>
          <w:rFonts w:cs="Arial" w:ascii="Arial" w:hAnsi="Arial"/>
          <w:shd w:fill="FFFFFF" w:val="clear"/>
        </w:rPr>
        <w:t>Barreiro and Treglown, 2020)</w:t>
      </w:r>
      <w:r>
        <w:rPr>
          <w:rFonts w:cs="Arial" w:ascii="Arial" w:hAnsi="Arial"/>
        </w:rPr>
        <w:t xml:space="preserve">. Employee contentment is still to be articulated in a consistent, globally appropriate manner.  </w:t>
      </w:r>
    </w:p>
    <w:p>
      <w:pPr>
        <w:pStyle w:val="ListParagraph"/>
        <w:numPr>
          <w:ilvl w:val="0"/>
          <w:numId w:val="1"/>
        </w:numPr>
        <w:pBdr>
          <w:top w:val="single" w:sz="4" w:space="1" w:color="000000"/>
          <w:left w:val="single" w:sz="4" w:space="4" w:color="000000"/>
          <w:bottom w:val="single" w:sz="4" w:space="1" w:color="000000"/>
          <w:right w:val="single" w:sz="4" w:space="4" w:color="000000"/>
        </w:pBdr>
        <w:spacing w:lineRule="auto" w:line="360"/>
        <w:jc w:val="both"/>
        <w:rPr>
          <w:rFonts w:ascii="Arial" w:hAnsi="Arial" w:cs="Arial"/>
        </w:rPr>
      </w:pPr>
      <w:r>
        <w:rPr>
          <w:rFonts w:cs="Arial" w:ascii="Arial" w:hAnsi="Arial"/>
        </w:rPr>
        <w:t xml:space="preserve">The relevance of the concept of workforce engagement is contested. Though the form of engagement has been a contentious issue for several newspapers and consulting firms, this has been highlighted only in a few existing academic articles. </w:t>
      </w:r>
    </w:p>
    <w:p>
      <w:pPr>
        <w:pStyle w:val="Normal"/>
        <w:spacing w:lineRule="auto" w:line="360"/>
        <w:rPr>
          <w:rFonts w:ascii="Arial" w:hAnsi="Arial" w:cs="Arial"/>
        </w:rPr>
      </w:pPr>
      <w:r>
        <w:rPr>
          <w:rFonts w:cs="Arial" w:ascii="Arial" w:hAnsi="Arial"/>
        </w:rPr>
        <w:t>The latest breakthrough comprises who classified work engagement as the workforce's positive psychological sense of belonging that incorporates devotion and inclusion in employee's job (</w:t>
      </w:r>
      <w:r>
        <w:rPr>
          <w:rFonts w:cs="Arial" w:ascii="Arial" w:hAnsi="Arial"/>
          <w:shd w:fill="FFFFFF" w:val="clear"/>
        </w:rPr>
        <w:t>Kinman et al., 2020)</w:t>
      </w:r>
      <w:r>
        <w:rPr>
          <w:rFonts w:cs="Arial" w:ascii="Arial" w:hAnsi="Arial"/>
        </w:rPr>
        <w:t>. The approach employed in contextualizing engagement is crucial as it relies on whether the attribute is an optimistic technique to life and the capacity of an individual, whether the condition is among the power generation and absorption, or whether the method is founded on behavioral traits. As an outcome, different concepts of employee engagement have been proposed.</w:t>
      </w:r>
    </w:p>
    <w:p>
      <w:pPr>
        <w:pStyle w:val="Normal"/>
        <w:spacing w:lineRule="auto" w:line="360"/>
        <w:rPr>
          <w:rFonts w:ascii="Arial" w:hAnsi="Arial" w:cs="Arial"/>
        </w:rPr>
      </w:pPr>
      <w:r>
        <w:rPr>
          <w:rFonts w:cs="Arial" w:ascii="Arial" w:hAnsi="Arial"/>
        </w:rPr>
        <w:t>Employee engagement comprising cognitive, emotional, and physical resources is an initial concept that argues that it guarantees that employees interact their true selves by active interaction, consciousness, and emotional bonds. An opposing model describes engagement as diametrically contrary to stress (</w:t>
      </w:r>
      <w:r>
        <w:rPr>
          <w:rFonts w:cs="Arial" w:ascii="Arial" w:hAnsi="Arial"/>
          <w:shd w:fill="FFFFFF" w:val="clear"/>
        </w:rPr>
        <w:t>Putri and Amran, 2021)</w:t>
      </w:r>
      <w:r>
        <w:rPr>
          <w:rFonts w:cs="Arial" w:ascii="Arial" w:hAnsi="Arial"/>
        </w:rPr>
        <w:t>. Similarly, the study found on the Utrecht team refers to "employee engagement" instead of "emotional attachment," and showed that productive employees surpass their detached peers. As per the satisfaction-engagement model, personal cooperation and contentment are related to job involvement, and job satisfaction is tied to employee happiness. Employee participation involves a two-way interaction between a company and its workforce. Involvement involves retaining a cognitive and psychological mind state while holding and executing a major influence in business leadership (</w:t>
      </w:r>
      <w:r>
        <w:rPr>
          <w:rFonts w:cs="Arial" w:ascii="Arial" w:hAnsi="Arial"/>
          <w:shd w:fill="FFFFFF" w:val="clear"/>
        </w:rPr>
        <w:t>Sutton, 2020)</w:t>
      </w:r>
      <w:r>
        <w:rPr>
          <w:rFonts w:cs="Arial" w:ascii="Arial" w:hAnsi="Arial"/>
        </w:rPr>
        <w:t>. Communication is imperative within this form of leadership. As per this analysis, job satisfaction is a determinant of employee engagement. This could only be a superficial correlation if all other strategic aspects are considered. Work engagement could be stated as a positive mindset on the company's commitment to staff. Remote working is the COVID-19 crisis was among the most vital job market reforms, avoiding potential catastrophic cutbacks. In July 2020, 40% of staff had stated that they'd be working at home as the outbreak had arisen. Though numerous employees might work in an office (</w:t>
      </w:r>
      <w:r>
        <w:rPr>
          <w:rFonts w:cs="Arial" w:ascii="Arial" w:hAnsi="Arial"/>
          <w:shd w:fill="FFFFFF" w:val="clear"/>
        </w:rPr>
        <w:t>Radic et al., 2020)</w:t>
      </w:r>
      <w:r>
        <w:rPr>
          <w:rFonts w:cs="Arial" w:ascii="Arial" w:hAnsi="Arial"/>
        </w:rPr>
        <w:t>, there are several families with kids and parents that cannot be left behind during this shutdown, compelling employees to stay home.</w:t>
      </w:r>
    </w:p>
    <w:p>
      <w:pPr>
        <w:pStyle w:val="Normal"/>
        <w:spacing w:lineRule="auto" w:line="360"/>
        <w:rPr>
          <w:rFonts w:ascii="Arial" w:hAnsi="Arial" w:cs="Arial"/>
        </w:rPr>
      </w:pPr>
      <w:r>
        <w:rPr>
          <w:rFonts w:cs="Arial" w:ascii="Arial" w:hAnsi="Arial"/>
        </w:rPr>
        <w:t>Working at home enables a more flexible and democratic workforce that utilizes less space and resources, leading to a more efficient organization. There would be fewer emissions as more employees work at home, and environmental sustainability is becoming a desirable attribute for companies (</w:t>
      </w:r>
      <w:r>
        <w:rPr>
          <w:rFonts w:cs="Arial" w:ascii="Arial" w:hAnsi="Arial"/>
          <w:shd w:fill="FFFFFF" w:val="clear"/>
        </w:rPr>
        <w:t>Irawanto et al., 2021)</w:t>
      </w:r>
      <w:r>
        <w:rPr>
          <w:rFonts w:cs="Arial" w:ascii="Arial" w:hAnsi="Arial"/>
        </w:rPr>
        <w:t>. A significant advantage of working remotely is how it empowers workers to function from locations apart from their office spaces or facilities. Professionals will be capable to integrate their work and family with maximum ease, bringing both professional and personal satisfaction. The aim is to set equitable work opportunities, modify traditions and stereotypes, and satisfy demands for household attention and love. The model has flaws that go beyond the 'win–win' situation for both employees and supervisors (</w:t>
      </w:r>
      <w:r>
        <w:rPr>
          <w:rFonts w:cs="Arial" w:ascii="Arial" w:hAnsi="Arial"/>
          <w:shd w:fill="FFFFFF" w:val="clear"/>
        </w:rPr>
        <w:t>Torrington et al., 2014)</w:t>
      </w:r>
      <w:r>
        <w:rPr>
          <w:rFonts w:cs="Arial" w:ascii="Arial" w:hAnsi="Arial"/>
        </w:rPr>
        <w:t>. So, when the boundaries between job and family are purposely broken, work pressures cross over to non-work or family life. Remote working entails a larger degree of self-sufficiency than expected in regular corporate environments. There have been very few adaptations than are possibilities for an ideal approach, social norms for particular traits, and industry patterns. A sense of belonging, consistency, and assurance are being lost in the process of their leaving from a firm's support system (</w:t>
      </w:r>
      <w:r>
        <w:rPr>
          <w:rFonts w:cs="Arial" w:ascii="Arial" w:hAnsi="Arial"/>
          <w:shd w:fill="FFFFFF" w:val="clear"/>
        </w:rPr>
        <w:t>Kinman et al., 2020)</w:t>
      </w:r>
      <w:r>
        <w:rPr>
          <w:rFonts w:cs="Arial" w:ascii="Arial" w:hAnsi="Arial"/>
        </w:rPr>
        <w:t>.  The COVID-19 epidemic has been aggravated by economic instability, higher unemployment, potential career ambiguity, work sheer unpredictability, physical and social distancing with one's colleagues and neighborhood.</w:t>
      </w:r>
    </w:p>
    <w:p>
      <w:pPr>
        <w:pStyle w:val="Heading1"/>
        <w:spacing w:lineRule="auto" w:line="360"/>
        <w:jc w:val="center"/>
        <w:rPr>
          <w:rFonts w:ascii="Arial" w:hAnsi="Arial" w:cs="Arial"/>
          <w:b/>
          <w:b/>
          <w:color w:val="auto"/>
        </w:rPr>
      </w:pPr>
      <w:bookmarkStart w:id="2" w:name="_Toc98018331"/>
      <w:r>
        <w:rPr>
          <w:rFonts w:cs="Arial" w:ascii="Arial" w:hAnsi="Arial"/>
          <w:b/>
          <w:color w:val="auto"/>
        </w:rPr>
        <w:t>Diagnostic Tools to Measure the Engagement</w:t>
      </w:r>
      <w:bookmarkEnd w:id="2"/>
    </w:p>
    <w:p>
      <w:pPr>
        <w:pStyle w:val="ListParagraph"/>
        <w:numPr>
          <w:ilvl w:val="0"/>
          <w:numId w:val="2"/>
        </w:numPr>
        <w:spacing w:lineRule="auto" w:line="360"/>
        <w:rPr>
          <w:rFonts w:ascii="Arial" w:hAnsi="Arial" w:cs="Arial"/>
        </w:rPr>
      </w:pPr>
      <w:r>
        <w:rPr>
          <w:rFonts w:cs="Arial" w:ascii="Arial" w:hAnsi="Arial"/>
          <w:b/>
          <w:bCs/>
        </w:rPr>
        <w:t>Confidence</w:t>
      </w:r>
      <w:r>
        <w:rPr>
          <w:rFonts w:cs="Arial" w:ascii="Arial" w:hAnsi="Arial"/>
        </w:rPr>
        <w:t>: The work culture has a substantial influence on employees’ health. The World Health Organization (WHO) argues that "wellness" is a holistic sense of well-being instead of only the absence of pain. In this context, general organizational unfairness might cause psychological reactions like stress or heart failure (</w:t>
      </w:r>
      <w:r>
        <w:rPr>
          <w:rFonts w:cs="Arial" w:ascii="Arial" w:hAnsi="Arial"/>
          <w:shd w:fill="FFFFFF" w:val="clear"/>
        </w:rPr>
        <w:t>Marchington et al., 2016)</w:t>
      </w:r>
      <w:r>
        <w:rPr>
          <w:rFonts w:cs="Arial" w:ascii="Arial" w:hAnsi="Arial"/>
        </w:rPr>
        <w:t>. Long-term exposure to organizational unfairness might also lead to long-term challenges harming an employee's living standard, like sleep disruption and poor relaxation, systemic inflammation, and other difficulties.</w:t>
      </w:r>
    </w:p>
    <w:p>
      <w:pPr>
        <w:pStyle w:val="ListParagraph"/>
        <w:numPr>
          <w:ilvl w:val="0"/>
          <w:numId w:val="2"/>
        </w:numPr>
        <w:spacing w:lineRule="auto" w:line="360"/>
        <w:rPr>
          <w:rFonts w:ascii="Arial" w:hAnsi="Arial" w:cs="Arial"/>
        </w:rPr>
      </w:pPr>
      <w:r>
        <w:rPr>
          <w:rFonts w:cs="Arial" w:ascii="Arial" w:hAnsi="Arial"/>
          <w:b/>
          <w:bCs/>
        </w:rPr>
        <w:t>Compensation</w:t>
      </w:r>
      <w:r>
        <w:rPr>
          <w:rFonts w:cs="Arial" w:ascii="Arial" w:hAnsi="Arial"/>
        </w:rPr>
        <w:t>: This is the routine trend to reward employees with salaries and incentives, that is normally financial, for their performance or successes. In crises, it'd be a fatal misstep to abolish employee and unit fiscal activity rewards or change revenue sources, demoralizing workers. Salary integrity has a vague term that does not entail a huge fiscal contribution (</w:t>
      </w:r>
      <w:r>
        <w:rPr>
          <w:rFonts w:cs="Arial" w:ascii="Arial" w:hAnsi="Arial"/>
          <w:shd w:fill="FFFFFF" w:val="clear"/>
        </w:rPr>
        <w:t>Meyers et al., 2020)</w:t>
      </w:r>
      <w:r>
        <w:rPr>
          <w:rFonts w:cs="Arial" w:ascii="Arial" w:hAnsi="Arial"/>
        </w:rPr>
        <w:t>. The capabilities, expertise, and readiness to accept the risks all are variables that contribute to choosing how an employee perceives is fair pay. As it is strongly correlated to job satisfaction, participation, and well-being at the job, it could be viewed as discriminatory by the employers.</w:t>
      </w:r>
    </w:p>
    <w:p>
      <w:pPr>
        <w:pStyle w:val="ListParagraph"/>
        <w:numPr>
          <w:ilvl w:val="0"/>
          <w:numId w:val="2"/>
        </w:numPr>
        <w:spacing w:lineRule="auto" w:line="360"/>
        <w:rPr>
          <w:rFonts w:ascii="Arial" w:hAnsi="Arial" w:cs="Arial"/>
        </w:rPr>
      </w:pPr>
      <w:r>
        <w:rPr>
          <w:rFonts w:cs="Arial" w:ascii="Arial" w:hAnsi="Arial"/>
          <w:b/>
          <w:bCs/>
        </w:rPr>
        <w:t>Communication</w:t>
      </w:r>
      <w:r>
        <w:rPr>
          <w:rFonts w:cs="Arial" w:ascii="Arial" w:hAnsi="Arial"/>
        </w:rPr>
        <w:t>: Fostering effective communication is pertinent in coping with the difficulties of nowadays. In such difficult periods, interaction should be focused on a dynamic two-way circulation of thoughts. Interpersonal communications with peers, supervisors are vital, and they represent a major influence in shaping the daily job environmental variables (</w:t>
      </w:r>
      <w:r>
        <w:rPr>
          <w:rFonts w:cs="Arial" w:ascii="Arial" w:hAnsi="Arial"/>
          <w:shd w:fill="FFFFFF" w:val="clear"/>
        </w:rPr>
        <w:t>Obrenovic et al., 2020)</w:t>
      </w:r>
      <w:r>
        <w:rPr>
          <w:rFonts w:cs="Arial" w:ascii="Arial" w:hAnsi="Arial"/>
        </w:rPr>
        <w:t>. A parameter obtained by study and research is the impact and is one of the inter-worker association elements. Employees' problems must certainly be put into account while drafting statements. Recognition is a critical element of a management structure built on consistent interactions, training, and a long-standing legacy of gratitude.</w:t>
      </w:r>
    </w:p>
    <w:p>
      <w:pPr>
        <w:pStyle w:val="Heading1"/>
        <w:spacing w:lineRule="auto" w:line="360"/>
        <w:jc w:val="center"/>
        <w:rPr>
          <w:rFonts w:ascii="Arial" w:hAnsi="Arial" w:cs="Arial"/>
          <w:b/>
          <w:b/>
          <w:color w:val="auto"/>
        </w:rPr>
      </w:pPr>
      <w:bookmarkStart w:id="3" w:name="_Toc98018332"/>
      <w:r>
        <w:rPr>
          <w:rFonts w:cs="Arial" w:ascii="Arial" w:hAnsi="Arial"/>
          <w:b/>
          <w:color w:val="auto"/>
        </w:rPr>
        <w:t>Employee Value Proposition</w:t>
      </w:r>
      <w:bookmarkEnd w:id="3"/>
    </w:p>
    <w:p>
      <w:pPr>
        <w:pStyle w:val="Normal"/>
        <w:spacing w:lineRule="auto" w:line="360"/>
        <w:rPr>
          <w:rFonts w:ascii="Arial" w:hAnsi="Arial" w:cs="Arial"/>
        </w:rPr>
      </w:pPr>
      <w:r>
        <w:rPr>
          <w:rFonts w:cs="Arial" w:ascii="Arial" w:hAnsi="Arial"/>
        </w:rPr>
        <w:t>Considering those insights, a structure featuring the primary elements that businesses must encounter to boost their workforce' participation and loyalty while they engage with the global turmoil induced by the epidemic has been suggested. This approach incorporates a major series of indicators that should be modified and established (</w:t>
      </w:r>
      <w:r>
        <w:rPr>
          <w:rFonts w:cs="Arial" w:ascii="Arial" w:hAnsi="Arial"/>
          <w:shd w:fill="FFFFFF" w:val="clear"/>
        </w:rPr>
        <w:t>Hennein and Lowe, 2020)</w:t>
      </w:r>
      <w:r>
        <w:rPr>
          <w:rFonts w:cs="Arial" w:ascii="Arial" w:hAnsi="Arial"/>
        </w:rPr>
        <w:t xml:space="preserve">. As an outcome, every manager would be informed of the most essential elements that drive employee engagement which must be managed, and the actions that should be done to guarantee the platform's effectiveness. </w:t>
      </w:r>
    </w:p>
    <w:p>
      <w:pPr>
        <w:pStyle w:val="Normal"/>
        <w:spacing w:lineRule="auto" w:line="360"/>
        <w:rPr>
          <w:rFonts w:ascii="Arial" w:hAnsi="Arial" w:cs="Arial"/>
        </w:rPr>
      </w:pPr>
      <w:r>
        <w:rPr>
          <w:rFonts w:cs="Arial" w:ascii="Arial" w:hAnsi="Arial"/>
        </w:rPr>
        <w:t>As mentioned in the projected employee engagement model, indicators are presented to evaluate the efficiency of peaceful coexistence, training, dignity, remuneration, and interaction as contributing variables to the health and well-being of the business throughout this pandemic situation. This paper impacts in 2 directions: firstly, it includes a pattern of behavior for enhancing employee commitment in the science community (</w:t>
      </w:r>
      <w:r>
        <w:rPr>
          <w:rFonts w:cs="Arial" w:ascii="Arial" w:hAnsi="Arial"/>
          <w:shd w:fill="FFFFFF" w:val="clear"/>
        </w:rPr>
        <w:t>Barreiro and Treglown, 2020)</w:t>
      </w:r>
      <w:r>
        <w:rPr>
          <w:rFonts w:cs="Arial" w:ascii="Arial" w:hAnsi="Arial"/>
        </w:rPr>
        <w:t xml:space="preserve">, secondly, it combines conceptual foundation outcomes from expert scholars and delivers recommendations for further research. </w:t>
      </w:r>
    </w:p>
    <w:p>
      <w:pPr>
        <w:pStyle w:val="Normal"/>
        <w:spacing w:lineRule="auto" w:line="360"/>
        <w:rPr>
          <w:rFonts w:ascii="Arial" w:hAnsi="Arial" w:cs="Arial"/>
        </w:rPr>
      </w:pPr>
      <w:r>
        <w:rPr>
          <w:rFonts w:cs="Arial" w:ascii="Arial" w:hAnsi="Arial"/>
        </w:rPr>
        <w:t>The study's outcomes deliver a comprehensive model that contains the most vital corporate fitness &amp; wellbeing laws, and the practical, positive benefit that the COVID-19 problem is projected to have. It might function as a catalyst for further study into the diverse external and internal variables that could boost or mitigate the impact of such policy measures (</w:t>
      </w:r>
      <w:r>
        <w:rPr>
          <w:rFonts w:cs="Arial" w:ascii="Arial" w:hAnsi="Arial"/>
          <w:shd w:fill="FFFFFF" w:val="clear"/>
        </w:rPr>
        <w:t>Dennerlein et al., 2020)</w:t>
      </w:r>
      <w:r>
        <w:rPr>
          <w:rFonts w:cs="Arial" w:ascii="Arial" w:hAnsi="Arial"/>
        </w:rPr>
        <w:t>. Moreover, the report presents various practical significance. Employees have encountered substantial instability as an outcome of the COVID-19 situation, which is affecting their collaboration and health. Following the favorable influence of employee engagement and its well-being on efficiency, productive capacity, and corporate performance, and the pervasive pandemic context, managerial teams must combat these parameters to sustain a competitive edge within their particular fields (</w:t>
      </w:r>
      <w:r>
        <w:rPr>
          <w:rFonts w:cs="Arial" w:ascii="Arial" w:hAnsi="Arial"/>
          <w:shd w:fill="FFFFFF" w:val="clear"/>
        </w:rPr>
        <w:t>Hamilton Skurak et al., 2021)</w:t>
      </w:r>
      <w:r>
        <w:rPr>
          <w:rFonts w:cs="Arial" w:ascii="Arial" w:hAnsi="Arial"/>
        </w:rPr>
        <w:t>.  As an outcome, a layout has been built that could be adopted as a reference for several supervisors who are in control of the initiative.</w:t>
      </w:r>
    </w:p>
    <w:p>
      <w:pPr>
        <w:pStyle w:val="Normal"/>
        <w:spacing w:lineRule="auto" w:line="360"/>
        <w:rPr>
          <w:rFonts w:ascii="Arial" w:hAnsi="Arial" w:cs="Arial"/>
        </w:rPr>
      </w:pPr>
      <w:r>
        <w:rPr>
          <w:rFonts w:cs="Arial" w:ascii="Arial" w:hAnsi="Arial"/>
        </w:rPr>
        <w:t>Management should concentrate on generating remote working options that empower staff to harmonize their personal and work lives in this imaginary scenario to maximize workforce engagement. Other concerns to solve comprise acknowledging staff' expectations and future goals (</w:t>
      </w:r>
      <w:r>
        <w:rPr>
          <w:rFonts w:cs="Arial" w:ascii="Arial" w:hAnsi="Arial"/>
          <w:shd w:fill="FFFFFF" w:val="clear"/>
        </w:rPr>
        <w:t>Kinman et al., 2020)</w:t>
      </w:r>
      <w:r>
        <w:rPr>
          <w:rFonts w:cs="Arial" w:ascii="Arial" w:hAnsi="Arial"/>
        </w:rPr>
        <w:t>, their inclusion in decision-making or operational activities, and their enfranchisement. Employee opinions, beliefs, and creativity could all be enhanced through in-house training. As an outcome, employees tend to contribute when they perceive that their safety is being preserved. Companies must assure that all vital hygiene standards have been met in the work, evaluate task allocation and working remotely, and concentrate on their staff's mental stability. Supervisors should also acknowledge that designing and instituting a remuneration plan which is adaptive to the employment (</w:t>
      </w:r>
      <w:r>
        <w:rPr>
          <w:rFonts w:cs="Arial" w:ascii="Arial" w:hAnsi="Arial"/>
          <w:shd w:fill="FFFFFF" w:val="clear"/>
        </w:rPr>
        <w:t>Barreiro and Treglown, 2020)</w:t>
      </w:r>
      <w:r>
        <w:rPr>
          <w:rFonts w:cs="Arial" w:ascii="Arial" w:hAnsi="Arial"/>
        </w:rPr>
        <w:t>, on both financial reward and non-monetary perks that are more fiscally viable for the financial aspects due to the outbreak, is an effective tool for improving engagement. Lastly, businesses should enhance collaboration, knowledge transfer, and informal networks between peers and managers.</w:t>
      </w:r>
      <w:r>
        <w:br w:type="page"/>
      </w:r>
    </w:p>
    <w:p>
      <w:pPr>
        <w:pStyle w:val="Heading1"/>
        <w:spacing w:lineRule="auto" w:line="360"/>
        <w:jc w:val="center"/>
        <w:rPr>
          <w:rFonts w:ascii="Arial" w:hAnsi="Arial" w:cs="Arial"/>
          <w:b/>
          <w:b/>
          <w:color w:val="auto"/>
        </w:rPr>
      </w:pPr>
      <w:bookmarkStart w:id="4" w:name="_Toc98018333"/>
      <w:r>
        <w:rPr>
          <w:rFonts w:cs="Arial" w:ascii="Arial" w:hAnsi="Arial"/>
          <w:b/>
          <w:color w:val="auto"/>
        </w:rPr>
        <w:t>Conclusion</w:t>
      </w:r>
      <w:bookmarkEnd w:id="4"/>
    </w:p>
    <w:p>
      <w:pPr>
        <w:pStyle w:val="Normal"/>
        <w:spacing w:lineRule="auto" w:line="360"/>
        <w:rPr>
          <w:rFonts w:ascii="Arial" w:hAnsi="Arial" w:cs="Arial"/>
        </w:rPr>
      </w:pPr>
      <w:r>
        <w:rPr>
          <w:rFonts w:cs="Arial" w:ascii="Arial" w:hAnsi="Arial"/>
        </w:rPr>
        <w:t>The existing virus crisis has generated a challenging context for organizations and people those already in control of hr functions. Organizational and socio-cultural shifts are emerging, like the switch to remote work and the setup of innovative business standards and practices to reduce interaction (</w:t>
      </w:r>
      <w:r>
        <w:rPr>
          <w:rFonts w:cs="Arial" w:ascii="Arial" w:hAnsi="Arial"/>
          <w:shd w:fill="FFFFFF" w:val="clear"/>
        </w:rPr>
        <w:t>Adisa et al., 2021)</w:t>
      </w:r>
      <w:r>
        <w:rPr>
          <w:rFonts w:cs="Arial" w:ascii="Arial" w:hAnsi="Arial"/>
        </w:rPr>
        <w:t>. Employees have faced issues detaching from workload, separating career and family, or even added risk tolerance, like rejection. The crucial workforce was driven by extreme stress like excessive work, extended schedules, and shorter rest time. Moreover, acquiring infections induced at the workplace and exposing the virus to families is a major concern. All such work-related anxiety offers a sizable challenge to workforce wellness (</w:t>
      </w:r>
      <w:r>
        <w:rPr>
          <w:rFonts w:cs="Arial" w:ascii="Arial" w:hAnsi="Arial"/>
          <w:shd w:fill="FFFFFF" w:val="clear"/>
        </w:rPr>
        <w:t>Irawanto et al., 2021)</w:t>
      </w:r>
      <w:r>
        <w:rPr>
          <w:rFonts w:cs="Arial" w:ascii="Arial" w:hAnsi="Arial"/>
        </w:rPr>
        <w:t>. Organizations should comply with new health systems and regulations and precautions to avoid such pandemics. As an outcome, addressing employee difficulties has affirmed being more complex than before the virus outbreak.</w:t>
      </w:r>
    </w:p>
    <w:p>
      <w:pPr>
        <w:pStyle w:val="Normal"/>
        <w:spacing w:lineRule="auto" w:line="360"/>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jc w:val="left"/>
        <w:rPr>
          <w:rFonts w:ascii="Arial" w:hAnsi="Arial" w:cs="Arial"/>
        </w:rPr>
      </w:pPr>
      <w:r>
        <w:rPr>
          <w:rFonts w:cs="Arial" w:ascii="Arial" w:hAnsi="Arial"/>
        </w:rPr>
      </w:r>
      <w:r>
        <w:br w:type="page"/>
      </w:r>
    </w:p>
    <w:p>
      <w:pPr>
        <w:pStyle w:val="Heading1"/>
        <w:spacing w:lineRule="auto" w:line="360"/>
        <w:jc w:val="center"/>
        <w:rPr>
          <w:rFonts w:ascii="Arial" w:hAnsi="Arial" w:cs="Arial"/>
          <w:b/>
          <w:b/>
          <w:color w:val="auto"/>
        </w:rPr>
      </w:pPr>
      <w:bookmarkStart w:id="5" w:name="_Toc98018334"/>
      <w:r>
        <w:rPr>
          <w:rFonts w:cs="Arial" w:ascii="Arial" w:hAnsi="Arial"/>
          <w:b/>
          <w:color w:val="auto"/>
        </w:rPr>
        <w:t>Reference</w:t>
      </w:r>
      <w:bookmarkEnd w:id="5"/>
    </w:p>
    <w:p>
      <w:pPr>
        <w:pStyle w:val="Normal"/>
        <w:spacing w:lineRule="auto" w:line="360"/>
        <w:ind w:left="720" w:hanging="720"/>
        <w:rPr>
          <w:rFonts w:ascii="Arial" w:hAnsi="Arial" w:cs="Arial"/>
          <w:highlight w:val="white"/>
        </w:rPr>
      </w:pPr>
      <w:r>
        <w:rPr>
          <w:rFonts w:cs="Arial" w:ascii="Arial" w:hAnsi="Arial"/>
          <w:shd w:fill="FFFFFF" w:val="clear"/>
        </w:rPr>
        <w:t>Adisa, T.A., Aiyenitaju, O. and Adekoya, O.D., 2021. The work–family balance of British working women during the COVID-19 pandemic. </w:t>
      </w:r>
      <w:r>
        <w:rPr>
          <w:rFonts w:cs="Arial" w:ascii="Arial" w:hAnsi="Arial"/>
          <w:i/>
          <w:iCs/>
          <w:shd w:fill="FFFFFF" w:val="clear"/>
        </w:rPr>
        <w:t>Journal of Work-Applied Management</w:t>
      </w:r>
      <w:r>
        <w:rPr>
          <w:rFonts w:cs="Arial" w:ascii="Arial" w:hAnsi="Arial"/>
          <w:shd w:fill="FFFFFF" w:val="clear"/>
        </w:rPr>
        <w:t>.</w:t>
      </w:r>
    </w:p>
    <w:p>
      <w:pPr>
        <w:pStyle w:val="Normal"/>
        <w:spacing w:lineRule="auto" w:line="360"/>
        <w:ind w:left="720" w:hanging="720"/>
        <w:rPr>
          <w:rFonts w:ascii="Arial" w:hAnsi="Arial" w:cs="Arial"/>
          <w:highlight w:val="white"/>
        </w:rPr>
      </w:pPr>
      <w:r>
        <w:rPr>
          <w:rFonts w:cs="Arial" w:ascii="Arial" w:hAnsi="Arial"/>
          <w:shd w:fill="FFFFFF" w:val="clear"/>
        </w:rPr>
        <w:t>Barreiro, C.A. and Treglown, L., 2020. What makes an engaged employee? A facet-level approach to trait emotional intelligence as a predictor of employee engagement. </w:t>
      </w:r>
      <w:r>
        <w:rPr>
          <w:rFonts w:cs="Arial" w:ascii="Arial" w:hAnsi="Arial"/>
          <w:i/>
          <w:iCs/>
          <w:shd w:fill="FFFFFF" w:val="clear"/>
        </w:rPr>
        <w:t>Personality and Individual Differences</w:t>
      </w:r>
      <w:r>
        <w:rPr>
          <w:rFonts w:cs="Arial" w:ascii="Arial" w:hAnsi="Arial"/>
          <w:shd w:fill="FFFFFF" w:val="clear"/>
        </w:rPr>
        <w:t>, </w:t>
      </w:r>
      <w:r>
        <w:rPr>
          <w:rFonts w:cs="Arial" w:ascii="Arial" w:hAnsi="Arial"/>
          <w:i/>
          <w:iCs/>
          <w:shd w:fill="FFFFFF" w:val="clear"/>
        </w:rPr>
        <w:t>159</w:t>
      </w:r>
      <w:r>
        <w:rPr>
          <w:rFonts w:cs="Arial" w:ascii="Arial" w:hAnsi="Arial"/>
          <w:shd w:fill="FFFFFF" w:val="clear"/>
        </w:rPr>
        <w:t>, p.109892.</w:t>
      </w:r>
    </w:p>
    <w:p>
      <w:pPr>
        <w:pStyle w:val="Normal"/>
        <w:spacing w:lineRule="auto" w:line="360"/>
        <w:ind w:left="720" w:hanging="720"/>
        <w:rPr>
          <w:rFonts w:ascii="Arial" w:hAnsi="Arial" w:cs="Arial"/>
          <w:highlight w:val="white"/>
        </w:rPr>
      </w:pPr>
      <w:r>
        <w:rPr>
          <w:rFonts w:cs="Arial" w:ascii="Arial" w:hAnsi="Arial"/>
          <w:shd w:fill="FFFFFF" w:val="clear"/>
        </w:rPr>
        <w:t>Dennerlein, J.T., Burke, L., Sabbath, E.L., Williams, J.A., Peters, S.E., Wallace, L., Karapanos, M. and Sorensen, G., 2020. An integrative total worker health framework for keeping workers safe and healthy during the COVID-19 pandemic. </w:t>
      </w:r>
      <w:r>
        <w:rPr>
          <w:rFonts w:cs="Arial" w:ascii="Arial" w:hAnsi="Arial"/>
          <w:i/>
          <w:iCs/>
          <w:shd w:fill="FFFFFF" w:val="clear"/>
        </w:rPr>
        <w:t>Human factors</w:t>
      </w:r>
      <w:r>
        <w:rPr>
          <w:rFonts w:cs="Arial" w:ascii="Arial" w:hAnsi="Arial"/>
          <w:shd w:fill="FFFFFF" w:val="clear"/>
        </w:rPr>
        <w:t>, </w:t>
      </w:r>
      <w:r>
        <w:rPr>
          <w:rFonts w:cs="Arial" w:ascii="Arial" w:hAnsi="Arial"/>
          <w:i/>
          <w:iCs/>
          <w:shd w:fill="FFFFFF" w:val="clear"/>
        </w:rPr>
        <w:t>62</w:t>
      </w:r>
      <w:r>
        <w:rPr>
          <w:rFonts w:cs="Arial" w:ascii="Arial" w:hAnsi="Arial"/>
          <w:shd w:fill="FFFFFF" w:val="clear"/>
        </w:rPr>
        <w:t>(5), pp.689-696.</w:t>
      </w:r>
    </w:p>
    <w:p>
      <w:pPr>
        <w:pStyle w:val="Normal"/>
        <w:spacing w:lineRule="auto" w:line="360"/>
        <w:ind w:left="720" w:hanging="720"/>
        <w:rPr>
          <w:rFonts w:ascii="Arial" w:hAnsi="Arial" w:cs="Arial"/>
          <w:highlight w:val="white"/>
        </w:rPr>
      </w:pPr>
      <w:r>
        <w:rPr>
          <w:rFonts w:cs="Arial" w:ascii="Arial" w:hAnsi="Arial"/>
          <w:shd w:fill="FFFFFF" w:val="clear"/>
        </w:rPr>
        <w:t>Hamilton Skurak, H., Malinen, S., Näswall, K. and Kuntz, J.C., 2021. Employee wellbeing: The role of psychological detachment on the relationship between engagement and work–life conflict. </w:t>
      </w:r>
      <w:r>
        <w:rPr>
          <w:rFonts w:cs="Arial" w:ascii="Arial" w:hAnsi="Arial"/>
          <w:i/>
          <w:iCs/>
          <w:shd w:fill="FFFFFF" w:val="clear"/>
        </w:rPr>
        <w:t>Economic and Industrial Democracy</w:t>
      </w:r>
      <w:r>
        <w:rPr>
          <w:rFonts w:cs="Arial" w:ascii="Arial" w:hAnsi="Arial"/>
          <w:shd w:fill="FFFFFF" w:val="clear"/>
        </w:rPr>
        <w:t>, </w:t>
      </w:r>
      <w:r>
        <w:rPr>
          <w:rFonts w:cs="Arial" w:ascii="Arial" w:hAnsi="Arial"/>
          <w:i/>
          <w:iCs/>
          <w:shd w:fill="FFFFFF" w:val="clear"/>
        </w:rPr>
        <w:t>42</w:t>
      </w:r>
      <w:r>
        <w:rPr>
          <w:rFonts w:cs="Arial" w:ascii="Arial" w:hAnsi="Arial"/>
          <w:shd w:fill="FFFFFF" w:val="clear"/>
        </w:rPr>
        <w:t>(1), pp.116-141.</w:t>
      </w:r>
    </w:p>
    <w:p>
      <w:pPr>
        <w:pStyle w:val="Normal"/>
        <w:spacing w:lineRule="auto" w:line="360"/>
        <w:ind w:left="720" w:hanging="720"/>
        <w:rPr>
          <w:rFonts w:ascii="Arial" w:hAnsi="Arial" w:cs="Arial"/>
          <w:highlight w:val="white"/>
        </w:rPr>
      </w:pPr>
      <w:r>
        <w:rPr>
          <w:rFonts w:cs="Arial" w:ascii="Arial" w:hAnsi="Arial"/>
          <w:shd w:fill="FFFFFF" w:val="clear"/>
        </w:rPr>
        <w:t>Hennein, R. and Lowe, S., 2020. A hybrid inductive-abductive analysis of health workers’ experiences and wellbeing during the COVID-19 pandemic in the United States. </w:t>
      </w:r>
      <w:r>
        <w:rPr>
          <w:rFonts w:cs="Arial" w:ascii="Arial" w:hAnsi="Arial"/>
          <w:i/>
          <w:iCs/>
          <w:shd w:fill="FFFFFF" w:val="clear"/>
        </w:rPr>
        <w:t>PLoS One</w:t>
      </w:r>
      <w:r>
        <w:rPr>
          <w:rFonts w:cs="Arial" w:ascii="Arial" w:hAnsi="Arial"/>
          <w:shd w:fill="FFFFFF" w:val="clear"/>
        </w:rPr>
        <w:t>, </w:t>
      </w:r>
      <w:r>
        <w:rPr>
          <w:rFonts w:cs="Arial" w:ascii="Arial" w:hAnsi="Arial"/>
          <w:i/>
          <w:iCs/>
          <w:shd w:fill="FFFFFF" w:val="clear"/>
        </w:rPr>
        <w:t>15</w:t>
      </w:r>
      <w:r>
        <w:rPr>
          <w:rFonts w:cs="Arial" w:ascii="Arial" w:hAnsi="Arial"/>
          <w:shd w:fill="FFFFFF" w:val="clear"/>
        </w:rPr>
        <w:t>(10), p.e0240646.</w:t>
      </w:r>
    </w:p>
    <w:p>
      <w:pPr>
        <w:pStyle w:val="Normal"/>
        <w:spacing w:lineRule="auto" w:line="360"/>
        <w:ind w:left="720" w:hanging="720"/>
        <w:rPr>
          <w:rFonts w:ascii="Arial" w:hAnsi="Arial" w:cs="Arial"/>
          <w:highlight w:val="white"/>
        </w:rPr>
      </w:pPr>
      <w:r>
        <w:rPr>
          <w:rFonts w:cs="Arial" w:ascii="Arial" w:hAnsi="Arial"/>
          <w:shd w:fill="FFFFFF" w:val="clear"/>
        </w:rPr>
        <w:t>Irawanto, D.W., Novianti, K.R. and Roz, K., 2021. Work from home: Measuring satisfaction between work–life balance and work stress during the COVID-19 pandemic in Indonesia. </w:t>
      </w:r>
      <w:r>
        <w:rPr>
          <w:rFonts w:cs="Arial" w:ascii="Arial" w:hAnsi="Arial"/>
          <w:i/>
          <w:iCs/>
          <w:shd w:fill="FFFFFF" w:val="clear"/>
        </w:rPr>
        <w:t>Economies</w:t>
      </w:r>
      <w:r>
        <w:rPr>
          <w:rFonts w:cs="Arial" w:ascii="Arial" w:hAnsi="Arial"/>
          <w:shd w:fill="FFFFFF" w:val="clear"/>
        </w:rPr>
        <w:t>, </w:t>
      </w:r>
      <w:r>
        <w:rPr>
          <w:rFonts w:cs="Arial" w:ascii="Arial" w:hAnsi="Arial"/>
          <w:i/>
          <w:iCs/>
          <w:shd w:fill="FFFFFF" w:val="clear"/>
        </w:rPr>
        <w:t>9</w:t>
      </w:r>
      <w:r>
        <w:rPr>
          <w:rFonts w:cs="Arial" w:ascii="Arial" w:hAnsi="Arial"/>
          <w:shd w:fill="FFFFFF" w:val="clear"/>
        </w:rPr>
        <w:t>(3), p.96.</w:t>
      </w:r>
    </w:p>
    <w:p>
      <w:pPr>
        <w:pStyle w:val="Normal"/>
        <w:spacing w:lineRule="auto" w:line="360"/>
        <w:ind w:left="720" w:hanging="720"/>
        <w:rPr>
          <w:rFonts w:ascii="Arial" w:hAnsi="Arial" w:cs="Arial"/>
          <w:highlight w:val="white"/>
        </w:rPr>
      </w:pPr>
      <w:r>
        <w:rPr>
          <w:rFonts w:cs="Arial" w:ascii="Arial" w:hAnsi="Arial"/>
          <w:shd w:fill="FFFFFF" w:val="clear"/>
        </w:rPr>
        <w:t>Kinman, G., Teoh, K. and Harriss, A., 2020. Supporting the well-being of healthcare workers during and after COVID-19. </w:t>
      </w:r>
      <w:r>
        <w:rPr>
          <w:rFonts w:cs="Arial" w:ascii="Arial" w:hAnsi="Arial"/>
          <w:i/>
          <w:iCs/>
          <w:shd w:fill="FFFFFF" w:val="clear"/>
        </w:rPr>
        <w:t>Occupational Medicine</w:t>
      </w:r>
      <w:r>
        <w:rPr>
          <w:rFonts w:cs="Arial" w:ascii="Arial" w:hAnsi="Arial"/>
          <w:shd w:fill="FFFFFF" w:val="clear"/>
        </w:rPr>
        <w:t>, </w:t>
      </w:r>
      <w:r>
        <w:rPr>
          <w:rFonts w:cs="Arial" w:ascii="Arial" w:hAnsi="Arial"/>
          <w:i/>
          <w:iCs/>
          <w:shd w:fill="FFFFFF" w:val="clear"/>
        </w:rPr>
        <w:t>70</w:t>
      </w:r>
      <w:r>
        <w:rPr>
          <w:rFonts w:cs="Arial" w:ascii="Arial" w:hAnsi="Arial"/>
          <w:shd w:fill="FFFFFF" w:val="clear"/>
        </w:rPr>
        <w:t>(5), pp.294-296.</w:t>
      </w:r>
    </w:p>
    <w:p>
      <w:pPr>
        <w:pStyle w:val="Normal"/>
        <w:spacing w:lineRule="auto" w:line="360"/>
        <w:ind w:left="720" w:hanging="720"/>
        <w:rPr>
          <w:rFonts w:ascii="Arial" w:hAnsi="Arial" w:cs="Arial"/>
          <w:highlight w:val="white"/>
        </w:rPr>
      </w:pPr>
      <w:r>
        <w:rPr>
          <w:rFonts w:cs="Arial" w:ascii="Arial" w:hAnsi="Arial"/>
          <w:shd w:fill="FFFFFF" w:val="clear"/>
        </w:rPr>
        <w:t>Marchington, M., Wilkinson, A., Donnelly, R. and Kynighou, A., 2016. </w:t>
      </w:r>
      <w:r>
        <w:rPr>
          <w:rFonts w:cs="Arial" w:ascii="Arial" w:hAnsi="Arial"/>
          <w:i/>
          <w:iCs/>
          <w:shd w:fill="FFFFFF" w:val="clear"/>
        </w:rPr>
        <w:t>Human resource management at work</w:t>
      </w:r>
      <w:r>
        <w:rPr>
          <w:rFonts w:cs="Arial" w:ascii="Arial" w:hAnsi="Arial"/>
          <w:shd w:fill="FFFFFF" w:val="clear"/>
        </w:rPr>
        <w:t>. Kogan Page Publishers.</w:t>
      </w:r>
    </w:p>
    <w:p>
      <w:pPr>
        <w:pStyle w:val="Normal"/>
        <w:spacing w:lineRule="auto" w:line="360"/>
        <w:ind w:left="720" w:hanging="720"/>
        <w:rPr>
          <w:rFonts w:ascii="Arial" w:hAnsi="Arial" w:cs="Arial"/>
          <w:highlight w:val="white"/>
        </w:rPr>
      </w:pPr>
      <w:r>
        <w:rPr>
          <w:rFonts w:cs="Arial" w:ascii="Arial" w:hAnsi="Arial"/>
          <w:shd w:fill="FFFFFF" w:val="clear"/>
        </w:rPr>
        <w:t>Meyers, M.C., Kooij, D., Kroon, B., de Reuver, R. and van Woerkom, M., 2020. Organizational support for strengths use, work engagement, and contextual performance: The moderating role of age. </w:t>
      </w:r>
      <w:r>
        <w:rPr>
          <w:rFonts w:cs="Arial" w:ascii="Arial" w:hAnsi="Arial"/>
          <w:i/>
          <w:iCs/>
          <w:shd w:fill="FFFFFF" w:val="clear"/>
        </w:rPr>
        <w:t>Applied Research in Quality of Life</w:t>
      </w:r>
      <w:r>
        <w:rPr>
          <w:rFonts w:cs="Arial" w:ascii="Arial" w:hAnsi="Arial"/>
          <w:shd w:fill="FFFFFF" w:val="clear"/>
        </w:rPr>
        <w:t>, </w:t>
      </w:r>
      <w:r>
        <w:rPr>
          <w:rFonts w:cs="Arial" w:ascii="Arial" w:hAnsi="Arial"/>
          <w:i/>
          <w:iCs/>
          <w:shd w:fill="FFFFFF" w:val="clear"/>
        </w:rPr>
        <w:t>15</w:t>
      </w:r>
      <w:r>
        <w:rPr>
          <w:rFonts w:cs="Arial" w:ascii="Arial" w:hAnsi="Arial"/>
          <w:shd w:fill="FFFFFF" w:val="clear"/>
        </w:rPr>
        <w:t>(2), pp.485-502.</w:t>
      </w:r>
    </w:p>
    <w:p>
      <w:pPr>
        <w:pStyle w:val="Normal"/>
        <w:spacing w:lineRule="auto" w:line="360"/>
        <w:ind w:left="720" w:hanging="720"/>
        <w:rPr>
          <w:rFonts w:ascii="Arial" w:hAnsi="Arial" w:cs="Arial"/>
          <w:highlight w:val="white"/>
        </w:rPr>
      </w:pPr>
      <w:r>
        <w:rPr>
          <w:rFonts w:cs="Arial" w:ascii="Arial" w:hAnsi="Arial"/>
          <w:shd w:fill="FFFFFF" w:val="clear"/>
        </w:rPr>
        <w:t>Obrenovic, B., Jianguo, D., Khudaykulov, A. and Khan, M.A.S., 2020. Work-family conflict impact on psychological safety and psychological well-being: A job performance model. </w:t>
      </w:r>
      <w:r>
        <w:rPr>
          <w:rFonts w:cs="Arial" w:ascii="Arial" w:hAnsi="Arial"/>
          <w:i/>
          <w:iCs/>
          <w:shd w:fill="FFFFFF" w:val="clear"/>
        </w:rPr>
        <w:t>Frontiers in psychology</w:t>
      </w:r>
      <w:r>
        <w:rPr>
          <w:rFonts w:cs="Arial" w:ascii="Arial" w:hAnsi="Arial"/>
          <w:shd w:fill="FFFFFF" w:val="clear"/>
        </w:rPr>
        <w:t>, p.475.</w:t>
      </w:r>
    </w:p>
    <w:p>
      <w:pPr>
        <w:pStyle w:val="Normal"/>
        <w:spacing w:lineRule="auto" w:line="360"/>
        <w:ind w:left="720" w:hanging="720"/>
        <w:rPr>
          <w:rFonts w:ascii="Arial" w:hAnsi="Arial" w:cs="Arial"/>
          <w:color w:val="000000"/>
          <w:sz w:val="27"/>
          <w:szCs w:val="27"/>
        </w:rPr>
      </w:pPr>
      <w:r>
        <w:rPr>
          <w:rFonts w:cs="Arial" w:ascii="Arial" w:hAnsi="Arial"/>
          <w:shd w:fill="FFFFFF" w:val="clear"/>
        </w:rPr>
        <w:t>Putri, A. and Amran, A., 2021. Employees Work-Life Balance Reviewed From Work From Home Aspect During COVID-19 Pandemic. </w:t>
      </w:r>
      <w:r>
        <w:rPr>
          <w:rFonts w:cs="Arial" w:ascii="Arial" w:hAnsi="Arial"/>
          <w:i/>
          <w:iCs/>
          <w:shd w:fill="FFFFFF" w:val="clear"/>
        </w:rPr>
        <w:t>International Journal of Management Science and Information Technology</w:t>
      </w:r>
      <w:r>
        <w:rPr>
          <w:rFonts w:cs="Arial" w:ascii="Arial" w:hAnsi="Arial"/>
          <w:shd w:fill="FFFFFF" w:val="clear"/>
        </w:rPr>
        <w:t>, </w:t>
      </w:r>
      <w:r>
        <w:rPr>
          <w:rFonts w:cs="Arial" w:ascii="Arial" w:hAnsi="Arial"/>
          <w:i/>
          <w:iCs/>
          <w:shd w:fill="FFFFFF" w:val="clear"/>
        </w:rPr>
        <w:t>1</w:t>
      </w:r>
      <w:r>
        <w:rPr>
          <w:rFonts w:cs="Arial" w:ascii="Arial" w:hAnsi="Arial"/>
          <w:shd w:fill="FFFFFF" w:val="clear"/>
        </w:rPr>
        <w:t>(1), pp.30-34.</w:t>
      </w:r>
    </w:p>
    <w:p>
      <w:pPr>
        <w:pStyle w:val="Normal"/>
        <w:spacing w:lineRule="auto" w:line="360"/>
        <w:ind w:left="720" w:hanging="720"/>
        <w:rPr>
          <w:rFonts w:ascii="Arial" w:hAnsi="Arial" w:cs="Arial"/>
          <w:highlight w:val="white"/>
        </w:rPr>
      </w:pPr>
      <w:r>
        <w:rPr>
          <w:rFonts w:cs="Arial" w:ascii="Arial" w:hAnsi="Arial"/>
          <w:shd w:fill="FFFFFF" w:val="clear"/>
        </w:rPr>
        <w:t>Radic, A., Arjona-Fuentes, J.M., Ariza-Montes, A., Han, H. and Law, R., 2020. Job demands–job resources (JD-R) model, work engagement, and well-being of cruise ship employees. </w:t>
      </w:r>
      <w:r>
        <w:rPr>
          <w:rFonts w:cs="Arial" w:ascii="Arial" w:hAnsi="Arial"/>
          <w:i/>
          <w:iCs/>
          <w:shd w:fill="FFFFFF" w:val="clear"/>
        </w:rPr>
        <w:t>International Journal of Hospitality Management</w:t>
      </w:r>
      <w:r>
        <w:rPr>
          <w:rFonts w:cs="Arial" w:ascii="Arial" w:hAnsi="Arial"/>
          <w:shd w:fill="FFFFFF" w:val="clear"/>
        </w:rPr>
        <w:t>, </w:t>
      </w:r>
      <w:r>
        <w:rPr>
          <w:rFonts w:cs="Arial" w:ascii="Arial" w:hAnsi="Arial"/>
          <w:i/>
          <w:iCs/>
          <w:shd w:fill="FFFFFF" w:val="clear"/>
        </w:rPr>
        <w:t>88</w:t>
      </w:r>
      <w:r>
        <w:rPr>
          <w:rFonts w:cs="Arial" w:ascii="Arial" w:hAnsi="Arial"/>
          <w:shd w:fill="FFFFFF" w:val="clear"/>
        </w:rPr>
        <w:t>, p.102518.</w:t>
      </w:r>
    </w:p>
    <w:p>
      <w:pPr>
        <w:pStyle w:val="Normal"/>
        <w:spacing w:lineRule="auto" w:line="360"/>
        <w:ind w:left="720" w:hanging="720"/>
        <w:rPr>
          <w:rFonts w:ascii="Arial" w:hAnsi="Arial" w:cs="Arial"/>
          <w:highlight w:val="white"/>
        </w:rPr>
      </w:pPr>
      <w:r>
        <w:rPr>
          <w:rFonts w:cs="Arial" w:ascii="Arial" w:hAnsi="Arial"/>
          <w:shd w:fill="FFFFFF" w:val="clear"/>
        </w:rPr>
        <w:t>San Juan, N.V., Aceituno, D., Djellouli, N., Sumray, K., Regenold, N., Syversen, A., Symmons, S.M., Dowrick, A., Mitchinson, L., Singleton, G. and Vindrola-Padros, C., 2021. Mental health and well-being of healthcare workers during the COVID-19 pandemic in the UK: contrasting guidelines with experiences in practice. </w:t>
      </w:r>
      <w:r>
        <w:rPr>
          <w:rFonts w:cs="Arial" w:ascii="Arial" w:hAnsi="Arial"/>
          <w:i/>
          <w:iCs/>
          <w:shd w:fill="FFFFFF" w:val="clear"/>
        </w:rPr>
        <w:t>BJPsych Open</w:t>
      </w:r>
      <w:r>
        <w:rPr>
          <w:rFonts w:cs="Arial" w:ascii="Arial" w:hAnsi="Arial"/>
          <w:shd w:fill="FFFFFF" w:val="clear"/>
        </w:rPr>
        <w:t>, </w:t>
      </w:r>
      <w:r>
        <w:rPr>
          <w:rFonts w:cs="Arial" w:ascii="Arial" w:hAnsi="Arial"/>
          <w:i/>
          <w:iCs/>
          <w:shd w:fill="FFFFFF" w:val="clear"/>
        </w:rPr>
        <w:t>7</w:t>
      </w:r>
      <w:r>
        <w:rPr>
          <w:rFonts w:cs="Arial" w:ascii="Arial" w:hAnsi="Arial"/>
          <w:shd w:fill="FFFFFF" w:val="clear"/>
        </w:rPr>
        <w:t>(1).</w:t>
      </w:r>
    </w:p>
    <w:p>
      <w:pPr>
        <w:pStyle w:val="Normal"/>
        <w:spacing w:lineRule="auto" w:line="360"/>
        <w:ind w:left="720" w:hanging="720"/>
        <w:rPr>
          <w:rFonts w:ascii="Arial" w:hAnsi="Arial" w:cs="Arial"/>
          <w:highlight w:val="white"/>
        </w:rPr>
      </w:pPr>
      <w:r>
        <w:rPr>
          <w:rFonts w:cs="Arial" w:ascii="Arial" w:hAnsi="Arial"/>
          <w:shd w:fill="FFFFFF" w:val="clear"/>
        </w:rPr>
        <w:t>Sutton, A., 2020. Living the good life: A meta-analysis of authenticity, well-being and engagement. </w:t>
      </w:r>
      <w:r>
        <w:rPr>
          <w:rFonts w:cs="Arial" w:ascii="Arial" w:hAnsi="Arial"/>
          <w:i/>
          <w:iCs/>
          <w:shd w:fill="FFFFFF" w:val="clear"/>
        </w:rPr>
        <w:t>Personality and Individual Differences</w:t>
      </w:r>
      <w:r>
        <w:rPr>
          <w:rFonts w:cs="Arial" w:ascii="Arial" w:hAnsi="Arial"/>
          <w:shd w:fill="FFFFFF" w:val="clear"/>
        </w:rPr>
        <w:t>, </w:t>
      </w:r>
      <w:r>
        <w:rPr>
          <w:rFonts w:cs="Arial" w:ascii="Arial" w:hAnsi="Arial"/>
          <w:i/>
          <w:iCs/>
          <w:shd w:fill="FFFFFF" w:val="clear"/>
        </w:rPr>
        <w:t>153</w:t>
      </w:r>
      <w:r>
        <w:rPr>
          <w:rFonts w:cs="Arial" w:ascii="Arial" w:hAnsi="Arial"/>
          <w:shd w:fill="FFFFFF" w:val="clear"/>
        </w:rPr>
        <w:t>, p.109645.</w:t>
      </w:r>
    </w:p>
    <w:p>
      <w:pPr>
        <w:pStyle w:val="Normal"/>
        <w:spacing w:lineRule="auto" w:line="360"/>
        <w:ind w:left="720" w:hanging="720"/>
        <w:rPr>
          <w:rFonts w:ascii="Arial" w:hAnsi="Arial" w:cs="Arial"/>
          <w:highlight w:val="white"/>
        </w:rPr>
      </w:pPr>
      <w:r>
        <w:rPr>
          <w:rFonts w:cs="Arial" w:ascii="Arial" w:hAnsi="Arial"/>
          <w:shd w:fill="FFFFFF" w:val="clear"/>
        </w:rPr>
        <w:t>Torrington, D., Hall, l., Taylor, S. &amp; Atkinson, C.(2014). </w:t>
      </w:r>
      <w:r>
        <w:rPr>
          <w:rFonts w:cs="Arial" w:ascii="Arial" w:hAnsi="Arial"/>
          <w:i/>
          <w:iCs/>
          <w:shd w:fill="FFFFFF" w:val="clear"/>
        </w:rPr>
        <w:t>Human Resource Management. Harlow: Pearson</w:t>
      </w:r>
      <w:r>
        <w:rPr>
          <w:rFonts w:cs="Arial" w:ascii="Arial" w:hAnsi="Arial"/>
          <w:shd w:fill="FFFFFF" w:val="clear"/>
        </w:rPr>
        <w:t>.</w:t>
      </w:r>
    </w:p>
    <w:p>
      <w:pPr>
        <w:pStyle w:val="NormalWeb"/>
        <w:spacing w:before="280" w:after="280"/>
        <w:rPr>
          <w:rFonts w:ascii="Arial" w:hAnsi="Arial" w:cs="Arial"/>
          <w:color w:val="000000"/>
          <w:sz w:val="27"/>
          <w:szCs w:val="27"/>
        </w:rPr>
      </w:pPr>
      <w:r>
        <w:rPr>
          <w:rFonts w:cs="Arial" w:ascii="Arial" w:hAnsi="Arial"/>
          <w:color w:val="000000"/>
          <w:sz w:val="27"/>
          <w:szCs w:val="27"/>
        </w:rPr>
      </w:r>
    </w:p>
    <w:p>
      <w:pPr>
        <w:pStyle w:val="Normal"/>
        <w:rPr>
          <w:rFonts w:ascii="Arial" w:hAnsi="Arial" w:cs="Arial"/>
          <w:color w:val="222222"/>
          <w:sz w:val="20"/>
          <w:szCs w:val="20"/>
          <w:highlight w:val="white"/>
        </w:rPr>
      </w:pPr>
      <w:r>
        <w:rPr>
          <w:rFonts w:cs="Arial" w:ascii="Arial" w:hAnsi="Arial"/>
          <w:color w:val="222222"/>
          <w:sz w:val="20"/>
          <w:szCs w:val="20"/>
          <w:highlight w:val="white"/>
        </w:rPr>
      </w:r>
    </w:p>
    <w:p>
      <w:pPr>
        <w:pStyle w:val="Normal"/>
        <w:rPr>
          <w:rFonts w:ascii="Arial" w:hAnsi="Arial" w:cs="Arial"/>
        </w:rPr>
      </w:pPr>
      <w:r>
        <w:rPr>
          <w:rFonts w:cs="Arial" w:ascii="Arial" w:hAnsi="Arial"/>
        </w:rPr>
      </w:r>
    </w:p>
    <w:p>
      <w:pPr>
        <w:pStyle w:val="Normal"/>
        <w:spacing w:lineRule="auto" w:line="360"/>
        <w:rPr>
          <w:rFonts w:ascii="Arial" w:hAnsi="Arial" w:cs="Arial"/>
          <w:color w:val="222222"/>
          <w:sz w:val="20"/>
          <w:szCs w:val="20"/>
          <w:highlight w:val="white"/>
        </w:rPr>
      </w:pPr>
      <w:r>
        <w:rPr>
          <w:rFonts w:cs="Arial" w:ascii="Arial" w:hAnsi="Arial"/>
          <w:color w:val="222222"/>
          <w:sz w:val="20"/>
          <w:szCs w:val="20"/>
          <w:highlight w:val="white"/>
        </w:rPr>
      </w:r>
    </w:p>
    <w:p>
      <w:pPr>
        <w:pStyle w:val="Normal"/>
        <w:spacing w:lineRule="auto" w:line="360" w:before="0" w:after="160"/>
        <w:rPr/>
      </w:pPr>
      <w:r>
        <w:rPr/>
      </w:r>
    </w:p>
    <w:sectPr>
      <w:footerReference w:type="default" r:id="rId3"/>
      <w:type w:val="nextPage"/>
      <w:pgSz w:w="11906" w:h="16838"/>
      <w:pgMar w:left="1440" w:right="1440" w:header="0" w:top="1440" w:footer="708"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libri Light">
    <w:charset w:val="00"/>
    <w:family w:val="roman"/>
    <w:pitch w:val="variable"/>
  </w:font>
  <w:font w:name="Calibri">
    <w:charset w:val="00"/>
    <w:family w:val="auto"/>
    <w:pitch w:val="default"/>
  </w:font>
  <w:font w:name="Wingdings">
    <w:charset w:val="02"/>
    <w:family w:val="auto"/>
    <w:pitch w:val="variable"/>
  </w:font>
  <w:font w:name="Courier New">
    <w:charset w:val="01"/>
    <w:family w:val="modern"/>
    <w:pitch w:val="fixed"/>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955935951"/>
    </w:sdtPr>
    <w:sdtContent>
      <w:p>
        <w:pPr>
          <w:pStyle w:val="Footer"/>
          <w:rPr/>
        </w:pPr>
        <w:r>
          <w:rPr/>
          <mc:AlternateContent>
            <mc:Choice Requires="wpg">
              <w:drawing>
                <wp:anchor behindDoc="1" distT="0" distB="0" distL="0" distR="0" simplePos="0" locked="0" layoutInCell="1" allowOverlap="1" relativeHeight="11" wp14:anchorId="71107ADF">
                  <wp:simplePos x="0" y="0"/>
                  <wp:positionH relativeFrom="margin">
                    <wp:align>center</wp:align>
                  </wp:positionH>
                  <wp:positionV relativeFrom="paragraph">
                    <wp:align>center</wp:align>
                  </wp:positionV>
                  <wp:extent cx="420370" cy="323215"/>
                  <wp:effectExtent l="0" t="19050" r="0" b="11430"/>
                  <wp:wrapNone/>
                  <wp:docPr id="2" name="Group 1"/>
                  <a:graphic xmlns:a="http://schemas.openxmlformats.org/drawingml/2006/main">
                    <a:graphicData uri="http://schemas.microsoft.com/office/word/2010/wordprocessingGroup">
                      <wpg:wgp>
                        <wpg:cNvGrpSpPr/>
                        <wpg:grpSpPr>
                          <a:xfrm>
                            <a:off x="0" y="0"/>
                            <a:ext cx="419760" cy="322560"/>
                          </a:xfrm>
                        </wpg:grpSpPr>
                        <wps:wsp>
                          <wps:cNvSpPr/>
                          <wps:spPr>
                            <a:xfrm>
                              <a:off x="1440" y="0"/>
                              <a:ext cx="14040" cy="4320"/>
                            </a:xfrm>
                            <a:prstGeom prst="diamond">
                              <a:avLst/>
                            </a:prstGeom>
                            <a:noFill/>
                            <a:ln w="9360">
                              <a:solidFill>
                                <a:srgbClr val="a5a5a5"/>
                              </a:solidFill>
                              <a:miter/>
                            </a:ln>
                          </wps:spPr>
                          <wps:style>
                            <a:lnRef idx="0"/>
                            <a:fillRef idx="0"/>
                            <a:effectRef idx="0"/>
                            <a:fontRef idx="minor"/>
                          </wps:style>
                          <wps:bodyPr/>
                        </wps:wsp>
                        <wps:wsp>
                          <wps:cNvSpPr/>
                          <wps:spPr>
                            <a:xfrm>
                              <a:off x="3240" y="720"/>
                              <a:ext cx="10800" cy="3240"/>
                            </a:xfrm>
                            <a:prstGeom prst="rect">
                              <a:avLst/>
                            </a:prstGeom>
                            <a:noFill/>
                            <a:ln w="9360">
                              <a:solidFill>
                                <a:srgbClr val="a5a5a5"/>
                              </a:solidFill>
                              <a:miter/>
                            </a:ln>
                          </wps:spPr>
                          <wps:style>
                            <a:lnRef idx="0"/>
                            <a:fillRef idx="0"/>
                            <a:effectRef idx="0"/>
                            <a:fontRef idx="minor"/>
                          </wps:style>
                          <wps:bodyPr/>
                        </wps:wsp>
                        <wps:wsp>
                          <wps:cNvSpPr/>
                          <wps:spPr>
                            <a:xfrm>
                              <a:off x="0" y="720"/>
                              <a:ext cx="17280" cy="3240"/>
                            </a:xfrm>
                            <a:prstGeom prst="rect">
                              <a:avLst/>
                            </a:prstGeom>
                            <a:noFill/>
                            <a:ln>
                              <a:noFill/>
                            </a:ln>
                          </wps:spPr>
                          <wps:style>
                            <a:lnRef idx="0"/>
                            <a:fillRef idx="0"/>
                            <a:effectRef idx="0"/>
                            <a:fontRef idx="minor"/>
                          </wps:style>
                          <wps:txbx>
                            <w:txbxContent>
                              <w:p>
                                <w:pPr>
                                  <w:overflowPunct w:val="false"/>
                                  <w:spacing w:before="0" w:after="0" w:lineRule="auto" w:line="240"/>
                                  <w:jc w:val="center"/>
                                  <w:rPr/>
                                </w:pPr>
                                <w:r>
                                  <w:rPr>
                                    <w:sz w:val="16"/>
                                    <w:b w:val="false"/>
                                    <w:u w:val="none"/>
                                    <w:dstrike w:val="false"/>
                                    <w:strike w:val="false"/>
                                    <w:i w:val="false"/>
                                    <w:vertAlign w:val="baseline"/>
                                    <w:position w:val="0"/>
                                    <w:spacing w:val="0"/>
                                    <w:szCs w:val="16"/>
                                    <w:bCs w:val="false"/>
                                    <w:iCs w:val="false"/>
                                    <w:smallCaps w:val="false"/>
                                    <w:caps w:val="false"/>
                                    <w:rFonts w:asciiTheme="minorHAnsi" w:cstheme="minorBidi" w:eastAsiaTheme="minorHAnsi" w:hAnsiTheme="minorHAnsi" w:ascii="Calibri" w:hAnsi="Calibri"/>
                                    <w:color w:val="323E4F"/>
                                  </w:rPr>
                                  <w:t>7</w:t>
                                </w:r>
                              </w:p>
                            </w:txbxContent>
                          </wps:txbx>
                          <wps:bodyPr lIns="0" rIns="0" tIns="27360" bIns="0">
                            <a:noAutofit/>
                          </wps:bodyPr>
                        </wps:wsp>
                        <wpg:grpSp>
                          <wpg:cNvGrpSpPr/>
                          <wpg:grpSpPr>
                            <a:xfrm>
                              <a:off x="405000" y="320040"/>
                              <a:ext cx="14760" cy="2520"/>
                            </a:xfrm>
                          </wpg:grpSpPr>
                          <wps:wsp>
                            <wps:cNvSpPr/>
                            <wps:spPr>
                              <a:xfrm rot="16200000">
                                <a:off x="0" y="0"/>
                                <a:ext cx="2520" cy="11520"/>
                              </a:xfrm>
                              <a:custGeom>
                                <a:avLst/>
                                <a:gdLst/>
                                <a:ahLst/>
                                <a:rect l="l" t="t" r="r" b="b"/>
                                <a:pathLst>
                                  <a:path w="21600" h="21600">
                                    <a:moveTo>
                                      <a:pt x="0" y="0"/>
                                    </a:moveTo>
                                    <a:lnTo>
                                      <a:pt x="5400" y="21600"/>
                                    </a:lnTo>
                                    <a:lnTo>
                                      <a:pt x="16200" y="21600"/>
                                    </a:lnTo>
                                    <a:lnTo>
                                      <a:pt x="21600" y="0"/>
                                    </a:lnTo>
                                    <a:lnTo>
                                      <a:pt x="0" y="0"/>
                                    </a:lnTo>
                                    <a:close/>
                                  </a:path>
                                </a:pathLst>
                              </a:custGeom>
                              <a:noFill/>
                              <a:ln w="9360">
                                <a:solidFill>
                                  <a:srgbClr val="a5a5a5"/>
                                </a:solidFill>
                                <a:miter/>
                              </a:ln>
                            </wps:spPr>
                            <wps:style>
                              <a:lnRef idx="0"/>
                              <a:fillRef idx="0"/>
                              <a:effectRef idx="0"/>
                              <a:fontRef idx="minor"/>
                            </wps:style>
                            <wps:bodyPr/>
                          </wps:wsp>
                          <wps:wsp>
                            <wps:cNvSpPr/>
                            <wps:spPr>
                              <a:xfrm flipH="1" rot="5400000">
                                <a:off x="3240" y="0"/>
                                <a:ext cx="2520" cy="11520"/>
                              </a:xfrm>
                              <a:custGeom>
                                <a:avLst/>
                                <a:gdLst/>
                                <a:ahLst/>
                                <a:rect l="l" t="t" r="r" b="b"/>
                                <a:pathLst>
                                  <a:path w="21600" h="21600">
                                    <a:moveTo>
                                      <a:pt x="0" y="0"/>
                                    </a:moveTo>
                                    <a:lnTo>
                                      <a:pt x="5400" y="21600"/>
                                    </a:lnTo>
                                    <a:lnTo>
                                      <a:pt x="16200" y="21600"/>
                                    </a:lnTo>
                                    <a:lnTo>
                                      <a:pt x="21600" y="0"/>
                                    </a:lnTo>
                                    <a:lnTo>
                                      <a:pt x="0" y="0"/>
                                    </a:lnTo>
                                    <a:close/>
                                  </a:path>
                                </a:pathLst>
                              </a:custGeom>
                              <a:noFill/>
                              <a:ln w="9360">
                                <a:solidFill>
                                  <a:srgbClr val="a5a5a5"/>
                                </a:solidFill>
                                <a:miter/>
                              </a:ln>
                            </wps:spPr>
                            <wps:style>
                              <a:lnRef idx="0"/>
                              <a:fillRef idx="0"/>
                              <a:effectRef idx="0"/>
                              <a:fontRef idx="minor"/>
                            </wps:style>
                            <wps:bodyPr/>
                          </wps:wsp>
                        </wpg:grpSp>
                      </wpg:wgp>
                    </a:graphicData>
                  </a:graphic>
                </wp:anchor>
              </w:drawing>
            </mc:Choice>
            <mc:Fallback>
              <w:pict>
                <v:group id="shape_0" alt="Group 1" style="position:absolute;margin-left:209.1pt;margin-top:-5.8pt;width:32.7pt;height:25.7pt" coordorigin="4182,-116" coordsize="654,514">
                  <v:shapetype id="shapetype_4" coordsize="21600,21600" o:spt="4" path="m,10800l10800,l21600,10800l10800,21600xe">
                    <v:stroke joinstyle="miter"/>
                    <v:formulas>
                      <v:f eqn="prod width 3 4"/>
                      <v:f eqn="prod height 3 4"/>
                    </v:formulas>
                    <v:path gradientshapeok="t" o:connecttype="rect" textboxrect="5400,5400,@0,@1"/>
                  </v:shapetype>
                  <v:shape id="shape_0" stroked="t" style="position:absolute;left:4185;top:-116;width:21;height:6;mso-position-horizontal:center;mso-position-horizontal-relative:margin;mso-position-vertical:center" type="shapetype_4">
                    <w10:wrap type="none"/>
                    <v:fill o:detectmouseclick="t" on="false"/>
                    <v:stroke color="#a5a5a5" weight="9360" joinstyle="miter" endcap="flat"/>
                  </v:shape>
                  <v:rect id="shape_0" stroked="t" style="position:absolute;left:4187;top:-115;width:16;height:4;mso-position-horizontal:center;mso-position-horizontal-relative:margin;mso-position-vertical:center">
                    <w10:wrap type="none"/>
                    <v:fill o:detectmouseclick="t" on="false"/>
                    <v:stroke color="#a5a5a5" weight="9360" joinstyle="miter" endcap="flat"/>
                  </v:rect>
                  <v:rect id="shape_0" stroked="f" style="position:absolute;left:4182;top:-115;width:26;height:4;mso-position-horizontal:center;mso-position-horizontal-relative:margin;mso-position-vertical:center">
                    <v:textbox>
                      <w:txbxContent>
                        <w:p>
                          <w:pPr>
                            <w:overflowPunct w:val="false"/>
                            <w:spacing w:before="0" w:after="0" w:lineRule="auto" w:line="240"/>
                            <w:jc w:val="center"/>
                            <w:rPr/>
                          </w:pPr>
                          <w:r>
                            <w:rPr>
                              <w:sz w:val="16"/>
                              <w:b w:val="false"/>
                              <w:u w:val="none"/>
                              <w:dstrike w:val="false"/>
                              <w:strike w:val="false"/>
                              <w:i w:val="false"/>
                              <w:vertAlign w:val="baseline"/>
                              <w:position w:val="0"/>
                              <w:spacing w:val="0"/>
                              <w:szCs w:val="16"/>
                              <w:bCs w:val="false"/>
                              <w:iCs w:val="false"/>
                              <w:smallCaps w:val="false"/>
                              <w:caps w:val="false"/>
                              <w:rFonts w:asciiTheme="minorHAnsi" w:cstheme="minorBidi" w:eastAsiaTheme="minorHAnsi" w:hAnsiTheme="minorHAnsi" w:ascii="Calibri" w:hAnsi="Calibri"/>
                              <w:color w:val="323E4F"/>
                            </w:rPr>
                            <w:t>7</w:t>
                          </w:r>
                        </w:p>
                      </w:txbxContent>
                    </v:textbox>
                    <w10:wrap type="square"/>
                    <v:fill o:detectmouseclick="t" on="false"/>
                    <v:stroke color="#3465a4" joinstyle="round" endcap="flat"/>
                  </v:rect>
                  <v:group id="shape_0" style="position:absolute;left:4827;top:380;width:9;height:18"/>
                </v:group>
              </w:pict>
            </mc:Fallback>
          </mc:AlternateContent>
        </w:r>
      </w:p>
    </w:sdtContent>
  </w:sdt>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Wingdings" w:hAnsi="Wingdings" w:cs="Wingdings" w:hint="default"/>
        <w:rFonts w:cs="Wingding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2">
    <w:lvl w:ilvl="0">
      <w:start w:val="1"/>
      <w:numFmt w:val="bullet"/>
      <w:lvlText w:val=""/>
      <w:lvlJc w:val="left"/>
      <w:pPr>
        <w:ind w:left="720" w:hanging="360"/>
      </w:pPr>
      <w:rPr>
        <w:rFonts w:ascii="Wingdings" w:hAnsi="Wingdings" w:cs="Wingdings" w:hint="default"/>
        <w:rFonts w:cs="Wingdings"/>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Fonts w:cs="Wingdings"/>
      </w:rPr>
    </w:lvl>
    <w:lvl w:ilvl="3">
      <w:start w:val="1"/>
      <w:numFmt w:val="bullet"/>
      <w:lvlText w:val=""/>
      <w:lvlJc w:val="left"/>
      <w:pPr>
        <w:ind w:left="2880" w:hanging="360"/>
      </w:pPr>
      <w:rPr>
        <w:rFonts w:ascii="Symbol" w:hAnsi="Symbol" w:cs="Symbol" w:hint="default"/>
        <w:rFonts w:cs="Symbol"/>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Fonts w:cs="Wingdings"/>
      </w:rPr>
    </w:lvl>
    <w:lvl w:ilvl="6">
      <w:start w:val="1"/>
      <w:numFmt w:val="bullet"/>
      <w:lvlText w:val=""/>
      <w:lvlJc w:val="left"/>
      <w:pPr>
        <w:ind w:left="5040" w:hanging="360"/>
      </w:pPr>
      <w:rPr>
        <w:rFonts w:ascii="Symbol" w:hAnsi="Symbol" w:cs="Symbol" w:hint="default"/>
        <w:rFonts w:cs="Symbol"/>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Fonts w:cs="Wingdings"/>
      </w:rPr>
    </w:lvl>
  </w:abstractNum>
  <w:abstractNum w:abstractNumId="3">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bering>
</file>

<file path=word/settings.xml><?xml version="1.0" encoding="utf-8"?>
<w:settings xmlns:w="http://schemas.openxmlformats.org/wordprocessingml/2006/main">
  <w:zoom w:percent="8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GB" w:eastAsia="" w:bidi="bn-BD"/>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Vrinda" w:asciiTheme="minorHAnsi" w:cstheme="minorBidi" w:eastAsiaTheme="minorHAnsi" w:hAnsiTheme="minorHAnsi"/>
        <w:szCs w:val="22"/>
        <w:lang w:val="en-GB"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755075"/>
    <w:pPr>
      <w:widowControl/>
      <w:bidi w:val="0"/>
      <w:spacing w:lineRule="auto" w:line="259" w:before="0" w:after="160"/>
      <w:jc w:val="both"/>
    </w:pPr>
    <w:rPr>
      <w:rFonts w:ascii="Times New Roman" w:hAnsi="Times New Roman" w:eastAsia="Calibri" w:cs="Vrinda" w:cstheme="minorBidi" w:eastAsiaTheme="minorHAnsi"/>
      <w:color w:val="auto"/>
      <w:kern w:val="0"/>
      <w:sz w:val="24"/>
      <w:szCs w:val="22"/>
      <w:lang w:val="en-GB" w:eastAsia="en-US" w:bidi="ar-SA"/>
    </w:rPr>
  </w:style>
  <w:style w:type="paragraph" w:styleId="Heading1">
    <w:name w:val="Heading 1"/>
    <w:basedOn w:val="Normal"/>
    <w:next w:val="Normal"/>
    <w:link w:val="Heading1Char"/>
    <w:uiPriority w:val="9"/>
    <w:qFormat/>
    <w:rsid w:val="00755075"/>
    <w:pPr>
      <w:keepNext w:val="true"/>
      <w:keepLines/>
      <w:spacing w:before="240" w:after="0"/>
      <w:outlineLvl w:val="0"/>
    </w:pPr>
    <w:rPr>
      <w:rFonts w:eastAsia="" w:cs="Vrinda" w:cstheme="majorBidi" w:eastAsiaTheme="majorEastAsia"/>
      <w:color w:val="2F5496" w:themeColor="accent1" w:themeShade="bf"/>
      <w:sz w:val="32"/>
      <w:szCs w:val="32"/>
    </w:rPr>
  </w:style>
  <w:style w:type="paragraph" w:styleId="Heading2">
    <w:name w:val="Heading 2"/>
    <w:basedOn w:val="Normal"/>
    <w:next w:val="Normal"/>
    <w:link w:val="Heading2Char"/>
    <w:uiPriority w:val="9"/>
    <w:semiHidden/>
    <w:unhideWhenUsed/>
    <w:qFormat/>
    <w:rsid w:val="00755075"/>
    <w:pPr>
      <w:keepNext w:val="true"/>
      <w:keepLines/>
      <w:spacing w:before="40" w:after="0"/>
      <w:outlineLvl w:val="1"/>
    </w:pPr>
    <w:rPr>
      <w:rFonts w:eastAsia="" w:cs="Vrinda" w:cstheme="majorBidi" w:eastAsiaTheme="majorEastAsia"/>
      <w:color w:val="2F5496" w:themeColor="accent1" w:themeShade="bf"/>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755075"/>
    <w:rPr>
      <w:rFonts w:ascii="Times New Roman" w:hAnsi="Times New Roman" w:eastAsia="" w:cs="Vrinda" w:cstheme="majorBidi" w:eastAsiaTheme="majorEastAsia"/>
      <w:color w:val="2F5496" w:themeColor="accent1" w:themeShade="bf"/>
      <w:sz w:val="32"/>
      <w:szCs w:val="32"/>
    </w:rPr>
  </w:style>
  <w:style w:type="character" w:styleId="Heading2Char" w:customStyle="1">
    <w:name w:val="Heading 2 Char"/>
    <w:basedOn w:val="DefaultParagraphFont"/>
    <w:link w:val="Heading2"/>
    <w:uiPriority w:val="9"/>
    <w:semiHidden/>
    <w:qFormat/>
    <w:rsid w:val="00755075"/>
    <w:rPr>
      <w:rFonts w:ascii="Times New Roman" w:hAnsi="Times New Roman" w:eastAsia="" w:cs="Vrinda" w:cstheme="majorBidi" w:eastAsiaTheme="majorEastAsia"/>
      <w:color w:val="2F5496" w:themeColor="accent1" w:themeShade="bf"/>
      <w:sz w:val="26"/>
      <w:szCs w:val="26"/>
    </w:rPr>
  </w:style>
  <w:style w:type="character" w:styleId="HeaderChar" w:customStyle="1">
    <w:name w:val="Header Char"/>
    <w:basedOn w:val="DefaultParagraphFont"/>
    <w:link w:val="Header"/>
    <w:uiPriority w:val="99"/>
    <w:qFormat/>
    <w:rsid w:val="00755075"/>
    <w:rPr>
      <w:rFonts w:ascii="Times New Roman" w:hAnsi="Times New Roman"/>
      <w:sz w:val="24"/>
    </w:rPr>
  </w:style>
  <w:style w:type="character" w:styleId="FooterChar" w:customStyle="1">
    <w:name w:val="Footer Char"/>
    <w:basedOn w:val="DefaultParagraphFont"/>
    <w:link w:val="Footer"/>
    <w:uiPriority w:val="99"/>
    <w:qFormat/>
    <w:rsid w:val="00755075"/>
    <w:rPr>
      <w:rFonts w:ascii="Times New Roman" w:hAnsi="Times New Roman"/>
      <w:sz w:val="24"/>
    </w:rPr>
  </w:style>
  <w:style w:type="character" w:styleId="InternetLink">
    <w:name w:val="Internet Link"/>
    <w:basedOn w:val="DefaultParagraphFont"/>
    <w:uiPriority w:val="99"/>
    <w:unhideWhenUsed/>
    <w:rsid w:val="000731bc"/>
    <w:rPr>
      <w:color w:val="0563C1" w:themeColor="hyperlink"/>
      <w:u w:val="single"/>
    </w:rPr>
  </w:style>
  <w:style w:type="character" w:styleId="UnresolvedMention" w:customStyle="1">
    <w:name w:val="Unresolved Mention"/>
    <w:basedOn w:val="DefaultParagraphFont"/>
    <w:uiPriority w:val="99"/>
    <w:semiHidden/>
    <w:unhideWhenUsed/>
    <w:qFormat/>
    <w:rsid w:val="000d799e"/>
    <w:rPr>
      <w:color w:val="605E5C"/>
      <w:shd w:fill="E1DFDD" w:val="clear"/>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character" w:styleId="ListLabel13">
    <w:name w:val="ListLabel 13"/>
    <w:qFormat/>
    <w:rPr>
      <w:rFonts w:cs="Courier New"/>
    </w:rPr>
  </w:style>
  <w:style w:type="character" w:styleId="ListLabel14">
    <w:name w:val="ListLabel 14"/>
    <w:qFormat/>
    <w:rPr>
      <w:rFonts w:cs="Courier New"/>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character" w:styleId="ListLabel18">
    <w:name w:val="ListLabel 18"/>
    <w:qFormat/>
    <w:rPr>
      <w:rFonts w:cs="Courier New"/>
    </w:rPr>
  </w:style>
  <w:style w:type="character" w:styleId="ListLabel19">
    <w:name w:val="ListLabel 19"/>
    <w:qFormat/>
    <w:rPr>
      <w:rFonts w:cs="Courier New"/>
    </w:rPr>
  </w:style>
  <w:style w:type="character" w:styleId="ListLabel20">
    <w:name w:val="ListLabel 20"/>
    <w:qFormat/>
    <w:rPr>
      <w:rFonts w:cs="Courier New"/>
    </w:rPr>
  </w:style>
  <w:style w:type="character" w:styleId="ListLabel21">
    <w:name w:val="ListLabel 21"/>
    <w:qFormat/>
    <w:rPr>
      <w:rFonts w:cs="Courier New"/>
    </w:rPr>
  </w:style>
  <w:style w:type="character" w:styleId="ListLabel22">
    <w:name w:val="ListLabel 22"/>
    <w:qFormat/>
    <w:rPr>
      <w:rFonts w:cs="Courier New"/>
    </w:rPr>
  </w:style>
  <w:style w:type="character" w:styleId="ListLabel23">
    <w:name w:val="ListLabel 23"/>
    <w:qFormat/>
    <w:rPr>
      <w:rFonts w:cs="Courier New"/>
    </w:rPr>
  </w:style>
  <w:style w:type="character" w:styleId="ListLabel24">
    <w:name w:val="ListLabel 24"/>
    <w:qFormat/>
    <w:rPr>
      <w:rFonts w:cs="Courier New"/>
    </w:rPr>
  </w:style>
  <w:style w:type="character" w:styleId="ListLabel25">
    <w:name w:val="ListLabel 25"/>
    <w:qFormat/>
    <w:rPr>
      <w:rFonts w:cs="Courier New"/>
    </w:rPr>
  </w:style>
  <w:style w:type="character" w:styleId="ListLabel26">
    <w:name w:val="ListLabel 26"/>
    <w:qFormat/>
    <w:rPr>
      <w:rFonts w:cs="Courier New"/>
    </w:rPr>
  </w:style>
  <w:style w:type="character" w:styleId="ListLabel27">
    <w:name w:val="ListLabel 27"/>
    <w:qFormat/>
    <w:rPr>
      <w:rFonts w:cs="Courier New"/>
    </w:rPr>
  </w:style>
  <w:style w:type="character" w:styleId="ListLabel28">
    <w:name w:val="ListLabel 28"/>
    <w:qFormat/>
    <w:rPr>
      <w:rFonts w:cs="Courier New"/>
    </w:rPr>
  </w:style>
  <w:style w:type="character" w:styleId="ListLabel29">
    <w:name w:val="ListLabel 29"/>
    <w:qFormat/>
    <w:rPr>
      <w:rFonts w:cs="Courier New"/>
    </w:rPr>
  </w:style>
  <w:style w:type="character" w:styleId="ListLabel30">
    <w:name w:val="ListLabel 30"/>
    <w:qFormat/>
    <w:rPr>
      <w:rFonts w:cs="Courier New"/>
    </w:rPr>
  </w:style>
  <w:style w:type="character" w:styleId="ListLabel31">
    <w:name w:val="ListLabel 31"/>
    <w:qFormat/>
    <w:rPr>
      <w:rFonts w:cs="Courier New"/>
    </w:rPr>
  </w:style>
  <w:style w:type="character" w:styleId="ListLabel32">
    <w:name w:val="ListLabel 32"/>
    <w:qFormat/>
    <w:rPr>
      <w:rFonts w:cs="Courier New"/>
    </w:rPr>
  </w:style>
  <w:style w:type="character" w:styleId="ListLabel33">
    <w:name w:val="ListLabel 33"/>
    <w:qFormat/>
    <w:rPr>
      <w:rFonts w:cs="Courier New"/>
    </w:rPr>
  </w:style>
  <w:style w:type="character" w:styleId="ListLabel34">
    <w:name w:val="ListLabel 34"/>
    <w:qFormat/>
    <w:rPr>
      <w:rFonts w:cs="Courier New"/>
    </w:rPr>
  </w:style>
  <w:style w:type="character" w:styleId="ListLabel35">
    <w:name w:val="ListLabel 35"/>
    <w:qFormat/>
    <w:rPr>
      <w:rFonts w:cs="Courier New"/>
    </w:rPr>
  </w:style>
  <w:style w:type="character" w:styleId="ListLabel36">
    <w:name w:val="ListLabel 36"/>
    <w:qFormat/>
    <w:rPr>
      <w:rFonts w:cs="Courier New"/>
    </w:rPr>
  </w:style>
  <w:style w:type="character" w:styleId="ListLabel37">
    <w:name w:val="ListLabel 37"/>
    <w:qFormat/>
    <w:rPr>
      <w:rFonts w:cs="Courier New"/>
    </w:rPr>
  </w:style>
  <w:style w:type="character" w:styleId="ListLabel38">
    <w:name w:val="ListLabel 38"/>
    <w:qFormat/>
    <w:rPr>
      <w:rFonts w:cs="Courier New"/>
    </w:rPr>
  </w:style>
  <w:style w:type="character" w:styleId="ListLabel39">
    <w:name w:val="ListLabel 39"/>
    <w:qFormat/>
    <w:rPr>
      <w:rFonts w:cs="Courier New"/>
    </w:rPr>
  </w:style>
  <w:style w:type="character" w:styleId="ListLabel40">
    <w:name w:val="ListLabel 40"/>
    <w:qFormat/>
    <w:rPr>
      <w:rFonts w:cs="Courier New"/>
    </w:rPr>
  </w:style>
  <w:style w:type="character" w:styleId="ListLabel41">
    <w:name w:val="ListLabel 41"/>
    <w:qFormat/>
    <w:rPr>
      <w:rFonts w:cs="Courier New"/>
    </w:rPr>
  </w:style>
  <w:style w:type="character" w:styleId="ListLabel42">
    <w:name w:val="ListLabel 42"/>
    <w:qFormat/>
    <w:rPr>
      <w:rFonts w:cs="Courier New"/>
    </w:rPr>
  </w:style>
  <w:style w:type="character" w:styleId="ListLabel43">
    <w:name w:val="ListLabel 43"/>
    <w:qFormat/>
    <w:rPr>
      <w:rFonts w:cs="Courier New"/>
    </w:rPr>
  </w:style>
  <w:style w:type="character" w:styleId="ListLabel44">
    <w:name w:val="ListLabel 44"/>
    <w:qFormat/>
    <w:rPr>
      <w:rFonts w:cs="Courier New"/>
    </w:rPr>
  </w:style>
  <w:style w:type="character" w:styleId="ListLabel45">
    <w:name w:val="ListLabel 45"/>
    <w:qFormat/>
    <w:rPr>
      <w:rFonts w:cs="Courier New"/>
    </w:rPr>
  </w:style>
  <w:style w:type="character" w:styleId="ListLabel46">
    <w:name w:val="ListLabel 46"/>
    <w:qFormat/>
    <w:rPr>
      <w:rFonts w:cs="Courier New"/>
    </w:rPr>
  </w:style>
  <w:style w:type="character" w:styleId="ListLabel47">
    <w:name w:val="ListLabel 47"/>
    <w:qFormat/>
    <w:rPr>
      <w:rFonts w:cs="Courier New"/>
    </w:rPr>
  </w:style>
  <w:style w:type="character" w:styleId="ListLabel48">
    <w:name w:val="ListLabel 48"/>
    <w:qFormat/>
    <w:rPr>
      <w:rFonts w:cs="Courier New"/>
    </w:rPr>
  </w:style>
  <w:style w:type="character" w:styleId="IndexLink">
    <w:name w:val="Index Link"/>
    <w:qFormat/>
    <w:rPr/>
  </w:style>
  <w:style w:type="character" w:styleId="ListLabel49">
    <w:name w:val="ListLabel 49"/>
    <w:qFormat/>
    <w:rPr>
      <w:rFonts w:ascii="Arial" w:hAnsi="Arial" w:cs="Wingdings"/>
    </w:rPr>
  </w:style>
  <w:style w:type="character" w:styleId="ListLabel50">
    <w:name w:val="ListLabel 50"/>
    <w:qFormat/>
    <w:rPr>
      <w:rFonts w:cs="Courier New"/>
    </w:rPr>
  </w:style>
  <w:style w:type="character" w:styleId="ListLabel51">
    <w:name w:val="ListLabel 51"/>
    <w:qFormat/>
    <w:rPr>
      <w:rFonts w:cs="Wingdings"/>
    </w:rPr>
  </w:style>
  <w:style w:type="character" w:styleId="ListLabel52">
    <w:name w:val="ListLabel 52"/>
    <w:qFormat/>
    <w:rPr>
      <w:rFonts w:cs="Symbol"/>
    </w:rPr>
  </w:style>
  <w:style w:type="character" w:styleId="ListLabel53">
    <w:name w:val="ListLabel 53"/>
    <w:qFormat/>
    <w:rPr>
      <w:rFonts w:cs="Courier New"/>
    </w:rPr>
  </w:style>
  <w:style w:type="character" w:styleId="ListLabel54">
    <w:name w:val="ListLabel 54"/>
    <w:qFormat/>
    <w:rPr>
      <w:rFonts w:cs="Wingdings"/>
    </w:rPr>
  </w:style>
  <w:style w:type="character" w:styleId="ListLabel55">
    <w:name w:val="ListLabel 55"/>
    <w:qFormat/>
    <w:rPr>
      <w:rFonts w:cs="Symbol"/>
    </w:rPr>
  </w:style>
  <w:style w:type="character" w:styleId="ListLabel56">
    <w:name w:val="ListLabel 56"/>
    <w:qFormat/>
    <w:rPr>
      <w:rFonts w:cs="Courier New"/>
    </w:rPr>
  </w:style>
  <w:style w:type="character" w:styleId="ListLabel57">
    <w:name w:val="ListLabel 57"/>
    <w:qFormat/>
    <w:rPr>
      <w:rFonts w:cs="Wingdings"/>
    </w:rPr>
  </w:style>
  <w:style w:type="character" w:styleId="ListLabel58">
    <w:name w:val="ListLabel 58"/>
    <w:qFormat/>
    <w:rPr>
      <w:rFonts w:ascii="Arial" w:hAnsi="Arial" w:cs="Wingdings"/>
    </w:rPr>
  </w:style>
  <w:style w:type="character" w:styleId="ListLabel59">
    <w:name w:val="ListLabel 59"/>
    <w:qFormat/>
    <w:rPr>
      <w:rFonts w:cs="Courier New"/>
    </w:rPr>
  </w:style>
  <w:style w:type="character" w:styleId="ListLabel60">
    <w:name w:val="ListLabel 60"/>
    <w:qFormat/>
    <w:rPr>
      <w:rFonts w:cs="Wingdings"/>
    </w:rPr>
  </w:style>
  <w:style w:type="character" w:styleId="ListLabel61">
    <w:name w:val="ListLabel 61"/>
    <w:qFormat/>
    <w:rPr>
      <w:rFonts w:cs="Symbol"/>
    </w:rPr>
  </w:style>
  <w:style w:type="character" w:styleId="ListLabel62">
    <w:name w:val="ListLabel 62"/>
    <w:qFormat/>
    <w:rPr>
      <w:rFonts w:cs="Courier New"/>
    </w:rPr>
  </w:style>
  <w:style w:type="character" w:styleId="ListLabel63">
    <w:name w:val="ListLabel 63"/>
    <w:qFormat/>
    <w:rPr>
      <w:rFonts w:cs="Wingdings"/>
    </w:rPr>
  </w:style>
  <w:style w:type="character" w:styleId="ListLabel64">
    <w:name w:val="ListLabel 64"/>
    <w:qFormat/>
    <w:rPr>
      <w:rFonts w:cs="Symbol"/>
    </w:rPr>
  </w:style>
  <w:style w:type="character" w:styleId="ListLabel65">
    <w:name w:val="ListLabel 65"/>
    <w:qFormat/>
    <w:rPr>
      <w:rFonts w:cs="Courier New"/>
    </w:rPr>
  </w:style>
  <w:style w:type="character" w:styleId="ListLabel66">
    <w:name w:val="ListLabel 66"/>
    <w:qFormat/>
    <w:rPr>
      <w:rFonts w:cs="Wingdings"/>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OCHeading">
    <w:name w:val="TOC Heading"/>
    <w:basedOn w:val="Heading1"/>
    <w:next w:val="Normal"/>
    <w:uiPriority w:val="39"/>
    <w:unhideWhenUsed/>
    <w:qFormat/>
    <w:rsid w:val="00755075"/>
    <w:pPr>
      <w:jc w:val="left"/>
    </w:pPr>
    <w:rPr>
      <w:rFonts w:ascii="Calibri Light" w:hAnsi="Calibri Light" w:asciiTheme="majorHAnsi" w:hAnsiTheme="majorHAnsi"/>
      <w:lang w:val="en-US"/>
    </w:rPr>
  </w:style>
  <w:style w:type="paragraph" w:styleId="Header">
    <w:name w:val="Header"/>
    <w:basedOn w:val="Normal"/>
    <w:link w:val="HeaderChar"/>
    <w:uiPriority w:val="99"/>
    <w:unhideWhenUsed/>
    <w:rsid w:val="00755075"/>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755075"/>
    <w:pPr>
      <w:tabs>
        <w:tab w:val="clear" w:pos="720"/>
        <w:tab w:val="center" w:pos="4513" w:leader="none"/>
        <w:tab w:val="right" w:pos="9026" w:leader="none"/>
      </w:tabs>
      <w:spacing w:lineRule="auto" w:line="240" w:before="0" w:after="0"/>
    </w:pPr>
    <w:rPr/>
  </w:style>
  <w:style w:type="paragraph" w:styleId="ListParagraph">
    <w:name w:val="List Paragraph"/>
    <w:basedOn w:val="Normal"/>
    <w:uiPriority w:val="34"/>
    <w:qFormat/>
    <w:rsid w:val="00a218e8"/>
    <w:pPr>
      <w:spacing w:lineRule="auto" w:line="276" w:before="0" w:after="200"/>
      <w:ind w:left="720" w:hanging="0"/>
      <w:contextualSpacing/>
      <w:jc w:val="left"/>
    </w:pPr>
    <w:rPr>
      <w:rFonts w:ascii="Calibri" w:hAnsi="Calibri" w:asciiTheme="minorHAnsi" w:hAnsiTheme="minorHAnsi"/>
      <w:sz w:val="22"/>
      <w:lang w:val="en-US"/>
    </w:rPr>
  </w:style>
  <w:style w:type="paragraph" w:styleId="Contents1">
    <w:name w:val="TOC 1"/>
    <w:basedOn w:val="Normal"/>
    <w:next w:val="Normal"/>
    <w:autoRedefine/>
    <w:uiPriority w:val="39"/>
    <w:unhideWhenUsed/>
    <w:rsid w:val="000731bc"/>
    <w:pPr>
      <w:spacing w:before="0" w:after="100"/>
    </w:pPr>
    <w:rPr/>
  </w:style>
  <w:style w:type="paragraph" w:styleId="NormalWeb">
    <w:name w:val="Normal (Web)"/>
    <w:basedOn w:val="Normal"/>
    <w:uiPriority w:val="99"/>
    <w:semiHidden/>
    <w:unhideWhenUsed/>
    <w:qFormat/>
    <w:rsid w:val="000731bc"/>
    <w:pPr>
      <w:spacing w:lineRule="auto" w:line="240" w:beforeAutospacing="1" w:afterAutospacing="1"/>
      <w:jc w:val="left"/>
    </w:pPr>
    <w:rPr>
      <w:rFonts w:eastAsia="Times New Roman" w:cs="Times New Roman"/>
      <w:szCs w:val="24"/>
      <w:lang w:eastAsia="en-GB" w:bidi="bn-BD"/>
    </w:rPr>
  </w:style>
  <w:style w:type="paragraph" w:styleId="Normal1">
    <w:name w:val="Normal1"/>
    <w:qFormat/>
    <w:pPr>
      <w:widowControl/>
      <w:overflowPunct w:val="true"/>
      <w:bidi w:val="0"/>
      <w:spacing w:lineRule="auto" w:line="276" w:before="0" w:after="160"/>
      <w:jc w:val="left"/>
    </w:pPr>
    <w:rPr>
      <w:rFonts w:ascii="Calibri" w:hAnsi="Calibri" w:eastAsia="Calibri" w:cs="Lucida Sans" w:asciiTheme="minorHAnsi" w:hAnsiTheme="minorHAnsi"/>
      <w:color w:val="auto"/>
      <w:kern w:val="0"/>
      <w:sz w:val="24"/>
      <w:szCs w:val="22"/>
      <w:lang w:val="en-US"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a218e8"/>
    <w:pPr>
      <w:spacing w:after="0" w:line="240" w:lineRule="auto"/>
    </w:pPr>
    <w:rPr>
      <w:lang w:val="en-US"/>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FAR10</b:Tag>
    <b:SourceType>JournalArticle</b:SourceType>
    <b:Guid>{B47D13B5-53DA-4342-8F7B-B0084B95A61F}</b:Guid>
    <b:Author>
      <b:Author>
        <b:NameList>
          <b:Person>
            <b:Last>CHOWDHURY</b:Last>
            <b:First>FARAH</b:First>
            <b:Middle>DEEBA</b:Middle>
          </b:Person>
        </b:NameList>
      </b:Author>
    </b:Author>
    <b:Title>DOWRY, WOMEN, AND LAW IN BANGLADESH</b:Title>
    <b:JournalName>International Journal of Law, Policy and the Family</b:JournalName>
    <b:Year>2010</b:Year>
    <b:Pages>24</b:Pages>
    <b:Volume>02</b:Volume>
    <b:RefOrder>1</b:RefOrder>
  </b:Source>
</b:Sources>
</file>

<file path=customXml/itemProps1.xml><?xml version="1.0" encoding="utf-8"?>
<ds:datastoreItem xmlns:ds="http://schemas.openxmlformats.org/officeDocument/2006/customXml" ds:itemID="{33B4F09A-D4F4-455A-8A91-7B568167C7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Application>Trio_Office/6.2.8.2$Windows_x86 LibreOffice_project/</Application>
  <Pages>11</Pages>
  <Words>2310</Words>
  <Characters>13832</Characters>
  <CharactersWithSpaces>16090</CharactersWithSpaces>
  <Paragraphs>51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2022-03-10T08:08:00Z</dcterms:created>
  <dc:creator/>
  <dc:description/>
  <dc:language>en-GB</dc:language>
  <cp:lastModifiedBy/>
  <dcterms:modified xsi:type="dcterms:W3CDTF">2022-04-27T21:22:56Z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