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383E42" w14:textId="1CDCFF39" w:rsidR="00DA29AF" w:rsidRDefault="00500EE6" w:rsidP="00500EE6">
      <w:pPr>
        <w:jc w:val="right"/>
        <w:rPr>
          <w:u w:val="single"/>
        </w:rPr>
      </w:pPr>
      <w:r>
        <w:rPr>
          <w:u w:val="single"/>
        </w:rPr>
        <w:t xml:space="preserve">Laura Evans: 1400299. </w:t>
      </w:r>
    </w:p>
    <w:p w14:paraId="6537EE38" w14:textId="49980B32" w:rsidR="00500EE6" w:rsidRDefault="00500EE6" w:rsidP="00500EE6">
      <w:pPr>
        <w:jc w:val="right"/>
        <w:rPr>
          <w:u w:val="single"/>
        </w:rPr>
      </w:pPr>
      <w:r>
        <w:rPr>
          <w:u w:val="single"/>
        </w:rPr>
        <w:t xml:space="preserve">HPHI6010. </w:t>
      </w:r>
    </w:p>
    <w:p w14:paraId="24184AEB" w14:textId="15D15DD1" w:rsidR="00F806B9" w:rsidRDefault="00500EE6" w:rsidP="00F806B9">
      <w:pPr>
        <w:jc w:val="right"/>
      </w:pPr>
      <w:r>
        <w:rPr>
          <w:u w:val="single"/>
        </w:rPr>
        <w:t xml:space="preserve">Portfolio: Commentary Two. </w:t>
      </w:r>
    </w:p>
    <w:p w14:paraId="1C08C6C3" w14:textId="1FF0CF18" w:rsidR="00F806B9" w:rsidRDefault="00F806B9" w:rsidP="00F806B9"/>
    <w:p w14:paraId="74459046" w14:textId="2FAEA570" w:rsidR="00501909" w:rsidRDefault="009E0A54" w:rsidP="00F806B9">
      <w:r>
        <w:t xml:space="preserve">This essay will be analysing a section from Bernard of Clairvaux’s letter to his nephew Robert. </w:t>
      </w:r>
      <w:r w:rsidR="000D2D51">
        <w:t xml:space="preserve">Bernard of </w:t>
      </w:r>
      <w:proofErr w:type="spellStart"/>
      <w:r w:rsidR="000D2D51">
        <w:t>Fontaines</w:t>
      </w:r>
      <w:proofErr w:type="spellEnd"/>
      <w:r w:rsidR="000D2D51">
        <w:t xml:space="preserve"> was born roughly in 1190 near Dijon.</w:t>
      </w:r>
      <w:r w:rsidR="000D2D51">
        <w:rPr>
          <w:rStyle w:val="FootnoteReference"/>
        </w:rPr>
        <w:footnoteReference w:id="1"/>
      </w:r>
      <w:r w:rsidR="00960F44">
        <w:t xml:space="preserve"> </w:t>
      </w:r>
      <w:r w:rsidR="008C725D">
        <w:t xml:space="preserve">Bernard began his monastic life in the monastery of </w:t>
      </w:r>
      <w:proofErr w:type="spellStart"/>
      <w:r w:rsidR="008C725D">
        <w:t>Chiteaux</w:t>
      </w:r>
      <w:proofErr w:type="spellEnd"/>
      <w:r w:rsidR="008C725D">
        <w:t xml:space="preserve"> in his early twenties and </w:t>
      </w:r>
      <w:r w:rsidR="00093474">
        <w:t>in the next three years he had founded a new abbey called Clairvaux and began his life as an abbot.</w:t>
      </w:r>
      <w:r w:rsidR="00093474">
        <w:rPr>
          <w:rStyle w:val="FootnoteReference"/>
        </w:rPr>
        <w:footnoteReference w:id="2"/>
      </w:r>
      <w:r w:rsidR="00093474">
        <w:t xml:space="preserve"> Bernard became increasingly more active in the affairs of Rome; weighing in on the issues of antipopes and famously coming into conflict with Peter Abelard.</w:t>
      </w:r>
      <w:r w:rsidR="00093474">
        <w:rPr>
          <w:rStyle w:val="FootnoteReference"/>
        </w:rPr>
        <w:footnoteReference w:id="3"/>
      </w:r>
      <w:r w:rsidR="007922BF">
        <w:t xml:space="preserve"> His influence was such that Pope Eugenius III asked that Bernard help recruit and promote the Second Crusade in 1147.</w:t>
      </w:r>
      <w:r w:rsidR="007922BF">
        <w:rPr>
          <w:rStyle w:val="FootnoteReference"/>
        </w:rPr>
        <w:footnoteReference w:id="4"/>
      </w:r>
    </w:p>
    <w:p w14:paraId="5A0D8417" w14:textId="06CA3BFD" w:rsidR="0084252F" w:rsidRDefault="0084252F" w:rsidP="00F806B9">
      <w:r>
        <w:tab/>
      </w:r>
      <w:r w:rsidR="00BC238A">
        <w:t>Bernard did not hesitate to state his opinion, as we can see in this letter regarding his nephew Robert who, after joining him at Clairvaux, left to return to the abbey at Cluny and the letter is considered the “first shot in the great controversy between the congregation of Cluny and the Cistercian reform”.</w:t>
      </w:r>
      <w:r w:rsidR="00BC238A">
        <w:rPr>
          <w:rStyle w:val="FootnoteReference"/>
        </w:rPr>
        <w:footnoteReference w:id="5"/>
      </w:r>
      <w:r w:rsidR="00BC238A">
        <w:t xml:space="preserve"> </w:t>
      </w:r>
      <w:r w:rsidR="00120D85">
        <w:t xml:space="preserve">Through out the letter Bernard makes accusations and implications on the conduct </w:t>
      </w:r>
      <w:r w:rsidR="00156CCA">
        <w:t>of the monks at Cluny</w:t>
      </w:r>
      <w:r w:rsidR="00120D85">
        <w:t>, such as suggesting that Robert was tricked into leaving Clairvaux, “First there came a certain grand Prior sent by the chief of all the priors himself. Outwardly h</w:t>
      </w:r>
      <w:r w:rsidR="00177ED8">
        <w:t>e</w:t>
      </w:r>
      <w:r w:rsidR="00120D85">
        <w:t xml:space="preserve"> came in sheep’s clothing, but within he was a ravening wolf”</w:t>
      </w:r>
      <w:r w:rsidR="00A81B7E">
        <w:t>.</w:t>
      </w:r>
      <w:r w:rsidR="00120D85">
        <w:rPr>
          <w:rStyle w:val="FootnoteReference"/>
        </w:rPr>
        <w:footnoteReference w:id="6"/>
      </w:r>
      <w:r w:rsidR="00A81B7E">
        <w:t xml:space="preserve"> This suggests from the beginning that the order itself in Cluny is corrupt. Bernard reinforces the corrupt nature of Cluny by directly referencing the Cistercian objection of child-oblates,</w:t>
      </w:r>
      <w:r w:rsidR="00A81B7E">
        <w:rPr>
          <w:rStyle w:val="FootnoteReference"/>
        </w:rPr>
        <w:footnoteReference w:id="7"/>
      </w:r>
      <w:r w:rsidR="00A81B7E">
        <w:t xml:space="preserve"> “Let them see and judge which has the most force: the vow a father makes on behalf of his son, or the vow a son makes on his own behalf, especially when it is a vow of something better”.</w:t>
      </w:r>
      <w:r w:rsidR="00A81B7E">
        <w:rPr>
          <w:rStyle w:val="FootnoteReference"/>
        </w:rPr>
        <w:footnoteReference w:id="8"/>
      </w:r>
      <w:r w:rsidR="00B1706F">
        <w:t xml:space="preserve"> Not only does Bernard bring into question the tradition of child-oblates but also the vow that Robert made for the ‘something better’ which is Clairvaux. It can be suggested that as an adult, Robert was able to choose the better of the two monasteries with a clear and unbiased mind. C. H. Lawrence writes of the reasons Cistercians objected the child-oblates as a way “to renew the concept of monastic vocation as a spiritual adventure freely chosen </w:t>
      </w:r>
      <w:r w:rsidR="00420758">
        <w:t>by the individual in response to the divine call”.</w:t>
      </w:r>
      <w:r w:rsidR="00420758">
        <w:rPr>
          <w:rStyle w:val="FootnoteReference"/>
        </w:rPr>
        <w:footnoteReference w:id="9"/>
      </w:r>
      <w:r w:rsidR="00420758">
        <w:t xml:space="preserve"> Robert’s vow to Clairvaux shows that he believed Clairvaux to be spiritually superior to Cluny, where as his parents may have made the vow to gain advantage for themselves or for Cluny. This is further reinforced when Bernard writes, “Let your servant and law giver, Benedict, judge which is the more in order; a vow made for a child when it is too young to know anything about it, or a the vow he makes afterwards when he is of an age to speak for himself”.</w:t>
      </w:r>
      <w:r w:rsidR="00420758">
        <w:rPr>
          <w:rStyle w:val="FootnoteReference"/>
        </w:rPr>
        <w:footnoteReference w:id="10"/>
      </w:r>
      <w:r w:rsidR="00404A8C">
        <w:t xml:space="preserve"> </w:t>
      </w:r>
    </w:p>
    <w:p w14:paraId="2B7F4409" w14:textId="7D9DE624" w:rsidR="00177ED8" w:rsidRDefault="00177ED8" w:rsidP="00F806B9">
      <w:r>
        <w:lastRenderedPageBreak/>
        <w:tab/>
      </w:r>
      <w:r w:rsidR="00156CCA">
        <w:t xml:space="preserve">Bernard goes on to further damn Cluny by suggesting that </w:t>
      </w:r>
      <w:r w:rsidR="00797685">
        <w:t>they accepted Robert under false pretences, “However, there was no doubt that the boy was only promised to Cluny without any formal oblation, for the petition prescribed in the Rule was not made by his parents, nor was the hand bound in the altar cloth and offering made before witnesses”.</w:t>
      </w:r>
      <w:r w:rsidR="00797685">
        <w:rPr>
          <w:rStyle w:val="FootnoteReference"/>
        </w:rPr>
        <w:footnoteReference w:id="11"/>
      </w:r>
      <w:r w:rsidR="00797685">
        <w:t xml:space="preserve"> </w:t>
      </w:r>
      <w:r w:rsidR="003139C3">
        <w:t>The term for committing the crime of making a false oath is called perjury.</w:t>
      </w:r>
      <w:r w:rsidR="003139C3">
        <w:rPr>
          <w:rStyle w:val="FootnoteReference"/>
        </w:rPr>
        <w:footnoteReference w:id="12"/>
      </w:r>
      <w:r w:rsidR="003139C3">
        <w:t xml:space="preserve"> </w:t>
      </w:r>
      <w:r w:rsidR="009E33A0">
        <w:t>It is clear Bernard is stating that not only is Robert’s choice the spiritually superior of the two but the most legally binding. The point can be developed further as sinful since Cluny has influenced Robert to commit perjury himself by abandoning Clairvaux, forced away by the ‘ravening wolves’. Caroline Walker Bynum discusses the use of female imagery by Bernard in the letter and also in his works regarding the role of an abbot, “Bernard’s mind frequently leaps to the topic of responsibility when it finds the feminine imagery; it leaps to maternal imagery when it must discuss rule or discipline”.</w:t>
      </w:r>
      <w:r w:rsidR="009E33A0">
        <w:rPr>
          <w:rStyle w:val="FootnoteReference"/>
        </w:rPr>
        <w:footnoteReference w:id="13"/>
      </w:r>
      <w:r w:rsidR="00BC753C">
        <w:t xml:space="preserve"> In the letter he refers to his loss as the same loss of the ‘harlot of Solomon’ and states, “you too were torn from my breast”.</w:t>
      </w:r>
      <w:r w:rsidR="00BC753C">
        <w:rPr>
          <w:rStyle w:val="FootnoteReference"/>
        </w:rPr>
        <w:footnoteReference w:id="14"/>
      </w:r>
      <w:r w:rsidR="00BC753C">
        <w:t xml:space="preserve"> It can be interpreted that Bernard is appealing to Robert as ‘mother’ to distinguish himself from the sins of Roberts father, who wrongly promised him to Cluny he was too young to make the choice himself. Bernard is suggesting that his ‘motherly love’ as an abbot at Clairvaux is better spiritually for him also. Bernard is also aware of the intense Cistercian way of life at Clairvaux and warns him against the temptations of Cluny, “Do not let the roughness of our life frighten your tender years. If you feel the stings of temptation… suck not so much the wounds as the breasts of the Crucified. He will be your mother, and you will be his son”.</w:t>
      </w:r>
      <w:r w:rsidR="00BC753C">
        <w:rPr>
          <w:rStyle w:val="FootnoteReference"/>
        </w:rPr>
        <w:footnoteReference w:id="15"/>
      </w:r>
      <w:r w:rsidR="00BC753C">
        <w:t xml:space="preserve"> </w:t>
      </w:r>
    </w:p>
    <w:p w14:paraId="2D92F155" w14:textId="502BB990" w:rsidR="00A20D97" w:rsidRDefault="00A20D97" w:rsidP="00F806B9">
      <w:r>
        <w:tab/>
        <w:t>Bernard then calls Robert a ‘soldier of Christ’, in what could be suggested as an attempt to appeal to his spiritual side.</w:t>
      </w:r>
      <w:r>
        <w:rPr>
          <w:rStyle w:val="FootnoteReference"/>
        </w:rPr>
        <w:footnoteReference w:id="16"/>
      </w:r>
      <w:r w:rsidR="005949AA">
        <w:t xml:space="preserve"> Robert would have been familiar with the militarised language as the Rule of St Benedict states that the task of the monk is to fight a spiritual flight. Bernard also suggests that although Robert has fallen to temptation, his fight to beat these temptations will make him even stronger than before, “Shake off the dust and return to the battle. You will fight more gloriously after your flight, and you will conquer more gloriously”.</w:t>
      </w:r>
      <w:r w:rsidR="005949AA">
        <w:rPr>
          <w:rStyle w:val="FootnoteReference"/>
        </w:rPr>
        <w:footnoteReference w:id="17"/>
      </w:r>
    </w:p>
    <w:p w14:paraId="387A9764" w14:textId="520EAC25" w:rsidR="005949AA" w:rsidRDefault="005949AA" w:rsidP="00F806B9"/>
    <w:p w14:paraId="73BB68D2" w14:textId="77777777" w:rsidR="005949AA" w:rsidRDefault="005949AA">
      <w:pPr>
        <w:rPr>
          <w:b/>
          <w:bCs/>
        </w:rPr>
      </w:pPr>
      <w:r>
        <w:rPr>
          <w:b/>
          <w:bCs/>
        </w:rPr>
        <w:br w:type="page"/>
      </w:r>
    </w:p>
    <w:p w14:paraId="17EEF8F6" w14:textId="77B128BC" w:rsidR="005949AA" w:rsidRDefault="005949AA" w:rsidP="00F806B9">
      <w:r>
        <w:rPr>
          <w:b/>
          <w:bCs/>
        </w:rPr>
        <w:lastRenderedPageBreak/>
        <w:t xml:space="preserve">Bibliography. </w:t>
      </w:r>
    </w:p>
    <w:p w14:paraId="72323B1B" w14:textId="6C7CB078" w:rsidR="005949AA" w:rsidRDefault="005949AA" w:rsidP="00F806B9">
      <w:r>
        <w:t xml:space="preserve">Bynum, C. W. ‘Jesus as Mother and Abbot as Mother: Some Themes in Twelfth-Century Cistercian Writing’, </w:t>
      </w:r>
      <w:r>
        <w:rPr>
          <w:i/>
          <w:iCs/>
        </w:rPr>
        <w:t xml:space="preserve">The Harvard Theological Review, </w:t>
      </w:r>
      <w:r>
        <w:t xml:space="preserve">7(3/4) (1977), pp. 257-284. </w:t>
      </w:r>
    </w:p>
    <w:p w14:paraId="068ACD61" w14:textId="3C329A9F" w:rsidR="005949AA" w:rsidRPr="005949AA" w:rsidRDefault="005949AA" w:rsidP="00F806B9">
      <w:r>
        <w:t xml:space="preserve">Catholic Encyclopaedia, </w:t>
      </w:r>
      <w:r>
        <w:rPr>
          <w:i/>
          <w:iCs/>
        </w:rPr>
        <w:t xml:space="preserve">Perjury. </w:t>
      </w:r>
      <w:hyperlink r:id="rId6" w:history="1">
        <w:r w:rsidRPr="00D074CB">
          <w:rPr>
            <w:rStyle w:val="Hyperlink"/>
          </w:rPr>
          <w:t>http://www.newadvent.org/cathen/11696a.htm</w:t>
        </w:r>
      </w:hyperlink>
      <w:r>
        <w:t xml:space="preserve"> [Accessed 26</w:t>
      </w:r>
      <w:r w:rsidRPr="005949AA">
        <w:rPr>
          <w:vertAlign w:val="superscript"/>
        </w:rPr>
        <w:t>th</w:t>
      </w:r>
      <w:r>
        <w:t xml:space="preserve"> of February 2020]. </w:t>
      </w:r>
    </w:p>
    <w:p w14:paraId="5BA7DDA0" w14:textId="1CC4AD76" w:rsidR="005949AA" w:rsidRPr="005949AA" w:rsidRDefault="005949AA" w:rsidP="00F806B9">
      <w:r>
        <w:t xml:space="preserve">Lawrence, C. H. </w:t>
      </w:r>
      <w:r>
        <w:rPr>
          <w:i/>
          <w:iCs/>
        </w:rPr>
        <w:t xml:space="preserve">Medieval Monasticism: Forms of Religious Life in Western Europe in the Middle Ages. </w:t>
      </w:r>
      <w:r>
        <w:t xml:space="preserve">(Essex: Longman Group Limited, 1984). </w:t>
      </w:r>
    </w:p>
    <w:p w14:paraId="6274BC97" w14:textId="20D43A8A" w:rsidR="005949AA" w:rsidRDefault="005949AA" w:rsidP="00F806B9">
      <w:proofErr w:type="spellStart"/>
      <w:r>
        <w:t>Matarasso</w:t>
      </w:r>
      <w:proofErr w:type="spellEnd"/>
      <w:r>
        <w:t xml:space="preserve">, P. </w:t>
      </w:r>
      <w:r>
        <w:rPr>
          <w:i/>
          <w:iCs/>
        </w:rPr>
        <w:t xml:space="preserve">The Cistercian World: Monastic Writings of the Twelfth Century. </w:t>
      </w:r>
      <w:r>
        <w:t xml:space="preserve">(London: Penguin Books, 1993). </w:t>
      </w:r>
    </w:p>
    <w:p w14:paraId="08D67496" w14:textId="19EC90C1" w:rsidR="00ED6B2B" w:rsidRPr="00ED6B2B" w:rsidRDefault="00ED6B2B" w:rsidP="00F806B9">
      <w:r>
        <w:t xml:space="preserve">Meyer, J. R, </w:t>
      </w:r>
      <w:r>
        <w:rPr>
          <w:i/>
          <w:iCs/>
        </w:rPr>
        <w:t xml:space="preserve">St Bernard of Clairvaux, </w:t>
      </w:r>
      <w:r>
        <w:t xml:space="preserve">2020. </w:t>
      </w:r>
      <w:hyperlink r:id="rId7" w:history="1">
        <w:r w:rsidRPr="00D074CB">
          <w:rPr>
            <w:rStyle w:val="Hyperlink"/>
          </w:rPr>
          <w:t>https://www.britannica.com/biography/Saint-Bernard-of-Clairvaux/Pillar-of-the-church</w:t>
        </w:r>
      </w:hyperlink>
      <w:r>
        <w:t xml:space="preserve"> [Accessed 26</w:t>
      </w:r>
      <w:r w:rsidRPr="00ED6B2B">
        <w:rPr>
          <w:vertAlign w:val="superscript"/>
        </w:rPr>
        <w:t>th</w:t>
      </w:r>
      <w:r>
        <w:t xml:space="preserve"> February 2020]. </w:t>
      </w:r>
    </w:p>
    <w:p w14:paraId="5918ECB6" w14:textId="77777777" w:rsidR="005949AA" w:rsidRPr="005949AA" w:rsidRDefault="005949AA" w:rsidP="00F806B9">
      <w:bookmarkStart w:id="1" w:name="_GoBack"/>
      <w:bookmarkEnd w:id="1"/>
    </w:p>
    <w:sectPr w:rsidR="005949AA" w:rsidRPr="005949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E87683" w14:textId="77777777" w:rsidR="008C6856" w:rsidRDefault="008C6856" w:rsidP="000D2D51">
      <w:pPr>
        <w:spacing w:after="0" w:line="240" w:lineRule="auto"/>
      </w:pPr>
      <w:r>
        <w:separator/>
      </w:r>
    </w:p>
  </w:endnote>
  <w:endnote w:type="continuationSeparator" w:id="0">
    <w:p w14:paraId="0B4E2202" w14:textId="77777777" w:rsidR="008C6856" w:rsidRDefault="008C6856" w:rsidP="000D2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BC768C" w14:textId="77777777" w:rsidR="008C6856" w:rsidRDefault="008C6856" w:rsidP="000D2D51">
      <w:pPr>
        <w:spacing w:after="0" w:line="240" w:lineRule="auto"/>
      </w:pPr>
      <w:r>
        <w:separator/>
      </w:r>
    </w:p>
  </w:footnote>
  <w:footnote w:type="continuationSeparator" w:id="0">
    <w:p w14:paraId="56139451" w14:textId="77777777" w:rsidR="008C6856" w:rsidRDefault="008C6856" w:rsidP="000D2D51">
      <w:pPr>
        <w:spacing w:after="0" w:line="240" w:lineRule="auto"/>
      </w:pPr>
      <w:r>
        <w:continuationSeparator/>
      </w:r>
    </w:p>
  </w:footnote>
  <w:footnote w:id="1">
    <w:p w14:paraId="4C24D784" w14:textId="1FC2256D" w:rsidR="000D2D51" w:rsidRPr="000D2D51" w:rsidRDefault="000D2D51">
      <w:pPr>
        <w:pStyle w:val="FootnoteText"/>
      </w:pPr>
      <w:r>
        <w:rPr>
          <w:rStyle w:val="FootnoteReference"/>
        </w:rPr>
        <w:footnoteRef/>
      </w:r>
      <w:r>
        <w:t xml:space="preserve"> P. </w:t>
      </w:r>
      <w:proofErr w:type="spellStart"/>
      <w:r>
        <w:t>Matarasso</w:t>
      </w:r>
      <w:proofErr w:type="spellEnd"/>
      <w:r>
        <w:t xml:space="preserve">, </w:t>
      </w:r>
      <w:r>
        <w:rPr>
          <w:i/>
          <w:iCs/>
        </w:rPr>
        <w:t xml:space="preserve">The Cistercian World: Monastic Writings of the Twelfth Century. </w:t>
      </w:r>
      <w:r>
        <w:t xml:space="preserve">(London: Penguin Books, 1993) p. 15. </w:t>
      </w:r>
    </w:p>
  </w:footnote>
  <w:footnote w:id="2">
    <w:p w14:paraId="5787964B" w14:textId="20F990DA" w:rsidR="00093474" w:rsidRPr="00093474" w:rsidRDefault="00093474">
      <w:pPr>
        <w:pStyle w:val="FootnoteText"/>
      </w:pPr>
      <w:r>
        <w:rPr>
          <w:rStyle w:val="FootnoteReference"/>
        </w:rPr>
        <w:footnoteRef/>
      </w:r>
      <w:r>
        <w:t xml:space="preserve"> </w:t>
      </w:r>
      <w:proofErr w:type="spellStart"/>
      <w:r>
        <w:t>Matarasso</w:t>
      </w:r>
      <w:proofErr w:type="spellEnd"/>
      <w:r>
        <w:t xml:space="preserve">, </w:t>
      </w:r>
      <w:r>
        <w:rPr>
          <w:i/>
          <w:iCs/>
        </w:rPr>
        <w:t>The Cistercian World</w:t>
      </w:r>
      <w:r>
        <w:t xml:space="preserve">, p. 15. </w:t>
      </w:r>
    </w:p>
  </w:footnote>
  <w:footnote w:id="3">
    <w:p w14:paraId="27672BA3" w14:textId="2521EB4D" w:rsidR="00093474" w:rsidRPr="00093474" w:rsidRDefault="00093474">
      <w:pPr>
        <w:pStyle w:val="FootnoteText"/>
      </w:pPr>
      <w:r>
        <w:rPr>
          <w:rStyle w:val="FootnoteReference"/>
        </w:rPr>
        <w:footnoteRef/>
      </w:r>
      <w:r>
        <w:t xml:space="preserve"> </w:t>
      </w:r>
      <w:bookmarkStart w:id="0" w:name="_Hlk33982688"/>
      <w:r>
        <w:t xml:space="preserve">John Richard Meyer, </w:t>
      </w:r>
      <w:r>
        <w:rPr>
          <w:i/>
          <w:iCs/>
        </w:rPr>
        <w:t xml:space="preserve">St. Bernard of Clairvaux, </w:t>
      </w:r>
      <w:r>
        <w:t>2020</w:t>
      </w:r>
      <w:r w:rsidR="00071A1B">
        <w:t xml:space="preserve">, </w:t>
      </w:r>
      <w:hyperlink r:id="rId1" w:history="1">
        <w:r w:rsidR="00071A1B" w:rsidRPr="00D074CB">
          <w:rPr>
            <w:rStyle w:val="Hyperlink"/>
          </w:rPr>
          <w:t>https://www.britannica.com/biography/Saint-Bernard-of-Clairvaux</w:t>
        </w:r>
      </w:hyperlink>
      <w:r w:rsidR="00071A1B">
        <w:t xml:space="preserve"> [Accessed 26</w:t>
      </w:r>
      <w:r w:rsidR="00071A1B" w:rsidRPr="00071A1B">
        <w:rPr>
          <w:vertAlign w:val="superscript"/>
        </w:rPr>
        <w:t>th</w:t>
      </w:r>
      <w:r w:rsidR="00071A1B">
        <w:t xml:space="preserve"> February 2020]. </w:t>
      </w:r>
      <w:bookmarkEnd w:id="0"/>
    </w:p>
  </w:footnote>
  <w:footnote w:id="4">
    <w:p w14:paraId="3038026C" w14:textId="3DC3D208" w:rsidR="007922BF" w:rsidRPr="007922BF" w:rsidRDefault="007922BF">
      <w:pPr>
        <w:pStyle w:val="FootnoteText"/>
      </w:pPr>
      <w:r>
        <w:rPr>
          <w:rStyle w:val="FootnoteReference"/>
        </w:rPr>
        <w:footnoteRef/>
      </w:r>
      <w:r>
        <w:t xml:space="preserve"> Meyer, </w:t>
      </w:r>
      <w:r>
        <w:rPr>
          <w:i/>
          <w:iCs/>
        </w:rPr>
        <w:t xml:space="preserve">St. Bernard of Clairvaux, </w:t>
      </w:r>
      <w:r>
        <w:t xml:space="preserve">2020. </w:t>
      </w:r>
    </w:p>
  </w:footnote>
  <w:footnote w:id="5">
    <w:p w14:paraId="65BCF2D3" w14:textId="410E80FB" w:rsidR="00BC238A" w:rsidRDefault="00BC238A">
      <w:pPr>
        <w:pStyle w:val="FootnoteText"/>
      </w:pPr>
      <w:r>
        <w:rPr>
          <w:rStyle w:val="FootnoteReference"/>
        </w:rPr>
        <w:footnoteRef/>
      </w:r>
      <w:r>
        <w:t xml:space="preserve"> Coursework Material</w:t>
      </w:r>
      <w:r w:rsidR="00120D85">
        <w:t xml:space="preserve">, </w:t>
      </w:r>
      <w:r w:rsidR="00120D85">
        <w:rPr>
          <w:i/>
          <w:iCs/>
        </w:rPr>
        <w:t>The Letter of St Bernard to his nephew Robert</w:t>
      </w:r>
      <w:r>
        <w:t xml:space="preserve">. </w:t>
      </w:r>
    </w:p>
  </w:footnote>
  <w:footnote w:id="6">
    <w:p w14:paraId="6968A1B9" w14:textId="6F6EE65D" w:rsidR="00120D85" w:rsidRDefault="00120D85">
      <w:pPr>
        <w:pStyle w:val="FootnoteText"/>
      </w:pPr>
      <w:r>
        <w:rPr>
          <w:rStyle w:val="FootnoteReference"/>
        </w:rPr>
        <w:footnoteRef/>
      </w:r>
      <w:r>
        <w:t xml:space="preserve"> Ibid. </w:t>
      </w:r>
    </w:p>
  </w:footnote>
  <w:footnote w:id="7">
    <w:p w14:paraId="7067E959" w14:textId="435452EF" w:rsidR="00A81B7E" w:rsidRPr="00A81B7E" w:rsidRDefault="00A81B7E">
      <w:pPr>
        <w:pStyle w:val="FootnoteText"/>
      </w:pPr>
      <w:r>
        <w:rPr>
          <w:rStyle w:val="FootnoteReference"/>
        </w:rPr>
        <w:footnoteRef/>
      </w:r>
      <w:r>
        <w:t xml:space="preserve"> C. H. Lawrence, </w:t>
      </w:r>
      <w:r>
        <w:rPr>
          <w:i/>
          <w:iCs/>
        </w:rPr>
        <w:t xml:space="preserve">Medieval Monasticism: Forms of Religious Life in Western Europe in the Middle Ages. </w:t>
      </w:r>
      <w:r>
        <w:t xml:space="preserve">(Essex: Longman Group Limited, 1984) p. 33. </w:t>
      </w:r>
    </w:p>
  </w:footnote>
  <w:footnote w:id="8">
    <w:p w14:paraId="14DE0A6D" w14:textId="1FDFECB4" w:rsidR="00A81B7E" w:rsidRPr="00A81B7E" w:rsidRDefault="00A81B7E">
      <w:pPr>
        <w:pStyle w:val="FootnoteText"/>
      </w:pPr>
      <w:r>
        <w:rPr>
          <w:rStyle w:val="FootnoteReference"/>
        </w:rPr>
        <w:footnoteRef/>
      </w:r>
      <w:r>
        <w:t xml:space="preserve"> </w:t>
      </w:r>
      <w:r>
        <w:rPr>
          <w:i/>
          <w:iCs/>
        </w:rPr>
        <w:t xml:space="preserve">The Letter of St Bernard to his nephew Robert. </w:t>
      </w:r>
    </w:p>
  </w:footnote>
  <w:footnote w:id="9">
    <w:p w14:paraId="7FA11991" w14:textId="17B233DA" w:rsidR="00420758" w:rsidRPr="00420758" w:rsidRDefault="00420758">
      <w:pPr>
        <w:pStyle w:val="FootnoteText"/>
      </w:pPr>
      <w:r>
        <w:rPr>
          <w:rStyle w:val="FootnoteReference"/>
        </w:rPr>
        <w:footnoteRef/>
      </w:r>
      <w:r>
        <w:t xml:space="preserve"> Lawrence, </w:t>
      </w:r>
      <w:r>
        <w:rPr>
          <w:i/>
          <w:iCs/>
        </w:rPr>
        <w:t xml:space="preserve">Medieval Monasticism, </w:t>
      </w:r>
      <w:r>
        <w:t xml:space="preserve">p. 152. </w:t>
      </w:r>
    </w:p>
  </w:footnote>
  <w:footnote w:id="10">
    <w:p w14:paraId="319E0663" w14:textId="41915888" w:rsidR="00420758" w:rsidRPr="00420758" w:rsidRDefault="00420758">
      <w:pPr>
        <w:pStyle w:val="FootnoteText"/>
        <w:rPr>
          <w:i/>
          <w:iCs/>
        </w:rPr>
      </w:pPr>
      <w:r>
        <w:rPr>
          <w:rStyle w:val="FootnoteReference"/>
        </w:rPr>
        <w:footnoteRef/>
      </w:r>
      <w:r>
        <w:t xml:space="preserve"> </w:t>
      </w:r>
      <w:r>
        <w:rPr>
          <w:i/>
          <w:iCs/>
        </w:rPr>
        <w:t xml:space="preserve">The Letter of St Bernard to his nephew Robert. </w:t>
      </w:r>
    </w:p>
  </w:footnote>
  <w:footnote w:id="11">
    <w:p w14:paraId="760D584A" w14:textId="7AEDB742" w:rsidR="00797685" w:rsidRDefault="00797685">
      <w:pPr>
        <w:pStyle w:val="FootnoteText"/>
      </w:pPr>
      <w:r>
        <w:rPr>
          <w:rStyle w:val="FootnoteReference"/>
        </w:rPr>
        <w:footnoteRef/>
      </w:r>
      <w:r>
        <w:t xml:space="preserve"> Ibid. </w:t>
      </w:r>
    </w:p>
  </w:footnote>
  <w:footnote w:id="12">
    <w:p w14:paraId="3F62A63B" w14:textId="29F55F5F" w:rsidR="003139C3" w:rsidRPr="003139C3" w:rsidRDefault="003139C3">
      <w:pPr>
        <w:pStyle w:val="FootnoteText"/>
      </w:pPr>
      <w:r>
        <w:rPr>
          <w:rStyle w:val="FootnoteReference"/>
        </w:rPr>
        <w:footnoteRef/>
      </w:r>
      <w:r>
        <w:t xml:space="preserve"> Catholic Encyclopaedia. </w:t>
      </w:r>
      <w:r>
        <w:rPr>
          <w:i/>
          <w:iCs/>
        </w:rPr>
        <w:t xml:space="preserve">Perjury. </w:t>
      </w:r>
      <w:hyperlink r:id="rId2" w:history="1">
        <w:r w:rsidRPr="00D074CB">
          <w:rPr>
            <w:rStyle w:val="Hyperlink"/>
          </w:rPr>
          <w:t>http://www.newadvent.org/cathen/11696a.htm</w:t>
        </w:r>
      </w:hyperlink>
      <w:r>
        <w:t xml:space="preserve"> [Accessed 26</w:t>
      </w:r>
      <w:r w:rsidRPr="003139C3">
        <w:rPr>
          <w:vertAlign w:val="superscript"/>
        </w:rPr>
        <w:t>th</w:t>
      </w:r>
      <w:r>
        <w:t xml:space="preserve"> February 2020]. </w:t>
      </w:r>
    </w:p>
  </w:footnote>
  <w:footnote w:id="13">
    <w:p w14:paraId="6CA80786" w14:textId="0C03BE21" w:rsidR="009E33A0" w:rsidRPr="00BC753C" w:rsidRDefault="009E33A0">
      <w:pPr>
        <w:pStyle w:val="FootnoteText"/>
      </w:pPr>
      <w:r>
        <w:rPr>
          <w:rStyle w:val="FootnoteReference"/>
        </w:rPr>
        <w:footnoteRef/>
      </w:r>
      <w:r>
        <w:t xml:space="preserve"> </w:t>
      </w:r>
      <w:r w:rsidR="00BC753C">
        <w:t xml:space="preserve">C. W. Bynum, ‘Jesus as Mother and Abbot as Mother: Some Themes in Twelfth-Century Cistercian Writing’, </w:t>
      </w:r>
      <w:r w:rsidR="00BC753C">
        <w:rPr>
          <w:i/>
          <w:iCs/>
        </w:rPr>
        <w:t xml:space="preserve">The Harvard Theological Review, </w:t>
      </w:r>
      <w:r w:rsidR="00BC753C">
        <w:t xml:space="preserve">70(3/4) (1997), 257-284 (p. 277). </w:t>
      </w:r>
    </w:p>
  </w:footnote>
  <w:footnote w:id="14">
    <w:p w14:paraId="57641A5E" w14:textId="102105F5" w:rsidR="00BC753C" w:rsidRDefault="00BC753C">
      <w:pPr>
        <w:pStyle w:val="FootnoteText"/>
      </w:pPr>
      <w:r>
        <w:rPr>
          <w:rStyle w:val="FootnoteReference"/>
        </w:rPr>
        <w:footnoteRef/>
      </w:r>
      <w:r>
        <w:t xml:space="preserve"> Bynum, ‘Jesus as Mother’, p. 262. </w:t>
      </w:r>
    </w:p>
  </w:footnote>
  <w:footnote w:id="15">
    <w:p w14:paraId="2BA5B752" w14:textId="44782CC8" w:rsidR="00BC753C" w:rsidRDefault="00BC753C">
      <w:pPr>
        <w:pStyle w:val="FootnoteText"/>
      </w:pPr>
      <w:r>
        <w:rPr>
          <w:rStyle w:val="FootnoteReference"/>
        </w:rPr>
        <w:footnoteRef/>
      </w:r>
      <w:r>
        <w:t xml:space="preserve"> Ibid. </w:t>
      </w:r>
    </w:p>
  </w:footnote>
  <w:footnote w:id="16">
    <w:p w14:paraId="7C0C42D7" w14:textId="2E2ABC75" w:rsidR="00A20D97" w:rsidRPr="00A20D97" w:rsidRDefault="00A20D97">
      <w:pPr>
        <w:pStyle w:val="FootnoteText"/>
        <w:rPr>
          <w:i/>
          <w:iCs/>
        </w:rPr>
      </w:pPr>
      <w:r>
        <w:rPr>
          <w:rStyle w:val="FootnoteReference"/>
        </w:rPr>
        <w:footnoteRef/>
      </w:r>
      <w:r>
        <w:t xml:space="preserve"> </w:t>
      </w:r>
      <w:r>
        <w:rPr>
          <w:i/>
          <w:iCs/>
        </w:rPr>
        <w:t xml:space="preserve">The Letter of St Bernard to his nephew Robert. </w:t>
      </w:r>
    </w:p>
  </w:footnote>
  <w:footnote w:id="17">
    <w:p w14:paraId="21560B22" w14:textId="2C873169" w:rsidR="005949AA" w:rsidRDefault="005949AA">
      <w:pPr>
        <w:pStyle w:val="FootnoteText"/>
      </w:pPr>
      <w:r>
        <w:rPr>
          <w:rStyle w:val="FootnoteReference"/>
        </w:rPr>
        <w:footnoteRef/>
      </w:r>
      <w:r>
        <w:t xml:space="preserve"> Ibid.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EE6"/>
    <w:rsid w:val="00071A1B"/>
    <w:rsid w:val="00093474"/>
    <w:rsid w:val="000D2D51"/>
    <w:rsid w:val="00120D85"/>
    <w:rsid w:val="00156CCA"/>
    <w:rsid w:val="00177ED8"/>
    <w:rsid w:val="003139C3"/>
    <w:rsid w:val="003410C8"/>
    <w:rsid w:val="003A6BAF"/>
    <w:rsid w:val="00404A8C"/>
    <w:rsid w:val="00420758"/>
    <w:rsid w:val="00500EE6"/>
    <w:rsid w:val="00501909"/>
    <w:rsid w:val="005949AA"/>
    <w:rsid w:val="007922BF"/>
    <w:rsid w:val="00797685"/>
    <w:rsid w:val="0084252F"/>
    <w:rsid w:val="008C6856"/>
    <w:rsid w:val="008C725D"/>
    <w:rsid w:val="00960F44"/>
    <w:rsid w:val="009E0A54"/>
    <w:rsid w:val="009E33A0"/>
    <w:rsid w:val="00A20D97"/>
    <w:rsid w:val="00A81B7E"/>
    <w:rsid w:val="00B1706F"/>
    <w:rsid w:val="00BC238A"/>
    <w:rsid w:val="00BC753C"/>
    <w:rsid w:val="00DA29AF"/>
    <w:rsid w:val="00ED6B2B"/>
    <w:rsid w:val="00F806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992182"/>
  <w15:chartTrackingRefBased/>
  <w15:docId w15:val="{328F8685-523B-486A-8370-6CC4F9823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D2D5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D2D51"/>
    <w:rPr>
      <w:sz w:val="20"/>
      <w:szCs w:val="20"/>
    </w:rPr>
  </w:style>
  <w:style w:type="character" w:styleId="FootnoteReference">
    <w:name w:val="footnote reference"/>
    <w:basedOn w:val="DefaultParagraphFont"/>
    <w:uiPriority w:val="99"/>
    <w:semiHidden/>
    <w:unhideWhenUsed/>
    <w:rsid w:val="000D2D51"/>
    <w:rPr>
      <w:vertAlign w:val="superscript"/>
    </w:rPr>
  </w:style>
  <w:style w:type="character" w:styleId="Hyperlink">
    <w:name w:val="Hyperlink"/>
    <w:basedOn w:val="DefaultParagraphFont"/>
    <w:uiPriority w:val="99"/>
    <w:unhideWhenUsed/>
    <w:rsid w:val="00071A1B"/>
    <w:rPr>
      <w:color w:val="0563C1" w:themeColor="hyperlink"/>
      <w:u w:val="single"/>
    </w:rPr>
  </w:style>
  <w:style w:type="character" w:styleId="UnresolvedMention">
    <w:name w:val="Unresolved Mention"/>
    <w:basedOn w:val="DefaultParagraphFont"/>
    <w:uiPriority w:val="99"/>
    <w:semiHidden/>
    <w:unhideWhenUsed/>
    <w:rsid w:val="00071A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ritannica.com/biography/Saint-Bernard-of-Clairvaux/Pillar-of-the-churc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newadvent.org/cathen/11696a.htm"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www.newadvent.org/cathen/11696a.htm" TargetMode="External"/><Relationship Id="rId1" Type="http://schemas.openxmlformats.org/officeDocument/2006/relationships/hyperlink" Target="https://www.britannica.com/biography/Saint-Bernard-of-Clairvau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TotalTime>
  <Pages>3</Pages>
  <Words>830</Words>
  <Characters>5078</Characters>
  <Application>Microsoft Office Word</Application>
  <DocSecurity>0</DocSecurity>
  <Lines>390</Lines>
  <Paragraphs>421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15</cp:revision>
  <dcterms:created xsi:type="dcterms:W3CDTF">2020-02-29T18:47:00Z</dcterms:created>
  <dcterms:modified xsi:type="dcterms:W3CDTF">2020-03-01T19:19:00Z</dcterms:modified>
</cp:coreProperties>
</file>