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EDCF9" w14:textId="77777777" w:rsidR="00641B0F" w:rsidRDefault="00000000">
      <w:pPr>
        <w:spacing w:before="1200" w:after="600" w:line="360" w:lineRule="auto"/>
        <w:jc w:val="center"/>
      </w:pPr>
      <w:r>
        <w:rPr>
          <w:sz w:val="24"/>
          <w:szCs w:val="24"/>
        </w:rPr>
        <w:t>University of Wales Trinity Saint David</w:t>
      </w:r>
    </w:p>
    <w:p w14:paraId="52F00EF4" w14:textId="77777777" w:rsidR="00641B0F" w:rsidRDefault="00000000">
      <w:pPr>
        <w:spacing w:after="1200" w:line="360" w:lineRule="auto"/>
        <w:jc w:val="center"/>
      </w:pPr>
      <w:r>
        <w:rPr>
          <w:sz w:val="24"/>
          <w:szCs w:val="24"/>
        </w:rPr>
        <w:t>BSc (Hons) Health and Social Care</w:t>
      </w:r>
    </w:p>
    <w:p w14:paraId="5E7A7FF4" w14:textId="77777777" w:rsidR="00641B0F" w:rsidRDefault="00000000">
      <w:pPr>
        <w:spacing w:after="1200" w:line="360" w:lineRule="auto"/>
        <w:jc w:val="center"/>
      </w:pPr>
      <w:r>
        <w:rPr>
          <w:b/>
          <w:bCs/>
          <w:sz w:val="36"/>
          <w:szCs w:val="36"/>
        </w:rPr>
        <w:t>Exploring Long-Term Impacts of COVID-19 Pandemic Restrictions on Anxiety Within Adolescents in the UK</w:t>
      </w:r>
    </w:p>
    <w:p w14:paraId="1C8BA143" w14:textId="77777777" w:rsidR="00641B0F" w:rsidRDefault="00000000">
      <w:pPr>
        <w:spacing w:after="600" w:line="360" w:lineRule="auto"/>
        <w:jc w:val="center"/>
      </w:pPr>
      <w:r>
        <w:rPr>
          <w:sz w:val="24"/>
          <w:szCs w:val="24"/>
        </w:rPr>
        <w:t>BMHP6020 — Independent Project</w:t>
      </w:r>
    </w:p>
    <w:p w14:paraId="33B65737" w14:textId="77777777" w:rsidR="00641B0F" w:rsidRDefault="00F36E44">
      <w:pPr>
        <w:spacing w:after="200" w:line="360" w:lineRule="auto"/>
        <w:jc w:val="center"/>
      </w:pPr>
      <w:r>
        <w:t>Student: Nadia Akther</w:t>
      </w:r>
    </w:p>
    <w:p w14:paraId="753CA495" w14:textId="77777777" w:rsidR="00641B0F" w:rsidRDefault="00F36E44">
      <w:pPr>
        <w:spacing w:after="200" w:line="360" w:lineRule="auto"/>
        <w:jc w:val="center"/>
      </w:pPr>
      <w:r>
        <w:t>Student Number: 1914510</w:t>
      </w:r>
    </w:p>
    <w:p w14:paraId="3282CC89" w14:textId="77777777" w:rsidR="00641B0F" w:rsidRDefault="00000000">
      <w:r>
        <w:br w:type="page"/>
      </w:r>
    </w:p>
    <w:p w14:paraId="5EED6687" w14:textId="77777777" w:rsidR="00641B0F" w:rsidRDefault="00000000">
      <w:pPr>
        <w:pStyle w:val="Heading1"/>
        <w:spacing w:after="240"/>
      </w:pPr>
      <w:bookmarkStart w:id="0" w:name="_Toc235845444"/>
      <w:r>
        <w:lastRenderedPageBreak/>
        <w:t>Contents</w:t>
      </w:r>
      <w:bookmarkEnd w:id="0"/>
    </w:p>
    <w:sdt>
      <w:sdtPr>
        <w:alias w:val="Contents"/>
        <w:id w:val="1313759067"/>
      </w:sdtPr>
      <w:sdtContent>
        <w:p w14:paraId="10AFD712" w14:textId="3108C632" w:rsidR="000D5978"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TOC \h \o "1-2"</w:instrText>
          </w:r>
          <w:r>
            <w:fldChar w:fldCharType="separate"/>
          </w:r>
          <w:hyperlink w:anchor="_Toc235845444" w:history="1">
            <w:r w:rsidR="000D5978" w:rsidRPr="00681ED4">
              <w:rPr>
                <w:rStyle w:val="Hyperlink"/>
                <w:noProof/>
              </w:rPr>
              <w:t>Contents</w:t>
            </w:r>
            <w:r w:rsidR="000D5978">
              <w:rPr>
                <w:noProof/>
              </w:rPr>
              <w:tab/>
            </w:r>
            <w:r w:rsidR="000D5978">
              <w:rPr>
                <w:noProof/>
              </w:rPr>
              <w:fldChar w:fldCharType="begin"/>
            </w:r>
            <w:r w:rsidR="000D5978">
              <w:rPr>
                <w:noProof/>
              </w:rPr>
              <w:instrText xml:space="preserve"> PAGEREF _Toc235845444 \h </w:instrText>
            </w:r>
            <w:r w:rsidR="000D5978">
              <w:rPr>
                <w:noProof/>
              </w:rPr>
            </w:r>
            <w:r w:rsidR="000D5978">
              <w:rPr>
                <w:noProof/>
              </w:rPr>
              <w:fldChar w:fldCharType="separate"/>
            </w:r>
            <w:r w:rsidR="000D5978">
              <w:rPr>
                <w:noProof/>
              </w:rPr>
              <w:t>2</w:t>
            </w:r>
            <w:r w:rsidR="000D5978">
              <w:rPr>
                <w:noProof/>
              </w:rPr>
              <w:fldChar w:fldCharType="end"/>
            </w:r>
          </w:hyperlink>
        </w:p>
        <w:p w14:paraId="44DA801E" w14:textId="260EF107" w:rsidR="000D5978" w:rsidRDefault="000D5978">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845445" w:history="1">
            <w:r w:rsidRPr="00681ED4">
              <w:rPr>
                <w:rStyle w:val="Hyperlink"/>
                <w:noProof/>
              </w:rPr>
              <w:t>Chapter 1 — Introduction</w:t>
            </w:r>
            <w:r>
              <w:rPr>
                <w:noProof/>
              </w:rPr>
              <w:tab/>
            </w:r>
            <w:r>
              <w:rPr>
                <w:noProof/>
              </w:rPr>
              <w:fldChar w:fldCharType="begin"/>
            </w:r>
            <w:r>
              <w:rPr>
                <w:noProof/>
              </w:rPr>
              <w:instrText xml:space="preserve"> PAGEREF _Toc235845445 \h </w:instrText>
            </w:r>
            <w:r>
              <w:rPr>
                <w:noProof/>
              </w:rPr>
            </w:r>
            <w:r>
              <w:rPr>
                <w:noProof/>
              </w:rPr>
              <w:fldChar w:fldCharType="separate"/>
            </w:r>
            <w:r>
              <w:rPr>
                <w:noProof/>
              </w:rPr>
              <w:t>4</w:t>
            </w:r>
            <w:r>
              <w:rPr>
                <w:noProof/>
              </w:rPr>
              <w:fldChar w:fldCharType="end"/>
            </w:r>
          </w:hyperlink>
        </w:p>
        <w:p w14:paraId="0D71C9AE" w14:textId="37956C8B"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46" w:history="1">
            <w:r w:rsidRPr="00681ED4">
              <w:rPr>
                <w:rStyle w:val="Hyperlink"/>
                <w:noProof/>
              </w:rPr>
              <w:t>1.1 Introduction</w:t>
            </w:r>
            <w:r>
              <w:rPr>
                <w:noProof/>
              </w:rPr>
              <w:tab/>
            </w:r>
            <w:r>
              <w:rPr>
                <w:noProof/>
              </w:rPr>
              <w:fldChar w:fldCharType="begin"/>
            </w:r>
            <w:r>
              <w:rPr>
                <w:noProof/>
              </w:rPr>
              <w:instrText xml:space="preserve"> PAGEREF _Toc235845446 \h </w:instrText>
            </w:r>
            <w:r>
              <w:rPr>
                <w:noProof/>
              </w:rPr>
            </w:r>
            <w:r>
              <w:rPr>
                <w:noProof/>
              </w:rPr>
              <w:fldChar w:fldCharType="separate"/>
            </w:r>
            <w:r>
              <w:rPr>
                <w:noProof/>
              </w:rPr>
              <w:t>4</w:t>
            </w:r>
            <w:r>
              <w:rPr>
                <w:noProof/>
              </w:rPr>
              <w:fldChar w:fldCharType="end"/>
            </w:r>
          </w:hyperlink>
        </w:p>
        <w:p w14:paraId="6152D653" w14:textId="7C88B5D2"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47" w:history="1">
            <w:r w:rsidRPr="00681ED4">
              <w:rPr>
                <w:rStyle w:val="Hyperlink"/>
                <w:noProof/>
              </w:rPr>
              <w:t>1.2 Key Definitions</w:t>
            </w:r>
            <w:r>
              <w:rPr>
                <w:noProof/>
              </w:rPr>
              <w:tab/>
            </w:r>
            <w:r>
              <w:rPr>
                <w:noProof/>
              </w:rPr>
              <w:fldChar w:fldCharType="begin"/>
            </w:r>
            <w:r>
              <w:rPr>
                <w:noProof/>
              </w:rPr>
              <w:instrText xml:space="preserve"> PAGEREF _Toc235845447 \h </w:instrText>
            </w:r>
            <w:r>
              <w:rPr>
                <w:noProof/>
              </w:rPr>
            </w:r>
            <w:r>
              <w:rPr>
                <w:noProof/>
              </w:rPr>
              <w:fldChar w:fldCharType="separate"/>
            </w:r>
            <w:r>
              <w:rPr>
                <w:noProof/>
              </w:rPr>
              <w:t>4</w:t>
            </w:r>
            <w:r>
              <w:rPr>
                <w:noProof/>
              </w:rPr>
              <w:fldChar w:fldCharType="end"/>
            </w:r>
          </w:hyperlink>
        </w:p>
        <w:p w14:paraId="41F51E3F" w14:textId="521FFEC3"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48" w:history="1">
            <w:r w:rsidRPr="00681ED4">
              <w:rPr>
                <w:rStyle w:val="Hyperlink"/>
                <w:noProof/>
              </w:rPr>
              <w:t>1.3 Background and Current Context</w:t>
            </w:r>
            <w:r>
              <w:rPr>
                <w:noProof/>
              </w:rPr>
              <w:tab/>
            </w:r>
            <w:r>
              <w:rPr>
                <w:noProof/>
              </w:rPr>
              <w:fldChar w:fldCharType="begin"/>
            </w:r>
            <w:r>
              <w:rPr>
                <w:noProof/>
              </w:rPr>
              <w:instrText xml:space="preserve"> PAGEREF _Toc235845448 \h </w:instrText>
            </w:r>
            <w:r>
              <w:rPr>
                <w:noProof/>
              </w:rPr>
            </w:r>
            <w:r>
              <w:rPr>
                <w:noProof/>
              </w:rPr>
              <w:fldChar w:fldCharType="separate"/>
            </w:r>
            <w:r>
              <w:rPr>
                <w:noProof/>
              </w:rPr>
              <w:t>5</w:t>
            </w:r>
            <w:r>
              <w:rPr>
                <w:noProof/>
              </w:rPr>
              <w:fldChar w:fldCharType="end"/>
            </w:r>
          </w:hyperlink>
        </w:p>
        <w:p w14:paraId="73962688" w14:textId="57775213"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49" w:history="1">
            <w:r w:rsidRPr="00681ED4">
              <w:rPr>
                <w:rStyle w:val="Hyperlink"/>
                <w:noProof/>
              </w:rPr>
              <w:t>1.4 Rationale</w:t>
            </w:r>
            <w:r>
              <w:rPr>
                <w:noProof/>
              </w:rPr>
              <w:tab/>
            </w:r>
            <w:r>
              <w:rPr>
                <w:noProof/>
              </w:rPr>
              <w:fldChar w:fldCharType="begin"/>
            </w:r>
            <w:r>
              <w:rPr>
                <w:noProof/>
              </w:rPr>
              <w:instrText xml:space="preserve"> PAGEREF _Toc235845449 \h </w:instrText>
            </w:r>
            <w:r>
              <w:rPr>
                <w:noProof/>
              </w:rPr>
            </w:r>
            <w:r>
              <w:rPr>
                <w:noProof/>
              </w:rPr>
              <w:fldChar w:fldCharType="separate"/>
            </w:r>
            <w:r>
              <w:rPr>
                <w:noProof/>
              </w:rPr>
              <w:t>6</w:t>
            </w:r>
            <w:r>
              <w:rPr>
                <w:noProof/>
              </w:rPr>
              <w:fldChar w:fldCharType="end"/>
            </w:r>
          </w:hyperlink>
        </w:p>
        <w:p w14:paraId="625132D4" w14:textId="38FD9A1D"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50" w:history="1">
            <w:r w:rsidRPr="00681ED4">
              <w:rPr>
                <w:rStyle w:val="Hyperlink"/>
                <w:noProof/>
              </w:rPr>
              <w:t>1.5 Aim and Objectives</w:t>
            </w:r>
            <w:r>
              <w:rPr>
                <w:noProof/>
              </w:rPr>
              <w:tab/>
            </w:r>
            <w:r>
              <w:rPr>
                <w:noProof/>
              </w:rPr>
              <w:fldChar w:fldCharType="begin"/>
            </w:r>
            <w:r>
              <w:rPr>
                <w:noProof/>
              </w:rPr>
              <w:instrText xml:space="preserve"> PAGEREF _Toc235845450 \h </w:instrText>
            </w:r>
            <w:r>
              <w:rPr>
                <w:noProof/>
              </w:rPr>
            </w:r>
            <w:r>
              <w:rPr>
                <w:noProof/>
              </w:rPr>
              <w:fldChar w:fldCharType="separate"/>
            </w:r>
            <w:r>
              <w:rPr>
                <w:noProof/>
              </w:rPr>
              <w:t>6</w:t>
            </w:r>
            <w:r>
              <w:rPr>
                <w:noProof/>
              </w:rPr>
              <w:fldChar w:fldCharType="end"/>
            </w:r>
          </w:hyperlink>
        </w:p>
        <w:p w14:paraId="6017DFEE" w14:textId="5F03581F"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51" w:history="1">
            <w:r w:rsidRPr="00681ED4">
              <w:rPr>
                <w:rStyle w:val="Hyperlink"/>
                <w:noProof/>
              </w:rPr>
              <w:t>1.6 Conclusion</w:t>
            </w:r>
            <w:r>
              <w:rPr>
                <w:noProof/>
              </w:rPr>
              <w:tab/>
            </w:r>
            <w:r>
              <w:rPr>
                <w:noProof/>
              </w:rPr>
              <w:fldChar w:fldCharType="begin"/>
            </w:r>
            <w:r>
              <w:rPr>
                <w:noProof/>
              </w:rPr>
              <w:instrText xml:space="preserve"> PAGEREF _Toc235845451 \h </w:instrText>
            </w:r>
            <w:r>
              <w:rPr>
                <w:noProof/>
              </w:rPr>
            </w:r>
            <w:r>
              <w:rPr>
                <w:noProof/>
              </w:rPr>
              <w:fldChar w:fldCharType="separate"/>
            </w:r>
            <w:r>
              <w:rPr>
                <w:noProof/>
              </w:rPr>
              <w:t>6</w:t>
            </w:r>
            <w:r>
              <w:rPr>
                <w:noProof/>
              </w:rPr>
              <w:fldChar w:fldCharType="end"/>
            </w:r>
          </w:hyperlink>
        </w:p>
        <w:p w14:paraId="0EF6A367" w14:textId="44DD9B19" w:rsidR="000D5978" w:rsidRDefault="000D5978">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845452" w:history="1">
            <w:r w:rsidRPr="00681ED4">
              <w:rPr>
                <w:rStyle w:val="Hyperlink"/>
                <w:noProof/>
              </w:rPr>
              <w:t>Chapter 2 — Background Information and Analysis</w:t>
            </w:r>
            <w:r>
              <w:rPr>
                <w:noProof/>
              </w:rPr>
              <w:tab/>
            </w:r>
            <w:r>
              <w:rPr>
                <w:noProof/>
              </w:rPr>
              <w:fldChar w:fldCharType="begin"/>
            </w:r>
            <w:r>
              <w:rPr>
                <w:noProof/>
              </w:rPr>
              <w:instrText xml:space="preserve"> PAGEREF _Toc235845452 \h </w:instrText>
            </w:r>
            <w:r>
              <w:rPr>
                <w:noProof/>
              </w:rPr>
            </w:r>
            <w:r>
              <w:rPr>
                <w:noProof/>
              </w:rPr>
              <w:fldChar w:fldCharType="separate"/>
            </w:r>
            <w:r>
              <w:rPr>
                <w:noProof/>
              </w:rPr>
              <w:t>8</w:t>
            </w:r>
            <w:r>
              <w:rPr>
                <w:noProof/>
              </w:rPr>
              <w:fldChar w:fldCharType="end"/>
            </w:r>
          </w:hyperlink>
        </w:p>
        <w:p w14:paraId="26E75626" w14:textId="3871A333"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53" w:history="1">
            <w:r w:rsidRPr="00681ED4">
              <w:rPr>
                <w:rStyle w:val="Hyperlink"/>
                <w:noProof/>
              </w:rPr>
              <w:t>2.1 Introduction</w:t>
            </w:r>
            <w:r>
              <w:rPr>
                <w:noProof/>
              </w:rPr>
              <w:tab/>
            </w:r>
            <w:r>
              <w:rPr>
                <w:noProof/>
              </w:rPr>
              <w:fldChar w:fldCharType="begin"/>
            </w:r>
            <w:r>
              <w:rPr>
                <w:noProof/>
              </w:rPr>
              <w:instrText xml:space="preserve"> PAGEREF _Toc235845453 \h </w:instrText>
            </w:r>
            <w:r>
              <w:rPr>
                <w:noProof/>
              </w:rPr>
            </w:r>
            <w:r>
              <w:rPr>
                <w:noProof/>
              </w:rPr>
              <w:fldChar w:fldCharType="separate"/>
            </w:r>
            <w:r>
              <w:rPr>
                <w:noProof/>
              </w:rPr>
              <w:t>8</w:t>
            </w:r>
            <w:r>
              <w:rPr>
                <w:noProof/>
              </w:rPr>
              <w:fldChar w:fldCharType="end"/>
            </w:r>
          </w:hyperlink>
        </w:p>
        <w:p w14:paraId="13E0BE55" w14:textId="517FD56C"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54" w:history="1">
            <w:r w:rsidRPr="00681ED4">
              <w:rPr>
                <w:rStyle w:val="Hyperlink"/>
                <w:noProof/>
              </w:rPr>
              <w:t>2.2 Historical Background</w:t>
            </w:r>
            <w:r>
              <w:rPr>
                <w:noProof/>
              </w:rPr>
              <w:tab/>
            </w:r>
            <w:r>
              <w:rPr>
                <w:noProof/>
              </w:rPr>
              <w:fldChar w:fldCharType="begin"/>
            </w:r>
            <w:r>
              <w:rPr>
                <w:noProof/>
              </w:rPr>
              <w:instrText xml:space="preserve"> PAGEREF _Toc235845454 \h </w:instrText>
            </w:r>
            <w:r>
              <w:rPr>
                <w:noProof/>
              </w:rPr>
            </w:r>
            <w:r>
              <w:rPr>
                <w:noProof/>
              </w:rPr>
              <w:fldChar w:fldCharType="separate"/>
            </w:r>
            <w:r>
              <w:rPr>
                <w:noProof/>
              </w:rPr>
              <w:t>8</w:t>
            </w:r>
            <w:r>
              <w:rPr>
                <w:noProof/>
              </w:rPr>
              <w:fldChar w:fldCharType="end"/>
            </w:r>
          </w:hyperlink>
        </w:p>
        <w:p w14:paraId="2FF28425" w14:textId="0BD934DB"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55" w:history="1">
            <w:r w:rsidRPr="00681ED4">
              <w:rPr>
                <w:rStyle w:val="Hyperlink"/>
                <w:noProof/>
              </w:rPr>
              <w:t>2.3 Theoretical Background</w:t>
            </w:r>
            <w:r>
              <w:rPr>
                <w:noProof/>
              </w:rPr>
              <w:tab/>
            </w:r>
            <w:r>
              <w:rPr>
                <w:noProof/>
              </w:rPr>
              <w:fldChar w:fldCharType="begin"/>
            </w:r>
            <w:r>
              <w:rPr>
                <w:noProof/>
              </w:rPr>
              <w:instrText xml:space="preserve"> PAGEREF _Toc235845455 \h </w:instrText>
            </w:r>
            <w:r>
              <w:rPr>
                <w:noProof/>
              </w:rPr>
            </w:r>
            <w:r>
              <w:rPr>
                <w:noProof/>
              </w:rPr>
              <w:fldChar w:fldCharType="separate"/>
            </w:r>
            <w:r>
              <w:rPr>
                <w:noProof/>
              </w:rPr>
              <w:t>9</w:t>
            </w:r>
            <w:r>
              <w:rPr>
                <w:noProof/>
              </w:rPr>
              <w:fldChar w:fldCharType="end"/>
            </w:r>
          </w:hyperlink>
        </w:p>
        <w:p w14:paraId="05C43AF0" w14:textId="307A18FF"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56" w:history="1">
            <w:r w:rsidRPr="00681ED4">
              <w:rPr>
                <w:rStyle w:val="Hyperlink"/>
                <w:noProof/>
              </w:rPr>
              <w:t>2.4 International Context</w:t>
            </w:r>
            <w:r>
              <w:rPr>
                <w:noProof/>
              </w:rPr>
              <w:tab/>
            </w:r>
            <w:r>
              <w:rPr>
                <w:noProof/>
              </w:rPr>
              <w:fldChar w:fldCharType="begin"/>
            </w:r>
            <w:r>
              <w:rPr>
                <w:noProof/>
              </w:rPr>
              <w:instrText xml:space="preserve"> PAGEREF _Toc235845456 \h </w:instrText>
            </w:r>
            <w:r>
              <w:rPr>
                <w:noProof/>
              </w:rPr>
            </w:r>
            <w:r>
              <w:rPr>
                <w:noProof/>
              </w:rPr>
              <w:fldChar w:fldCharType="separate"/>
            </w:r>
            <w:r>
              <w:rPr>
                <w:noProof/>
              </w:rPr>
              <w:t>10</w:t>
            </w:r>
            <w:r>
              <w:rPr>
                <w:noProof/>
              </w:rPr>
              <w:fldChar w:fldCharType="end"/>
            </w:r>
          </w:hyperlink>
        </w:p>
        <w:p w14:paraId="5415C534" w14:textId="29CC6295"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57" w:history="1">
            <w:r w:rsidRPr="00681ED4">
              <w:rPr>
                <w:rStyle w:val="Hyperlink"/>
                <w:noProof/>
              </w:rPr>
              <w:t>2.5 UK Context</w:t>
            </w:r>
            <w:r>
              <w:rPr>
                <w:noProof/>
              </w:rPr>
              <w:tab/>
            </w:r>
            <w:r>
              <w:rPr>
                <w:noProof/>
              </w:rPr>
              <w:fldChar w:fldCharType="begin"/>
            </w:r>
            <w:r>
              <w:rPr>
                <w:noProof/>
              </w:rPr>
              <w:instrText xml:space="preserve"> PAGEREF _Toc235845457 \h </w:instrText>
            </w:r>
            <w:r>
              <w:rPr>
                <w:noProof/>
              </w:rPr>
            </w:r>
            <w:r>
              <w:rPr>
                <w:noProof/>
              </w:rPr>
              <w:fldChar w:fldCharType="separate"/>
            </w:r>
            <w:r>
              <w:rPr>
                <w:noProof/>
              </w:rPr>
              <w:t>11</w:t>
            </w:r>
            <w:r>
              <w:rPr>
                <w:noProof/>
              </w:rPr>
              <w:fldChar w:fldCharType="end"/>
            </w:r>
          </w:hyperlink>
        </w:p>
        <w:p w14:paraId="623B48AF" w14:textId="03D082E4"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58" w:history="1">
            <w:r w:rsidRPr="00681ED4">
              <w:rPr>
                <w:rStyle w:val="Hyperlink"/>
                <w:noProof/>
              </w:rPr>
              <w:t>2.6 Conclusion</w:t>
            </w:r>
            <w:r>
              <w:rPr>
                <w:noProof/>
              </w:rPr>
              <w:tab/>
            </w:r>
            <w:r>
              <w:rPr>
                <w:noProof/>
              </w:rPr>
              <w:fldChar w:fldCharType="begin"/>
            </w:r>
            <w:r>
              <w:rPr>
                <w:noProof/>
              </w:rPr>
              <w:instrText xml:space="preserve"> PAGEREF _Toc235845458 \h </w:instrText>
            </w:r>
            <w:r>
              <w:rPr>
                <w:noProof/>
              </w:rPr>
            </w:r>
            <w:r>
              <w:rPr>
                <w:noProof/>
              </w:rPr>
              <w:fldChar w:fldCharType="separate"/>
            </w:r>
            <w:r>
              <w:rPr>
                <w:noProof/>
              </w:rPr>
              <w:t>12</w:t>
            </w:r>
            <w:r>
              <w:rPr>
                <w:noProof/>
              </w:rPr>
              <w:fldChar w:fldCharType="end"/>
            </w:r>
          </w:hyperlink>
        </w:p>
        <w:p w14:paraId="176057E4" w14:textId="5B6A4987" w:rsidR="000D5978" w:rsidRDefault="000D5978">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845459" w:history="1">
            <w:r w:rsidRPr="00681ED4">
              <w:rPr>
                <w:rStyle w:val="Hyperlink"/>
                <w:noProof/>
              </w:rPr>
              <w:t>Chapter 3 — Methods</w:t>
            </w:r>
            <w:r>
              <w:rPr>
                <w:noProof/>
              </w:rPr>
              <w:tab/>
            </w:r>
            <w:r>
              <w:rPr>
                <w:noProof/>
              </w:rPr>
              <w:fldChar w:fldCharType="begin"/>
            </w:r>
            <w:r>
              <w:rPr>
                <w:noProof/>
              </w:rPr>
              <w:instrText xml:space="preserve"> PAGEREF _Toc235845459 \h </w:instrText>
            </w:r>
            <w:r>
              <w:rPr>
                <w:noProof/>
              </w:rPr>
            </w:r>
            <w:r>
              <w:rPr>
                <w:noProof/>
              </w:rPr>
              <w:fldChar w:fldCharType="separate"/>
            </w:r>
            <w:r>
              <w:rPr>
                <w:noProof/>
              </w:rPr>
              <w:t>14</w:t>
            </w:r>
            <w:r>
              <w:rPr>
                <w:noProof/>
              </w:rPr>
              <w:fldChar w:fldCharType="end"/>
            </w:r>
          </w:hyperlink>
        </w:p>
        <w:p w14:paraId="66187209" w14:textId="13D6CC89"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60" w:history="1">
            <w:r w:rsidRPr="00681ED4">
              <w:rPr>
                <w:rStyle w:val="Hyperlink"/>
                <w:noProof/>
              </w:rPr>
              <w:t>3.1 Introduction</w:t>
            </w:r>
            <w:r>
              <w:rPr>
                <w:noProof/>
              </w:rPr>
              <w:tab/>
            </w:r>
            <w:r>
              <w:rPr>
                <w:noProof/>
              </w:rPr>
              <w:fldChar w:fldCharType="begin"/>
            </w:r>
            <w:r>
              <w:rPr>
                <w:noProof/>
              </w:rPr>
              <w:instrText xml:space="preserve"> PAGEREF _Toc235845460 \h </w:instrText>
            </w:r>
            <w:r>
              <w:rPr>
                <w:noProof/>
              </w:rPr>
            </w:r>
            <w:r>
              <w:rPr>
                <w:noProof/>
              </w:rPr>
              <w:fldChar w:fldCharType="separate"/>
            </w:r>
            <w:r>
              <w:rPr>
                <w:noProof/>
              </w:rPr>
              <w:t>14</w:t>
            </w:r>
            <w:r>
              <w:rPr>
                <w:noProof/>
              </w:rPr>
              <w:fldChar w:fldCharType="end"/>
            </w:r>
          </w:hyperlink>
        </w:p>
        <w:p w14:paraId="52DBA38D" w14:textId="43AB00D9"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61" w:history="1">
            <w:r w:rsidRPr="00681ED4">
              <w:rPr>
                <w:rStyle w:val="Hyperlink"/>
                <w:noProof/>
              </w:rPr>
              <w:t>3.2 Search Strategy</w:t>
            </w:r>
            <w:r>
              <w:rPr>
                <w:noProof/>
              </w:rPr>
              <w:tab/>
            </w:r>
            <w:r>
              <w:rPr>
                <w:noProof/>
              </w:rPr>
              <w:fldChar w:fldCharType="begin"/>
            </w:r>
            <w:r>
              <w:rPr>
                <w:noProof/>
              </w:rPr>
              <w:instrText xml:space="preserve"> PAGEREF _Toc235845461 \h </w:instrText>
            </w:r>
            <w:r>
              <w:rPr>
                <w:noProof/>
              </w:rPr>
            </w:r>
            <w:r>
              <w:rPr>
                <w:noProof/>
              </w:rPr>
              <w:fldChar w:fldCharType="separate"/>
            </w:r>
            <w:r>
              <w:rPr>
                <w:noProof/>
              </w:rPr>
              <w:t>14</w:t>
            </w:r>
            <w:r>
              <w:rPr>
                <w:noProof/>
              </w:rPr>
              <w:fldChar w:fldCharType="end"/>
            </w:r>
          </w:hyperlink>
        </w:p>
        <w:p w14:paraId="4F1E41B9" w14:textId="17A7B4D9"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62" w:history="1">
            <w:r w:rsidRPr="00681ED4">
              <w:rPr>
                <w:rStyle w:val="Hyperlink"/>
                <w:noProof/>
              </w:rPr>
              <w:t>3.3 Searching for Information</w:t>
            </w:r>
            <w:r>
              <w:rPr>
                <w:noProof/>
              </w:rPr>
              <w:tab/>
            </w:r>
            <w:r>
              <w:rPr>
                <w:noProof/>
              </w:rPr>
              <w:fldChar w:fldCharType="begin"/>
            </w:r>
            <w:r>
              <w:rPr>
                <w:noProof/>
              </w:rPr>
              <w:instrText xml:space="preserve"> PAGEREF _Toc235845462 \h </w:instrText>
            </w:r>
            <w:r>
              <w:rPr>
                <w:noProof/>
              </w:rPr>
            </w:r>
            <w:r>
              <w:rPr>
                <w:noProof/>
              </w:rPr>
              <w:fldChar w:fldCharType="separate"/>
            </w:r>
            <w:r>
              <w:rPr>
                <w:noProof/>
              </w:rPr>
              <w:t>14</w:t>
            </w:r>
            <w:r>
              <w:rPr>
                <w:noProof/>
              </w:rPr>
              <w:fldChar w:fldCharType="end"/>
            </w:r>
          </w:hyperlink>
        </w:p>
        <w:p w14:paraId="56CC2674" w14:textId="60DC038F"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63" w:history="1">
            <w:r w:rsidRPr="00681ED4">
              <w:rPr>
                <w:rStyle w:val="Hyperlink"/>
                <w:noProof/>
              </w:rPr>
              <w:t>3.4 Research Validation</w:t>
            </w:r>
            <w:r>
              <w:rPr>
                <w:noProof/>
              </w:rPr>
              <w:tab/>
            </w:r>
            <w:r>
              <w:rPr>
                <w:noProof/>
              </w:rPr>
              <w:fldChar w:fldCharType="begin"/>
            </w:r>
            <w:r>
              <w:rPr>
                <w:noProof/>
              </w:rPr>
              <w:instrText xml:space="preserve"> PAGEREF _Toc235845463 \h </w:instrText>
            </w:r>
            <w:r>
              <w:rPr>
                <w:noProof/>
              </w:rPr>
            </w:r>
            <w:r>
              <w:rPr>
                <w:noProof/>
              </w:rPr>
              <w:fldChar w:fldCharType="separate"/>
            </w:r>
            <w:r>
              <w:rPr>
                <w:noProof/>
              </w:rPr>
              <w:t>15</w:t>
            </w:r>
            <w:r>
              <w:rPr>
                <w:noProof/>
              </w:rPr>
              <w:fldChar w:fldCharType="end"/>
            </w:r>
          </w:hyperlink>
        </w:p>
        <w:p w14:paraId="70EC1E95" w14:textId="4540BB81"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64" w:history="1">
            <w:r w:rsidRPr="00681ED4">
              <w:rPr>
                <w:rStyle w:val="Hyperlink"/>
                <w:noProof/>
              </w:rPr>
              <w:t>3.5 Inclusion and Exclusion Criteria</w:t>
            </w:r>
            <w:r>
              <w:rPr>
                <w:noProof/>
              </w:rPr>
              <w:tab/>
            </w:r>
            <w:r>
              <w:rPr>
                <w:noProof/>
              </w:rPr>
              <w:fldChar w:fldCharType="begin"/>
            </w:r>
            <w:r>
              <w:rPr>
                <w:noProof/>
              </w:rPr>
              <w:instrText xml:space="preserve"> PAGEREF _Toc235845464 \h </w:instrText>
            </w:r>
            <w:r>
              <w:rPr>
                <w:noProof/>
              </w:rPr>
            </w:r>
            <w:r>
              <w:rPr>
                <w:noProof/>
              </w:rPr>
              <w:fldChar w:fldCharType="separate"/>
            </w:r>
            <w:r>
              <w:rPr>
                <w:noProof/>
              </w:rPr>
              <w:t>15</w:t>
            </w:r>
            <w:r>
              <w:rPr>
                <w:noProof/>
              </w:rPr>
              <w:fldChar w:fldCharType="end"/>
            </w:r>
          </w:hyperlink>
        </w:p>
        <w:p w14:paraId="2D5E304B" w14:textId="69D967B8"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65" w:history="1">
            <w:r w:rsidRPr="00681ED4">
              <w:rPr>
                <w:rStyle w:val="Hyperlink"/>
                <w:noProof/>
              </w:rPr>
              <w:t>3.6 Analysing Research</w:t>
            </w:r>
            <w:r>
              <w:rPr>
                <w:noProof/>
              </w:rPr>
              <w:tab/>
            </w:r>
            <w:r>
              <w:rPr>
                <w:noProof/>
              </w:rPr>
              <w:fldChar w:fldCharType="begin"/>
            </w:r>
            <w:r>
              <w:rPr>
                <w:noProof/>
              </w:rPr>
              <w:instrText xml:space="preserve"> PAGEREF _Toc235845465 \h </w:instrText>
            </w:r>
            <w:r>
              <w:rPr>
                <w:noProof/>
              </w:rPr>
            </w:r>
            <w:r>
              <w:rPr>
                <w:noProof/>
              </w:rPr>
              <w:fldChar w:fldCharType="separate"/>
            </w:r>
            <w:r>
              <w:rPr>
                <w:noProof/>
              </w:rPr>
              <w:t>16</w:t>
            </w:r>
            <w:r>
              <w:rPr>
                <w:noProof/>
              </w:rPr>
              <w:fldChar w:fldCharType="end"/>
            </w:r>
          </w:hyperlink>
        </w:p>
        <w:p w14:paraId="116F71F5" w14:textId="706CD14B"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66" w:history="1">
            <w:r w:rsidRPr="00681ED4">
              <w:rPr>
                <w:rStyle w:val="Hyperlink"/>
                <w:noProof/>
              </w:rPr>
              <w:t>3.7 Ethical Considerations</w:t>
            </w:r>
            <w:r>
              <w:rPr>
                <w:noProof/>
              </w:rPr>
              <w:tab/>
            </w:r>
            <w:r>
              <w:rPr>
                <w:noProof/>
              </w:rPr>
              <w:fldChar w:fldCharType="begin"/>
            </w:r>
            <w:r>
              <w:rPr>
                <w:noProof/>
              </w:rPr>
              <w:instrText xml:space="preserve"> PAGEREF _Toc235845466 \h </w:instrText>
            </w:r>
            <w:r>
              <w:rPr>
                <w:noProof/>
              </w:rPr>
            </w:r>
            <w:r>
              <w:rPr>
                <w:noProof/>
              </w:rPr>
              <w:fldChar w:fldCharType="separate"/>
            </w:r>
            <w:r>
              <w:rPr>
                <w:noProof/>
              </w:rPr>
              <w:t>16</w:t>
            </w:r>
            <w:r>
              <w:rPr>
                <w:noProof/>
              </w:rPr>
              <w:fldChar w:fldCharType="end"/>
            </w:r>
          </w:hyperlink>
        </w:p>
        <w:p w14:paraId="7B738D21" w14:textId="1455EAF2"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67" w:history="1">
            <w:r w:rsidRPr="00681ED4">
              <w:rPr>
                <w:rStyle w:val="Hyperlink"/>
                <w:noProof/>
              </w:rPr>
              <w:t>3.8 Conclusion</w:t>
            </w:r>
            <w:r>
              <w:rPr>
                <w:noProof/>
              </w:rPr>
              <w:tab/>
            </w:r>
            <w:r>
              <w:rPr>
                <w:noProof/>
              </w:rPr>
              <w:fldChar w:fldCharType="begin"/>
            </w:r>
            <w:r>
              <w:rPr>
                <w:noProof/>
              </w:rPr>
              <w:instrText xml:space="preserve"> PAGEREF _Toc235845467 \h </w:instrText>
            </w:r>
            <w:r>
              <w:rPr>
                <w:noProof/>
              </w:rPr>
            </w:r>
            <w:r>
              <w:rPr>
                <w:noProof/>
              </w:rPr>
              <w:fldChar w:fldCharType="separate"/>
            </w:r>
            <w:r>
              <w:rPr>
                <w:noProof/>
              </w:rPr>
              <w:t>17</w:t>
            </w:r>
            <w:r>
              <w:rPr>
                <w:noProof/>
              </w:rPr>
              <w:fldChar w:fldCharType="end"/>
            </w:r>
          </w:hyperlink>
        </w:p>
        <w:p w14:paraId="1AFA35FC" w14:textId="3B72E6C0" w:rsidR="000D5978" w:rsidRDefault="000D5978">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845468" w:history="1">
            <w:r w:rsidRPr="00681ED4">
              <w:rPr>
                <w:rStyle w:val="Hyperlink"/>
                <w:noProof/>
              </w:rPr>
              <w:t>Chapter 4 — Results and Discussion</w:t>
            </w:r>
            <w:r>
              <w:rPr>
                <w:noProof/>
              </w:rPr>
              <w:tab/>
            </w:r>
            <w:r>
              <w:rPr>
                <w:noProof/>
              </w:rPr>
              <w:fldChar w:fldCharType="begin"/>
            </w:r>
            <w:r>
              <w:rPr>
                <w:noProof/>
              </w:rPr>
              <w:instrText xml:space="preserve"> PAGEREF _Toc235845468 \h </w:instrText>
            </w:r>
            <w:r>
              <w:rPr>
                <w:noProof/>
              </w:rPr>
            </w:r>
            <w:r>
              <w:rPr>
                <w:noProof/>
              </w:rPr>
              <w:fldChar w:fldCharType="separate"/>
            </w:r>
            <w:r>
              <w:rPr>
                <w:noProof/>
              </w:rPr>
              <w:t>18</w:t>
            </w:r>
            <w:r>
              <w:rPr>
                <w:noProof/>
              </w:rPr>
              <w:fldChar w:fldCharType="end"/>
            </w:r>
          </w:hyperlink>
        </w:p>
        <w:p w14:paraId="0BF5B5EE" w14:textId="427924AC"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69" w:history="1">
            <w:r w:rsidRPr="00681ED4">
              <w:rPr>
                <w:rStyle w:val="Hyperlink"/>
                <w:noProof/>
              </w:rPr>
              <w:t>4.1 Introduction</w:t>
            </w:r>
            <w:r>
              <w:rPr>
                <w:noProof/>
              </w:rPr>
              <w:tab/>
            </w:r>
            <w:r>
              <w:rPr>
                <w:noProof/>
              </w:rPr>
              <w:fldChar w:fldCharType="begin"/>
            </w:r>
            <w:r>
              <w:rPr>
                <w:noProof/>
              </w:rPr>
              <w:instrText xml:space="preserve"> PAGEREF _Toc235845469 \h </w:instrText>
            </w:r>
            <w:r>
              <w:rPr>
                <w:noProof/>
              </w:rPr>
            </w:r>
            <w:r>
              <w:rPr>
                <w:noProof/>
              </w:rPr>
              <w:fldChar w:fldCharType="separate"/>
            </w:r>
            <w:r>
              <w:rPr>
                <w:noProof/>
              </w:rPr>
              <w:t>18</w:t>
            </w:r>
            <w:r>
              <w:rPr>
                <w:noProof/>
              </w:rPr>
              <w:fldChar w:fldCharType="end"/>
            </w:r>
          </w:hyperlink>
        </w:p>
        <w:p w14:paraId="6C511378" w14:textId="3244B24C"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70" w:history="1">
            <w:r w:rsidRPr="00681ED4">
              <w:rPr>
                <w:rStyle w:val="Hyperlink"/>
                <w:noProof/>
              </w:rPr>
              <w:t>4.2 Thematic Analysis</w:t>
            </w:r>
            <w:r>
              <w:rPr>
                <w:noProof/>
              </w:rPr>
              <w:tab/>
            </w:r>
            <w:r>
              <w:rPr>
                <w:noProof/>
              </w:rPr>
              <w:fldChar w:fldCharType="begin"/>
            </w:r>
            <w:r>
              <w:rPr>
                <w:noProof/>
              </w:rPr>
              <w:instrText xml:space="preserve"> PAGEREF _Toc235845470 \h </w:instrText>
            </w:r>
            <w:r>
              <w:rPr>
                <w:noProof/>
              </w:rPr>
            </w:r>
            <w:r>
              <w:rPr>
                <w:noProof/>
              </w:rPr>
              <w:fldChar w:fldCharType="separate"/>
            </w:r>
            <w:r>
              <w:rPr>
                <w:noProof/>
              </w:rPr>
              <w:t>18</w:t>
            </w:r>
            <w:r>
              <w:rPr>
                <w:noProof/>
              </w:rPr>
              <w:fldChar w:fldCharType="end"/>
            </w:r>
          </w:hyperlink>
        </w:p>
        <w:p w14:paraId="7D64E2A5" w14:textId="07FDE7D8"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71" w:history="1">
            <w:r w:rsidRPr="00681ED4">
              <w:rPr>
                <w:rStyle w:val="Hyperlink"/>
                <w:noProof/>
              </w:rPr>
              <w:t>4.3 Theme 1: The unequal impact of pandemic restrictions on adolescent anxiety</w:t>
            </w:r>
            <w:r>
              <w:rPr>
                <w:noProof/>
              </w:rPr>
              <w:tab/>
            </w:r>
            <w:r>
              <w:rPr>
                <w:noProof/>
              </w:rPr>
              <w:fldChar w:fldCharType="begin"/>
            </w:r>
            <w:r>
              <w:rPr>
                <w:noProof/>
              </w:rPr>
              <w:instrText xml:space="preserve"> PAGEREF _Toc235845471 \h </w:instrText>
            </w:r>
            <w:r>
              <w:rPr>
                <w:noProof/>
              </w:rPr>
            </w:r>
            <w:r>
              <w:rPr>
                <w:noProof/>
              </w:rPr>
              <w:fldChar w:fldCharType="separate"/>
            </w:r>
            <w:r>
              <w:rPr>
                <w:noProof/>
              </w:rPr>
              <w:t>18</w:t>
            </w:r>
            <w:r>
              <w:rPr>
                <w:noProof/>
              </w:rPr>
              <w:fldChar w:fldCharType="end"/>
            </w:r>
          </w:hyperlink>
        </w:p>
        <w:p w14:paraId="2257BE1E" w14:textId="3CAB50B8"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72" w:history="1">
            <w:r w:rsidRPr="00681ED4">
              <w:rPr>
                <w:rStyle w:val="Hyperlink"/>
                <w:noProof/>
              </w:rPr>
              <w:t>4.4 Theme 2: From anxiety to absence: emotionally based school avoidance as the pandemic’s long-term legacy</w:t>
            </w:r>
            <w:r>
              <w:rPr>
                <w:noProof/>
              </w:rPr>
              <w:tab/>
            </w:r>
            <w:r>
              <w:rPr>
                <w:noProof/>
              </w:rPr>
              <w:fldChar w:fldCharType="begin"/>
            </w:r>
            <w:r>
              <w:rPr>
                <w:noProof/>
              </w:rPr>
              <w:instrText xml:space="preserve"> PAGEREF _Toc235845472 \h </w:instrText>
            </w:r>
            <w:r>
              <w:rPr>
                <w:noProof/>
              </w:rPr>
            </w:r>
            <w:r>
              <w:rPr>
                <w:noProof/>
              </w:rPr>
              <w:fldChar w:fldCharType="separate"/>
            </w:r>
            <w:r>
              <w:rPr>
                <w:noProof/>
              </w:rPr>
              <w:t>21</w:t>
            </w:r>
            <w:r>
              <w:rPr>
                <w:noProof/>
              </w:rPr>
              <w:fldChar w:fldCharType="end"/>
            </w:r>
          </w:hyperlink>
        </w:p>
        <w:p w14:paraId="1B254736" w14:textId="42E3949A"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73" w:history="1">
            <w:r w:rsidRPr="00681ED4">
              <w:rPr>
                <w:rStyle w:val="Hyperlink"/>
                <w:noProof/>
              </w:rPr>
              <w:t>4.5 Theme 3: A system outpaced: CAMHS capacity and the post-pandemic demand surge</w:t>
            </w:r>
            <w:r>
              <w:rPr>
                <w:noProof/>
              </w:rPr>
              <w:tab/>
            </w:r>
            <w:r>
              <w:rPr>
                <w:noProof/>
              </w:rPr>
              <w:fldChar w:fldCharType="begin"/>
            </w:r>
            <w:r>
              <w:rPr>
                <w:noProof/>
              </w:rPr>
              <w:instrText xml:space="preserve"> PAGEREF _Toc235845473 \h </w:instrText>
            </w:r>
            <w:r>
              <w:rPr>
                <w:noProof/>
              </w:rPr>
            </w:r>
            <w:r>
              <w:rPr>
                <w:noProof/>
              </w:rPr>
              <w:fldChar w:fldCharType="separate"/>
            </w:r>
            <w:r>
              <w:rPr>
                <w:noProof/>
              </w:rPr>
              <w:t>25</w:t>
            </w:r>
            <w:r>
              <w:rPr>
                <w:noProof/>
              </w:rPr>
              <w:fldChar w:fldCharType="end"/>
            </w:r>
          </w:hyperlink>
        </w:p>
        <w:p w14:paraId="0029B2F2" w14:textId="437E44FE"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74" w:history="1">
            <w:r w:rsidRPr="00681ED4">
              <w:rPr>
                <w:rStyle w:val="Hyperlink"/>
                <w:noProof/>
              </w:rPr>
              <w:t>4.6 Conclusion</w:t>
            </w:r>
            <w:r>
              <w:rPr>
                <w:noProof/>
              </w:rPr>
              <w:tab/>
            </w:r>
            <w:r>
              <w:rPr>
                <w:noProof/>
              </w:rPr>
              <w:fldChar w:fldCharType="begin"/>
            </w:r>
            <w:r>
              <w:rPr>
                <w:noProof/>
              </w:rPr>
              <w:instrText xml:space="preserve"> PAGEREF _Toc235845474 \h </w:instrText>
            </w:r>
            <w:r>
              <w:rPr>
                <w:noProof/>
              </w:rPr>
            </w:r>
            <w:r>
              <w:rPr>
                <w:noProof/>
              </w:rPr>
              <w:fldChar w:fldCharType="separate"/>
            </w:r>
            <w:r>
              <w:rPr>
                <w:noProof/>
              </w:rPr>
              <w:t>28</w:t>
            </w:r>
            <w:r>
              <w:rPr>
                <w:noProof/>
              </w:rPr>
              <w:fldChar w:fldCharType="end"/>
            </w:r>
          </w:hyperlink>
        </w:p>
        <w:p w14:paraId="5AC29699" w14:textId="7A989340" w:rsidR="000D5978" w:rsidRDefault="000D5978">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845475" w:history="1">
            <w:r w:rsidRPr="00681ED4">
              <w:rPr>
                <w:rStyle w:val="Hyperlink"/>
                <w:noProof/>
              </w:rPr>
              <w:t>Chapter 5 — Recommendations and Conclusion</w:t>
            </w:r>
            <w:r>
              <w:rPr>
                <w:noProof/>
              </w:rPr>
              <w:tab/>
            </w:r>
            <w:r>
              <w:rPr>
                <w:noProof/>
              </w:rPr>
              <w:fldChar w:fldCharType="begin"/>
            </w:r>
            <w:r>
              <w:rPr>
                <w:noProof/>
              </w:rPr>
              <w:instrText xml:space="preserve"> PAGEREF _Toc235845475 \h </w:instrText>
            </w:r>
            <w:r>
              <w:rPr>
                <w:noProof/>
              </w:rPr>
            </w:r>
            <w:r>
              <w:rPr>
                <w:noProof/>
              </w:rPr>
              <w:fldChar w:fldCharType="separate"/>
            </w:r>
            <w:r>
              <w:rPr>
                <w:noProof/>
              </w:rPr>
              <w:t>29</w:t>
            </w:r>
            <w:r>
              <w:rPr>
                <w:noProof/>
              </w:rPr>
              <w:fldChar w:fldCharType="end"/>
            </w:r>
          </w:hyperlink>
        </w:p>
        <w:p w14:paraId="76185D9F" w14:textId="60A2135D"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76" w:history="1">
            <w:r w:rsidRPr="00681ED4">
              <w:rPr>
                <w:rStyle w:val="Hyperlink"/>
                <w:noProof/>
              </w:rPr>
              <w:t>5.1 Introduction</w:t>
            </w:r>
            <w:r>
              <w:rPr>
                <w:noProof/>
              </w:rPr>
              <w:tab/>
            </w:r>
            <w:r>
              <w:rPr>
                <w:noProof/>
              </w:rPr>
              <w:fldChar w:fldCharType="begin"/>
            </w:r>
            <w:r>
              <w:rPr>
                <w:noProof/>
              </w:rPr>
              <w:instrText xml:space="preserve"> PAGEREF _Toc235845476 \h </w:instrText>
            </w:r>
            <w:r>
              <w:rPr>
                <w:noProof/>
              </w:rPr>
            </w:r>
            <w:r>
              <w:rPr>
                <w:noProof/>
              </w:rPr>
              <w:fldChar w:fldCharType="separate"/>
            </w:r>
            <w:r>
              <w:rPr>
                <w:noProof/>
              </w:rPr>
              <w:t>29</w:t>
            </w:r>
            <w:r>
              <w:rPr>
                <w:noProof/>
              </w:rPr>
              <w:fldChar w:fldCharType="end"/>
            </w:r>
          </w:hyperlink>
        </w:p>
        <w:p w14:paraId="1FCC9686" w14:textId="2702A1FD"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77" w:history="1">
            <w:r w:rsidRPr="00681ED4">
              <w:rPr>
                <w:rStyle w:val="Hyperlink"/>
                <w:noProof/>
              </w:rPr>
              <w:t>5.2 Summary of Key Findings</w:t>
            </w:r>
            <w:r>
              <w:rPr>
                <w:noProof/>
              </w:rPr>
              <w:tab/>
            </w:r>
            <w:r>
              <w:rPr>
                <w:noProof/>
              </w:rPr>
              <w:fldChar w:fldCharType="begin"/>
            </w:r>
            <w:r>
              <w:rPr>
                <w:noProof/>
              </w:rPr>
              <w:instrText xml:space="preserve"> PAGEREF _Toc235845477 \h </w:instrText>
            </w:r>
            <w:r>
              <w:rPr>
                <w:noProof/>
              </w:rPr>
            </w:r>
            <w:r>
              <w:rPr>
                <w:noProof/>
              </w:rPr>
              <w:fldChar w:fldCharType="separate"/>
            </w:r>
            <w:r>
              <w:rPr>
                <w:noProof/>
              </w:rPr>
              <w:t>29</w:t>
            </w:r>
            <w:r>
              <w:rPr>
                <w:noProof/>
              </w:rPr>
              <w:fldChar w:fldCharType="end"/>
            </w:r>
          </w:hyperlink>
        </w:p>
        <w:p w14:paraId="06B74C9A" w14:textId="364EB95D"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78" w:history="1">
            <w:r w:rsidRPr="00681ED4">
              <w:rPr>
                <w:rStyle w:val="Hyperlink"/>
                <w:noProof/>
              </w:rPr>
              <w:t>5.3 Recommendations</w:t>
            </w:r>
            <w:r>
              <w:rPr>
                <w:noProof/>
              </w:rPr>
              <w:tab/>
            </w:r>
            <w:r>
              <w:rPr>
                <w:noProof/>
              </w:rPr>
              <w:fldChar w:fldCharType="begin"/>
            </w:r>
            <w:r>
              <w:rPr>
                <w:noProof/>
              </w:rPr>
              <w:instrText xml:space="preserve"> PAGEREF _Toc235845478 \h </w:instrText>
            </w:r>
            <w:r>
              <w:rPr>
                <w:noProof/>
              </w:rPr>
            </w:r>
            <w:r>
              <w:rPr>
                <w:noProof/>
              </w:rPr>
              <w:fldChar w:fldCharType="separate"/>
            </w:r>
            <w:r>
              <w:rPr>
                <w:noProof/>
              </w:rPr>
              <w:t>29</w:t>
            </w:r>
            <w:r>
              <w:rPr>
                <w:noProof/>
              </w:rPr>
              <w:fldChar w:fldCharType="end"/>
            </w:r>
          </w:hyperlink>
        </w:p>
        <w:p w14:paraId="41027315" w14:textId="34CCCC4F"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79" w:history="1">
            <w:r w:rsidRPr="00681ED4">
              <w:rPr>
                <w:rStyle w:val="Hyperlink"/>
                <w:noProof/>
              </w:rPr>
              <w:t>5.4 Limitations</w:t>
            </w:r>
            <w:r>
              <w:rPr>
                <w:noProof/>
              </w:rPr>
              <w:tab/>
            </w:r>
            <w:r>
              <w:rPr>
                <w:noProof/>
              </w:rPr>
              <w:fldChar w:fldCharType="begin"/>
            </w:r>
            <w:r>
              <w:rPr>
                <w:noProof/>
              </w:rPr>
              <w:instrText xml:space="preserve"> PAGEREF _Toc235845479 \h </w:instrText>
            </w:r>
            <w:r>
              <w:rPr>
                <w:noProof/>
              </w:rPr>
            </w:r>
            <w:r>
              <w:rPr>
                <w:noProof/>
              </w:rPr>
              <w:fldChar w:fldCharType="separate"/>
            </w:r>
            <w:r>
              <w:rPr>
                <w:noProof/>
              </w:rPr>
              <w:t>30</w:t>
            </w:r>
            <w:r>
              <w:rPr>
                <w:noProof/>
              </w:rPr>
              <w:fldChar w:fldCharType="end"/>
            </w:r>
          </w:hyperlink>
        </w:p>
        <w:p w14:paraId="1605BCE1" w14:textId="78AFFB28"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80" w:history="1">
            <w:r w:rsidRPr="00681ED4">
              <w:rPr>
                <w:rStyle w:val="Hyperlink"/>
                <w:noProof/>
              </w:rPr>
              <w:t>5.5 Suggestions for Future Research</w:t>
            </w:r>
            <w:r>
              <w:rPr>
                <w:noProof/>
              </w:rPr>
              <w:tab/>
            </w:r>
            <w:r>
              <w:rPr>
                <w:noProof/>
              </w:rPr>
              <w:fldChar w:fldCharType="begin"/>
            </w:r>
            <w:r>
              <w:rPr>
                <w:noProof/>
              </w:rPr>
              <w:instrText xml:space="preserve"> PAGEREF _Toc235845480 \h </w:instrText>
            </w:r>
            <w:r>
              <w:rPr>
                <w:noProof/>
              </w:rPr>
            </w:r>
            <w:r>
              <w:rPr>
                <w:noProof/>
              </w:rPr>
              <w:fldChar w:fldCharType="separate"/>
            </w:r>
            <w:r>
              <w:rPr>
                <w:noProof/>
              </w:rPr>
              <w:t>31</w:t>
            </w:r>
            <w:r>
              <w:rPr>
                <w:noProof/>
              </w:rPr>
              <w:fldChar w:fldCharType="end"/>
            </w:r>
          </w:hyperlink>
        </w:p>
        <w:p w14:paraId="752BCBD1" w14:textId="33169B76"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81" w:history="1">
            <w:r w:rsidRPr="00681ED4">
              <w:rPr>
                <w:rStyle w:val="Hyperlink"/>
                <w:noProof/>
              </w:rPr>
              <w:t>5.6 Conclusion</w:t>
            </w:r>
            <w:r>
              <w:rPr>
                <w:noProof/>
              </w:rPr>
              <w:tab/>
            </w:r>
            <w:r>
              <w:rPr>
                <w:noProof/>
              </w:rPr>
              <w:fldChar w:fldCharType="begin"/>
            </w:r>
            <w:r>
              <w:rPr>
                <w:noProof/>
              </w:rPr>
              <w:instrText xml:space="preserve"> PAGEREF _Toc235845481 \h </w:instrText>
            </w:r>
            <w:r>
              <w:rPr>
                <w:noProof/>
              </w:rPr>
            </w:r>
            <w:r>
              <w:rPr>
                <w:noProof/>
              </w:rPr>
              <w:fldChar w:fldCharType="separate"/>
            </w:r>
            <w:r>
              <w:rPr>
                <w:noProof/>
              </w:rPr>
              <w:t>31</w:t>
            </w:r>
            <w:r>
              <w:rPr>
                <w:noProof/>
              </w:rPr>
              <w:fldChar w:fldCharType="end"/>
            </w:r>
          </w:hyperlink>
        </w:p>
        <w:p w14:paraId="2C370717" w14:textId="6CF4CB13" w:rsidR="000D5978" w:rsidRDefault="000D5978">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845482" w:history="1">
            <w:r w:rsidRPr="00681ED4">
              <w:rPr>
                <w:rStyle w:val="Hyperlink"/>
                <w:noProof/>
              </w:rPr>
              <w:t>Reference List</w:t>
            </w:r>
            <w:r>
              <w:rPr>
                <w:noProof/>
              </w:rPr>
              <w:tab/>
            </w:r>
            <w:r>
              <w:rPr>
                <w:noProof/>
              </w:rPr>
              <w:fldChar w:fldCharType="begin"/>
            </w:r>
            <w:r>
              <w:rPr>
                <w:noProof/>
              </w:rPr>
              <w:instrText xml:space="preserve"> PAGEREF _Toc235845482 \h </w:instrText>
            </w:r>
            <w:r>
              <w:rPr>
                <w:noProof/>
              </w:rPr>
            </w:r>
            <w:r>
              <w:rPr>
                <w:noProof/>
              </w:rPr>
              <w:fldChar w:fldCharType="separate"/>
            </w:r>
            <w:r>
              <w:rPr>
                <w:noProof/>
              </w:rPr>
              <w:t>32</w:t>
            </w:r>
            <w:r>
              <w:rPr>
                <w:noProof/>
              </w:rPr>
              <w:fldChar w:fldCharType="end"/>
            </w:r>
          </w:hyperlink>
        </w:p>
        <w:p w14:paraId="5617C210" w14:textId="01ED9A15" w:rsidR="000D5978" w:rsidRDefault="000D5978">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845483" w:history="1">
            <w:r w:rsidRPr="00681ED4">
              <w:rPr>
                <w:rStyle w:val="Hyperlink"/>
                <w:noProof/>
              </w:rPr>
              <w:t>Appendices</w:t>
            </w:r>
            <w:r>
              <w:rPr>
                <w:noProof/>
              </w:rPr>
              <w:tab/>
            </w:r>
            <w:r>
              <w:rPr>
                <w:noProof/>
              </w:rPr>
              <w:fldChar w:fldCharType="begin"/>
            </w:r>
            <w:r>
              <w:rPr>
                <w:noProof/>
              </w:rPr>
              <w:instrText xml:space="preserve"> PAGEREF _Toc235845483 \h </w:instrText>
            </w:r>
            <w:r>
              <w:rPr>
                <w:noProof/>
              </w:rPr>
            </w:r>
            <w:r>
              <w:rPr>
                <w:noProof/>
              </w:rPr>
              <w:fldChar w:fldCharType="separate"/>
            </w:r>
            <w:r>
              <w:rPr>
                <w:noProof/>
              </w:rPr>
              <w:t>39</w:t>
            </w:r>
            <w:r>
              <w:rPr>
                <w:noProof/>
              </w:rPr>
              <w:fldChar w:fldCharType="end"/>
            </w:r>
          </w:hyperlink>
        </w:p>
        <w:p w14:paraId="687CCF4E" w14:textId="2084A2C0"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84" w:history="1">
            <w:r w:rsidRPr="00681ED4">
              <w:rPr>
                <w:rStyle w:val="Hyperlink"/>
                <w:noProof/>
              </w:rPr>
              <w:t>Appendix A — Results Summary Table</w:t>
            </w:r>
            <w:r>
              <w:rPr>
                <w:noProof/>
              </w:rPr>
              <w:tab/>
            </w:r>
            <w:r>
              <w:rPr>
                <w:noProof/>
              </w:rPr>
              <w:fldChar w:fldCharType="begin"/>
            </w:r>
            <w:r>
              <w:rPr>
                <w:noProof/>
              </w:rPr>
              <w:instrText xml:space="preserve"> PAGEREF _Toc235845484 \h </w:instrText>
            </w:r>
            <w:r>
              <w:rPr>
                <w:noProof/>
              </w:rPr>
            </w:r>
            <w:r>
              <w:rPr>
                <w:noProof/>
              </w:rPr>
              <w:fldChar w:fldCharType="separate"/>
            </w:r>
            <w:r>
              <w:rPr>
                <w:noProof/>
              </w:rPr>
              <w:t>39</w:t>
            </w:r>
            <w:r>
              <w:rPr>
                <w:noProof/>
              </w:rPr>
              <w:fldChar w:fldCharType="end"/>
            </w:r>
          </w:hyperlink>
        </w:p>
        <w:p w14:paraId="1729C7F8" w14:textId="74101BC6" w:rsidR="000D5978" w:rsidRDefault="000D597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845485" w:history="1">
            <w:r w:rsidRPr="00681ED4">
              <w:rPr>
                <w:rStyle w:val="Hyperlink"/>
                <w:noProof/>
              </w:rPr>
              <w:t>Appendix B — Search Log</w:t>
            </w:r>
            <w:r>
              <w:rPr>
                <w:noProof/>
              </w:rPr>
              <w:tab/>
            </w:r>
            <w:r>
              <w:rPr>
                <w:noProof/>
              </w:rPr>
              <w:fldChar w:fldCharType="begin"/>
            </w:r>
            <w:r>
              <w:rPr>
                <w:noProof/>
              </w:rPr>
              <w:instrText xml:space="preserve"> PAGEREF _Toc235845485 \h </w:instrText>
            </w:r>
            <w:r>
              <w:rPr>
                <w:noProof/>
              </w:rPr>
            </w:r>
            <w:r>
              <w:rPr>
                <w:noProof/>
              </w:rPr>
              <w:fldChar w:fldCharType="separate"/>
            </w:r>
            <w:r>
              <w:rPr>
                <w:noProof/>
              </w:rPr>
              <w:t>41</w:t>
            </w:r>
            <w:r>
              <w:rPr>
                <w:noProof/>
              </w:rPr>
              <w:fldChar w:fldCharType="end"/>
            </w:r>
          </w:hyperlink>
        </w:p>
        <w:p w14:paraId="1E029197" w14:textId="38E92666" w:rsidR="00641B0F" w:rsidRDefault="00000000">
          <w:pPr>
            <w:sectPr w:rsidR="00641B0F" w:rsidSect="00FC0DB3">
              <w:headerReference w:type="default" r:id="rId8"/>
              <w:type w:val="continuous"/>
              <w:pgSz w:w="11906" w:h="16838"/>
              <w:pgMar w:top="1440" w:right="1440" w:bottom="1440" w:left="1440" w:header="708" w:footer="708" w:gutter="0"/>
              <w:cols w:space="720"/>
              <w:docGrid w:linePitch="360"/>
            </w:sectPr>
          </w:pPr>
          <w:r>
            <w:fldChar w:fldCharType="end"/>
          </w:r>
        </w:p>
      </w:sdtContent>
    </w:sdt>
    <w:p w14:paraId="6397FDA8" w14:textId="77777777" w:rsidR="00641B0F" w:rsidRDefault="00000000" w:rsidP="000B6518">
      <w:pPr>
        <w:pStyle w:val="Heading1"/>
        <w:spacing w:after="240" w:line="360" w:lineRule="auto"/>
      </w:pPr>
      <w:bookmarkStart w:id="1" w:name="_Toc235845445"/>
      <w:r>
        <w:lastRenderedPageBreak/>
        <w:t>Chapter 1 — Introduction</w:t>
      </w:r>
      <w:bookmarkEnd w:id="1"/>
    </w:p>
    <w:p w14:paraId="58EB11E3" w14:textId="77777777" w:rsidR="00641B0F" w:rsidRDefault="00000000" w:rsidP="000B6518">
      <w:pPr>
        <w:pStyle w:val="Heading2"/>
        <w:spacing w:before="240" w:after="120" w:line="360" w:lineRule="auto"/>
      </w:pPr>
      <w:bookmarkStart w:id="2" w:name="_Toc235845446"/>
      <w:r>
        <w:t>1.1 Introduction</w:t>
      </w:r>
      <w:bookmarkEnd w:id="2"/>
    </w:p>
    <w:p w14:paraId="4D1A14F8" w14:textId="77777777" w:rsidR="00641B0F" w:rsidRDefault="00000000" w:rsidP="000B6518">
      <w:pPr>
        <w:spacing w:after="120" w:line="360" w:lineRule="auto"/>
        <w:jc w:val="both"/>
      </w:pPr>
      <w:r>
        <w:t xml:space="preserve">The mental health of adolescents in the United Kingdom (UK) has declined in recent years. Data from the National Health Service (NHS) indicate that the frequency of probable mental disorders among children and young people aged 8 to 16 increased from 12.5% in 2017 to 20.3% in 2023 (Newlove-Delgado et al., 2023), with anxiety among the </w:t>
      </w:r>
      <w:proofErr w:type="gramStart"/>
      <w:r>
        <w:t>most commonly reported</w:t>
      </w:r>
      <w:proofErr w:type="gramEnd"/>
      <w:r>
        <w:t xml:space="preserve"> mental disorders (Sadler et al., 2018). This rise occurred alongside the unprecedented disruption of the COVID-19 pandemic, during which lockdowns and school closures interrupted education and daily routines (Leahy, Newton and Khan, 2021).</w:t>
      </w:r>
    </w:p>
    <w:p w14:paraId="7CA35052" w14:textId="5C810C75" w:rsidR="00641B0F" w:rsidRDefault="00000000" w:rsidP="000B6518">
      <w:pPr>
        <w:spacing w:after="120" w:line="360" w:lineRule="auto"/>
        <w:jc w:val="both"/>
      </w:pPr>
      <w:r>
        <w:t xml:space="preserve">Although the remaining domestic restrictions in England were lifted in February 2022 (Prime Minister’s Office, 10 Downing Street, 2022), evidence suggests that the effects on mental health have not </w:t>
      </w:r>
      <w:r w:rsidR="00F27F8F">
        <w:t>diminished</w:t>
      </w:r>
      <w:r>
        <w:t>. School absence has risen sharply: severe absence stood at 2.26% of pupils in 2024/25, compared with 0.81% before the pandemic (Department for Education, 2025), indicating a lasting impact of anxiety and social avoidance. This dissertation evaluates the impact of COVID-19 lockdown restrictions and school closures on the increasing rate of anxiety among adolescents in the UK. The evidence base is more complicated than a simple lockdown-harm narrative, however: for a minority of adolescents, closure temporarily relieved anxiety, and the return to school emerges as central to the pandemic’s long-term legacy. It utilises secondary research, analysing existing literature via thematic analysis (Braun and Clarke, 2006). The dissertation is structured into five chapters: introduction, background, methodology, results and discussion, and recommendations and conclusion.</w:t>
      </w:r>
    </w:p>
    <w:p w14:paraId="204D5F04" w14:textId="77777777" w:rsidR="00641B0F" w:rsidRDefault="00000000">
      <w:pPr>
        <w:pStyle w:val="Heading2"/>
        <w:spacing w:before="240" w:after="120" w:line="360" w:lineRule="auto"/>
      </w:pPr>
      <w:bookmarkStart w:id="3" w:name="_Toc235845447"/>
      <w:r>
        <w:t>1.2 Key Definitions</w:t>
      </w:r>
      <w:bookmarkEnd w:id="3"/>
    </w:p>
    <w:p w14:paraId="5342CE6E" w14:textId="77777777" w:rsidR="00641B0F" w:rsidRDefault="00000000">
      <w:pPr>
        <w:spacing w:after="120" w:line="360" w:lineRule="auto"/>
        <w:jc w:val="both"/>
      </w:pPr>
      <w:r>
        <w:t>To maintain clarity and consistency, the following key terms and acronyms will be used.</w:t>
      </w:r>
    </w:p>
    <w:p w14:paraId="44F631B8" w14:textId="77777777" w:rsidR="00641B0F" w:rsidRDefault="00000000">
      <w:pPr>
        <w:spacing w:after="120" w:line="360" w:lineRule="auto"/>
        <w:jc w:val="both"/>
      </w:pPr>
      <w:r>
        <w:rPr>
          <w:b/>
          <w:bCs/>
        </w:rPr>
        <w:t>Mental health</w:t>
      </w:r>
      <w:r>
        <w:t xml:space="preserve"> – The World Health Organization (WHO) defines mental health as “a state of mental well-being that enables people to cope with the stresses of life, realize their abilities, learn and work well, and contribute to their community” (World Health Organization, 2025b, para. 1).</w:t>
      </w:r>
    </w:p>
    <w:p w14:paraId="33DE3EEE" w14:textId="77777777" w:rsidR="00641B0F" w:rsidRDefault="00000000">
      <w:pPr>
        <w:spacing w:after="120" w:line="360" w:lineRule="auto"/>
        <w:jc w:val="both"/>
      </w:pPr>
      <w:r>
        <w:rPr>
          <w:b/>
          <w:bCs/>
        </w:rPr>
        <w:t>Anxiety</w:t>
      </w:r>
      <w:r>
        <w:t xml:space="preserve"> – anxiety disorders are characterised by intense and excessive feelings of fear and worry, often accompanied by physical tension and cognitive symptoms. If left untreated, it may significantly impair social, educational and family life (World Health Organization, 2025a).</w:t>
      </w:r>
    </w:p>
    <w:p w14:paraId="7020F731" w14:textId="77777777" w:rsidR="00641B0F" w:rsidRPr="00F27F8F" w:rsidRDefault="00000000">
      <w:pPr>
        <w:spacing w:after="120" w:line="360" w:lineRule="auto"/>
        <w:jc w:val="both"/>
      </w:pPr>
      <w:r>
        <w:rPr>
          <w:b/>
          <w:bCs/>
        </w:rPr>
        <w:t xml:space="preserve">Adolescence </w:t>
      </w:r>
      <w:r w:rsidRPr="00F27F8F">
        <w:t xml:space="preserve">– The WHO defines adolescence as the period between ages 10–19 and recognises it as a critical period for the foundation of long-term health (World Health </w:t>
      </w:r>
      <w:r w:rsidRPr="00F27F8F">
        <w:lastRenderedPageBreak/>
        <w:t>Organization, no date). For this dissertation, the focus will be on ages 13–19, the group most affected by secondary school closures.</w:t>
      </w:r>
    </w:p>
    <w:p w14:paraId="3BB7FEA0" w14:textId="77777777" w:rsidR="00641B0F" w:rsidRDefault="00000000">
      <w:pPr>
        <w:spacing w:after="120" w:line="360" w:lineRule="auto"/>
        <w:jc w:val="both"/>
      </w:pPr>
      <w:r>
        <w:t>Acronyms used:</w:t>
      </w:r>
    </w:p>
    <w:p w14:paraId="1CB0024A" w14:textId="77777777" w:rsidR="00641B0F" w:rsidRDefault="00000000">
      <w:pPr>
        <w:spacing w:after="120" w:line="360" w:lineRule="auto"/>
        <w:jc w:val="both"/>
      </w:pPr>
      <w:r>
        <w:rPr>
          <w:b/>
          <w:bCs/>
        </w:rPr>
        <w:t>NHS</w:t>
      </w:r>
      <w:r>
        <w:t xml:space="preserve"> – National Health Service, the publicly funded healthcare system.</w:t>
      </w:r>
    </w:p>
    <w:p w14:paraId="27549345" w14:textId="77777777" w:rsidR="00641B0F" w:rsidRDefault="00000000">
      <w:pPr>
        <w:spacing w:after="120" w:line="360" w:lineRule="auto"/>
        <w:jc w:val="both"/>
      </w:pPr>
      <w:r>
        <w:rPr>
          <w:b/>
          <w:bCs/>
        </w:rPr>
        <w:t>CAMHS</w:t>
      </w:r>
      <w:r>
        <w:t xml:space="preserve"> – Child and Adolescent Mental Health Services. NHS-funded services that support young people experiencing mental health difficulties such as anxiety, depression and self-harm (NHS, 2023).</w:t>
      </w:r>
    </w:p>
    <w:p w14:paraId="72A2955B" w14:textId="77777777" w:rsidR="00641B0F" w:rsidRDefault="00000000">
      <w:pPr>
        <w:pStyle w:val="Heading2"/>
        <w:spacing w:before="240" w:after="120" w:line="360" w:lineRule="auto"/>
      </w:pPr>
      <w:bookmarkStart w:id="4" w:name="_Toc235845448"/>
      <w:r>
        <w:t>1.3 Background and Current Context</w:t>
      </w:r>
      <w:bookmarkEnd w:id="4"/>
    </w:p>
    <w:p w14:paraId="6248B559" w14:textId="0972DB86" w:rsidR="00952A9A" w:rsidRDefault="00F27F8F">
      <w:pPr>
        <w:spacing w:after="120" w:line="360" w:lineRule="auto"/>
        <w:jc w:val="both"/>
      </w:pPr>
      <w:r>
        <w:t>Before</w:t>
      </w:r>
      <w:r w:rsidR="00000000">
        <w:t xml:space="preserve"> the COVID-19 pandemic, adolescent mental health in the UK was already a concern. A 2017 National Survey found 12.8% of young people aged 5–19 had at least one mental disorder, with anxiety disorders affecting 7.2% of this age group (Sadler et al., 2018). Among older adolescents aged 17 to 19, the prevalence was notably higher, with 13.1% identified as having an anxiety disorder (Sadler et al., 2018). These clinically assessed figures are not directly comparable with the later follow-up waves, which used the Strengths and Difficulties Questionnaire to estimate probable mental disorder rather than applying full diagnostic criteria. NHS Digital therefore recalculated a comparable 2017 baseline of 12.5% for </w:t>
      </w:r>
      <w:proofErr w:type="gramStart"/>
      <w:r w:rsidR="00000000">
        <w:t>8 to 16 year olds</w:t>
      </w:r>
      <w:proofErr w:type="gramEnd"/>
      <w:r w:rsidR="00000000">
        <w:t xml:space="preserve">, and it is against this figure that post-pandemic change is measured in this dissertation. </w:t>
      </w:r>
    </w:p>
    <w:p w14:paraId="1A6209C0" w14:textId="43C21D34" w:rsidR="00641B0F" w:rsidRDefault="00000000">
      <w:pPr>
        <w:spacing w:after="120" w:line="360" w:lineRule="auto"/>
        <w:jc w:val="both"/>
      </w:pPr>
      <w:r>
        <w:t xml:space="preserve">The UK government imposed nationwide lockdowns from March 2020, closing schools and requiring people to stay at home, and </w:t>
      </w:r>
      <w:r w:rsidR="00F27F8F">
        <w:t>restrictions</w:t>
      </w:r>
      <w:r>
        <w:t xml:space="preserve"> on social contact in England were not lifted until July 2021 (Institute for Government, 2022). These restrictions caused major disruption to adolescent life. National lockdowns closed schools for extended periods, with estimates suggesting students’ daily studies dropped from an average of 6 hours to 2–4.5 hours during the first lockdown (Leahy, Newton and Khan, 2021). The Co-SPACE (COVID-19 Supporting Parents, Adolescents and Children during Epidemics) longitudinal study, conducted by the University of Oxford, found that the highest levels of both parent-reported and adolescent-reported mental health symptoms occurred when the restrictions were most restrictive and schools were closed (Creswell et al., 2021). Emotional difficulties were more common among adolescent girls than boys, increasing during the January 2021 lockdown (Waite et al., 2021).</w:t>
      </w:r>
    </w:p>
    <w:p w14:paraId="3E1CCC3D" w14:textId="4D352AC8" w:rsidR="00641B0F" w:rsidRDefault="00000000">
      <w:pPr>
        <w:spacing w:after="120" w:line="360" w:lineRule="auto"/>
        <w:jc w:val="both"/>
      </w:pPr>
      <w:r>
        <w:t xml:space="preserve">By 2023 the rate of probable mental disorders among 8–16-year-olds had </w:t>
      </w:r>
      <w:r w:rsidR="006D48A0">
        <w:t>risen</w:t>
      </w:r>
      <w:r>
        <w:t xml:space="preserve"> to 20.3% (Newlove-Delgado et al., 2023). The consequences have extended beyond clinical diagnoses and are now impacting daily life. The Department for Education defines severe absence as a pupil missing 50% or more of school sessions (Department for Education, 2025). In the 2024 spring term, over 157,000 children were severely absent from school, representing a 160.7% increase from pre-pandemic rates (Centre for Social Justice, 2024). This pattern suggests that </w:t>
      </w:r>
      <w:r>
        <w:lastRenderedPageBreak/>
        <w:t>anxiety generated during the pandemic is affecting the lives of young people, contributing to the avoidance of educational settings.</w:t>
      </w:r>
    </w:p>
    <w:p w14:paraId="71D4108E" w14:textId="77777777" w:rsidR="00641B0F" w:rsidRDefault="00000000">
      <w:pPr>
        <w:pStyle w:val="Heading2"/>
        <w:spacing w:before="240" w:after="120" w:line="360" w:lineRule="auto"/>
      </w:pPr>
      <w:bookmarkStart w:id="5" w:name="_Toc235845449"/>
      <w:r>
        <w:t>1.4 Rationale</w:t>
      </w:r>
      <w:bookmarkEnd w:id="5"/>
    </w:p>
    <w:p w14:paraId="6F8C13F7" w14:textId="711FD19F" w:rsidR="00641B0F" w:rsidRDefault="00000000">
      <w:pPr>
        <w:spacing w:after="120" w:line="360" w:lineRule="auto"/>
        <w:jc w:val="both"/>
      </w:pPr>
      <w:r>
        <w:t xml:space="preserve">While a growing body of research documents the immediate psychological effects of the COVID-19 pandemic on young people, there remains a gap in understanding its long-term impacts as they become evident in recent years. Lester and Michelson (2024) argue that pandemic-related disruption amplified known risk factors for emotionally based school avoidance while simultaneously reducing access to support services. This dissertation addresses the gap by examining whether the anxiety generated during lockdown restrictions has persisted and created a pattern of educational </w:t>
      </w:r>
      <w:r w:rsidR="00A025A2" w:rsidRPr="00A025A2">
        <w:t>withdrawal</w:t>
      </w:r>
      <w:r w:rsidR="00A025A2">
        <w:t xml:space="preserve"> </w:t>
      </w:r>
      <w:r>
        <w:t>among adolescents. The findings have practical relevance for CAMHS and schools, which require evidence-based strategies to respond to the changing needs of young people. As secondary research, this dissertation draws on the breadth of existing national datasets rather than direct accounts from adolescents.</w:t>
      </w:r>
    </w:p>
    <w:p w14:paraId="6BE6D8A6" w14:textId="77777777" w:rsidR="00641B0F" w:rsidRDefault="00000000">
      <w:pPr>
        <w:pStyle w:val="Heading2"/>
        <w:spacing w:before="240" w:after="120" w:line="360" w:lineRule="auto"/>
      </w:pPr>
      <w:bookmarkStart w:id="6" w:name="_Toc235845450"/>
      <w:r>
        <w:t>1.5 Aim and Objectives</w:t>
      </w:r>
      <w:bookmarkEnd w:id="6"/>
    </w:p>
    <w:p w14:paraId="12124421" w14:textId="77777777" w:rsidR="00641B0F" w:rsidRDefault="00000000">
      <w:pPr>
        <w:spacing w:after="120" w:line="360" w:lineRule="auto"/>
        <w:jc w:val="both"/>
      </w:pPr>
      <w:r>
        <w:t>The aim of this dissertation is to evaluate the impact of COVID-19 lockdown restrictions and school closures on the increasing rate of anxiety among adolescents in the UK.</w:t>
      </w:r>
    </w:p>
    <w:p w14:paraId="61CC6826" w14:textId="77777777" w:rsidR="00641B0F" w:rsidRDefault="00000000">
      <w:pPr>
        <w:spacing w:after="120" w:line="360" w:lineRule="auto"/>
        <w:jc w:val="both"/>
      </w:pPr>
      <w:r>
        <w:t>To achieve this aim, the following objectives have been established:</w:t>
      </w:r>
    </w:p>
    <w:p w14:paraId="79C4628D" w14:textId="77777777" w:rsidR="00641B0F" w:rsidRDefault="00000000">
      <w:pPr>
        <w:spacing w:after="120" w:line="360" w:lineRule="auto"/>
        <w:ind w:left="720" w:hanging="360"/>
        <w:jc w:val="both"/>
      </w:pPr>
      <w:r>
        <w:t>1. Examine the prevalence rates of anxiety and probable mental health disorders in the UK before and after the pandemic, using the NHS Digital Mental Health of Children and Young People in England surveys (Sadler et al., 2018; Newlove-Delgado et al., 2023).</w:t>
      </w:r>
    </w:p>
    <w:p w14:paraId="7E05B8E0" w14:textId="77777777" w:rsidR="00641B0F" w:rsidRDefault="00000000">
      <w:pPr>
        <w:spacing w:after="120" w:line="360" w:lineRule="auto"/>
        <w:ind w:left="720" w:hanging="360"/>
        <w:jc w:val="both"/>
      </w:pPr>
      <w:r>
        <w:t>2. Analyse the specific impacts of social isolation and school closures on adolescent development, based on data from the Co-SPACE studies and the Department for Education.</w:t>
      </w:r>
    </w:p>
    <w:p w14:paraId="3C925ABE" w14:textId="77777777" w:rsidR="00641B0F" w:rsidRDefault="00000000">
      <w:pPr>
        <w:spacing w:after="120" w:line="360" w:lineRule="auto"/>
        <w:ind w:left="720" w:hanging="360"/>
        <w:jc w:val="both"/>
      </w:pPr>
      <w:r>
        <w:t>3. Evaluate the long-term effects of the pandemic, specifically sustained school absence and its link to post-pandemic anxiety in 2024–2025.</w:t>
      </w:r>
    </w:p>
    <w:p w14:paraId="55AFFE1E" w14:textId="77777777" w:rsidR="00641B0F" w:rsidRDefault="00000000">
      <w:pPr>
        <w:spacing w:after="120" w:line="360" w:lineRule="auto"/>
        <w:ind w:left="720" w:hanging="360"/>
        <w:jc w:val="both"/>
      </w:pPr>
      <w:r>
        <w:t>4. Provide evidence-based recommendations for schools and CAMHS to support the different needs of adolescents.</w:t>
      </w:r>
    </w:p>
    <w:p w14:paraId="5BB4AF98" w14:textId="77777777" w:rsidR="00641B0F" w:rsidRDefault="00000000">
      <w:pPr>
        <w:pStyle w:val="Heading2"/>
        <w:spacing w:before="240" w:after="120" w:line="360" w:lineRule="auto"/>
      </w:pPr>
      <w:bookmarkStart w:id="7" w:name="_Toc235845451"/>
      <w:r>
        <w:t>1.6 Conclusion</w:t>
      </w:r>
      <w:bookmarkEnd w:id="7"/>
    </w:p>
    <w:p w14:paraId="3DC14D3C" w14:textId="77777777" w:rsidR="00641B0F" w:rsidRDefault="00000000">
      <w:pPr>
        <w:spacing w:after="120" w:line="360" w:lineRule="auto"/>
        <w:jc w:val="both"/>
      </w:pPr>
      <w:r>
        <w:lastRenderedPageBreak/>
        <w:t>This chapter has introduced the research topic, defined the key terms and acronyms used throughout the dissertation and established the background context for the study. It has outlined the rationale for investigating the long-term impacts of COVID-19 pandemic restrictions on adolescent anxiety, along with the aim and objectives guiding this research. The following chapter explores the broader context in greater depth, examining the historical, theoretical, international and policy landscape of adolescent mental health in the United Kingdom, establishing the foundation for the chapters that follow.</w:t>
      </w:r>
    </w:p>
    <w:p w14:paraId="3BBCC9AB" w14:textId="77777777" w:rsidR="00641B0F" w:rsidRDefault="00000000">
      <w:pPr>
        <w:pStyle w:val="Heading1"/>
        <w:pageBreakBefore/>
        <w:spacing w:after="240" w:line="360" w:lineRule="auto"/>
      </w:pPr>
      <w:bookmarkStart w:id="8" w:name="_Toc235845452"/>
      <w:r>
        <w:lastRenderedPageBreak/>
        <w:t>Chapter 2 — Background Information and Analysis</w:t>
      </w:r>
      <w:bookmarkEnd w:id="8"/>
    </w:p>
    <w:p w14:paraId="54917AEA" w14:textId="77777777" w:rsidR="00641B0F" w:rsidRDefault="00000000">
      <w:pPr>
        <w:pStyle w:val="Heading2"/>
        <w:spacing w:before="240" w:after="120" w:line="360" w:lineRule="auto"/>
      </w:pPr>
      <w:bookmarkStart w:id="9" w:name="_Toc235845453"/>
      <w:r>
        <w:t>2.1 Introduction</w:t>
      </w:r>
      <w:bookmarkEnd w:id="9"/>
    </w:p>
    <w:p w14:paraId="6C253C05" w14:textId="310CFB20" w:rsidR="00641B0F" w:rsidRDefault="00000000">
      <w:pPr>
        <w:spacing w:after="120" w:line="360" w:lineRule="auto"/>
        <w:jc w:val="both"/>
      </w:pPr>
      <w:r>
        <w:t>This chapter establishes the foundational context for the research by examining the historical, theoretical, international and policy landscape surrounding adolescent anxiety and the impact of the COVID-19 pandemic in the United Kingdom. It begins by tracing the historical development of adolescent mental health provision in the UK, from the fragmented services of the early NHS era to the policy reforms preceding the pandemic. Then the theoretical frameworks that underpin the analysis, before examining how other countries experienced and responded to the pandemic’s impact on adolescent wellbeing. Finally, it evaluates the adequacy of the current UK policy and service response, providing the contextual foundation for the methodology presented in Chapter 3.</w:t>
      </w:r>
    </w:p>
    <w:p w14:paraId="6B7C83ED" w14:textId="77777777" w:rsidR="00641B0F" w:rsidRDefault="00000000">
      <w:pPr>
        <w:pStyle w:val="Heading2"/>
        <w:spacing w:before="240" w:after="120" w:line="360" w:lineRule="auto"/>
      </w:pPr>
      <w:bookmarkStart w:id="10" w:name="_Toc235845454"/>
      <w:r>
        <w:t>2.2 Historical Background</w:t>
      </w:r>
      <w:bookmarkEnd w:id="10"/>
    </w:p>
    <w:p w14:paraId="22DDFB88" w14:textId="19A0B35A" w:rsidR="00641B0F" w:rsidRDefault="009E6D82">
      <w:pPr>
        <w:spacing w:after="120" w:line="360" w:lineRule="auto"/>
        <w:jc w:val="both"/>
      </w:pPr>
      <w:r w:rsidRPr="009E6D82">
        <w:t>Understanding the current state of adolescent mental health provision in the United Kingdom requires first tracing its historical development.</w:t>
      </w:r>
      <w:r w:rsidR="00000000">
        <w:t xml:space="preserve"> As Barrett (2019) records, care for children and adolescents experiencing mental health difficulties in the early years of the NHS was divided between child guidance clinics and hospital settings, with little coordination between the two. A unified Child and Adolescent Mental Health Services (CAMHS) structure was not established until 1987, and national guidelines for how the service should be organised were not published until 1995, when the </w:t>
      </w:r>
      <w:r w:rsidRPr="009E6D82">
        <w:t>established</w:t>
      </w:r>
      <w:r w:rsidR="00000000">
        <w:t xml:space="preserve"> four-tier model was introduced. This delayed and </w:t>
      </w:r>
      <w:r>
        <w:t>fragmented</w:t>
      </w:r>
      <w:r w:rsidR="00000000">
        <w:t xml:space="preserve"> foundation is significant because it meant that, even before the pandemic, CAMHS was operating within a structure marked by inconsistent regional implementation and chronic underinvestment, with no </w:t>
      </w:r>
      <w:r>
        <w:t>dedicated</w:t>
      </w:r>
      <w:r w:rsidR="00000000">
        <w:t xml:space="preserve"> budget to protect provision from wider NHS pressures (Barrett, 2019; England and Mughal, 2019).</w:t>
      </w:r>
    </w:p>
    <w:p w14:paraId="3907618E" w14:textId="1526DE58" w:rsidR="00641B0F" w:rsidRDefault="00952A9A">
      <w:pPr>
        <w:spacing w:after="120" w:line="360" w:lineRule="auto"/>
        <w:jc w:val="both"/>
      </w:pPr>
      <w:r>
        <w:t xml:space="preserve">The publication of Future in Mind in 2015 (Department of Health and NHS England, 2015) represented a turning point in the policy recognition of children and young people's mental health. The report, produced by the Children and Young People's Mental Health Taskforce, set out proposals to be achieved by 2020, </w:t>
      </w:r>
      <w:r w:rsidR="009E6D82">
        <w:t>like</w:t>
      </w:r>
      <w:r>
        <w:t xml:space="preserve"> </w:t>
      </w:r>
      <w:r w:rsidR="009E6D82">
        <w:t>introducing access and waiting time standards</w:t>
      </w:r>
      <w:r w:rsidR="009E6D82">
        <w:t xml:space="preserve">, </w:t>
      </w:r>
      <w:r>
        <w:t xml:space="preserve">tackling stigma, and establishing community-based services for vulnerable groups. However, it explicitly stated that many of its aims could be achieved by working differently rather than through significant new investment. This reliance on structural reform rather than additional funding carries </w:t>
      </w:r>
      <w:r w:rsidR="009E6D82">
        <w:t>weight</w:t>
      </w:r>
      <w:r>
        <w:t xml:space="preserve"> for the present research</w:t>
      </w:r>
      <w:r w:rsidR="009E6D82">
        <w:t xml:space="preserve"> as</w:t>
      </w:r>
      <w:r>
        <w:t xml:space="preserve"> it left the service dependent on efficiency gains when demand was about to rise sharply.</w:t>
      </w:r>
    </w:p>
    <w:p w14:paraId="6B36538F" w14:textId="69E527B2" w:rsidR="00641B0F" w:rsidRDefault="00000000">
      <w:pPr>
        <w:spacing w:after="120" w:line="360" w:lineRule="auto"/>
        <w:jc w:val="both"/>
      </w:pPr>
      <w:r>
        <w:lastRenderedPageBreak/>
        <w:t xml:space="preserve">Subsequent policy developments, including the 2017 Government Green Paper and the introduction of Mental Health Support Teams in schools, sought to extend provision further, though by 2024 these teams were still only projected to reach approximately half of pupils in England (Garratt, Kirk-Wade and Long, 2024). The pandemic then disrupted this already fragile system. From March 2020, schools in England were subject to a series of closures and attendance restrictions that continued, in varying forms, until February 2022 (Roberts and Danechi, 2022). These closures were not a single event but a prolonged sequence of disruptions that removed routine, peer contact, and access to school-based pastoral support for an extended period. Taken together, the historical evidence indicates that the pandemic did not create the weaknesses in adolescent mental health provision but rather </w:t>
      </w:r>
      <w:r w:rsidR="004B66D3">
        <w:t>highlighted</w:t>
      </w:r>
      <w:r>
        <w:t xml:space="preserve"> and intensified structural shortcomings that </w:t>
      </w:r>
      <w:r w:rsidR="004B66D3">
        <w:t>was already embedded</w:t>
      </w:r>
      <w:r>
        <w:t>.</w:t>
      </w:r>
    </w:p>
    <w:p w14:paraId="1E308006" w14:textId="77777777" w:rsidR="00641B0F" w:rsidRDefault="00000000">
      <w:pPr>
        <w:pStyle w:val="Heading2"/>
        <w:spacing w:before="240" w:after="120" w:line="360" w:lineRule="auto"/>
      </w:pPr>
      <w:bookmarkStart w:id="11" w:name="_Toc235845455"/>
      <w:r>
        <w:t>2.3 Theoretical Background</w:t>
      </w:r>
      <w:bookmarkEnd w:id="11"/>
    </w:p>
    <w:p w14:paraId="45AC2F62" w14:textId="14A8EB61" w:rsidR="00641B0F" w:rsidRDefault="00000000">
      <w:pPr>
        <w:spacing w:after="120" w:line="360" w:lineRule="auto"/>
        <w:jc w:val="both"/>
      </w:pPr>
      <w:r>
        <w:t xml:space="preserve">Two complementary developmental frameworks underpin this dissertation’s analysis of adolescent anxiety during the COVID-19 pandemic: Erikson’s (1968) theory of psychosocial development and Bronfenbrenner’s (1979) ecological systems theory. Erikson (1968) conceptualised adolescence as the fifth psychosocial stage, defined by the crisis of identity versus role confusion, in which young people construct a sense of self through peer interaction, schooling and growing social autonomy. This framework is analytically significant because pandemic restrictions removed </w:t>
      </w:r>
      <w:r w:rsidR="004B66D3">
        <w:t>these</w:t>
      </w:r>
      <w:r>
        <w:t xml:space="preserve"> settings </w:t>
      </w:r>
      <w:r w:rsidR="004B66D3">
        <w:t>where</w:t>
      </w:r>
      <w:r>
        <w:t xml:space="preserve"> identity is formed. School closures and the </w:t>
      </w:r>
      <w:r w:rsidR="004B66D3">
        <w:t>restrictions</w:t>
      </w:r>
      <w:r>
        <w:t xml:space="preserve"> on peer contact suspended the everyday social environments where adolescents </w:t>
      </w:r>
      <w:r w:rsidR="004B66D3">
        <w:t>normally</w:t>
      </w:r>
      <w:r>
        <w:t xml:space="preserve"> work through this stage. Erikson’s theory therefore frames pandemic-era anxiety not as an isolated clinical event but as a potential symptom of obstructed identity formation.</w:t>
      </w:r>
    </w:p>
    <w:p w14:paraId="79A2AE32" w14:textId="77777777" w:rsidR="00641B0F" w:rsidRDefault="00952A9A">
      <w:pPr>
        <w:spacing w:after="120" w:line="360" w:lineRule="auto"/>
        <w:jc w:val="both"/>
      </w:pPr>
      <w:r>
        <w:t>Where Erikson explains why adolescents were developmentally vulnerable, Bronfenbrenner (1979) explains how that vulnerability was activated through their surroundings. His ecological systems theory positions the developing individual within nested structures, from the immediate microsystem of family, school and peers, through the mesosystem of interactions between these settings, to the wider exosystem and macrosystem. The pandemic is analytically distinctive within this model because it disrupted several systems at once: school closures collapsed a core microsystem, lockdown severed the mesosystem links connecting home, school and friendship, and national policy operated as a macrosystem-level shift. The framework consequently captures the compounding, system-wide disruption that a single-factor explanation would overlook.</w:t>
      </w:r>
    </w:p>
    <w:p w14:paraId="7101AE12" w14:textId="69A39335" w:rsidR="00641B0F" w:rsidRDefault="00000000">
      <w:pPr>
        <w:spacing w:after="120" w:line="360" w:lineRule="auto"/>
        <w:jc w:val="both"/>
      </w:pPr>
      <w:r>
        <w:t xml:space="preserve">The empirical application of both frameworks is illustrated by Widnall et al. (2022), whose three-wave panel survey of secondary school pupils in south-west England found that anxiety </w:t>
      </w:r>
      <w:r>
        <w:lastRenderedPageBreak/>
        <w:t xml:space="preserve">symptoms decreased during lockdown and rose on the return to school, while higher pre-pandemic school and peer connectedness predicted more favourable outcomes. This pattern complicates any assumption that isolation alone drove anxiety. Distress peaked when pupils returned to school rather than while they were away from it, which reinforces Bronfenbrenner's emphasis on the school microsystem and anticipates the post-pandemic school avoidance examined in Chapter 4. </w:t>
      </w:r>
      <w:r w:rsidR="004B66D3" w:rsidRPr="004B66D3">
        <w:t>As an observational design, however, it supports rather than proves the theorised mechanisms</w:t>
      </w:r>
      <w:r>
        <w:t>.</w:t>
      </w:r>
    </w:p>
    <w:p w14:paraId="687FD6C2" w14:textId="7E861A46" w:rsidR="00641B0F" w:rsidRDefault="00000000">
      <w:pPr>
        <w:spacing w:after="120" w:line="360" w:lineRule="auto"/>
        <w:jc w:val="both"/>
      </w:pPr>
      <w:r>
        <w:t xml:space="preserve">Both frameworks still require critical scrutiny. Erikson’s (1968) model has been criticised as androcentric, taking male development as the norm and misrepresenting female identity formation (Gilligan, 1982) — </w:t>
      </w:r>
      <w:r w:rsidR="004B66D3">
        <w:t>notable limitation given evidence</w:t>
      </w:r>
      <w:r>
        <w:t xml:space="preserve"> that the pandemic disproportionately affected adolescent girls (Racine et al., 2021). Bronfenbrenner's (1979) theory, conversely, is so broad that researchers have struggled to apply it consistently, with many studies drawing on only part</w:t>
      </w:r>
      <w:r w:rsidR="004B66D3">
        <w:t>s</w:t>
      </w:r>
      <w:r>
        <w:t xml:space="preserve"> of the model (Tudge et al., 2009). Both frameworks also predate the pandemic, </w:t>
      </w:r>
      <w:r w:rsidR="003A02B2">
        <w:t>making</w:t>
      </w:r>
      <w:r>
        <w:t xml:space="preserve"> their application interpretive rather than predictive. Despite these limitations, </w:t>
      </w:r>
      <w:r w:rsidR="003A02B2">
        <w:t>this</w:t>
      </w:r>
      <w:r>
        <w:t xml:space="preserve"> combination offers </w:t>
      </w:r>
      <w:r w:rsidR="003A02B2">
        <w:t>insight into</w:t>
      </w:r>
      <w:r>
        <w:t xml:space="preserve"> developmental and ecological</w:t>
      </w:r>
      <w:r w:rsidR="003A02B2">
        <w:t xml:space="preserve"> factors,</w:t>
      </w:r>
      <w:r>
        <w:t xml:space="preserve"> through which the pandemic’s contribution to rising adolescent anxiety can be evaluated in line with the research aim.</w:t>
      </w:r>
    </w:p>
    <w:p w14:paraId="0B5EB1D0" w14:textId="77777777" w:rsidR="00641B0F" w:rsidRDefault="00000000">
      <w:pPr>
        <w:pStyle w:val="Heading2"/>
        <w:spacing w:before="240" w:after="120" w:line="360" w:lineRule="auto"/>
      </w:pPr>
      <w:bookmarkStart w:id="12" w:name="_Toc235845456"/>
      <w:r>
        <w:t>2.4 International Context</w:t>
      </w:r>
      <w:bookmarkEnd w:id="12"/>
    </w:p>
    <w:p w14:paraId="4AD82A2A" w14:textId="07117919" w:rsidR="00641B0F" w:rsidRDefault="00000000">
      <w:pPr>
        <w:spacing w:after="120" w:line="360" w:lineRule="auto"/>
        <w:jc w:val="both"/>
      </w:pPr>
      <w:r>
        <w:t xml:space="preserve">The deterioration in adolescent mental health during the COVID-19 pandemic was a global phenomenon, although its severity varied considerably between countries. Meta-analytic evidence pooling twenty-nine studies of 80,879 children and adolescents worldwide found that clinically elevated anxiety symptoms reached 20.5% during the first pandemic year, approximately double pre-pandemic estimates, with prevalence higher among girls and older adolescents (Racine et al., 2021). While this establishes the international scale of the problem, aggregate figures </w:t>
      </w:r>
      <w:r w:rsidR="003A02B2">
        <w:t>do not represent</w:t>
      </w:r>
      <w:r>
        <w:t xml:space="preserve"> substantial national variation, which is analytically significant because countries differed sharply in the restrictions they imposed — particularly regarding school closures.</w:t>
      </w:r>
    </w:p>
    <w:p w14:paraId="61D67089" w14:textId="465AFAA5" w:rsidR="00187E49" w:rsidRDefault="00187E49">
      <w:pPr>
        <w:spacing w:after="120" w:line="360" w:lineRule="auto"/>
        <w:jc w:val="both"/>
      </w:pPr>
      <w:r>
        <w:t xml:space="preserve">Australia offers the closest comparison with the United Kingdom, having imposed both extended lockdowns and prolonged school closures. Longitudinal evidence from 248 Australian adolescents with a mean age of 14.4 years, surveyed before the pandemic and again two months into government restrictions, identified significant increases in anxiety and depressive symptoms and declining life satisfaction, particularly among girls (Magson et al., 2021). Sweden, by contrast, kept schools open for pupils under sixteen and moved only upper-secondary students to </w:t>
      </w:r>
      <w:r w:rsidR="005F31EF">
        <w:t>remote learning</w:t>
      </w:r>
      <w:r>
        <w:t xml:space="preserve">. This policy divergence created a natural experiment: nationwide register data revealed that remote </w:t>
      </w:r>
      <w:r w:rsidR="005F31EF">
        <w:t>learning</w:t>
      </w:r>
      <w:r>
        <w:t xml:space="preserve"> was associated with a 4.4% decrease </w:t>
      </w:r>
      <w:r>
        <w:lastRenderedPageBreak/>
        <w:t xml:space="preserve">in mental healthcare use, largely reflecting fewer diagnoses of depression and anxiety, persisting well after schools reopened (Björkegren, Svaleryd and Vlachos, 2024). This finding challenges any simple assumption that school closure uniformly damaged adolescent mental health, although it measures service utilisation rather than symptoms. The obvious objection is that reduced contact might reflect diminished access rather than improved wellbeing, particularly since school staff are a principal route through which adolescent mental health difficulties are identified (Sadler et al., 2018). Björkegren, Svaleryd and Vlachos (2024) address this directly: had normal referral routes simply been closed off, emergency and unplanned presentations would have been expected to rise, whereas these declined alongside planned contacts. The reduction is therefore better read as genuine, though Sweden’s </w:t>
      </w:r>
      <w:r w:rsidR="005F31EF">
        <w:t>notable</w:t>
      </w:r>
      <w:r>
        <w:t xml:space="preserve"> lighter overall restrictions limit its transferability to the UK. </w:t>
      </w:r>
    </w:p>
    <w:p w14:paraId="7AA82B75" w14:textId="2B4E76A4" w:rsidR="00187E49" w:rsidRDefault="00187E49">
      <w:pPr>
        <w:spacing w:after="120" w:line="360" w:lineRule="auto"/>
        <w:jc w:val="both"/>
      </w:pPr>
      <w:r>
        <w:t>Norway offers a further contrast: schools closed in March 2020 but reopened within two months, a shorter disruption than that experienced in the UK. A nationwide cohort comparison of 2,536 students found no significant differences in depression symptoms, friendships or physical health between the pandemic and pre-pandemic cohorts; however, the subgroup reporting high pandemic-related anxiety — 17.3% of the pandemic cohort — had more than twice the odds of clinical-level depression symptoms (Burdzovic Andreas and Brunborg, 2021). The international evidence therefore points to a more precise conclusion than uniform harm: the worst outcomes were concentrated in countries where restrictions lasted longest, and among adolescents who were already highly anxious.</w:t>
      </w:r>
    </w:p>
    <w:p w14:paraId="209812BB" w14:textId="08238AEC" w:rsidR="00641B0F" w:rsidRDefault="00000000">
      <w:pPr>
        <w:spacing w:after="120" w:line="360" w:lineRule="auto"/>
        <w:jc w:val="both"/>
      </w:pPr>
      <w:r>
        <w:t xml:space="preserve">This comparative pattern carries direct implications for the </w:t>
      </w:r>
      <w:r w:rsidR="005F31EF">
        <w:t>UK</w:t>
      </w:r>
      <w:r>
        <w:t xml:space="preserve">, where, as outlined in Section 2.2, schools were subject to closures and attendance restrictions for almost two years (Roberts and Danechi, 2022). If extended closure coincided with deterioration in Australia, while open-school Nordic settings largely avoided population-level harm yet still saw anxious subgroups suffer, the UK represents a high-exposure case </w:t>
      </w:r>
      <w:r w:rsidR="005F31EF">
        <w:t>of</w:t>
      </w:r>
      <w:r>
        <w:t xml:space="preserve"> both mechanisms </w:t>
      </w:r>
      <w:r w:rsidR="005F31EF">
        <w:t>-</w:t>
      </w:r>
      <w:r>
        <w:t xml:space="preserve"> prolonged disruption and concentrated vulnerability.</w:t>
      </w:r>
    </w:p>
    <w:p w14:paraId="051340B7" w14:textId="77777777" w:rsidR="00641B0F" w:rsidRDefault="00000000">
      <w:pPr>
        <w:pStyle w:val="Heading2"/>
        <w:spacing w:before="240" w:after="120" w:line="360" w:lineRule="auto"/>
      </w:pPr>
      <w:bookmarkStart w:id="13" w:name="_Toc235845457"/>
      <w:r>
        <w:t>2.5 UK Context</w:t>
      </w:r>
      <w:bookmarkEnd w:id="13"/>
    </w:p>
    <w:p w14:paraId="4EA66979" w14:textId="1919706B" w:rsidR="00641B0F" w:rsidRDefault="00000000">
      <w:pPr>
        <w:spacing w:after="120" w:line="360" w:lineRule="auto"/>
        <w:jc w:val="both"/>
      </w:pPr>
      <w:r>
        <w:t xml:space="preserve">The adequacy of the UK’s response to rising adolescent anxiety must be judged against the commitments made immediately before the pandemic. The NHS Long Term Plan pledged that by 2023/24 an additional 345,000 children and young people up to the age of 25 would access support through NHS-funded services and new school-based Mental Health Support Teams, with funding for children’s mental health growing faster than the overall NHS budget (NHS England, 2019). The pandemic, however, disrupted provision at the </w:t>
      </w:r>
      <w:r w:rsidR="005F31EF">
        <w:t>time</w:t>
      </w:r>
      <w:r>
        <w:t xml:space="preserve"> need intensified: data from the Co-SPACE study collected during the first lockdown indicated that 80% of children with special educational needs or neurodevelopmental conditions who had previously been </w:t>
      </w:r>
      <w:r>
        <w:lastRenderedPageBreak/>
        <w:t xml:space="preserve">receiving support from services had that support stopped or postponed (Waite et al., 2020). The pandemic therefore did not </w:t>
      </w:r>
      <w:r w:rsidR="005F31EF">
        <w:t>just</w:t>
      </w:r>
      <w:r>
        <w:t xml:space="preserve"> generate new demand; it simultaneously suspended or withdrew existing provision for many of those already identified as vulnerable.</w:t>
      </w:r>
    </w:p>
    <w:p w14:paraId="61291B40" w14:textId="01B61447" w:rsidR="00641B0F" w:rsidRDefault="00187E49">
      <w:pPr>
        <w:spacing w:after="120" w:line="360" w:lineRule="auto"/>
        <w:jc w:val="both"/>
      </w:pPr>
      <w:r>
        <w:t xml:space="preserve">Demand after the pandemic rose far higher than the </w:t>
      </w:r>
      <w:proofErr w:type="gramStart"/>
      <w:r>
        <w:t>Long Term</w:t>
      </w:r>
      <w:proofErr w:type="gramEnd"/>
      <w:r>
        <w:t xml:space="preserve"> Plan had </w:t>
      </w:r>
      <w:r w:rsidR="005F31EF">
        <w:t>planned</w:t>
      </w:r>
      <w:r>
        <w:t xml:space="preserve"> for. In 2023/24, 78,577 young people referred to CAMHS waited over a year for treatment, an increase of 52% on the previous year, with anxiety the most common identified condition (YoungMinds, 2025). Similarly, 320,000 children with active referrals were still awaiting treatment at the end of 2023/24, and anxiety again constituted the most common primary referral reason (Children’s Commissioner for England, 2025). The most authoritative adequacy assessment is provided by the National Audit Office (2023), which concluded that post-pandemic demand exceeded what the </w:t>
      </w:r>
      <w:proofErr w:type="gramStart"/>
      <w:r>
        <w:t>Long Term</w:t>
      </w:r>
      <w:proofErr w:type="gramEnd"/>
      <w:r>
        <w:t xml:space="preserve"> Plan had anticipated and that, even if the 2023/24 access target were achieved, only around two-fifths of children with a diagnosable mental health need would access services. The central policy commitment was therefore insufficient by design, before implementation shortfalls are even considered.</w:t>
      </w:r>
    </w:p>
    <w:p w14:paraId="01074D5B" w14:textId="0E5863FC" w:rsidR="00641B0F" w:rsidRDefault="00000000">
      <w:pPr>
        <w:spacing w:after="120" w:line="360" w:lineRule="auto"/>
        <w:jc w:val="both"/>
      </w:pPr>
      <w:r>
        <w:t xml:space="preserve">Devolution adds a further analytical </w:t>
      </w:r>
      <w:r w:rsidR="005F31EF">
        <w:t>consideration</w:t>
      </w:r>
      <w:r>
        <w:t xml:space="preserve">, since health and education policy in Wales </w:t>
      </w:r>
      <w:r w:rsidR="006E151D">
        <w:t>differed</w:t>
      </w:r>
      <w:r>
        <w:t xml:space="preserve"> from England’s approach. The Welsh Government (2026) issued statutory guidance embedding a whole-school approach to emotional and mental wellbeing across all maintained schools, representing an earlier and more systemic preventative orientation than England’s incremental rollout of support teams. Wales has also operated a published waiting-time target for specialist CAMHS first appointments within the framework of the Mental Health (Wales) Measure 2010, reporting the proportion of patient pathways seen within four weeks (Welsh Government, 2023). Performance against this standard was poor during the pandemic period: in March 2022, only 258 of 522 patient pathways </w:t>
      </w:r>
      <w:r w:rsidR="006E151D">
        <w:t>(</w:t>
      </w:r>
      <w:r>
        <w:t>49.4%</w:t>
      </w:r>
      <w:r w:rsidR="006E151D">
        <w:t>)</w:t>
      </w:r>
      <w:r>
        <w:t xml:space="preserve">, were waiting less than four weeks (Welsh Government, 2022). The reported figure subsequently improved to 80.4% by December 2023 (Welsh Government, 2024b), but this occurred as most health boards adopted a Single Point of Access model in which assessments are recorded under Part 1 of the Measure rather than as specialist CAMHS waits, and the series was ultimately discontinued (Welsh Government, 2024a). Scrutiny of the standard therefore became harder at when demand was greatest, indicating that in Wales, as in England, policy </w:t>
      </w:r>
      <w:r w:rsidR="006E151D">
        <w:t>targets</w:t>
      </w:r>
      <w:r>
        <w:t xml:space="preserve"> was not </w:t>
      </w:r>
      <w:r w:rsidR="006E151D">
        <w:t>achieved</w:t>
      </w:r>
      <w:r>
        <w:t xml:space="preserve"> by </w:t>
      </w:r>
      <w:r w:rsidR="006E151D">
        <w:t xml:space="preserve">the </w:t>
      </w:r>
      <w:r>
        <w:t xml:space="preserve">delivery. Across the UK, then, a consistent pattern </w:t>
      </w:r>
      <w:proofErr w:type="gramStart"/>
      <w:r>
        <w:t>emerges:</w:t>
      </w:r>
      <w:proofErr w:type="gramEnd"/>
      <w:r>
        <w:t xml:space="preserve"> policy frameworks acknowledged adolescent mental health before and during the pandemic, yet service capacity, waiting times and accountability mechanisms failed to match the post-pandemic surge in anxiety-related need. This gap between commitment and delivery frames the recommendations developed later in this dissertation.</w:t>
      </w:r>
    </w:p>
    <w:p w14:paraId="102F4D24" w14:textId="77777777" w:rsidR="00641B0F" w:rsidRDefault="00000000">
      <w:pPr>
        <w:pStyle w:val="Heading2"/>
        <w:spacing w:before="240" w:after="120" w:line="360" w:lineRule="auto"/>
      </w:pPr>
      <w:bookmarkStart w:id="14" w:name="_Toc235845458"/>
      <w:r>
        <w:t>2.6 Conclusion</w:t>
      </w:r>
      <w:bookmarkEnd w:id="14"/>
    </w:p>
    <w:p w14:paraId="01AF1096" w14:textId="17084627" w:rsidR="00641B0F" w:rsidRDefault="00000000">
      <w:pPr>
        <w:spacing w:after="120" w:line="360" w:lineRule="auto"/>
        <w:jc w:val="both"/>
      </w:pPr>
      <w:r>
        <w:lastRenderedPageBreak/>
        <w:t>This chapter has framed rising adolescent anxiety within its historical, theoretical, international and domestic contexts. Historically, UK services entered the pandemic already under strain</w:t>
      </w:r>
      <w:r w:rsidR="006E151D">
        <w:t>.</w:t>
      </w:r>
      <w:r>
        <w:t xml:space="preserve"> </w:t>
      </w:r>
      <w:r w:rsidR="006E151D">
        <w:t>T</w:t>
      </w:r>
      <w:r>
        <w:t>heoretically, Erikson’s and Bronfenbrenner’s frameworks explain why disruption at this developmental stage proved so consequential; internationally, harm concentrated where school closures were longest and among adolescents already vulnerable to anxiety; and domestically, policy commitments were outpaced by post-pandemic demand. Collectively, these contexts establish that the UK represents a high-exposure case with an inadequately resourced response. The following chapter sets out the methodology through which this evidence base is systematically analysed.</w:t>
      </w:r>
    </w:p>
    <w:p w14:paraId="341BF371" w14:textId="77777777" w:rsidR="00641B0F" w:rsidRDefault="00000000">
      <w:pPr>
        <w:pStyle w:val="Heading1"/>
        <w:pageBreakBefore/>
        <w:spacing w:after="240" w:line="360" w:lineRule="auto"/>
      </w:pPr>
      <w:bookmarkStart w:id="15" w:name="_Toc235845459"/>
      <w:r>
        <w:lastRenderedPageBreak/>
        <w:t>Chapter 3 — Methods</w:t>
      </w:r>
      <w:bookmarkEnd w:id="15"/>
    </w:p>
    <w:p w14:paraId="2F5706F1" w14:textId="77777777" w:rsidR="00641B0F" w:rsidRDefault="00000000">
      <w:pPr>
        <w:pStyle w:val="Heading2"/>
        <w:spacing w:before="240" w:after="120" w:line="360" w:lineRule="auto"/>
      </w:pPr>
      <w:bookmarkStart w:id="16" w:name="_Toc235845460"/>
      <w:r>
        <w:t>3.1 Introduction</w:t>
      </w:r>
      <w:bookmarkEnd w:id="16"/>
    </w:p>
    <w:p w14:paraId="38B205F5" w14:textId="77777777" w:rsidR="00641B0F" w:rsidRDefault="00000000">
      <w:pPr>
        <w:spacing w:after="120" w:line="360" w:lineRule="auto"/>
        <w:jc w:val="both"/>
      </w:pPr>
      <w:r>
        <w:t>This chapter presents the methodology utilised to address the research aim of evaluating the impact of COVID-19 lockdown restrictions and school closures on the increasing rate of anxiety among adolescents in the United Kingdom. A secondary research design was adopted, in which existing evidence was examined through a structured literature review, an approach considered appropriate for synthesising a diverse evidence base within health and social care (Aveyard, 2023). The chapter outlines the search strategy, the process of searching for information, source validation, and the inclusion and exclusion criteria applied, before describing the thematic method of analysis (Braun and Clarke, 2006) and the ethical considerations that governed the study.</w:t>
      </w:r>
    </w:p>
    <w:p w14:paraId="209B6541" w14:textId="77777777" w:rsidR="00641B0F" w:rsidRDefault="00000000">
      <w:pPr>
        <w:pStyle w:val="Heading2"/>
        <w:spacing w:before="240" w:after="120" w:line="360" w:lineRule="auto"/>
      </w:pPr>
      <w:bookmarkStart w:id="17" w:name="_Toc235845461"/>
      <w:r>
        <w:t>3.2 Search Strategy</w:t>
      </w:r>
      <w:bookmarkEnd w:id="17"/>
    </w:p>
    <w:p w14:paraId="0488374C" w14:textId="08227FBD" w:rsidR="00641B0F" w:rsidRDefault="00000000">
      <w:pPr>
        <w:spacing w:after="120" w:line="360" w:lineRule="auto"/>
        <w:jc w:val="both"/>
      </w:pPr>
      <w:r>
        <w:t xml:space="preserve">A systematic search strategy was developed to identify literature relevant to the research objectives, as a clearly defined strategy increases the transparency and repeatability of a review (Aveyard, 2023). Searches were conducted </w:t>
      </w:r>
      <w:r w:rsidR="003A1781">
        <w:t>with</w:t>
      </w:r>
      <w:r>
        <w:t xml:space="preserve"> Google Scholar and PubMed, chosen for their breadth of health and social science coverage, alongside the University of Wales Trinity Saint David (UWTSD) library search, which was used during initial scoping. Google Scholar was </w:t>
      </w:r>
      <w:r w:rsidR="006E151D">
        <w:t>used</w:t>
      </w:r>
      <w:r>
        <w:t xml:space="preserve"> for its reach while acknowledging its limitations as a search engine rather than a curated </w:t>
      </w:r>
      <w:r w:rsidR="006E151D">
        <w:t xml:space="preserve">health and social care </w:t>
      </w:r>
      <w:r>
        <w:t>database, including the indexing of non-peer-reviewed material</w:t>
      </w:r>
      <w:r w:rsidR="006E151D">
        <w:t xml:space="preserve"> so</w:t>
      </w:r>
      <w:r>
        <w:t xml:space="preserve"> all results were therefore screened against the inclusion criteria in Section 3.5 before use. Official statistics were retrieved directly from NHS Digital and Gov.uk, as government data </w:t>
      </w:r>
      <w:r w:rsidR="006E151D">
        <w:t xml:space="preserve">is </w:t>
      </w:r>
      <w:r>
        <w:t>not reliably indexed in academic databases. Key search terms were derived from the research question, including “COVID-19”, “adolescent”, “anxiety”, “lockdown”, “school closure”, “emotionally based school avoidance” and “CAMHS”. Terms were combined using the Boolean operator AND to narrow results, with quotation marks applied to exact phrases (Clark et al., 2021). Publication-date filters were applied consistent with the ten-year window set out in Section 3.5: a custom 2016 to 2026 range on Google Scholar, and PubMed's ten-year publication filter, which at the search date of 10 July 2026 covered July 2016 onwards.</w:t>
      </w:r>
    </w:p>
    <w:p w14:paraId="78BE196D" w14:textId="77777777" w:rsidR="00641B0F" w:rsidRDefault="00000000">
      <w:pPr>
        <w:pStyle w:val="Heading2"/>
        <w:spacing w:before="240" w:after="120" w:line="360" w:lineRule="auto"/>
      </w:pPr>
      <w:bookmarkStart w:id="18" w:name="_Toc235845462"/>
      <w:r>
        <w:t>3.3 Searching for Information</w:t>
      </w:r>
      <w:bookmarkEnd w:id="18"/>
    </w:p>
    <w:p w14:paraId="2FE25AFE" w14:textId="2152F8C6" w:rsidR="00641B0F" w:rsidRDefault="00000000">
      <w:pPr>
        <w:spacing w:after="120" w:line="360" w:lineRule="auto"/>
        <w:jc w:val="both"/>
      </w:pPr>
      <w:r>
        <w:t xml:space="preserve">The search was conducted in five stages. First, exploratory scoping searches were carried out through the UWTSD library during topic development to establish the extent of the available </w:t>
      </w:r>
      <w:r>
        <w:lastRenderedPageBreak/>
        <w:t xml:space="preserve">literature. Second, systematic searches were performed on Google Scholar and PubMed using the strategy described in Section 3.2. Broad initial strings returned unmanageable volumes; for example, “COVID-19 AND adolescent AND anxiety AND UK” produced approximately </w:t>
      </w:r>
      <w:r w:rsidR="00CB49D6" w:rsidRPr="00CB49D6">
        <w:t>17,300</w:t>
      </w:r>
      <w:r w:rsidR="00CB49D6">
        <w:t xml:space="preserve"> </w:t>
      </w:r>
      <w:r>
        <w:t xml:space="preserve">Google Scholar results, whereas the refined phrase “emotionally based school avoidance” returned </w:t>
      </w:r>
      <w:r w:rsidR="00CB49D6" w:rsidRPr="00CB49D6">
        <w:t>489</w:t>
      </w:r>
      <w:r>
        <w:t>, and the equivalent PubMed search returned 69. Where target studies did not appear, refined country-specific variants were run instead, an iterative process recognised as legitimate search refinement (Aveyard, 2023). Third, official statistics were accessed directly from NHS Digital and Gov.uk. Fourth, citation chaining from key studies identified further sources. Finally, titles and abstracts were screened manually against the criteria in Section 3.5, and every retained source was personally verified. A full search log recording each string, filter and result count is provided in the appendices, alongside the summary table of the reviewed sources.</w:t>
      </w:r>
    </w:p>
    <w:p w14:paraId="19C9876F" w14:textId="77777777" w:rsidR="00641B0F" w:rsidRDefault="00000000">
      <w:pPr>
        <w:pStyle w:val="Heading2"/>
        <w:spacing w:before="240" w:after="120" w:line="360" w:lineRule="auto"/>
      </w:pPr>
      <w:bookmarkStart w:id="19" w:name="_Toc235845463"/>
      <w:r>
        <w:t>3.4 Research Validation</w:t>
      </w:r>
      <w:bookmarkEnd w:id="19"/>
    </w:p>
    <w:p w14:paraId="635D79E6" w14:textId="43B80796" w:rsidR="00641B0F" w:rsidRDefault="00000000">
      <w:pPr>
        <w:spacing w:after="120" w:line="360" w:lineRule="auto"/>
        <w:jc w:val="both"/>
      </w:pPr>
      <w:r>
        <w:t xml:space="preserve">Each source was </w:t>
      </w:r>
      <w:r w:rsidR="00CB49D6">
        <w:t>evaluated</w:t>
      </w:r>
      <w:r>
        <w:t xml:space="preserve"> using the CRAAP test, which evaluates Currency, Relevance, Authority, Accuracy and Purpose (Blakeslee, 2004). This structured appraisal shaped how sources were used rather than simply included or rejected. For example, Racine et al. (2021) scored strongly for currency, authority and accuracy as a peer-reviewed meta-analysis, though its international aggregation limits direct relevance to the UK, and it is therefore used for scale rather than for UK-specific inference. Lester and Michelson (2024), although peer-reviewed, presented conceptual argument rather than original data, and was therefore treated as a perspective piece. YoungMinds (2025) was retained with caveats: its underlying figures derive from official NHS England data, but its advocacy purpose required cautious interpretation. Grey literature was used transparently, with its limitations acknowledged.</w:t>
      </w:r>
    </w:p>
    <w:p w14:paraId="141A5ED3" w14:textId="77777777" w:rsidR="00641B0F" w:rsidRDefault="00000000">
      <w:pPr>
        <w:pStyle w:val="Heading2"/>
        <w:spacing w:before="240" w:after="120" w:line="360" w:lineRule="auto"/>
      </w:pPr>
      <w:bookmarkStart w:id="20" w:name="_Toc235845464"/>
      <w:r>
        <w:t>3.5 Inclusion and Exclusion Criteria</w:t>
      </w:r>
      <w:bookmarkEnd w:id="20"/>
    </w:p>
    <w:p w14:paraId="52B47834" w14:textId="5999A0AF" w:rsidR="00A92891" w:rsidRDefault="00A92891" w:rsidP="00A92891">
      <w:pPr>
        <w:spacing w:after="120" w:line="360" w:lineRule="auto"/>
        <w:jc w:val="both"/>
      </w:pPr>
      <w:r>
        <w:t>Explicit inclusion and exclusion criteria were applied to ensure that only relevant, credible evidence informed the review (Aveyard, 2023). Sources were included if they were peer-reviewed articles or official reports and statistics from government bodies and authoritative national organisations; published within the ten years search</w:t>
      </w:r>
      <w:r w:rsidR="00CB49D6">
        <w:t xml:space="preserve"> window</w:t>
      </w:r>
      <w:r>
        <w:t>, 2016 to 2026; based on samples aged 13 to 19, or including this range, since national surveys publish prevalence in fixed age bands such as 8 to 16 and 5 to 19 and no dataset reports the focal range exactly</w:t>
      </w:r>
      <w:r w:rsidR="00CB49D6">
        <w:t>.</w:t>
      </w:r>
    </w:p>
    <w:p w14:paraId="70743B87" w14:textId="045CD694" w:rsidR="00A92891" w:rsidRDefault="00A92891">
      <w:pPr>
        <w:spacing w:after="120" w:line="360" w:lineRule="auto"/>
        <w:jc w:val="both"/>
      </w:pPr>
      <w:r>
        <w:t xml:space="preserve">A defined exception was applied to older texts. These were admitted only where they constitute the original or authoritative statement of a theory, method or ethical principle applied in this dissertation, such that citing a more recent secondary account would misattribute the concept; where they remain current official guidance </w:t>
      </w:r>
      <w:r w:rsidR="00CB49D6">
        <w:t>despite</w:t>
      </w:r>
      <w:r>
        <w:t xml:space="preserve"> their publication date; or where </w:t>
      </w:r>
      <w:r>
        <w:lastRenderedPageBreak/>
        <w:t xml:space="preserve">they are foundational policy instruments framing the period under study. On this basis Erikson (1968), Bronfenbrenner (1979), Gilligan (1982), Blakeslee (2004), Braun and Clarke (2006), Tudge et al. (2009), Tripathy (2013), National Institute for Health and Care Excellence (2013) and Department of Health and NHS England (2015) were retained. </w:t>
      </w:r>
    </w:p>
    <w:p w14:paraId="361CA5AD" w14:textId="77777777" w:rsidR="00641B0F" w:rsidRDefault="00A92891">
      <w:pPr>
        <w:spacing w:after="120" w:line="360" w:lineRule="auto"/>
        <w:jc w:val="both"/>
      </w:pPr>
      <w:r>
        <w:t>Sources were excluded if they were non-peer-reviewed opinion pieces, editorials, blogs, news media or social media content; fell outside the ten-year window without qualifying for the exception; concerned adult-only or under-13-only samples; or lacked UK relevance.</w:t>
      </w:r>
    </w:p>
    <w:p w14:paraId="040CAC9A" w14:textId="77777777" w:rsidR="00641B0F" w:rsidRDefault="00000000">
      <w:pPr>
        <w:pStyle w:val="Heading2"/>
        <w:spacing w:before="240" w:after="120" w:line="360" w:lineRule="auto"/>
      </w:pPr>
      <w:bookmarkStart w:id="21" w:name="_Toc235845465"/>
      <w:r>
        <w:t>3.6 Analysing Research</w:t>
      </w:r>
      <w:bookmarkEnd w:id="21"/>
    </w:p>
    <w:p w14:paraId="75463FBF" w14:textId="33F62E92" w:rsidR="00641B0F" w:rsidRDefault="00000000">
      <w:pPr>
        <w:spacing w:after="120" w:line="360" w:lineRule="auto"/>
        <w:jc w:val="both"/>
      </w:pPr>
      <w:r>
        <w:t xml:space="preserve">The evidence was analysed using thematic analysis, following the six-phase framework of familiarisation, coding, theme generation, theme review, theme definition and reporting (Braun and Clarke, 2006). This method was selected for its flexibility in synthesising findings across methodologically diverse sources (Braun and Clarke, 2022), and its application was guided by a published worked example (Byrne, 2022). The reviewed sources were summarised in a twelve-row structured table recording study type, method, strengths, limitations and main findings. The table covers eleven core sources and one supporting citation (Creswell et al., 2021), with YoungMinds (2025) and the Children's Commissioner for England (2025) placed in a single row, as they report the same underlying NHS England data. From this table, initial codes such as "anxiety at school return", "anxiety to absence mechanism" and "referral surge" were </w:t>
      </w:r>
      <w:r w:rsidR="00CB49D6">
        <w:t>made</w:t>
      </w:r>
      <w:r>
        <w:t>. Consistent with the reflexive character of the method, it is acknowledged that themes were actively constructed rather than passively discovered: the researcher’s position within health and social care shaped which patterns were foregrounded, and the structured table served partly to make those interpretive choices visible and auditable (Braun and Clarke, 2022). Codes were grouped, reviewed against the research objectives, and refined into three themes: Theme 1, the unequal impact of pandemic restrictions on adolescent anxiety; Theme 2, from anxiety to absence: emotionally based school avoidance as the pandemic’s long-term legacy; and Theme 3, a system outpaced: CAMHS capacity and the post-pandemic demand surge. These themes structure the findings presented in Chapter 4. The full summary table is provided in the appendices.</w:t>
      </w:r>
    </w:p>
    <w:p w14:paraId="23087E3F" w14:textId="77777777" w:rsidR="00641B0F" w:rsidRDefault="00000000">
      <w:pPr>
        <w:pStyle w:val="Heading2"/>
        <w:spacing w:before="240" w:after="120" w:line="360" w:lineRule="auto"/>
      </w:pPr>
      <w:bookmarkStart w:id="22" w:name="_Toc235845466"/>
      <w:r>
        <w:t>3.7 Ethical Considerations</w:t>
      </w:r>
      <w:bookmarkEnd w:id="22"/>
    </w:p>
    <w:p w14:paraId="17DFF41B" w14:textId="77777777" w:rsidR="00641B0F" w:rsidRDefault="00000000">
      <w:pPr>
        <w:spacing w:after="120" w:line="360" w:lineRule="auto"/>
        <w:jc w:val="both"/>
      </w:pPr>
      <w:r>
        <w:t xml:space="preserve">As this dissertation employed a secondary research design with no primary data collection, formal ethical approval was not required. However, secondary research carries its own ethical obligations, including the responsible handling and honest interpretation of data collected by others (Tripathy, 2013). Ethical integrity was therefore maintained in three ways: all sources were represented accurately and were not selectively quoted to distort their findings; every </w:t>
      </w:r>
      <w:r>
        <w:lastRenderedPageBreak/>
        <w:t>claim was attributed through consistent UWTSD Harvard referencing to ensure transparency and avoid plagiarism; and only publicly available, ethically produced material was used, with each included study having received its own ethical approval where applicable.</w:t>
      </w:r>
    </w:p>
    <w:p w14:paraId="05A472A6" w14:textId="77777777" w:rsidR="00641B0F" w:rsidRDefault="00000000">
      <w:pPr>
        <w:pStyle w:val="Heading2"/>
        <w:spacing w:before="240" w:after="120" w:line="360" w:lineRule="auto"/>
      </w:pPr>
      <w:bookmarkStart w:id="23" w:name="_Toc235845467"/>
      <w:r>
        <w:t>3.8 Conclusion</w:t>
      </w:r>
      <w:bookmarkEnd w:id="23"/>
    </w:p>
    <w:p w14:paraId="10CEFEAF" w14:textId="77777777" w:rsidR="00641B0F" w:rsidRDefault="00000000">
      <w:pPr>
        <w:spacing w:after="120" w:line="360" w:lineRule="auto"/>
        <w:jc w:val="both"/>
      </w:pPr>
      <w:r>
        <w:t>This chapter presented the secondary research methodology adopted, covering the search strategy, source validation, selection criteria, thematic analysis and ethical considerations. The sources retained were reviewed using the structured process described above, generating three themes aligned with the research objectives. Chapter 4 presents and discusses the findings of the review under these three themes.</w:t>
      </w:r>
    </w:p>
    <w:p w14:paraId="700D31C6" w14:textId="77777777" w:rsidR="00641B0F" w:rsidRDefault="00000000">
      <w:pPr>
        <w:pStyle w:val="Heading1"/>
        <w:pageBreakBefore/>
        <w:spacing w:after="240" w:line="360" w:lineRule="auto"/>
      </w:pPr>
      <w:bookmarkStart w:id="24" w:name="_Toc235845468"/>
      <w:r>
        <w:lastRenderedPageBreak/>
        <w:t>Chapter 4 — Results and Discussion</w:t>
      </w:r>
      <w:bookmarkEnd w:id="24"/>
    </w:p>
    <w:p w14:paraId="453B6D98" w14:textId="77777777" w:rsidR="00641B0F" w:rsidRDefault="00000000">
      <w:pPr>
        <w:pStyle w:val="Heading2"/>
        <w:spacing w:before="240" w:after="120" w:line="360" w:lineRule="auto"/>
      </w:pPr>
      <w:bookmarkStart w:id="25" w:name="_Toc235845469"/>
      <w:r>
        <w:t>4.1 Introduction</w:t>
      </w:r>
      <w:bookmarkEnd w:id="25"/>
    </w:p>
    <w:p w14:paraId="13E83304" w14:textId="77777777" w:rsidR="00641B0F" w:rsidRDefault="00000000">
      <w:pPr>
        <w:spacing w:after="120" w:line="360" w:lineRule="auto"/>
        <w:jc w:val="both"/>
      </w:pPr>
      <w:r>
        <w:t>This chapter presents and discusses the findings of the literature review conducted to address the research aim: to evaluate the impact of COVID-19 lockdown restrictions and school closures on the increasing rate of anxiety among adolescents in the United Kingdom. The findings are organised into three themes generated through the thematic analysis described in Chapter 3: Theme 1, the unequal impact of pandemic restrictions on adolescent anxiety; Theme 2, from anxiety to absence: emotionally based school avoidance as the pandemic’s long-term legacy; and Theme 3, a system outpaced: CAMHS capacity and the post-pandemic demand surge. Each theme is examined in turn, integrating statistical evidence, theoretical frameworks and policy analysis, before the chapter concludes by synthesising the findings in relation to the research aim.</w:t>
      </w:r>
    </w:p>
    <w:p w14:paraId="4DF9EF47" w14:textId="77777777" w:rsidR="00641B0F" w:rsidRDefault="00000000">
      <w:pPr>
        <w:pStyle w:val="Heading2"/>
        <w:spacing w:before="240" w:after="120" w:line="360" w:lineRule="auto"/>
      </w:pPr>
      <w:bookmarkStart w:id="26" w:name="_Toc235845470"/>
      <w:r>
        <w:t>4.2 Thematic Analysis</w:t>
      </w:r>
      <w:bookmarkEnd w:id="26"/>
    </w:p>
    <w:p w14:paraId="085D53EF" w14:textId="79B8CE8F" w:rsidR="00641B0F" w:rsidRDefault="00000000">
      <w:pPr>
        <w:spacing w:after="120" w:line="360" w:lineRule="auto"/>
        <w:jc w:val="both"/>
      </w:pPr>
      <w:r>
        <w:t xml:space="preserve">The three themes presented in this chapter were </w:t>
      </w:r>
      <w:r w:rsidR="005629AE">
        <w:t>developed</w:t>
      </w:r>
      <w:r>
        <w:t xml:space="preserve"> through the reflexive thematic analysis described in Chapter 3, applying the six-phase framework of Braun and Clarke (2006, 2022) to the core sources summarised in Appendix A. Because the dataset comprised published findings rather than primary participant accounts, coding was applied to the reported results, statistics and conclusions of each source, an adaptation consistent with established guidance on the thematic analysis of existing data (Byrne, 2022). The codes assigned to each source and the Results Summary Table are provided in Appendix A, with the full search log in Appendix B. Each theme is examined below through a consistent structure — definition and scope, background, relevance to the research question, statistical information, theoretical framework, policy and legislation, implications, examples from the articles, and connections to the other themes.</w:t>
      </w:r>
    </w:p>
    <w:p w14:paraId="7F69A2D4" w14:textId="77777777" w:rsidR="00641B0F" w:rsidRDefault="00000000">
      <w:pPr>
        <w:pStyle w:val="Heading2"/>
        <w:spacing w:before="240" w:after="120" w:line="360" w:lineRule="auto"/>
      </w:pPr>
      <w:bookmarkStart w:id="27" w:name="_Toc235845471"/>
      <w:r>
        <w:t>4.3 Theme 1: The unequal impact of pandemic restrictions on adolescent anxiety</w:t>
      </w:r>
      <w:bookmarkEnd w:id="27"/>
    </w:p>
    <w:p w14:paraId="1298A943" w14:textId="014B60D5" w:rsidR="00641B0F" w:rsidRDefault="00000000">
      <w:pPr>
        <w:spacing w:after="120" w:line="360" w:lineRule="auto"/>
        <w:jc w:val="both"/>
      </w:pPr>
      <w:r>
        <w:t>Definition and scope. This theme captures the finding that the effects of COVID-19 restrictions on anxiety were not distributed evenly across the adolescent population. Across the reviewed sources, the pandemic emerges not as a uniform shock but as a stratified one, with effects varying by gender, socioeconomic circumstance and pre-existing vulnerability, and, critically,</w:t>
      </w:r>
      <w:r w:rsidR="005629AE">
        <w:t xml:space="preserve"> </w:t>
      </w:r>
      <w:r>
        <w:t xml:space="preserve">the period of confinement and </w:t>
      </w:r>
      <w:r w:rsidR="005629AE">
        <w:t>the</w:t>
      </w:r>
      <w:r>
        <w:t xml:space="preserve"> return to school produced different, sometimes opposite, </w:t>
      </w:r>
      <w:r>
        <w:lastRenderedPageBreak/>
        <w:t xml:space="preserve">effects. The scope of this theme is anchored in </w:t>
      </w:r>
      <w:r w:rsidR="005629AE">
        <w:t>UK</w:t>
      </w:r>
      <w:r>
        <w:t xml:space="preserve"> evidence, with international studies used comparatively where they highlight mechanisms that UK data alone cannot.</w:t>
      </w:r>
    </w:p>
    <w:p w14:paraId="05A227C4" w14:textId="76F9CBEF" w:rsidR="00641B0F" w:rsidRDefault="00000000">
      <w:pPr>
        <w:spacing w:after="120" w:line="360" w:lineRule="auto"/>
        <w:jc w:val="both"/>
      </w:pPr>
      <w:r>
        <w:t xml:space="preserve">Background information. The pandemic struck an adolescent population whose mental health was already deteriorating. Rates of emotional disorder among young people were rising well before 2020 (Sadler et al., 2018), and by 2023 approximately one in five children and young people had a probable mental disorder of any type (Newlove-Delgado et al., 2023), meaning that restrictions acted upon an existing upward trajectory rather than </w:t>
      </w:r>
      <w:r w:rsidR="005629AE">
        <w:t>starting</w:t>
      </w:r>
      <w:r>
        <w:t xml:space="preserve"> it. </w:t>
      </w:r>
      <w:r w:rsidR="005629AE">
        <w:t>Regarding</w:t>
      </w:r>
      <w:r>
        <w:t xml:space="preserve"> this </w:t>
      </w:r>
      <w:r w:rsidR="005629AE">
        <w:t>context</w:t>
      </w:r>
      <w:r>
        <w:t xml:space="preserve">, English schools closed to most pupils for two </w:t>
      </w:r>
      <w:r w:rsidR="005629AE">
        <w:t>long</w:t>
      </w:r>
      <w:r>
        <w:t xml:space="preserve"> periods between March 2020 and March 2021 (Roberts and Danechi, 2022), removing the primary developmental environment of adolescence at national scale.</w:t>
      </w:r>
    </w:p>
    <w:p w14:paraId="38DC3510" w14:textId="5A8826D1" w:rsidR="00641B0F" w:rsidRDefault="00000000">
      <w:pPr>
        <w:spacing w:after="120" w:line="360" w:lineRule="auto"/>
        <w:jc w:val="both"/>
      </w:pPr>
      <w:r w:rsidRPr="005629AE">
        <w:t xml:space="preserve">Relevance to the research question. </w:t>
      </w:r>
      <w:r>
        <w:t xml:space="preserve">This theme addresses the first two objectives of the study directly: it compares pre- and post-pandemic prevalence using national datasets, and it </w:t>
      </w:r>
      <w:r w:rsidR="001831CB">
        <w:t>assess</w:t>
      </w:r>
      <w:r>
        <w:t xml:space="preserve"> the specific contribution of social isolation and school closure. </w:t>
      </w:r>
      <w:r w:rsidR="001831CB" w:rsidRPr="001831CB">
        <w:t>Its significance for the research aim lies in this unevenness</w:t>
      </w:r>
      <w:r w:rsidR="001831CB">
        <w:t>,</w:t>
      </w:r>
      <w:r w:rsidR="001831CB" w:rsidRPr="001831CB">
        <w:t xml:space="preserve"> if restrictions heightened anxiety for some adolescents while relieving it for others, then the relationship between lockdown and the post-2020 rise in anxiety must be understood as conditional rather than straightforward.</w:t>
      </w:r>
    </w:p>
    <w:p w14:paraId="72EC7CC1" w14:textId="073E0482" w:rsidR="00641B0F" w:rsidRDefault="00000000">
      <w:pPr>
        <w:spacing w:after="120" w:line="360" w:lineRule="auto"/>
        <w:jc w:val="both"/>
      </w:pPr>
      <w:r>
        <w:t xml:space="preserve">Statistical information. The headline evidence indicates a substantial aggregate increase. Racine et al. (2021), pooling data from 29 international studies, estimated that 20.5% of children and adolescents experienced clinically elevated anxiety symptoms during the pandemic, approximately double pre-pandemic estimates. UK-specific cohort evidence strengthens this picture considerably: Montero-Marin et al. (2023) compared secondary pupils assessed before the pandemic with a cohort that had lived through the pandemic and found significantly greater risk of mental health difficulties in the latter, with deterioration most </w:t>
      </w:r>
      <w:r w:rsidR="001831CB">
        <w:t>evident</w:t>
      </w:r>
      <w:r>
        <w:t xml:space="preserve"> among girls. Office for National Statistics (2020) indicators complicate the narrative, however</w:t>
      </w:r>
      <w:r w:rsidR="001831CB">
        <w:t xml:space="preserve"> given</w:t>
      </w:r>
      <w:r>
        <w:t xml:space="preserve"> young people aged 16 to 29 were the age group least likely to report being very worried about the effect of the pandemic on their lives (17%, compared with 27% of those aged 30 to 59), suggesting that generalised worry alone does not explain the rise in clinical-level anxiety in this group, and pointing instead to the specific developmental disruptions the restrictions imposed. The most direct challenge to</w:t>
      </w:r>
      <w:r w:rsidR="001831CB">
        <w:t xml:space="preserve"> the assumption that isolation increased anxiety</w:t>
      </w:r>
      <w:r>
        <w:t xml:space="preserve"> comes from Björkegren, Svaleryd and Vlachos (2024), whose analysis of Swedish registry data found that mental health service use among upper-secondary students fell by 4.4% during remote instruction compared with lower-secondary students who remained in school, and from Widnall et al. (2022), who observed that anxiety among UK pupils increased most sharply upon the return to school rather than during closure itself. The Swedish finding measures service contact rather than symptoms, and the possibility that reduced contact reflects lost access rather than improved wellbeing must be considered; the authors test this and find </w:t>
      </w:r>
      <w:r>
        <w:lastRenderedPageBreak/>
        <w:t xml:space="preserve">against it, since emergency and unplanned presentations fell alongside planned ones. It is treated here as evidence against </w:t>
      </w:r>
      <w:r w:rsidR="001831CB">
        <w:t>isolation contributing to anxiety</w:t>
      </w:r>
      <w:r>
        <w:t>, while acknowledging that Sweden’s lighter restrictions limit direct transfer to the UK.</w:t>
      </w:r>
    </w:p>
    <w:p w14:paraId="757ADF10" w14:textId="16B1CE53" w:rsidR="00641B0F" w:rsidRDefault="00000000">
      <w:pPr>
        <w:spacing w:after="120" w:line="360" w:lineRule="auto"/>
        <w:jc w:val="both"/>
      </w:pPr>
      <w:r>
        <w:t xml:space="preserve">Theoretical framework. These uneven patterns </w:t>
      </w:r>
      <w:r w:rsidR="001831CB">
        <w:t>can be understood</w:t>
      </w:r>
      <w:r>
        <w:t xml:space="preserve"> through the theoretical lens established in Chapter 2. For Erikson (1968), adolescence is defined by the crisis of identity versus role confusion, resolved primarily through peer interaction; restrictions removed those opportunities at the stage when they mattered most. Gilligan’s (1982) critique of Erikson</w:t>
      </w:r>
      <w:r w:rsidR="001831CB">
        <w:t xml:space="preserve"> helps explain</w:t>
      </w:r>
      <w:r>
        <w:t xml:space="preserve"> the gender finding</w:t>
      </w:r>
      <w:r w:rsidR="001831CB">
        <w:t>.</w:t>
      </w:r>
      <w:r>
        <w:t xml:space="preserve"> </w:t>
      </w:r>
      <w:r w:rsidR="001831CB">
        <w:t>I</w:t>
      </w:r>
      <w:r>
        <w:t>f female adolescent development proceeds through relationship and connection to a greater degree, then isolation would be expected to burden girls disproportionately, which is what Montero-Marin et al. (2023) observed. Bronfenbrenner’s (1979) ecological model explains the socioeconomic gradient</w:t>
      </w:r>
      <w:r w:rsidR="00C513A0">
        <w:t>.</w:t>
      </w:r>
      <w:r>
        <w:t xml:space="preserve"> </w:t>
      </w:r>
      <w:r w:rsidR="00C513A0">
        <w:t xml:space="preserve">School </w:t>
      </w:r>
      <w:r>
        <w:t xml:space="preserve">closures </w:t>
      </w:r>
      <w:r w:rsidR="00C513A0">
        <w:t xml:space="preserve">disrupt </w:t>
      </w:r>
      <w:r>
        <w:t xml:space="preserve">school and peer microsystems simultaneously, leaving the family microsystem to </w:t>
      </w:r>
      <w:r w:rsidR="00C513A0">
        <w:t>carry</w:t>
      </w:r>
      <w:r>
        <w:t xml:space="preserve"> the developmental load</w:t>
      </w:r>
      <w:r w:rsidR="00C513A0">
        <w:t>. Because</w:t>
      </w:r>
      <w:r>
        <w:t xml:space="preserve"> households differed sharply in the material and emotional resources available to do so</w:t>
      </w:r>
      <w:r w:rsidR="00C513A0">
        <w:t xml:space="preserve"> unequal outcomes where theoretically expected.</w:t>
      </w:r>
    </w:p>
    <w:p w14:paraId="05CC58D6" w14:textId="297CE4BC" w:rsidR="00641B0F" w:rsidRDefault="00000000">
      <w:pPr>
        <w:spacing w:after="120" w:line="360" w:lineRule="auto"/>
        <w:jc w:val="both"/>
      </w:pPr>
      <w:r>
        <w:t xml:space="preserve">Policy and legislation. Government policy shaped the distribution of exposure as well as its extent. Closure arrangements retained provision for vulnerable pupils and children of key workers, and examination-year cohorts returned earlier (Roberts and Danechi, 2022), meaning that the length of isolation was itself policy-determined and uneven. </w:t>
      </w:r>
      <w:r w:rsidR="00C513A0" w:rsidRPr="00C513A0">
        <w:t>an instability which plausibly compounded anxiety through uncertainty, although this inference cannot be tested directly within the reviewed data and is flagged here as interpretive rather than evidenced.</w:t>
      </w:r>
    </w:p>
    <w:p w14:paraId="0B78AC23" w14:textId="275BEA09" w:rsidR="00641B0F" w:rsidRDefault="00000000">
      <w:pPr>
        <w:spacing w:after="120" w:line="360" w:lineRule="auto"/>
        <w:jc w:val="both"/>
      </w:pPr>
      <w:r>
        <w:t>Implications</w:t>
      </w:r>
      <w:r>
        <w:rPr>
          <w:i/>
          <w:iCs/>
        </w:rPr>
        <w:t>.</w:t>
      </w:r>
      <w:r>
        <w:t xml:space="preserve"> The negative implications are considerable: the evidence suggests the pandemic widened pre-existing mental health inequalities, concentrating harm among girls and disadvantaged adolescents who already faced </w:t>
      </w:r>
      <w:r w:rsidR="00C513A0">
        <w:t>increased</w:t>
      </w:r>
      <w:r>
        <w:t xml:space="preserve"> risk. </w:t>
      </w:r>
      <w:r w:rsidR="00C513A0">
        <w:t>However,</w:t>
      </w:r>
      <w:r>
        <w:t xml:space="preserve"> the opposing pattern in the data carries an equally important implication. A minority of adolescents, particularly those with prior negative school experiences, reported improved wellbeing during closures, a pattern visible in Widnall et al. (2022), where anxiety symptoms fell during lockdown and rose only on the return to school. The Norwegian evidence </w:t>
      </w:r>
      <w:r w:rsidR="00C513A0">
        <w:t>refines</w:t>
      </w:r>
      <w:r>
        <w:t xml:space="preserve"> this picture from the opposite direction: while Norway’s short closure produced no population-level harm, the subgroup reporting high pandemic-related anxiety — approximately 17.3% of the cohort — had more than twice the odds of clinical-level depression symptoms (Burdzovic Andreas and Brunborg, 2021), demonstrating that both harm and relief were concentrated in identifiable groups rather than distributed evenly. If school </w:t>
      </w:r>
      <w:r w:rsidR="00C513A0">
        <w:t>absence</w:t>
      </w:r>
      <w:r>
        <w:t xml:space="preserve"> relieved anxiety for some pupils, the school environment itself m</w:t>
      </w:r>
      <w:r w:rsidR="00C513A0">
        <w:t>ay have been a source of anxiety</w:t>
      </w:r>
      <w:r>
        <w:t>.</w:t>
      </w:r>
      <w:r w:rsidR="00C513A0">
        <w:t xml:space="preserve"> This suggests that the recovery required more than simply reopening schools.</w:t>
      </w:r>
    </w:p>
    <w:p w14:paraId="2F707C81" w14:textId="72E672D0" w:rsidR="00641B0F" w:rsidRDefault="00000000">
      <w:pPr>
        <w:spacing w:after="120" w:line="360" w:lineRule="auto"/>
        <w:jc w:val="both"/>
      </w:pPr>
      <w:r>
        <w:lastRenderedPageBreak/>
        <w:t xml:space="preserve">Examples from the articles. The strength of this theme rests on the convergence of studies with different designs. Racine et al. (2021) offers breadth but aggregates heterogeneous national contexts, limiting UK inference; Magson et al. (2021) provides genuinely longitudinal within-person evidence of rising anxiety but from an Australian sample under different restrictions. Montero-Marin et al. (2023) is the strongest UK design, possessing what most pandemic studies lack, a directly comparable pre-pandemic cohort, though its school-based sampling may under-represent the most affected pupils. Björkegren, Svaleryd and Vlachos (2024) </w:t>
      </w:r>
      <w:r w:rsidR="00FF601C">
        <w:t>is strong</w:t>
      </w:r>
      <w:r>
        <w:t xml:space="preserve"> from population registry data, yet Sweden’s lighter restrictions limit transferability; its value lies in isolating the effect of remote schooling specifically. That these methodologically diverse sources converge on inequality of impact, while disagreeing on aggregate severity, is itself the finding.</w:t>
      </w:r>
    </w:p>
    <w:p w14:paraId="096526C6" w14:textId="2714E4D9" w:rsidR="00641B0F" w:rsidRDefault="00000000">
      <w:pPr>
        <w:spacing w:after="120" w:line="360" w:lineRule="auto"/>
        <w:jc w:val="both"/>
      </w:pPr>
      <w:r>
        <w:t xml:space="preserve">Connections to other themes. The unequal </w:t>
      </w:r>
      <w:r w:rsidR="00FF601C">
        <w:t>distribution</w:t>
      </w:r>
      <w:r>
        <w:t xml:space="preserve"> of pandemic anxiety leads directly into the two themes that follow. The pupils for whom closure was a relief, and for whom return provoked the sharpest anxiety increases (Widnall et al., 2022), constitute the population in which emotionally based school avoidance took </w:t>
      </w:r>
      <w:r w:rsidR="00FF601C">
        <w:t>place</w:t>
      </w:r>
      <w:r>
        <w:t xml:space="preserve">, examined in Theme 2. </w:t>
      </w:r>
      <w:r w:rsidR="00FF601C" w:rsidRPr="00FF601C">
        <w:t>The overall rise in need discussed here also helps explain the referral pressures examined in Theme 3. In summary, this theme shows that pandemic restrictions increased adolescent anxiety on average, but unevenly. It also shows that both isolation and the school environment could act as sources of anxiety, helping to explain the longer-term effects explored in the next theme.</w:t>
      </w:r>
    </w:p>
    <w:p w14:paraId="088D3F78" w14:textId="77777777" w:rsidR="00641B0F" w:rsidRDefault="00000000">
      <w:pPr>
        <w:pStyle w:val="Heading2"/>
        <w:spacing w:before="240" w:after="120" w:line="360" w:lineRule="auto"/>
      </w:pPr>
      <w:bookmarkStart w:id="28" w:name="_Toc235845472"/>
      <w:r>
        <w:t>4.4 Theme 2: From anxiety to absence: emotionally based school avoidance as the pandemic’s long-term legacy</w:t>
      </w:r>
      <w:bookmarkEnd w:id="28"/>
    </w:p>
    <w:p w14:paraId="2DC88149" w14:textId="2B7CB572" w:rsidR="00426753" w:rsidRDefault="00000000">
      <w:pPr>
        <w:spacing w:after="120" w:line="360" w:lineRule="auto"/>
        <w:jc w:val="both"/>
      </w:pPr>
      <w:r>
        <w:t xml:space="preserve">Definition and scope. This theme examines emotionally based school avoidance (EBSA), understood as persistent absence from school rooted in anxiety and emotional distress associated with the school environment, rather than in </w:t>
      </w:r>
      <w:r w:rsidR="00FF601C">
        <w:t>deliberate</w:t>
      </w:r>
      <w:r>
        <w:t xml:space="preserve"> truancy (Lester and Michelson, 2024). The terminology matters: EBSA is now widely preferred to the older label “school refusal” because it locates the difficulty in emotional need rather than in choice, recognising that for many </w:t>
      </w:r>
      <w:proofErr w:type="gramStart"/>
      <w:r>
        <w:t>pupils</w:t>
      </w:r>
      <w:proofErr w:type="gramEnd"/>
      <w:r>
        <w:t xml:space="preserve"> non-attendance is a necessity in response to intense anxiety rather than a decision (Hamilton, 2024). The scope of this theme is England from 2020 onwards, since attendance and absence statistics are collected and published separately by each UK nation and the Department for Education series provides the only continuous record </w:t>
      </w:r>
      <w:r w:rsidR="00FF601C">
        <w:t>covering</w:t>
      </w:r>
      <w:r>
        <w:t xml:space="preserve"> the pre- and post-pandemic periods. Severe absence, defined by the Department for Education (DfE) as missing 50% or more of possible sessions, is treated as the sharpest available indicator (Department for Education, 2025). </w:t>
      </w:r>
    </w:p>
    <w:p w14:paraId="19E89C52" w14:textId="77777777" w:rsidR="00FF601C" w:rsidRDefault="00FF601C">
      <w:pPr>
        <w:spacing w:after="120" w:line="360" w:lineRule="auto"/>
        <w:jc w:val="both"/>
      </w:pPr>
      <w:r w:rsidRPr="00FF601C">
        <w:lastRenderedPageBreak/>
        <w:t>Background information. The link between anxiety and poor attendance existed before the pandemic. Finning et al.’s (2019) systematic review found consistent associations between anxiety, school refusal and truancy, although the evidence was mostly cross-sectional and limited in quality. The pandemic intensified this existing pattern. As Theme 1 showed, some pupils experienced school closure as a relief. Hamilton (2024) argues that, for these pupils, remote learning revealed an alternative to ordinary schooling and showed that staying away from school could reduce chronic anxiety. At the same time, prolonged closure weakened the home–school relationships that would normally help pupils return.</w:t>
      </w:r>
    </w:p>
    <w:p w14:paraId="69433C1C" w14:textId="7F69AF5C" w:rsidR="009321EC" w:rsidRDefault="009321EC">
      <w:pPr>
        <w:spacing w:after="120" w:line="360" w:lineRule="auto"/>
        <w:jc w:val="both"/>
      </w:pPr>
      <w:r w:rsidRPr="009321EC">
        <w:t>Relevance to the research question. This theme addresses the third objective directly, evaluating school absenteeism as the principal long-term result of pandemic-era anxiety. If Theme 1 concerned what the restrictions did, this theme concerns what failed to return to normal afterwards, connecting the 2020–2021 closures to the social anxiety and attendance patterns still measurable in 2024–202</w:t>
      </w:r>
      <w:r>
        <w:t>5</w:t>
      </w:r>
      <w:r w:rsidRPr="009321EC">
        <w:t>. EBSA therefore shows how the long-term impact identified in the research aim continued to appear in pupils’ school attendance.</w:t>
      </w:r>
    </w:p>
    <w:p w14:paraId="4745F889" w14:textId="70220AA4" w:rsidR="00641B0F" w:rsidRDefault="00000000">
      <w:pPr>
        <w:spacing w:after="120" w:line="360" w:lineRule="auto"/>
        <w:jc w:val="both"/>
      </w:pPr>
      <w:r>
        <w:t xml:space="preserve">Statistical information. The official statistics indicate that absence has not recovered with the rest of the system (Figure 1). DfE (2025) accredited figures record severe absence at 2.26% of pupils in the autumn and spring terms of 2024/25, against 0.81% in 2018/19, nearly a threefold increase on the pre-pandemic baseline; persistent absence stood at 17.63%, compared with 10.53% before the pandemic. </w:t>
      </w:r>
      <w:r w:rsidR="009321EC" w:rsidRPr="009321EC">
        <w:t>Critically, severe absence rose from 2.14% the previous year even as overall absence improved, suggesting that recovery is not reaching pupils with the most persistent attendance difficulties.</w:t>
      </w:r>
      <w:r w:rsidR="009321EC">
        <w:t xml:space="preserve"> </w:t>
      </w:r>
      <w:r>
        <w:t xml:space="preserve">The Centre for Social Justice (2024) reported more than 157,000 severely absent children in the spring term of 2024, an increase of 160.7% on pre-pandemic levels; as an advocacy publication its framing warrants caution, but its underlying figures derive from the same departmental data and corroborate the official trend. National survey evidence completes the </w:t>
      </w:r>
      <w:r w:rsidR="009321EC">
        <w:t>model,</w:t>
      </w:r>
      <w:r>
        <w:t xml:space="preserve"> adolescents with a probable mental disorder are markedly more likely to miss extended periods of school than their peers (Newlove-Delgado et al., 2023).</w:t>
      </w:r>
    </w:p>
    <w:p w14:paraId="625C6860" w14:textId="77777777" w:rsidR="00641B0F" w:rsidRDefault="00000000">
      <w:pPr>
        <w:spacing w:before="160" w:after="60"/>
        <w:jc w:val="center"/>
      </w:pPr>
      <w:r>
        <w:rPr>
          <w:noProof/>
        </w:rPr>
        <w:lastRenderedPageBreak/>
        <w:drawing>
          <wp:inline distT="0" distB="0" distL="0" distR="0" wp14:anchorId="229DD59C" wp14:editId="1C187467">
            <wp:extent cx="5762625" cy="2181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762625" cy="2181225"/>
                    </a:xfrm>
                    <a:prstGeom prst="rect">
                      <a:avLst/>
                    </a:prstGeom>
                  </pic:spPr>
                </pic:pic>
              </a:graphicData>
            </a:graphic>
          </wp:inline>
        </w:drawing>
      </w:r>
    </w:p>
    <w:p w14:paraId="0E1D0518" w14:textId="77777777" w:rsidR="00641B0F" w:rsidRDefault="00000000">
      <w:pPr>
        <w:spacing w:after="200"/>
        <w:jc w:val="center"/>
      </w:pPr>
      <w:r>
        <w:rPr>
          <w:i/>
          <w:iCs/>
          <w:sz w:val="20"/>
          <w:szCs w:val="20"/>
        </w:rPr>
        <w:t>Figure 1: School absence in England before and after the pandemic — (a) severe absence and (b) persistent absence. Source: Department for Education (2025).</w:t>
      </w:r>
    </w:p>
    <w:p w14:paraId="0A591182" w14:textId="0762E9E4" w:rsidR="00641B0F" w:rsidRDefault="00000000">
      <w:pPr>
        <w:spacing w:after="120" w:line="360" w:lineRule="auto"/>
        <w:jc w:val="both"/>
      </w:pPr>
      <w:r>
        <w:t xml:space="preserve">Theoretical framework. Bronfenbrenner’s (1979) ecological model frames EBSA as a disorder of systems rather than of individuals. Closure </w:t>
      </w:r>
      <w:r w:rsidR="009321EC" w:rsidRPr="009321EC">
        <w:t>disrupted</w:t>
      </w:r>
      <w:r w:rsidR="009321EC">
        <w:t xml:space="preserve"> </w:t>
      </w:r>
      <w:r>
        <w:t xml:space="preserve">the school microsystem; reopening demanded re-entry into an environment whose routines, relationships and sensory demands had to be renegotiated, while the mesosystem linking home and school, the partnership through which attendance problems are normally resolved, had been weakened by months without face-to-face contact (Hamilton, 2024). Erikson's (1968) account deepens the analysis: avoidance during the identity-versus-role-confusion stage removes the adolescent from the peer group in which identity work takes place. </w:t>
      </w:r>
      <w:r w:rsidR="009321EC" w:rsidRPr="009321EC">
        <w:t>Anxiety therefore produces absence, and absence in turn reinforces anxiety</w:t>
      </w:r>
      <w:r w:rsidR="009321EC">
        <w:t>,</w:t>
      </w:r>
      <w:r w:rsidR="009321EC" w:rsidRPr="009321EC">
        <w:t xml:space="preserve"> time away from school weakens the young person’s sense of competence and belonging, both of which would otherwise help reduce anxiety.</w:t>
      </w:r>
      <w:r w:rsidR="009321EC">
        <w:t xml:space="preserve"> </w:t>
      </w:r>
      <w:r>
        <w:t>The theories jointly predict what the data show, a self-reinforcing cycle resistant to simple pressure to return.</w:t>
      </w:r>
    </w:p>
    <w:p w14:paraId="16016D03" w14:textId="675C7400" w:rsidR="00426753" w:rsidRDefault="00000000">
      <w:pPr>
        <w:spacing w:after="120" w:line="360" w:lineRule="auto"/>
        <w:jc w:val="both"/>
      </w:pPr>
      <w:r>
        <w:t>Policy and legislation. England’s principal policy instrument is the DfE’s statutory guidance Working together to improve school attendance, in force from August 2024, which schools and local authorities must have regard to</w:t>
      </w:r>
      <w:r w:rsidR="009321EC">
        <w:t>,</w:t>
      </w:r>
      <w:r>
        <w:t xml:space="preserve"> introduc</w:t>
      </w:r>
      <w:r w:rsidR="009321EC">
        <w:t>ing</w:t>
      </w:r>
      <w:r>
        <w:t xml:space="preserve"> a national framework for penalty notices (Department for Education, 2026). The reviewed evidence sits uneasily alongside this </w:t>
      </w:r>
      <w:r w:rsidR="008616A7">
        <w:t>enforcement-based approach</w:t>
      </w:r>
      <w:r>
        <w:t xml:space="preserve">. McDonald and Pervez (2025) identify a punitive attendance culture as an active barrier to effective intervention, and Hamilton (2024) </w:t>
      </w:r>
      <w:r w:rsidR="008616A7">
        <w:t>argues</w:t>
      </w:r>
      <w:r>
        <w:t xml:space="preserve"> that reward-and-sanction approaches fail for EBSA because they presume a capacity to attend that anxious pupils lack. The DfE’s (2023) companion guidance on mental health and attendance acknowledges this, advising support rather than sanction where anxiety underlies absence, but its non-statutory status leaves the </w:t>
      </w:r>
      <w:r w:rsidR="008616A7">
        <w:t>conflict</w:t>
      </w:r>
      <w:r>
        <w:t xml:space="preserve"> between the two instruments unresolved. </w:t>
      </w:r>
    </w:p>
    <w:p w14:paraId="2A35673F" w14:textId="2501A522" w:rsidR="008616A7" w:rsidRDefault="008616A7">
      <w:pPr>
        <w:spacing w:after="120" w:line="360" w:lineRule="auto"/>
        <w:jc w:val="both"/>
      </w:pPr>
      <w:r w:rsidRPr="008616A7">
        <w:t xml:space="preserve">This coexistence creates a structural problem. Schools are legally accountable to statutory attendance guidance, which includes a national penalty-notice framework, while the support-first guidance for anxiety-related absence remains non-statutory. As a result, schools face </w:t>
      </w:r>
      <w:r w:rsidRPr="008616A7">
        <w:lastRenderedPageBreak/>
        <w:t xml:space="preserve">stronger obligations to enforce attendance than to respond therapeutically to EBSA. The reviewed evidence suggests that this is problematic: when sanctions are applied to pupils who are too anxious to attend, absence is more likely to become </w:t>
      </w:r>
      <w:r>
        <w:t>prevalent</w:t>
      </w:r>
      <w:r w:rsidRPr="008616A7">
        <w:t xml:space="preserve">, and families may disengage from the home–school partnership needed for reintegration (Hamilton, 2024). McDonald and Pervez’s (2025) finding that punitive attendance cultures act as a barrier to intervention suggests that this tension operates in practice, not only in policy. Resolving this imbalance, either by clarifying the </w:t>
      </w:r>
      <w:r>
        <w:t>priority</w:t>
      </w:r>
      <w:r w:rsidRPr="008616A7">
        <w:t xml:space="preserve"> between the two forms of guidance or by placing support-first responses on a statutory footing, is therefore a key policy issue addressed in Chapter 5. In short, policy has recognised anxiety-related absence as a </w:t>
      </w:r>
      <w:r w:rsidRPr="008616A7">
        <w:t>problem but</w:t>
      </w:r>
      <w:r w:rsidRPr="008616A7">
        <w:t xml:space="preserve"> still relies on tools designed for wilful non-attendance.</w:t>
      </w:r>
    </w:p>
    <w:p w14:paraId="26B5C61B" w14:textId="77777777" w:rsidR="008616A7" w:rsidRDefault="008616A7">
      <w:pPr>
        <w:spacing w:after="120" w:line="360" w:lineRule="auto"/>
        <w:jc w:val="both"/>
      </w:pPr>
    </w:p>
    <w:p w14:paraId="0E6EFDF3" w14:textId="4045C510" w:rsidR="00641B0F" w:rsidRDefault="00000000">
      <w:pPr>
        <w:spacing w:after="120" w:line="360" w:lineRule="auto"/>
        <w:jc w:val="both"/>
      </w:pPr>
      <w:r>
        <w:t xml:space="preserve">Implications. The negative implications compound those of Theme 1: severe absence is concentrated among disadvantaged pupils and those with special educational needs, so the absence crisis widens inequalities the pandemic deepened, with attainment consequences that extend into adulthood (Hamilton, 2024). </w:t>
      </w:r>
      <w:r w:rsidR="008616A7" w:rsidRPr="008616A7">
        <w:t>The EBSA framing shifts attention away from blaming the “refusing” child or family and towards the relationship between the pupil and the school environment, making the school itself part of the analysis.</w:t>
      </w:r>
      <w:r>
        <w:t xml:space="preserve"> And feasible responses exist: McDonald, Michelson and Lester (2024) demonstrate through the co-designed ISAAC intervention (Intervention for School Anxiety and Absenteeism in Children) that brief, parent-focused support for emerging school avoidance is acceptable to families and deliverable outside specialist clinics, a point developed in Chapter 5.</w:t>
      </w:r>
    </w:p>
    <w:p w14:paraId="531104F4" w14:textId="5D985D7E" w:rsidR="00641B0F" w:rsidRDefault="00000000">
      <w:pPr>
        <w:spacing w:after="120" w:line="360" w:lineRule="auto"/>
        <w:jc w:val="both"/>
      </w:pPr>
      <w:r>
        <w:t xml:space="preserve">Examples from the articles. The evidential base for this theme is methodologically weaker than Theme 1’s. Finning et al. (2019) is rigorous but pre-pandemic and largely cross-sectional, unable to establish direction of effect. Lester and Michelson (2024) offer the sharpest conceptual account of interacting post-pandemic risks, but their perspective piece is treated here with the caution required by its lack of original data. McDonald and Pervez (2025) provide current UK review evidence but conclude that intervention studies </w:t>
      </w:r>
      <w:r w:rsidR="008616A7">
        <w:t>are</w:t>
      </w:r>
      <w:r>
        <w:t xml:space="preserve"> too weak to confirm effectiveness. DfE (2025) supplies authoritative counts yet records absence categories rather than causes, so the proportion </w:t>
      </w:r>
      <w:r w:rsidR="008616A7">
        <w:t>due</w:t>
      </w:r>
      <w:r>
        <w:t xml:space="preserve"> to EBSA specifically cannot be i</w:t>
      </w:r>
      <w:r w:rsidR="008616A7">
        <w:t>dentified</w:t>
      </w:r>
      <w:r>
        <w:t xml:space="preserve">, since no national dataset currently </w:t>
      </w:r>
      <w:r w:rsidR="008616A7">
        <w:t>separates</w:t>
      </w:r>
      <w:r>
        <w:t xml:space="preserve"> EBSA within absence statistics; this is a genuine limitation of the evidence base for this theme. That sources of such different types converge on the same anxiety</w:t>
      </w:r>
      <w:r w:rsidR="008616A7">
        <w:t xml:space="preserve"> </w:t>
      </w:r>
      <w:r>
        <w:t>to</w:t>
      </w:r>
      <w:r w:rsidR="008616A7">
        <w:t xml:space="preserve"> </w:t>
      </w:r>
      <w:r>
        <w:t>absence mechanism is the strongest ground for confidence.</w:t>
      </w:r>
    </w:p>
    <w:p w14:paraId="4EF7EEE3" w14:textId="39478AC2" w:rsidR="00641B0F" w:rsidRDefault="00000000">
      <w:pPr>
        <w:spacing w:after="120" w:line="360" w:lineRule="auto"/>
        <w:jc w:val="both"/>
      </w:pPr>
      <w:r>
        <w:t xml:space="preserve">Connections to other themes. Looking back, it develops the central paradox of Theme 1: the pupils relieved by closure and destabilised by return (Widnall et al., 2022) are the population within which EBSA took root. Looking forward, it generates Theme 3: unmet emotional need </w:t>
      </w:r>
      <w:r>
        <w:lastRenderedPageBreak/>
        <w:t>behind absence flows into CAMHS referrals, while punitive framing risks driving families away from school-based help toward already saturated clinical routes. In summary, the pandemic converted a known anxiety–attendance association into a lasting national phenomenon, and current policy addresses the symptom of absence more directly than its emotional cause.</w:t>
      </w:r>
    </w:p>
    <w:p w14:paraId="18946A09" w14:textId="77777777" w:rsidR="00641B0F" w:rsidRPr="009F3547" w:rsidRDefault="00000000">
      <w:pPr>
        <w:pStyle w:val="Heading2"/>
        <w:spacing w:before="240" w:after="120" w:line="360" w:lineRule="auto"/>
      </w:pPr>
      <w:bookmarkStart w:id="29" w:name="_Toc235845473"/>
      <w:r>
        <w:t>4.5 Theme 3: A system outpaced: CAMHS capacity and the post-pandemic demand surge</w:t>
      </w:r>
      <w:bookmarkEnd w:id="29"/>
    </w:p>
    <w:p w14:paraId="10B4A082" w14:textId="27AB13AB" w:rsidR="00426753" w:rsidRDefault="00000000">
      <w:pPr>
        <w:spacing w:after="120" w:line="360" w:lineRule="auto"/>
        <w:jc w:val="both"/>
      </w:pPr>
      <w:r>
        <w:t xml:space="preserve">Definition and scope. This theme examines what happened when the elevated need documented in Themes 1 and 2 interacted with services responsible for treating it. Its central finding is that Child and Adolescent Mental Health Services (CAMHS) were not overwhelmed by an unforeseeable shock so much as outpaced by a predictable one: demand that had been rising for two decades accelerated into a system </w:t>
      </w:r>
      <w:r w:rsidR="00AE458C">
        <w:t>where</w:t>
      </w:r>
      <w:r>
        <w:t xml:space="preserve"> capacity </w:t>
      </w:r>
      <w:r w:rsidR="00AE458C">
        <w:t>could not</w:t>
      </w:r>
      <w:r>
        <w:t xml:space="preserve"> matched need. The scope is England between 2020 and 2025, since CAMHS activity and waiting-time data are collected separately by each UK nation and the NHS England series provides the most complete record for this period. Referral volumes, rejection rates and waiting times are used as the principal indicators of the fit between need and provision.</w:t>
      </w:r>
    </w:p>
    <w:p w14:paraId="7C7E4868" w14:textId="77777777" w:rsidR="00641B0F" w:rsidRPr="009F3547" w:rsidRDefault="00000000">
      <w:pPr>
        <w:spacing w:after="120" w:line="360" w:lineRule="auto"/>
        <w:jc w:val="both"/>
      </w:pPr>
      <w:r>
        <w:t>Background information. The pre-pandemic trajectory is essential to interpreting the surge. Cybulski et al. (2021), analysing primary care records covering more than nine million young people, found that the recorded incidence of anxiety disorders among children and adolescents was approximately 3.5 times higher in 2018 than in 2003, a steep secular rise entirely predating COVID-19. Service development did not keep pace: a unified CAMHS existed only from 1987 (Barrett, 2019), and by 2019 general practitioners were describing a service under visible strain, with high thresholds leaving substantial need unmet (England and Mughal, 2019). The pandemic therefore struck a system already operating beyond its design.</w:t>
      </w:r>
    </w:p>
    <w:p w14:paraId="13ACABEE" w14:textId="44340BCC" w:rsidR="00641B0F" w:rsidRPr="009F3547" w:rsidRDefault="00000000">
      <w:pPr>
        <w:spacing w:after="120" w:line="360" w:lineRule="auto"/>
        <w:jc w:val="both"/>
      </w:pPr>
      <w:r>
        <w:t xml:space="preserve">Relevance to the research question. This theme serves the fourth objective, since credible recommendations for schools and CAMHS must rest on an accurate diagnosis of why the system failed to absorb the surge. It also completes the causal logic of the research aim: the long-term persistence of pandemic-era anxiety is partly an institutional </w:t>
      </w:r>
      <w:r w:rsidR="00AE458C">
        <w:t>result</w:t>
      </w:r>
      <w:r>
        <w:t>, because anxiety that cannot access timely treatment is anxiety prolonged.</w:t>
      </w:r>
    </w:p>
    <w:p w14:paraId="624C7D89" w14:textId="57E75FD8" w:rsidR="00641B0F" w:rsidRPr="009F3547" w:rsidRDefault="00000000">
      <w:pPr>
        <w:spacing w:after="120" w:line="360" w:lineRule="auto"/>
        <w:jc w:val="both"/>
      </w:pPr>
      <w:r>
        <w:t xml:space="preserve">Statistical information. The pandemic’s effect on demand followed a distinctive drop-and-rebound pattern. Referrals initially collapsed during the first lockdown. In the Republic of </w:t>
      </w:r>
      <w:proofErr w:type="gramStart"/>
      <w:r>
        <w:t>Ireland</w:t>
      </w:r>
      <w:proofErr w:type="gramEnd"/>
      <w:r>
        <w:t xml:space="preserve"> they fell by 53% between March and May 2020 compared with the same period in 2019, a pattern Huang and Ougrin (2021) report as broadly reflected across UK services, before rebounding sharply from September 2020. As an editorial, this source is treated here as indicative of the drop-and-rebound pattern rather than as a quantitative estimate for </w:t>
      </w:r>
      <w:r>
        <w:lastRenderedPageBreak/>
        <w:t xml:space="preserve">England. The withdrawal of existing support compounded the interruption: 80% of families of children with special educational needs or neurodevelopmental conditions who had previously been receiving service support reported that it had been stopped or postponed during the first lockdown (Waite et al., 2020). When demand returned, it returned </w:t>
      </w:r>
      <w:r w:rsidR="00AE458C">
        <w:t>increased</w:t>
      </w:r>
      <w:r>
        <w:t xml:space="preserve"> (Figure 2). Abel et al. (2025) found that referrals rose by 47% between 2020 and 2021, standing 84% above 2018–2019 levels, with 497,502 children and young people referred in 2020–21 and approximately one quarter of referrals unsuccessful. The aftermath remains measurable: 78,577 young people waited more than a year for treatment in 2023/24, an increase of 52% on the previous year, with anxiety the </w:t>
      </w:r>
      <w:proofErr w:type="gramStart"/>
      <w:r>
        <w:t>most commonly identified</w:t>
      </w:r>
      <w:proofErr w:type="gramEnd"/>
      <w:r>
        <w:t xml:space="preserve"> condition (YoungMinds, 2025), while 320,000 children held active referrals still awaiting treatment (Children’s Commissioner for England, 2025).</w:t>
      </w:r>
    </w:p>
    <w:p w14:paraId="2B78D3D4" w14:textId="77777777" w:rsidR="00641B0F" w:rsidRDefault="00000000">
      <w:pPr>
        <w:spacing w:before="160" w:after="60"/>
        <w:jc w:val="center"/>
      </w:pPr>
      <w:r>
        <w:rPr>
          <w:noProof/>
        </w:rPr>
        <w:drawing>
          <wp:inline distT="0" distB="0" distL="0" distR="0" wp14:anchorId="713645C4" wp14:editId="4A1F72CE">
            <wp:extent cx="5762625" cy="2181225"/>
            <wp:effectExtent l="0" t="0" r="0" b="0"/>
            <wp:docPr id="185216506" name="Picture 185216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762625" cy="2181225"/>
                    </a:xfrm>
                    <a:prstGeom prst="rect">
                      <a:avLst/>
                    </a:prstGeom>
                  </pic:spPr>
                </pic:pic>
              </a:graphicData>
            </a:graphic>
          </wp:inline>
        </w:drawing>
      </w:r>
    </w:p>
    <w:p w14:paraId="55632470" w14:textId="77777777" w:rsidR="00641B0F" w:rsidRDefault="00000000">
      <w:pPr>
        <w:spacing w:after="200"/>
        <w:jc w:val="center"/>
      </w:pPr>
      <w:r>
        <w:rPr>
          <w:i/>
          <w:iCs/>
          <w:sz w:val="20"/>
          <w:szCs w:val="20"/>
        </w:rPr>
        <w:t>Figure 2: The post-pandemic demand surge in CAMHS — (a) referral growth against the 2018/19 baseline and (b) children waiting for treatment in 2023/24. Sources: Abel et al. (2025); YoungMinds (2025); Children’s Commissioner for England (2025).</w:t>
      </w:r>
    </w:p>
    <w:p w14:paraId="5779ADE9" w14:textId="12E64E78" w:rsidR="00641B0F" w:rsidRPr="009F3547" w:rsidRDefault="00000000">
      <w:pPr>
        <w:spacing w:after="120" w:line="360" w:lineRule="auto"/>
        <w:jc w:val="both"/>
      </w:pPr>
      <w:r>
        <w:t xml:space="preserve">Theoretical framework. Where Themes 1 and 2 drew </w:t>
      </w:r>
      <w:r w:rsidR="00AE458C">
        <w:t>mainly</w:t>
      </w:r>
      <w:r>
        <w:t xml:space="preserve"> on Bronfenbrenner’s (1979) inner systems, this theme requires the outer layers of the ecological model, and in doing so answers Tudge et al.’s (2009) criticism that applications of the theory too often stop at the microsystem. CAMHS constitutes part of the adolescent’s exosystem: a setting in which the young person does not directly participate but whose functioning shapes their development, while the funding and policy decisions governing it belong to the macrosystem. The model thus explains how an adolescent can be failed by structures they never encounter. Erikson (1968) supplies the temporal critique: a year spent on a waiting list during the identity-versus-role-confusion stage is not a neutral administrative delay but developmental time in which unmet need evolves, entrenches and complicates.</w:t>
      </w:r>
    </w:p>
    <w:p w14:paraId="72119996" w14:textId="1C685F70" w:rsidR="00641B0F" w:rsidRPr="009F3547" w:rsidRDefault="00000000">
      <w:pPr>
        <w:spacing w:after="120" w:line="360" w:lineRule="auto"/>
        <w:jc w:val="both"/>
      </w:pPr>
      <w:r>
        <w:t xml:space="preserve">Policy and legislation. The policy record is one of genuine ambition persistently calibrated below need. Future in Mind (Department of Health and NHS England, 2015) established transformation plans; the NHS Long Term Plan committed to enabling an additional 345,000 </w:t>
      </w:r>
      <w:r>
        <w:lastRenderedPageBreak/>
        <w:t xml:space="preserve">children and young people up to the age of 25 to access </w:t>
      </w:r>
      <w:proofErr w:type="gramStart"/>
      <w:r>
        <w:t>support  through</w:t>
      </w:r>
      <w:proofErr w:type="gramEnd"/>
      <w:r>
        <w:t xml:space="preserve"> NHS-funded services and Mental Health Support Teams by 2023/24 (NHS England, 2019). Yet the National Audit Office (2023) concluded that even if that access target were achieved, only around two-fifths of children with a diagnosable mental health need would access services, a verdict of insufficiency at the level of design rather than delivery (Garratt, Kirk-Wade and Long, 2024). The consequence is structural reliance on non-clinical settings: guidance from the National Institute for Health and Care Excellence (NICE, 2022) on social, emotional and mental wellbeing in schools effectively formalises the school as the tier of provision the clinical gap forces into service.</w:t>
      </w:r>
    </w:p>
    <w:p w14:paraId="283DF672" w14:textId="34A3C830" w:rsidR="00641B0F" w:rsidRPr="009F3547" w:rsidRDefault="00000000">
      <w:pPr>
        <w:spacing w:after="120" w:line="360" w:lineRule="auto"/>
        <w:jc w:val="both"/>
      </w:pPr>
      <w:r>
        <w:t xml:space="preserve">Implications. The negative implications </w:t>
      </w:r>
      <w:r w:rsidR="00AE458C">
        <w:t>work</w:t>
      </w:r>
      <w:r>
        <w:t xml:space="preserve"> as a feedback loop. Rationing by threshold returns unmet need to precisely the settings, schools and families, least equipped for clinical management, and does so within the punitive attendance context described in Theme 2; meanwhile, as the earlier discussion of Erikson implies, the queue itself manufactures severity, because need continues to evolve while it remains untreated. Yet the crisis has also clarified the direction of reform. The whole-school approach now recommended nationally (NICE, 2022) and placed on a statutory footing in Wales (Welsh Government, 2026), alongside feasible co-designed interventions such as ISAAC (McDonald, Michelson and Lester, 2024), indicates a policy consensus forming around earlier, school-based support rather than expanded specialist capacity alone, the space in which this study’s recommendations are developed.</w:t>
      </w:r>
    </w:p>
    <w:p w14:paraId="6C243D11" w14:textId="4EEFF011" w:rsidR="00641B0F" w:rsidRPr="009F3547" w:rsidRDefault="00000000">
      <w:pPr>
        <w:spacing w:after="120" w:line="360" w:lineRule="auto"/>
        <w:jc w:val="both"/>
      </w:pPr>
      <w:r>
        <w:t xml:space="preserve">Examples from the articles. The evidence for this theme </w:t>
      </w:r>
      <w:proofErr w:type="gramStart"/>
      <w:r>
        <w:t>mixes</w:t>
      </w:r>
      <w:proofErr w:type="gramEnd"/>
      <w:r>
        <w:t xml:space="preserve"> types, and its credibility </w:t>
      </w:r>
      <w:r w:rsidR="00AE458C">
        <w:t>depends</w:t>
      </w:r>
      <w:r>
        <w:t xml:space="preserve"> on how each is weighed. Abel et al. (2025) is the strongest core source, an NIHR-funded mixed-methods study combining national data with provider-level analysis, though its authors acknowledge substantial missing Trust data. The National Audit Office (2023) carries the authority of the independent auditor but examines mental health services broadly rather than adolescents specifically. YoungMinds (2025) and the Children’s Commissioner for England (2025) supply the most current figures and rest on official NHS data, but their advocacy and statutory-office purposes respectively require the cautious interpretation established in Chapter 3. Huang and Ougrin (2021), as an editorial, is treated as informed perspective rather than primary evidence. Cybulski et al. (2021) offers registry-scale rigour, and its principal limitation, that primary-care-recorded diagnoses undercount untreated need, in fact strengthens the theme’s argument, since the true pre-pandemic baseline of need was higher than the recorded one. </w:t>
      </w:r>
      <w:r w:rsidR="00AE458C" w:rsidRPr="00AE458C">
        <w:t>Across these sources, the evidence converges around a consistent finding: demand exceeds service capacity.</w:t>
      </w:r>
    </w:p>
    <w:p w14:paraId="4547A438" w14:textId="5FC4AD3D" w:rsidR="00641B0F" w:rsidRPr="009F3547" w:rsidRDefault="00000000">
      <w:pPr>
        <w:spacing w:after="120" w:line="360" w:lineRule="auto"/>
        <w:jc w:val="both"/>
      </w:pPr>
      <w:r>
        <w:t xml:space="preserve">Connections to other themes. This theme closes the causal chain the chapter has constructed. Theme 1 established that the pandemic raised anxiety unevenly, concentrating harm among </w:t>
      </w:r>
      <w:r>
        <w:lastRenderedPageBreak/>
        <w:t xml:space="preserve">those least </w:t>
      </w:r>
      <w:r w:rsidR="00AE458C">
        <w:t>equipped</w:t>
      </w:r>
      <w:r>
        <w:t xml:space="preserve"> to absorb it; Theme 2 traced how that anxiety hardened into avoidance while policy addressed the symptom; Theme 3 shows why the system positioned to interrupt the cycle could not do so. Unequal harm, avoidable chronicity and institutional insufficiency are therefore not three separate </w:t>
      </w:r>
      <w:proofErr w:type="gramStart"/>
      <w:r>
        <w:t>findings</w:t>
      </w:r>
      <w:proofErr w:type="gramEnd"/>
      <w:r>
        <w:t xml:space="preserve"> but one process observed at three </w:t>
      </w:r>
      <w:r w:rsidR="00AE458C">
        <w:t>stages</w:t>
      </w:r>
      <w:r>
        <w:t>. In summary, the post-pandemic surge exposed rather than created the capacity gap, and it is this distinction that makes the school-focused, early-intervention recommendations of Chapter 5 a necessity rather than an option.</w:t>
      </w:r>
    </w:p>
    <w:p w14:paraId="6873D9AC" w14:textId="77777777" w:rsidR="00641B0F" w:rsidRPr="009F3547" w:rsidRDefault="00000000">
      <w:pPr>
        <w:pStyle w:val="Heading2"/>
        <w:spacing w:before="240" w:after="120" w:line="360" w:lineRule="auto"/>
      </w:pPr>
      <w:bookmarkStart w:id="30" w:name="_Toc235845474"/>
      <w:r>
        <w:t>4.6 Conclusion</w:t>
      </w:r>
      <w:bookmarkEnd w:id="30"/>
    </w:p>
    <w:p w14:paraId="3F7299D0" w14:textId="1D963DAD" w:rsidR="00641B0F" w:rsidRPr="009F3547" w:rsidRDefault="00000000">
      <w:pPr>
        <w:spacing w:after="120" w:line="360" w:lineRule="auto"/>
        <w:jc w:val="both"/>
      </w:pPr>
      <w:r>
        <w:t xml:space="preserve">This chapter presented and discussed the findings of the review under three themes constructed through thematic analysis. Taken together, they answer the research aim as a connected process rather than as isolated results. The restrictions raised adolescent anxiety substantially but unevenly, with girls and disadvantaged young people bearing a disproportionate burden; for a distinct minority, however, closure brought relief, revealing the school environment itself as a source of anxiety. That duality explains the second finding: the return to school, rather than the closures alone, </w:t>
      </w:r>
      <w:r w:rsidR="00AE458C">
        <w:t>turned</w:t>
      </w:r>
      <w:r>
        <w:t xml:space="preserve"> anxiety into emotionally based school avoidance at national scale, a </w:t>
      </w:r>
      <w:r w:rsidR="00AE458C">
        <w:t>consequence</w:t>
      </w:r>
      <w:r>
        <w:t xml:space="preserve"> that official statistics show still </w:t>
      </w:r>
      <w:r w:rsidR="00AE458C">
        <w:t>worsening</w:t>
      </w:r>
      <w:r>
        <w:t xml:space="preserve"> in 2024/25 even as overall attendance recovers. The third finding situates both within an institutional context, as a service system whose capacity trailed need long before 2020 proved unable to interrupt the cycle, prolonging precisely the anxiety it existed to treat. The principal tension within the evidence, between accounts emphasising the harm of isolation and those recording improvement during it, proved productive rather than contradictory, as it identifies the pupils for whom conventional school re-entry is most </w:t>
      </w:r>
      <w:r w:rsidR="00686E18">
        <w:t>difficult</w:t>
      </w:r>
      <w:r>
        <w:t>.</w:t>
      </w:r>
    </w:p>
    <w:p w14:paraId="2A83A3D8" w14:textId="77777777" w:rsidR="00641B0F" w:rsidRPr="009F3547" w:rsidRDefault="00000000">
      <w:pPr>
        <w:pStyle w:val="Heading1"/>
        <w:pageBreakBefore/>
        <w:spacing w:after="240" w:line="360" w:lineRule="auto"/>
      </w:pPr>
      <w:bookmarkStart w:id="31" w:name="_Toc235845475"/>
      <w:r>
        <w:lastRenderedPageBreak/>
        <w:t>Chapter 5 — Recommendations and Conclusion</w:t>
      </w:r>
      <w:bookmarkEnd w:id="31"/>
    </w:p>
    <w:p w14:paraId="173162CC" w14:textId="77777777" w:rsidR="00641B0F" w:rsidRPr="009F3547" w:rsidRDefault="00000000">
      <w:pPr>
        <w:pStyle w:val="Heading2"/>
        <w:spacing w:before="240" w:after="120" w:line="360" w:lineRule="auto"/>
      </w:pPr>
      <w:bookmarkStart w:id="32" w:name="_Toc235845476"/>
      <w:r>
        <w:t>5.1 Introduction</w:t>
      </w:r>
      <w:bookmarkEnd w:id="32"/>
    </w:p>
    <w:p w14:paraId="5CA7F0F8" w14:textId="7B77C067" w:rsidR="00641B0F" w:rsidRPr="009F3547" w:rsidRDefault="00000000">
      <w:pPr>
        <w:spacing w:after="120" w:line="360" w:lineRule="auto"/>
        <w:jc w:val="both"/>
      </w:pPr>
      <w:r>
        <w:t xml:space="preserve">This </w:t>
      </w:r>
      <w:r w:rsidR="00686E18">
        <w:t>chapter</w:t>
      </w:r>
      <w:r>
        <w:t xml:space="preserve"> summarises the key findings generated by the thematic analysis, presents evidence-based recommendations for schools and Child and Adolescent Mental Health Services (CAMHS), acknowledges the limitations of the research, proposes directions for future study, and concludes by returning to the research aim.</w:t>
      </w:r>
    </w:p>
    <w:p w14:paraId="31D43129" w14:textId="77777777" w:rsidR="00641B0F" w:rsidRPr="009F3547" w:rsidRDefault="00000000">
      <w:pPr>
        <w:pStyle w:val="Heading2"/>
        <w:spacing w:before="240" w:after="120" w:line="360" w:lineRule="auto"/>
      </w:pPr>
      <w:bookmarkStart w:id="33" w:name="_Toc235845477"/>
      <w:r>
        <w:t>5.2 Summary of Key Findings</w:t>
      </w:r>
      <w:bookmarkEnd w:id="33"/>
    </w:p>
    <w:p w14:paraId="346ECE48" w14:textId="53811928" w:rsidR="00641B0F" w:rsidRPr="009F3547" w:rsidRDefault="00000000">
      <w:pPr>
        <w:spacing w:after="120" w:line="360" w:lineRule="auto"/>
        <w:jc w:val="both"/>
      </w:pPr>
      <w:r>
        <w:t>Across all three themes, a consistent pattern emerged: the pandemic’s effect on adolescent anxiety was substantial, uneven, and prolonged by the systems intended to address it. Theme 1, the unequal impact of pandemic restrictions on adolescent anxiety, established that anxiety approximately doubled in aggregate (Racine et al., 2021) but concentrated among girls and disadvantaged pupils, while a minority improved during closure, revealing that both isolation and the school environment itself operated as anxiety mechanisms. This addressed the first and second objectives, comparing pre- and post-pandemic prevalence through national datasets and isolating the developmental contribution of school closures and social isolation. Theme 2, from anxiety to absence: emotionally based school avoidance as the pandemic’s long-term legacy, demonstrated that a pre-existing anxiety–attendance association became a mass phenomenon, with severe absence nearly trebling against the pre-pandemic baseline and still rising in 2024/25 (Department for Education, 2025), there</w:t>
      </w:r>
      <w:r w:rsidR="00686E18">
        <w:t>fore</w:t>
      </w:r>
      <w:r>
        <w:t xml:space="preserve"> meeting the third objective of evaluating the pandemic’s long-term effects. Theme 3, a system outpaced: CAMHS capacity and the post-pandemic demand surge, showed that demand structurally exceeded service capacity, a shortfall the National Audit Office (2023) judged insufficient by design, establishing the necessity of earlier, school-based support. Collectively, the findings answer the research aim: lockdown restrictions and school closures contributed to rising adolescent anxiety, and that anxiety has </w:t>
      </w:r>
      <w:r w:rsidR="00686E18">
        <w:t>developed</w:t>
      </w:r>
      <w:r>
        <w:t xml:space="preserve"> into avoidance and unmet clinical need. The fourth objective, evidence-based recommendations for schools and CAMHS, is addressed in the following section.</w:t>
      </w:r>
    </w:p>
    <w:p w14:paraId="19EC7893" w14:textId="77777777" w:rsidR="00641B0F" w:rsidRPr="009F3547" w:rsidRDefault="00000000">
      <w:pPr>
        <w:pStyle w:val="Heading2"/>
        <w:spacing w:before="240" w:after="120" w:line="360" w:lineRule="auto"/>
      </w:pPr>
      <w:bookmarkStart w:id="34" w:name="_Toc235845478"/>
      <w:r>
        <w:t>5.3 Recommendations</w:t>
      </w:r>
      <w:bookmarkEnd w:id="34"/>
    </w:p>
    <w:p w14:paraId="1FDA5FC5" w14:textId="77777777" w:rsidR="00641B0F" w:rsidRPr="009F3547" w:rsidRDefault="00000000">
      <w:pPr>
        <w:spacing w:after="120" w:line="360" w:lineRule="auto"/>
        <w:jc w:val="both"/>
      </w:pPr>
      <w:r>
        <w:t>The following recommendations derive directly from the three themes and address the fourth objective. They are divided between schools and CAMHS, reflecting the finding that responsibility for post-pandemic recovery cannot rest with clinical services alone.</w:t>
      </w:r>
    </w:p>
    <w:p w14:paraId="1798BD2B" w14:textId="77777777" w:rsidR="00641B0F" w:rsidRPr="009F3547" w:rsidRDefault="00000000">
      <w:pPr>
        <w:spacing w:after="120" w:line="360" w:lineRule="auto"/>
        <w:jc w:val="both"/>
      </w:pPr>
      <w:r>
        <w:rPr>
          <w:b/>
          <w:bCs/>
        </w:rPr>
        <w:lastRenderedPageBreak/>
        <w:t>Recommendations for schools.</w:t>
      </w:r>
      <w:r>
        <w:t xml:space="preserve"> First, as Theme 1 demonstrated that the school environment itself operated as an anxiety mechanism for a distinct minority of pupils, it is recommended that all schools embed the whole-school approach to emotional wellbeing set out in NICE guideline NG223 (NICE, 2022), mirroring the statutory framework already adopted in Wales (Welsh Government, 2026), rather than treating anxiety as a problem located solely within the individual pupil. Second, as Theme 2 demonstrated that punitive attendance measures fail for emotionally based school avoidance (EBSA), it is recommended that schools respond to anxiety-related absence through the support-first pathway in the Department for Education’s (2023) guidance, using graduated reintegration plans co-produced with pupils and families in place of penalty-led enforcement (McDonald and Pervez, 2025). Third, as Theme 2 demonstrated that brief parent-focused intervention for emerging EBSA is feasible and acceptable (McDonald, Michelson and Lester, 2024), it is recommended that such early intervention be delivered through school-based Mental Health Support Teams, whose early evaluation showed improved access alongside a risk that pupils with greater needs fall between school provision and CAMHS (Ellins et al., 2023).</w:t>
      </w:r>
    </w:p>
    <w:p w14:paraId="599DE1BA" w14:textId="77777777" w:rsidR="00641B0F" w:rsidRPr="009F3547" w:rsidRDefault="00000000">
      <w:pPr>
        <w:spacing w:after="120" w:line="360" w:lineRule="auto"/>
        <w:jc w:val="both"/>
      </w:pPr>
      <w:r>
        <w:rPr>
          <w:b/>
          <w:bCs/>
        </w:rPr>
        <w:t>Recommendations for CAMHS.</w:t>
      </w:r>
      <w:r>
        <w:t xml:space="preserve"> Fourth, as Theme 3 demonstrated that year-long waits prolong and entrench anxiety, it is recommended that CAMHS expand evidence-based digital and remote provision — for example, clinician-supported digital interventions offered while young people remain on waiting lists — to increase accessible capacity ahead of face-to-face treatment (Hollis et al., 2017). Fifth, as Theme 3 demonstrated that anxiety is the most common condition among those waiting, it is recommended that CAMHS prioritise timely access to cognitive behavioural therapy (CBT), the treatment with the strongest evidence base for anxiety disorders in this age group (James et al., 2020) and recommended in current national guidance for social anxiety disorder in children and young people (NICE, 2013).</w:t>
      </w:r>
    </w:p>
    <w:p w14:paraId="18E984E0" w14:textId="77777777" w:rsidR="00641B0F" w:rsidRPr="009F3547" w:rsidRDefault="00000000">
      <w:pPr>
        <w:pStyle w:val="Heading2"/>
        <w:spacing w:before="240" w:after="120" w:line="360" w:lineRule="auto"/>
      </w:pPr>
      <w:bookmarkStart w:id="35" w:name="_Toc235845479"/>
      <w:r>
        <w:t>5.4 Limitations</w:t>
      </w:r>
      <w:bookmarkEnd w:id="35"/>
    </w:p>
    <w:p w14:paraId="519B32DB" w14:textId="77777777" w:rsidR="00641B0F" w:rsidRPr="009F3547" w:rsidRDefault="00000000">
      <w:pPr>
        <w:spacing w:after="120" w:line="360" w:lineRule="auto"/>
        <w:jc w:val="both"/>
      </w:pPr>
      <w:r>
        <w:t xml:space="preserve">The findings of this dissertation must be interpreted within the constraints of its design. As a secondary study, it contains no first-hand accounts from adolescents themselves; the experiences of anxiety and school avoidance described here are mediated through surveys, service records and published research. The reviewed literature may also reflect publication bias, as studies reporting deterioration are more likely to be published than those finding stability. Reliance on national datasets also imposed measurement constraints: prevalence is published in fixed age bands that do not align exactly with the 13 to 19 focus, and the shift from clinical assessment in 2017 to screening-based estimates in later waves means valid trend comparison rests on NHS Digital’s recalculated 12.5% baseline rather than the headline 2017 figure. The UK-centric focus, although deliberate, limits generalisability beyond </w:t>
      </w:r>
      <w:r>
        <w:lastRenderedPageBreak/>
        <w:t>comparable high-income systems, and the post-pandemic evidence base is still rapidly evolving, meaning conclusions drawn in 2026 may require revision as longitudinal data mature. Finally, the scope of three themes within the word limit necessarily excluded factors such as social media use and family economic stress. These limitations do not undermine the findings; rather, recognising them defines the boundaries within which the recommendations can be confidently applied and identifies where future research is required.</w:t>
      </w:r>
    </w:p>
    <w:p w14:paraId="49FADF37" w14:textId="77777777" w:rsidR="00641B0F" w:rsidRPr="009F3547" w:rsidRDefault="00000000">
      <w:pPr>
        <w:pStyle w:val="Heading2"/>
        <w:spacing w:before="240" w:after="120" w:line="360" w:lineRule="auto"/>
      </w:pPr>
      <w:bookmarkStart w:id="36" w:name="_Toc235845480"/>
      <w:r>
        <w:t>5.5 Suggestions for Future Research</w:t>
      </w:r>
      <w:bookmarkEnd w:id="36"/>
    </w:p>
    <w:p w14:paraId="38520AC9" w14:textId="77777777" w:rsidR="00641B0F" w:rsidRPr="009F3547" w:rsidRDefault="00000000">
      <w:pPr>
        <w:spacing w:after="120" w:line="360" w:lineRule="auto"/>
        <w:jc w:val="both"/>
      </w:pPr>
      <w:r>
        <w:t xml:space="preserve">Three directions would address the gaps identified above. First, longitudinal primary research should track a post-pandemic adolescent cohort into adulthood, testing whether pandemic-era anxiety and school avoidance predict later educational, occupational and clinical outcomes. Second, qualitative research capturing </w:t>
      </w:r>
      <w:proofErr w:type="gramStart"/>
      <w:r>
        <w:t>adolescents’</w:t>
      </w:r>
      <w:proofErr w:type="gramEnd"/>
      <w:r>
        <w:t xml:space="preserve"> lived experience of emotionally based school avoidance would supply the first-hand perspective that secondary data cannot, informing the design of reintegration support. Third, robust evaluation of specific interventions, including Mental Health Support Teams and parent-focused programmes such as ISAAC, is required, since the present review found implementation advancing ahead of effectiveness evidence. Comparative research across the devolved nations could additionally test whether Wales’s statutory whole-school approach yields measurable benefits.</w:t>
      </w:r>
    </w:p>
    <w:p w14:paraId="3E7497A3" w14:textId="77777777" w:rsidR="00641B0F" w:rsidRPr="009F3547" w:rsidRDefault="00000000">
      <w:pPr>
        <w:pStyle w:val="Heading2"/>
        <w:spacing w:before="240" w:after="120" w:line="360" w:lineRule="auto"/>
      </w:pPr>
      <w:bookmarkStart w:id="37" w:name="_Toc235845481"/>
      <w:r>
        <w:t>5.6 Conclusion</w:t>
      </w:r>
      <w:bookmarkEnd w:id="37"/>
    </w:p>
    <w:p w14:paraId="19EA2128" w14:textId="131ED40E" w:rsidR="00641B0F" w:rsidRPr="009F3547" w:rsidRDefault="00000000">
      <w:pPr>
        <w:spacing w:after="120" w:line="360" w:lineRule="auto"/>
        <w:jc w:val="both"/>
      </w:pPr>
      <w:r>
        <w:t xml:space="preserve">This dissertation set out to evaluate the impact of COVID-19 lockdown restrictions and school closures on the increasing rate of anxiety among adolescents in the United Kingdom. The evidence reviewed demonstrates that the pandemic intensified an existing decline in adolescent mental health, that its burden fell unevenly, and that its legacy persists in school avoidance and unmet clinical need. For health and social care practice, the implication is clear: recovery requires earlier, school-based support alongside accessible specialist services. If that shift is achieved, the generation whose adolescence was defined by the pandemic need not have its adulthood </w:t>
      </w:r>
      <w:r w:rsidR="001175B5">
        <w:t>impacted</w:t>
      </w:r>
      <w:r>
        <w:t xml:space="preserve"> by it.</w:t>
      </w:r>
    </w:p>
    <w:p w14:paraId="4606C64F" w14:textId="77777777" w:rsidR="00641B0F" w:rsidRDefault="00000000">
      <w:pPr>
        <w:pStyle w:val="Heading1"/>
        <w:pageBreakBefore/>
        <w:spacing w:after="240" w:line="360" w:lineRule="auto"/>
      </w:pPr>
      <w:bookmarkStart w:id="38" w:name="_Toc235845482"/>
      <w:r>
        <w:lastRenderedPageBreak/>
        <w:t>Reference List</w:t>
      </w:r>
      <w:bookmarkEnd w:id="38"/>
    </w:p>
    <w:p w14:paraId="0CF2A92E" w14:textId="77777777" w:rsidR="00641B0F" w:rsidRDefault="00000000">
      <w:pPr>
        <w:spacing w:after="120" w:line="360" w:lineRule="auto"/>
        <w:ind w:left="720" w:hanging="720"/>
      </w:pPr>
      <w:r>
        <w:t xml:space="preserve">Abel, K.M., Whelan, P., Carter, L.-A., Tranter, H., Stockton-Powdrell, C., Gutridge, K., Hassan, L., Elvins, R. and Edbrooke-Childs, J. (2025) ‘Enhancing referrals to Child and Adolescent Mental Health Services: the EN-CAMHS mixed-methods study’, </w:t>
      </w:r>
      <w:r>
        <w:rPr>
          <w:i/>
        </w:rPr>
        <w:t>Health and Social Care Delivery Research</w:t>
      </w:r>
      <w:r>
        <w:t>, 13(21). Available at: https://doi.org/10.3310/GYDW4507.</w:t>
      </w:r>
    </w:p>
    <w:p w14:paraId="54511371" w14:textId="77777777" w:rsidR="00641B0F" w:rsidRDefault="00000000">
      <w:pPr>
        <w:spacing w:after="120" w:line="360" w:lineRule="auto"/>
        <w:ind w:left="720" w:hanging="720"/>
      </w:pPr>
      <w:r>
        <w:t xml:space="preserve">Aveyard, H. (2023) </w:t>
      </w:r>
      <w:r>
        <w:rPr>
          <w:i/>
        </w:rPr>
        <w:t>Doing a Literature Review in Health and Social Care: A Practical Guide</w:t>
      </w:r>
      <w:r>
        <w:t>. 5th edn. Open University Press.</w:t>
      </w:r>
    </w:p>
    <w:p w14:paraId="4563A5B3" w14:textId="77777777" w:rsidR="00641B0F" w:rsidRDefault="00000000">
      <w:pPr>
        <w:spacing w:after="120" w:line="360" w:lineRule="auto"/>
        <w:ind w:left="720" w:hanging="720"/>
      </w:pPr>
      <w:r>
        <w:t xml:space="preserve">Barrett, S. (2019) ‘From adult lunatic asylums to CAMHS community care: the evolution of specialist mental health care for children and adolescents 1948–2018’, </w:t>
      </w:r>
      <w:r>
        <w:rPr>
          <w:i/>
        </w:rPr>
        <w:t>Revue Française de Civilisation Britannique</w:t>
      </w:r>
      <w:r>
        <w:t>, XXIV(3), pp. 1–17. Available at: https://doi.org/10.4000/rfcb.4138.</w:t>
      </w:r>
    </w:p>
    <w:p w14:paraId="1AD8A117" w14:textId="77777777" w:rsidR="00641B0F" w:rsidRDefault="00000000">
      <w:pPr>
        <w:spacing w:after="120" w:line="360" w:lineRule="auto"/>
        <w:ind w:left="720" w:hanging="720"/>
      </w:pPr>
      <w:r>
        <w:t xml:space="preserve">Björkegren, E., Svaleryd, H. and Vlachos, J. (2024) ‘Remote instruction and student mental health: Swedish evidence from the pandemic’, </w:t>
      </w:r>
      <w:r>
        <w:rPr>
          <w:i/>
        </w:rPr>
        <w:t>American Economic Journal: Economic Policy</w:t>
      </w:r>
      <w:r>
        <w:t>, 16(4), pp. 491–517. Available at: https://doi.org/10.1257/pol.20220699.</w:t>
      </w:r>
    </w:p>
    <w:p w14:paraId="03A8B9C3" w14:textId="77777777" w:rsidR="00641B0F" w:rsidRDefault="00000000">
      <w:pPr>
        <w:spacing w:after="120" w:line="360" w:lineRule="auto"/>
        <w:ind w:left="720" w:hanging="720"/>
      </w:pPr>
      <w:r>
        <w:t xml:space="preserve">Blakeslee, S. (2004) ‘The CRAAP test’, </w:t>
      </w:r>
      <w:r>
        <w:rPr>
          <w:i/>
        </w:rPr>
        <w:t>LOEX Quarterly</w:t>
      </w:r>
      <w:r>
        <w:t>, 31(3), pp. 6–7. Available at: https://commons.emich.edu/loexquarterly/vol31/iss3/4 (Accessed: 11 July 2026).</w:t>
      </w:r>
    </w:p>
    <w:p w14:paraId="7AEB2F79" w14:textId="77777777" w:rsidR="00641B0F" w:rsidRDefault="00000000">
      <w:pPr>
        <w:spacing w:after="120" w:line="360" w:lineRule="auto"/>
        <w:ind w:left="720" w:hanging="720"/>
      </w:pPr>
      <w:r>
        <w:t xml:space="preserve">Braun, V. and Clarke, V. (2006) ‘Using thematic analysis in psychology’, </w:t>
      </w:r>
      <w:r>
        <w:rPr>
          <w:i/>
        </w:rPr>
        <w:t>Qualitative Research in Psychology</w:t>
      </w:r>
      <w:r>
        <w:t>, 3(2), pp. 77–101. Available at: https://doi.org/10.1191/1478088706qp063oa.</w:t>
      </w:r>
    </w:p>
    <w:p w14:paraId="2B8939A8" w14:textId="77777777" w:rsidR="00641B0F" w:rsidRDefault="00000000">
      <w:pPr>
        <w:spacing w:after="120" w:line="360" w:lineRule="auto"/>
        <w:ind w:left="720" w:hanging="720"/>
      </w:pPr>
      <w:r>
        <w:t xml:space="preserve">Braun, V. and Clarke, V. (2022) </w:t>
      </w:r>
      <w:r>
        <w:rPr>
          <w:i/>
        </w:rPr>
        <w:t>Thematic analysis: a practical guide</w:t>
      </w:r>
      <w:r>
        <w:t>. London: SAGE Publications.</w:t>
      </w:r>
    </w:p>
    <w:p w14:paraId="4A75AFE2" w14:textId="77777777" w:rsidR="00641B0F" w:rsidRDefault="00000000">
      <w:pPr>
        <w:spacing w:after="120" w:line="360" w:lineRule="auto"/>
        <w:ind w:left="720" w:hanging="720"/>
      </w:pPr>
      <w:r>
        <w:t xml:space="preserve">Bronfenbrenner, U. (1979) </w:t>
      </w:r>
      <w:r>
        <w:rPr>
          <w:i/>
        </w:rPr>
        <w:t>The Ecology of Human Development: Experiments by Nature and Design</w:t>
      </w:r>
      <w:r>
        <w:t>. Harvard University Press.</w:t>
      </w:r>
    </w:p>
    <w:p w14:paraId="1FE94061" w14:textId="77777777" w:rsidR="00641B0F" w:rsidRDefault="00000000">
      <w:pPr>
        <w:spacing w:after="120" w:line="360" w:lineRule="auto"/>
        <w:ind w:left="720" w:hanging="720"/>
      </w:pPr>
      <w:r>
        <w:t xml:space="preserve">Burdzovic Andreas, J. and Brunborg, G.S. (2021) ‘Self-reported mental and physical health among Norwegian adolescents before and during the COVID-19 pandemic’, </w:t>
      </w:r>
      <w:r>
        <w:rPr>
          <w:i/>
        </w:rPr>
        <w:t>JAMA Network Open</w:t>
      </w:r>
      <w:r>
        <w:t>, 4(8), e2121934. Available at: https://doi.org/10.1001/jamanetworkopen.2021.21934.</w:t>
      </w:r>
    </w:p>
    <w:p w14:paraId="52578375" w14:textId="77777777" w:rsidR="00641B0F" w:rsidRDefault="00000000">
      <w:pPr>
        <w:spacing w:after="120" w:line="360" w:lineRule="auto"/>
        <w:ind w:left="720" w:hanging="720"/>
      </w:pPr>
      <w:r>
        <w:t xml:space="preserve">Byrne, D. (2022) ‘A worked example of Braun and Clarke’s approach to reflexive thematic analysis’, </w:t>
      </w:r>
      <w:r>
        <w:rPr>
          <w:i/>
        </w:rPr>
        <w:t>Quality &amp; Quantity</w:t>
      </w:r>
      <w:r>
        <w:t>, 56(3), pp. 1391–1412. Available at: https://doi.org/10.1007/s11135-021-01182-y.</w:t>
      </w:r>
    </w:p>
    <w:p w14:paraId="025AFE84" w14:textId="77777777" w:rsidR="00641B0F" w:rsidRDefault="00000000">
      <w:pPr>
        <w:spacing w:after="120" w:line="360" w:lineRule="auto"/>
        <w:ind w:left="720" w:hanging="720"/>
      </w:pPr>
      <w:r>
        <w:lastRenderedPageBreak/>
        <w:t xml:space="preserve">Centre for Social Justice (2024) </w:t>
      </w:r>
      <w:r>
        <w:rPr>
          <w:i/>
        </w:rPr>
        <w:t>School Absence Tracker: October 2024</w:t>
      </w:r>
      <w:r>
        <w:t>. Centre for Social Justice. Available at: https://www.centreforsocialjustice.org.uk/wp-content/uploads/2024/10/CSJ-Absence_Tracker_Oct_24.pdf (Accessed: 6 June 2026).</w:t>
      </w:r>
    </w:p>
    <w:p w14:paraId="77E2CDB7" w14:textId="77777777" w:rsidR="00641B0F" w:rsidRDefault="00000000">
      <w:pPr>
        <w:spacing w:after="120" w:line="360" w:lineRule="auto"/>
        <w:ind w:left="720" w:hanging="720"/>
      </w:pPr>
      <w:r>
        <w:t xml:space="preserve">Children’s Commissioner for England (2025) </w:t>
      </w:r>
      <w:r>
        <w:rPr>
          <w:i/>
        </w:rPr>
        <w:t>Children’s Mental Health Services 2023–24</w:t>
      </w:r>
      <w:r>
        <w:t>. Office of the Children’s Commissioner. Available at: https://www.childrenscommissioner.gov.uk/resource/childrens-mental-health-services-2023-24/ (Accessed: 9 July 2026).</w:t>
      </w:r>
    </w:p>
    <w:p w14:paraId="52FAD56D" w14:textId="77777777" w:rsidR="00641B0F" w:rsidRDefault="00000000">
      <w:pPr>
        <w:spacing w:after="120" w:line="360" w:lineRule="auto"/>
        <w:ind w:left="720" w:hanging="720"/>
      </w:pPr>
      <w:r>
        <w:t xml:space="preserve">Clark, T., Foster, L., Sloan, L. and Bryman, A. (2021) </w:t>
      </w:r>
      <w:r>
        <w:rPr>
          <w:i/>
        </w:rPr>
        <w:t>Bryman’s Social Research Methods</w:t>
      </w:r>
      <w:r>
        <w:t>. 6th edn. Oxford University Press.</w:t>
      </w:r>
    </w:p>
    <w:p w14:paraId="7BDA8F62" w14:textId="77777777" w:rsidR="00641B0F" w:rsidRDefault="00000000">
      <w:pPr>
        <w:spacing w:after="120" w:line="360" w:lineRule="auto"/>
        <w:ind w:left="720" w:hanging="720"/>
      </w:pPr>
      <w:r>
        <w:t xml:space="preserve">Creswell, C., Shum, A., Pearcey, S., Skripkauskaite, S., Patalay, P. and Waite, P. (2021) ‘Young people’s mental health during the COVID-19 pandemic’, </w:t>
      </w:r>
      <w:r>
        <w:rPr>
          <w:i/>
        </w:rPr>
        <w:t>The Lancet Child &amp; Adolescent Health</w:t>
      </w:r>
      <w:r>
        <w:t>, 5(8), pp. 535–537. Available at: https://doi.org/10.1016/S2352-4642(21)00177-2.</w:t>
      </w:r>
    </w:p>
    <w:p w14:paraId="0ABBAC2C" w14:textId="77777777" w:rsidR="00641B0F" w:rsidRDefault="00000000">
      <w:pPr>
        <w:spacing w:after="120" w:line="360" w:lineRule="auto"/>
        <w:ind w:left="720" w:hanging="720"/>
      </w:pPr>
      <w:r>
        <w:t xml:space="preserve">Cybulski, L., Ashcroft, D.M., Carr, M.J., Garg, S., Chew-Graham, C.A., Kapur, N. and Webb, R.T. (2021) ‘Temporal trends in annual incidence rates for psychiatric disorders and self-harm among children and adolescents in the UK, 2003–2018’, </w:t>
      </w:r>
      <w:r>
        <w:rPr>
          <w:i/>
        </w:rPr>
        <w:t>BMC Psychiatry</w:t>
      </w:r>
      <w:r>
        <w:t>, 21, 229. Available at: https://doi.org/10.1186/s12888-021-03235-w.</w:t>
      </w:r>
    </w:p>
    <w:p w14:paraId="5CC8DA57" w14:textId="77777777" w:rsidR="00641B0F" w:rsidRDefault="00000000">
      <w:pPr>
        <w:spacing w:after="120" w:line="360" w:lineRule="auto"/>
        <w:ind w:left="720" w:hanging="720"/>
      </w:pPr>
      <w:r>
        <w:t xml:space="preserve">Department for Education (2023) </w:t>
      </w:r>
      <w:r>
        <w:rPr>
          <w:i/>
        </w:rPr>
        <w:t>Mental health issues affecting a pupil’s attendance: guidance for schools</w:t>
      </w:r>
      <w:r>
        <w:t>. Available at: https://www.gov.uk/government/publications/mental-health-issues-affecting-a-pupils-attendance-guidance-for-schools (Accessed: 11 July 2026).</w:t>
      </w:r>
    </w:p>
    <w:p w14:paraId="206D2AF3" w14:textId="77777777" w:rsidR="00641B0F" w:rsidRDefault="00000000">
      <w:pPr>
        <w:spacing w:after="120" w:line="360" w:lineRule="auto"/>
        <w:ind w:left="720" w:hanging="720"/>
      </w:pPr>
      <w:r>
        <w:t xml:space="preserve">Department for Education (2025) </w:t>
      </w:r>
      <w:r>
        <w:rPr>
          <w:i/>
        </w:rPr>
        <w:t>Pupil absence in schools in England: autumn and spring term 2024/25</w:t>
      </w:r>
      <w:r>
        <w:t>. Available at: https://explore-education-statistics.service.gov.uk/find-statistics/pupil-absence-in-schools-in-england/2024-25-autumn-and-spring-term (Accessed: 11 July 2026).</w:t>
      </w:r>
    </w:p>
    <w:p w14:paraId="171582F9" w14:textId="77777777" w:rsidR="00641B0F" w:rsidRDefault="00000000">
      <w:pPr>
        <w:spacing w:after="120" w:line="360" w:lineRule="auto"/>
        <w:ind w:left="720" w:hanging="720"/>
      </w:pPr>
      <w:r>
        <w:t xml:space="preserve">Department for Education (2026) </w:t>
      </w:r>
      <w:r>
        <w:rPr>
          <w:i/>
        </w:rPr>
        <w:t>Working together to improve school attendance</w:t>
      </w:r>
      <w:r>
        <w:t>. Available at: https://www.gov.uk/government/publications/working-together-to-improve-school-attendance (Accessed: 11 July 2026).</w:t>
      </w:r>
    </w:p>
    <w:p w14:paraId="2F4E4401" w14:textId="77777777" w:rsidR="00641B0F" w:rsidRDefault="00000000">
      <w:pPr>
        <w:spacing w:after="120" w:line="360" w:lineRule="auto"/>
        <w:ind w:left="720" w:hanging="720"/>
      </w:pPr>
      <w:r>
        <w:t xml:space="preserve">Department of Health and NHS England (2015) </w:t>
      </w:r>
      <w:r>
        <w:rPr>
          <w:i/>
        </w:rPr>
        <w:t>Future in mind: promoting, protecting and improving our children and young people’s mental health and wellbeing</w:t>
      </w:r>
      <w:r>
        <w:t>. London: Department of Health. Available at: https://www.gov.uk/government/publications/improving-mental-health-services-for-young-people (Accessed: 24 July 2026).</w:t>
      </w:r>
    </w:p>
    <w:p w14:paraId="6893A105" w14:textId="77777777" w:rsidR="00641B0F" w:rsidRDefault="00000000">
      <w:pPr>
        <w:spacing w:after="120" w:line="360" w:lineRule="auto"/>
        <w:ind w:left="720" w:hanging="720"/>
      </w:pPr>
      <w:r>
        <w:lastRenderedPageBreak/>
        <w:t xml:space="preserve">Ellins, J., Hocking, L., Al-Haboubi, M., Newbould, J., Fenton, S.-J., Daniel, K., Stockwell, S., Leach, B., Sidhu, M., Bousfield, J., McKenna, G., Saunders, K., O’Neill, S. and Mays, N. (2023) ‘Early evaluation of the Children and Young People’s Mental Health Trailblazer programme: a rapid mixed-methods study’, </w:t>
      </w:r>
      <w:r>
        <w:rPr>
          <w:i/>
        </w:rPr>
        <w:t>Health and Social Care Delivery Research</w:t>
      </w:r>
      <w:r>
        <w:t>, 11(8). Available at: https://doi.org/10.3310/XQWU4117.</w:t>
      </w:r>
    </w:p>
    <w:p w14:paraId="029521AD" w14:textId="77777777" w:rsidR="00641B0F" w:rsidRDefault="00000000">
      <w:pPr>
        <w:spacing w:after="120" w:line="360" w:lineRule="auto"/>
        <w:ind w:left="720" w:hanging="720"/>
      </w:pPr>
      <w:r>
        <w:t xml:space="preserve">England, E. and Mughal, F. (2019) ‘Underprovision of mental health services for children and young people’, </w:t>
      </w:r>
      <w:r>
        <w:rPr>
          <w:i/>
        </w:rPr>
        <w:t>British Journal of General Practice</w:t>
      </w:r>
      <w:r>
        <w:t>, 69(680), pp. 112–113. Available at: https://doi.org/10.3399/bjgp19X701381.</w:t>
      </w:r>
    </w:p>
    <w:p w14:paraId="2E3989B2" w14:textId="77777777" w:rsidR="00641B0F" w:rsidRDefault="00000000">
      <w:pPr>
        <w:spacing w:after="120" w:line="360" w:lineRule="auto"/>
        <w:ind w:left="720" w:hanging="720"/>
      </w:pPr>
      <w:r>
        <w:t xml:space="preserve">Erikson, E.H. (1968) </w:t>
      </w:r>
      <w:r>
        <w:rPr>
          <w:i/>
        </w:rPr>
        <w:t>Identity: Youth and Crisis</w:t>
      </w:r>
      <w:r>
        <w:t>. W.W. Norton.</w:t>
      </w:r>
    </w:p>
    <w:p w14:paraId="70642CB5" w14:textId="77777777" w:rsidR="00641B0F" w:rsidRDefault="00000000">
      <w:pPr>
        <w:spacing w:after="120" w:line="360" w:lineRule="auto"/>
        <w:ind w:left="720" w:hanging="720"/>
      </w:pPr>
      <w:r>
        <w:t xml:space="preserve">Finning, K., Ukoumunne, O.C., Ford, T., Danielson-Waters, E., Shaw, L., Romero De Jager, I., Stentiford, L. and Moore, D.A. (2019) ‘Review: The association between anxiety and poor attendance at school – a systematic review’, </w:t>
      </w:r>
      <w:r>
        <w:rPr>
          <w:i/>
        </w:rPr>
        <w:t>Child and Adolescent Mental Health</w:t>
      </w:r>
      <w:r>
        <w:t>, 24(3), pp. 205–216. Available at: https://doi.org/10.1111/camh.12322.</w:t>
      </w:r>
    </w:p>
    <w:p w14:paraId="4E1411B1" w14:textId="77777777" w:rsidR="00641B0F" w:rsidRDefault="00000000">
      <w:pPr>
        <w:spacing w:after="120" w:line="360" w:lineRule="auto"/>
        <w:ind w:left="720" w:hanging="720"/>
      </w:pPr>
      <w:r>
        <w:t xml:space="preserve">Garratt, K., Kirk-Wade, E. and Long, R. (2024) </w:t>
      </w:r>
      <w:r>
        <w:rPr>
          <w:i/>
        </w:rPr>
        <w:t>Children and young people’s mental health: policy and services (England)</w:t>
      </w:r>
      <w:r>
        <w:t>. House of Commons Library Research Briefing CBP-7196. London: House of Commons Library. Available at: https://commonslibrary.parliament.uk/research-briefings/cbp-7196/ (Accessed: 24 July 2026).</w:t>
      </w:r>
    </w:p>
    <w:p w14:paraId="72F7898A" w14:textId="77777777" w:rsidR="00641B0F" w:rsidRDefault="00000000">
      <w:pPr>
        <w:spacing w:after="120" w:line="360" w:lineRule="auto"/>
        <w:ind w:left="720" w:hanging="720"/>
      </w:pPr>
      <w:r>
        <w:t xml:space="preserve">Gilligan, C. (1982) </w:t>
      </w:r>
      <w:r>
        <w:rPr>
          <w:i/>
        </w:rPr>
        <w:t>In a Different Voice: Psychological Theory and Women’s Development</w:t>
      </w:r>
      <w:r>
        <w:t>. Harvard University Press.</w:t>
      </w:r>
    </w:p>
    <w:p w14:paraId="1D6475F6" w14:textId="77777777" w:rsidR="00641B0F" w:rsidRDefault="00000000">
      <w:pPr>
        <w:spacing w:after="120" w:line="360" w:lineRule="auto"/>
        <w:ind w:left="720" w:hanging="720"/>
      </w:pPr>
      <w:r>
        <w:t xml:space="preserve">Hamilton, L.G. (2024) ‘Emotionally based school avoidance in the aftermath of the COVID-19 pandemic: neurodiversity, agency and belonging in school’, </w:t>
      </w:r>
      <w:r>
        <w:rPr>
          <w:i/>
        </w:rPr>
        <w:t>Education Sciences</w:t>
      </w:r>
      <w:r>
        <w:t>, 14(2), 156. Available at: https://doi.org/10.3390/educsci14020156.</w:t>
      </w:r>
    </w:p>
    <w:p w14:paraId="320E178A" w14:textId="77777777" w:rsidR="00641B0F" w:rsidRDefault="00000000">
      <w:pPr>
        <w:spacing w:after="120" w:line="360" w:lineRule="auto"/>
        <w:ind w:left="720" w:hanging="720"/>
      </w:pPr>
      <w:r>
        <w:t xml:space="preserve">Hollis, C., Falconer, C.J., Martin, J.L., Whittington, C., Stockton, S., Glazebrook, C. and Davies, E.B. (2017) ‘Annual Research Review: Digital health interventions for children and young people with mental health problems – a systematic and meta-review’, </w:t>
      </w:r>
      <w:r>
        <w:rPr>
          <w:i/>
        </w:rPr>
        <w:t>Journal of Child Psychology and Psychiatry</w:t>
      </w:r>
      <w:r>
        <w:t>, 58(4), pp. 474–503. Available at: https://doi.org/10.1111/jcpp.12663.</w:t>
      </w:r>
    </w:p>
    <w:p w14:paraId="61A9D34F" w14:textId="77777777" w:rsidR="00641B0F" w:rsidRDefault="00000000">
      <w:pPr>
        <w:spacing w:after="120" w:line="360" w:lineRule="auto"/>
        <w:ind w:left="720" w:hanging="720"/>
      </w:pPr>
      <w:r>
        <w:t xml:space="preserve">Huang, H.C.H. and Ougrin, D. (2021) ‘Impact of the COVID-19 pandemic on child and adolescent mental health services’, </w:t>
      </w:r>
      <w:r>
        <w:rPr>
          <w:i/>
        </w:rPr>
        <w:t>BJPsych Open</w:t>
      </w:r>
      <w:r>
        <w:t>, 7(5), e145. Available at: https://doi.org/10.1192/bjo.2021.976.</w:t>
      </w:r>
    </w:p>
    <w:p w14:paraId="4B1C7728" w14:textId="77777777" w:rsidR="00641B0F" w:rsidRDefault="00000000">
      <w:pPr>
        <w:spacing w:after="120" w:line="360" w:lineRule="auto"/>
        <w:ind w:left="720" w:hanging="720"/>
      </w:pPr>
      <w:r>
        <w:t xml:space="preserve">Institute for Government (2022) </w:t>
      </w:r>
      <w:r>
        <w:rPr>
          <w:i/>
        </w:rPr>
        <w:t>Timeline of UK government coronavirus lockdowns and restrictions</w:t>
      </w:r>
      <w:r>
        <w:t>. Available at: https://www.instituteforgovernment.org.uk/data-visualisation/timeline-coronavirus-lockdowns (Accessed: 6 June 2026).</w:t>
      </w:r>
    </w:p>
    <w:p w14:paraId="1E14243B" w14:textId="77777777" w:rsidR="00641B0F" w:rsidRDefault="00000000">
      <w:pPr>
        <w:spacing w:after="120" w:line="360" w:lineRule="auto"/>
        <w:ind w:left="720" w:hanging="720"/>
      </w:pPr>
      <w:r>
        <w:lastRenderedPageBreak/>
        <w:t xml:space="preserve">James, A.C., Reardon, T., Soler, A., James, G. and Creswell, C. (2020) ‘Cognitive behavioural therapy for anxiety disorders in children and adolescents’, </w:t>
      </w:r>
      <w:r>
        <w:rPr>
          <w:i/>
        </w:rPr>
        <w:t>Cochrane Database of Systematic Reviews</w:t>
      </w:r>
      <w:r>
        <w:t>, 2020(11), CD013162. Available at: https://doi.org/10.1002/14651858.CD013162.pub2.</w:t>
      </w:r>
    </w:p>
    <w:p w14:paraId="05BEB817" w14:textId="77777777" w:rsidR="00641B0F" w:rsidRDefault="00000000">
      <w:pPr>
        <w:spacing w:after="120" w:line="360" w:lineRule="auto"/>
        <w:ind w:left="720" w:hanging="720"/>
      </w:pPr>
      <w:r>
        <w:t xml:space="preserve">Leahy, F., Newton, P. and Khan, A. (2021) </w:t>
      </w:r>
      <w:r>
        <w:rPr>
          <w:i/>
        </w:rPr>
        <w:t>Learning during the pandemic: quantifying lost time</w:t>
      </w:r>
      <w:r>
        <w:t>. Ofqual. Available at: https://www.gov.uk/government/publications/learning-during-the-pandemic/learning-during-the-pandemic-quantifying-lost-time (Accessed: 6 June 2026).</w:t>
      </w:r>
    </w:p>
    <w:p w14:paraId="00A8F6DE" w14:textId="77777777" w:rsidR="00641B0F" w:rsidRDefault="00000000">
      <w:pPr>
        <w:spacing w:after="120" w:line="360" w:lineRule="auto"/>
        <w:ind w:left="720" w:hanging="720"/>
      </w:pPr>
      <w:r>
        <w:t xml:space="preserve">Lester, K.J. and Michelson, D. (2024) ‘Perfect storm: emotionally based school avoidance in the post-COVID-19 pandemic context’, </w:t>
      </w:r>
      <w:r>
        <w:rPr>
          <w:i/>
        </w:rPr>
        <w:t>BMJ Mental Health</w:t>
      </w:r>
      <w:r>
        <w:t>, 27(1), e300944. Available at: https://doi.org/10.1136/bmjment-2023-300944.</w:t>
      </w:r>
    </w:p>
    <w:p w14:paraId="6D135213" w14:textId="77777777" w:rsidR="00641B0F" w:rsidRDefault="00000000">
      <w:pPr>
        <w:spacing w:after="120" w:line="360" w:lineRule="auto"/>
        <w:ind w:left="720" w:hanging="720"/>
      </w:pPr>
      <w:r>
        <w:t xml:space="preserve">Magson, N.R., Freeman, J.Y.A., Rapee, R.M., Richardson, C.E., Oar, E.L. and Fardouly, J. (2021) ‘Risk and protective factors for prospective changes in adolescent mental health during the COVID-19 pandemic’, </w:t>
      </w:r>
      <w:r>
        <w:rPr>
          <w:i/>
        </w:rPr>
        <w:t>Journal of Youth and Adolescence</w:t>
      </w:r>
      <w:r>
        <w:t>, 50(1), pp. 44–57. Available at: https://doi.org/10.1007/s10964-020-01332-9.</w:t>
      </w:r>
    </w:p>
    <w:p w14:paraId="1940A249" w14:textId="77777777" w:rsidR="00641B0F" w:rsidRDefault="00000000">
      <w:pPr>
        <w:spacing w:after="120" w:line="360" w:lineRule="auto"/>
        <w:ind w:left="720" w:hanging="720"/>
      </w:pPr>
      <w:r>
        <w:t xml:space="preserve">McDonald, B., Michelson, D. and Lester, K.J. (2024) ‘Intervention for school anxiety and absenteeism in children (ISAAC): co-designing a brief parent-focused intervention for emotionally-based school avoidance’, </w:t>
      </w:r>
      <w:r>
        <w:rPr>
          <w:i/>
        </w:rPr>
        <w:t>Clinical Child Psychology and Psychiatry</w:t>
      </w:r>
      <w:r>
        <w:t>, 29(3), pp. 850–866. Available at: https://doi.org/10.1177/13591045231222648.</w:t>
      </w:r>
    </w:p>
    <w:p w14:paraId="5F9E8171" w14:textId="77777777" w:rsidR="00641B0F" w:rsidRDefault="00000000">
      <w:pPr>
        <w:spacing w:after="120" w:line="360" w:lineRule="auto"/>
        <w:ind w:left="720" w:hanging="720"/>
      </w:pPr>
      <w:r>
        <w:t xml:space="preserve">McDonald, C. and Pervez, A. (2025) ‘School partnered approaches to emotionally based school avoidance in UK primary and secondary school-age learners: a systematic review’, </w:t>
      </w:r>
      <w:r>
        <w:rPr>
          <w:i/>
        </w:rPr>
        <w:t>British Educational Research Journal</w:t>
      </w:r>
      <w:r>
        <w:t>, 51(6), pp. 2871–2892. Available at: https://doi.org/10.1002/berj.4205.</w:t>
      </w:r>
    </w:p>
    <w:p w14:paraId="5ED8AB5C" w14:textId="77777777" w:rsidR="00641B0F" w:rsidRDefault="00000000">
      <w:pPr>
        <w:spacing w:after="120" w:line="360" w:lineRule="auto"/>
        <w:ind w:left="720" w:hanging="720"/>
      </w:pPr>
      <w:r>
        <w:t xml:space="preserve">Montero-Marin, J., Hinze, V., Mansfield, K., Slaghekke, Y., Blakemore, S.-J., Byford, S., Dalgleish, T., Greenberg, M.T., Viner, R.M., Ukoumunne, O.C., Ford, T., Kuyken, W. and the MYRIAD Team (2023) ‘Young people’s mental health changes, risk, and resilience during the COVID-19 pandemic’, </w:t>
      </w:r>
      <w:r>
        <w:rPr>
          <w:i/>
        </w:rPr>
        <w:t>JAMA Network Open</w:t>
      </w:r>
      <w:r>
        <w:t>, 6(9), e2335016. Available at: https://doi.org/10.1001/jamanetworkopen.2023.35016.</w:t>
      </w:r>
    </w:p>
    <w:p w14:paraId="3932C40F" w14:textId="77777777" w:rsidR="00641B0F" w:rsidRDefault="00000000">
      <w:pPr>
        <w:spacing w:after="120" w:line="360" w:lineRule="auto"/>
        <w:ind w:left="720" w:hanging="720"/>
      </w:pPr>
      <w:r>
        <w:t xml:space="preserve">National Audit Office (2023) </w:t>
      </w:r>
      <w:r>
        <w:rPr>
          <w:i/>
        </w:rPr>
        <w:t>Progress in Improving Mental Health Services in England</w:t>
      </w:r>
      <w:r>
        <w:t>. National Audit Office. Available at: https://www.nao.org.uk/reports/progress-in-improving-mental-health-services-in-england/ (Accessed: 9 July 2026).</w:t>
      </w:r>
    </w:p>
    <w:p w14:paraId="6B9852E8" w14:textId="77777777" w:rsidR="00641B0F" w:rsidRDefault="00000000">
      <w:pPr>
        <w:spacing w:after="120" w:line="360" w:lineRule="auto"/>
        <w:ind w:left="720" w:hanging="720"/>
      </w:pPr>
      <w:r>
        <w:t xml:space="preserve">National Institute for Health and Care Excellence (2013) </w:t>
      </w:r>
      <w:r>
        <w:rPr>
          <w:i/>
        </w:rPr>
        <w:t>Social anxiety disorder: recognition, assessment and treatment</w:t>
      </w:r>
      <w:r>
        <w:t>. NICE guideline CG159. NICE. Available at: https://www.nice.org.uk/guidance/cg159 (Accessed: 16 July 2026).</w:t>
      </w:r>
    </w:p>
    <w:p w14:paraId="4DB177DB" w14:textId="77777777" w:rsidR="00641B0F" w:rsidRDefault="00000000">
      <w:pPr>
        <w:spacing w:after="120" w:line="360" w:lineRule="auto"/>
        <w:ind w:left="720" w:hanging="720"/>
      </w:pPr>
      <w:r>
        <w:lastRenderedPageBreak/>
        <w:t xml:space="preserve">National Institute for Health and Care Excellence (2022) </w:t>
      </w:r>
      <w:r>
        <w:rPr>
          <w:i/>
        </w:rPr>
        <w:t>Social, emotional and mental wellbeing in primary and secondary education</w:t>
      </w:r>
      <w:r>
        <w:t>. NICE guideline NG223. NICE. Available at: https://www.nice.org.uk/guidance/ng223 (Accessed: 11 July 2026).</w:t>
      </w:r>
    </w:p>
    <w:p w14:paraId="2C4FE3DA" w14:textId="77777777" w:rsidR="00641B0F" w:rsidRDefault="00000000">
      <w:pPr>
        <w:spacing w:after="120" w:line="360" w:lineRule="auto"/>
        <w:ind w:left="720" w:hanging="720"/>
      </w:pPr>
      <w:r>
        <w:t xml:space="preserve">Newlove-Delgado, T., Marcheselli, F., Williams, T., Mandalia, D., Dennes, M., McManus, S., Savic, M., Treloar, W., Croft, K. and Ford, T. (2023) </w:t>
      </w:r>
      <w:r>
        <w:rPr>
          <w:i/>
        </w:rPr>
        <w:t>Mental Health of Children and Young People in England, 2023 – wave 4 follow up to the 2017 survey</w:t>
      </w:r>
      <w:r>
        <w:t>. NHS England. Available at: https://digital.nhs.uk/data-and-information/publications/statistical/mental-health-of-children-and-young-people-in-england/2023-wave-4-follow-up (Accessed: 6 June 2026).</w:t>
      </w:r>
    </w:p>
    <w:p w14:paraId="0FE4ED20" w14:textId="77777777" w:rsidR="00641B0F" w:rsidRDefault="00000000">
      <w:pPr>
        <w:spacing w:after="120" w:line="360" w:lineRule="auto"/>
        <w:ind w:left="720" w:hanging="720"/>
      </w:pPr>
      <w:r>
        <w:t xml:space="preserve">NHS (2023) </w:t>
      </w:r>
      <w:r>
        <w:rPr>
          <w:i/>
        </w:rPr>
        <w:t>Children and young people’s mental health services</w:t>
      </w:r>
      <w:r>
        <w:t>. Available at: https://www.nhs.uk/mental-health/children-and-young-adults/mental-health-support/mental-health-services/ (Accessed: 6 June 2026).</w:t>
      </w:r>
    </w:p>
    <w:p w14:paraId="5C69B0AD" w14:textId="77777777" w:rsidR="00641B0F" w:rsidRDefault="00000000">
      <w:pPr>
        <w:spacing w:after="120" w:line="360" w:lineRule="auto"/>
        <w:ind w:left="720" w:hanging="720"/>
      </w:pPr>
      <w:r>
        <w:t xml:space="preserve">NHS England (2019) </w:t>
      </w:r>
      <w:r>
        <w:rPr>
          <w:i/>
        </w:rPr>
        <w:t>The NHS Long Term Plan</w:t>
      </w:r>
      <w:r>
        <w:t>. NHS England. Available at: https://webarchive.nationalarchives.gov.uk/ukgwa/20230418155402/https%3A/www.longtermplan.nhs.uk/publication/nhs-long-term-plan/ (Accessed: 9 July 2026).</w:t>
      </w:r>
    </w:p>
    <w:p w14:paraId="5DABC4B2" w14:textId="77777777" w:rsidR="00641B0F" w:rsidRDefault="00000000">
      <w:pPr>
        <w:spacing w:after="120" w:line="360" w:lineRule="auto"/>
        <w:ind w:left="720" w:hanging="720"/>
      </w:pPr>
      <w:r>
        <w:t xml:space="preserve">Office for National Statistics (2020) </w:t>
      </w:r>
      <w:r>
        <w:rPr>
          <w:i/>
        </w:rPr>
        <w:t>Coronavirus and the social impacts on young people in Great Britain: 3 April to 10 May 2020</w:t>
      </w:r>
      <w:r>
        <w:t>. Office for National Statistics. Available at: https://www.ons.gov.uk/peoplepopulationandcommunity/birthsdeathsandmarriages/ageing/articles/coronavirusandthesocialimpactsonyoungpeopleingreatbritain/3aprilto10may2020 (Accessed: 11 July 2026).</w:t>
      </w:r>
    </w:p>
    <w:p w14:paraId="21A5D76D" w14:textId="77777777" w:rsidR="00641B0F" w:rsidRDefault="00000000">
      <w:pPr>
        <w:spacing w:after="120" w:line="360" w:lineRule="auto"/>
        <w:ind w:left="720" w:hanging="720"/>
      </w:pPr>
      <w:r>
        <w:t xml:space="preserve">Prime Minister’s Office, 10 Downing Street (2022) </w:t>
      </w:r>
      <w:r>
        <w:rPr>
          <w:i/>
        </w:rPr>
        <w:t>PM statement on living with COVID: 21 February 2022</w:t>
      </w:r>
      <w:r>
        <w:t>. Available at: https://www.gov.uk/government/speeches/pm-statement-on-living-with-covid-21-february-2022 (Accessed: 6 June 2026).</w:t>
      </w:r>
    </w:p>
    <w:p w14:paraId="7246469D" w14:textId="77777777" w:rsidR="00641B0F" w:rsidRDefault="00000000">
      <w:pPr>
        <w:spacing w:after="120" w:line="360" w:lineRule="auto"/>
        <w:ind w:left="720" w:hanging="720"/>
      </w:pPr>
      <w:r>
        <w:t xml:space="preserve">Racine, N., McArthur, B.A., Cooke, J.E., Eirich, R., Zhu, J. and Madigan, S. (2021) ‘Global prevalence of depressive and anxiety symptoms in children and adolescents during COVID-19: a meta-analysis’, </w:t>
      </w:r>
      <w:r>
        <w:rPr>
          <w:i/>
        </w:rPr>
        <w:t>JAMA Pediatrics</w:t>
      </w:r>
      <w:r>
        <w:t>, 175(11), pp. 1142–1150. Available at: https://doi.org/10.1001/jamapediatrics.2021.2482.</w:t>
      </w:r>
    </w:p>
    <w:p w14:paraId="0D0FE2F5" w14:textId="77777777" w:rsidR="00641B0F" w:rsidRDefault="00000000">
      <w:pPr>
        <w:spacing w:after="120" w:line="360" w:lineRule="auto"/>
        <w:ind w:left="720" w:hanging="720"/>
      </w:pPr>
      <w:r>
        <w:t xml:space="preserve">Roberts, N. and Danechi, S. (2022) </w:t>
      </w:r>
      <w:r>
        <w:rPr>
          <w:i/>
        </w:rPr>
        <w:t>Coronavirus and schools</w:t>
      </w:r>
      <w:r>
        <w:t>. House of Commons Library Research Briefing CBP-8915. London: House of Commons Library. Available at: https://commonslibrary.parliament.uk/research-briefings/cbp-8915/ (Accessed: 24 July 2026).</w:t>
      </w:r>
    </w:p>
    <w:p w14:paraId="35829677" w14:textId="77777777" w:rsidR="00641B0F" w:rsidRDefault="00000000">
      <w:pPr>
        <w:spacing w:after="120" w:line="360" w:lineRule="auto"/>
        <w:ind w:left="720" w:hanging="720"/>
      </w:pPr>
      <w:r>
        <w:t xml:space="preserve">Sadler, K., Vizard, T., Ford, T., Marcheselli, F., Pearce, N., Mandalia, D., Davis, J., Brodie, E., Forbes, N., Goodman, A., Goodman, R. and McManus, S. (2018) </w:t>
      </w:r>
      <w:r>
        <w:rPr>
          <w:i/>
        </w:rPr>
        <w:t>Mental Health of Children and Young People in England, 2017</w:t>
      </w:r>
      <w:r>
        <w:t xml:space="preserve">. NHS Digital. Available at: </w:t>
      </w:r>
      <w:r>
        <w:lastRenderedPageBreak/>
        <w:t>https://digital.nhs.uk/data-and-information/publications/statistical/mental-health-of-children-and-young-people-in-england/2017/2017 (Accessed: 6 June 2026).</w:t>
      </w:r>
    </w:p>
    <w:p w14:paraId="6DD31551" w14:textId="77777777" w:rsidR="00641B0F" w:rsidRDefault="00000000">
      <w:pPr>
        <w:spacing w:after="120" w:line="360" w:lineRule="auto"/>
        <w:ind w:left="720" w:hanging="720"/>
      </w:pPr>
      <w:r>
        <w:t xml:space="preserve">Tripathy, J.P. (2013) ‘Secondary data analysis: ethical issues and challenges’, </w:t>
      </w:r>
      <w:r>
        <w:rPr>
          <w:i/>
        </w:rPr>
        <w:t>Iranian Journal of Public Health</w:t>
      </w:r>
      <w:r>
        <w:t>, 42(12), pp. 1478–1479. Available at: https://pmc.ncbi.nlm.nih.gov/articles/PMC4441947/ (Accessed: 10 July 2026).</w:t>
      </w:r>
    </w:p>
    <w:p w14:paraId="55E5A635" w14:textId="77777777" w:rsidR="00641B0F" w:rsidRDefault="00000000">
      <w:pPr>
        <w:spacing w:after="120" w:line="360" w:lineRule="auto"/>
        <w:ind w:left="720" w:hanging="720"/>
      </w:pPr>
      <w:r>
        <w:t xml:space="preserve">Tudge, J.R.H., Mokrova, I., Hatfield, B.E. and Karnik, R.B. (2009) ‘Uses and misuses of Bronfenbrenner’s bioecological theory of human development’, </w:t>
      </w:r>
      <w:r>
        <w:rPr>
          <w:i/>
        </w:rPr>
        <w:t>Journal of Family Theory &amp; Review</w:t>
      </w:r>
      <w:r>
        <w:t>, 1(4), pp. 198–210. Available at: https://doi.org/10.1111/j.1756-2589.2009.00026.x.</w:t>
      </w:r>
    </w:p>
    <w:p w14:paraId="66261ABD" w14:textId="77777777" w:rsidR="00641B0F" w:rsidRDefault="00000000">
      <w:pPr>
        <w:spacing w:after="120" w:line="360" w:lineRule="auto"/>
        <w:ind w:left="720" w:hanging="720"/>
      </w:pPr>
      <w:r>
        <w:t xml:space="preserve">Waite, P., Patalay, P., Moltrecht, B., McElroy, E. and Creswell, C. (2020) </w:t>
      </w:r>
      <w:r>
        <w:rPr>
          <w:i/>
        </w:rPr>
        <w:t>Report 02: COVID-19 Worries, Parent/Carer Stress and Support Needs, by Child Special Educational Needs and Parent/Carer Work Status</w:t>
      </w:r>
      <w:r>
        <w:t>. University of Oxford (Co-SPACE study). Available at: https://cospaceoxford.org/wp-content/uploads/2020/07/Co-SPACE-report-02.pdf (Accessed: 9 July 2026).</w:t>
      </w:r>
    </w:p>
    <w:p w14:paraId="5EDCBC8B" w14:textId="77777777" w:rsidR="00641B0F" w:rsidRDefault="00000000">
      <w:pPr>
        <w:spacing w:after="120" w:line="360" w:lineRule="auto"/>
        <w:ind w:left="720" w:hanging="720"/>
      </w:pPr>
      <w:r>
        <w:t xml:space="preserve">Waite, P., Pearcey, S., Shum, A., Skripkauskaite, S. and Creswell, C. (2021) </w:t>
      </w:r>
      <w:r>
        <w:rPr>
          <w:i/>
        </w:rPr>
        <w:t>Report 08: Changes in children’s and young people’s mental health throughout the pandemic</w:t>
      </w:r>
      <w:r>
        <w:t>. Co-SPACE Study, University of Oxford. Available at: https://cospaceoxford.org/findings/changes-in-children-mental-health-symptoms-from-march-2020-to-jan-2021/ (Accessed: 6 June 2026).</w:t>
      </w:r>
    </w:p>
    <w:p w14:paraId="553A1250" w14:textId="77777777" w:rsidR="003B1FCB" w:rsidRDefault="003B1FCB" w:rsidP="003B1FCB">
      <w:pPr>
        <w:spacing w:after="120" w:line="360" w:lineRule="auto"/>
        <w:ind w:left="720" w:hanging="720"/>
      </w:pPr>
      <w:r>
        <w:t xml:space="preserve">Welsh Government (2022) </w:t>
      </w:r>
      <w:r>
        <w:rPr>
          <w:i/>
        </w:rPr>
        <w:t>Specialist Children and Adolescent Mental Health Service first appointment waiting times: March 2022</w:t>
      </w:r>
      <w:r>
        <w:t>. Available at: https://gov.wales/specialist-children-and-adolescent-mental-health-service-scamhs-first-appointment-waiting-times-march-2022 (Accessed: 24 July 2026).</w:t>
      </w:r>
    </w:p>
    <w:p w14:paraId="2FDD5D88" w14:textId="77777777" w:rsidR="003B1FCB" w:rsidRDefault="003B1FCB" w:rsidP="003B1FCB">
      <w:pPr>
        <w:spacing w:after="120" w:line="360" w:lineRule="auto"/>
        <w:ind w:left="720" w:hanging="720"/>
      </w:pPr>
      <w:r>
        <w:t xml:space="preserve">Welsh Government (2023) </w:t>
      </w:r>
      <w:r>
        <w:rPr>
          <w:i/>
        </w:rPr>
        <w:t>Specialist Child and Adolescent Mental Health Services (sCAMHS) first appointment waiting times: quality report</w:t>
      </w:r>
      <w:r>
        <w:t>. Available at: https://www.gov.wales/specialist-child-and-adolescent-mental-health-services-scamhs-first-appointment-waiting-times-quality-report (Accessed: 24 July 2026).</w:t>
      </w:r>
    </w:p>
    <w:p w14:paraId="5A59F568" w14:textId="77777777" w:rsidR="003B1FCB" w:rsidRDefault="003B1FCB" w:rsidP="003B1FCB">
      <w:pPr>
        <w:spacing w:after="120" w:line="360" w:lineRule="auto"/>
        <w:ind w:left="720" w:hanging="720"/>
      </w:pPr>
      <w:r>
        <w:t xml:space="preserve">Welsh Government (2024a) </w:t>
      </w:r>
      <w:r>
        <w:rPr>
          <w:i/>
        </w:rPr>
        <w:t>Specialist Children and Adolescent Mental Health Service first appointment waiting times</w:t>
      </w:r>
      <w:r>
        <w:t>. Available at: https://www.gov.wales/specialist-children-and-adolescent-mental-health-service-first-appointment-waiting-times (Accessed: 24 July 2026).</w:t>
      </w:r>
    </w:p>
    <w:p w14:paraId="4828902A" w14:textId="77777777" w:rsidR="003B1FCB" w:rsidRDefault="003B1FCB" w:rsidP="003B1FCB">
      <w:pPr>
        <w:spacing w:after="120" w:line="360" w:lineRule="auto"/>
        <w:ind w:left="720" w:hanging="720"/>
      </w:pPr>
      <w:r>
        <w:t xml:space="preserve">Welsh Government (2024b) </w:t>
      </w:r>
      <w:r>
        <w:rPr>
          <w:i/>
        </w:rPr>
        <w:t>Specialist Children and Adolescent Mental Health Service first appointment waiting times: December 2023</w:t>
      </w:r>
      <w:r>
        <w:t xml:space="preserve">. Available at: </w:t>
      </w:r>
      <w:r>
        <w:lastRenderedPageBreak/>
        <w:t>https://www.gov.wales/specialist-children-and-adolescent-mental-health-service-first-appointment-waiting-times-december-2023 (Accessed: 24 July 2026).</w:t>
      </w:r>
    </w:p>
    <w:p w14:paraId="572F7EFC" w14:textId="77777777" w:rsidR="003B1FCB" w:rsidRDefault="003B1FCB" w:rsidP="003B1FCB">
      <w:pPr>
        <w:spacing w:after="120" w:line="360" w:lineRule="auto"/>
        <w:ind w:left="720" w:hanging="720"/>
      </w:pPr>
      <w:r>
        <w:t xml:space="preserve">Welsh Government (2026) </w:t>
      </w:r>
      <w:r>
        <w:rPr>
          <w:i/>
        </w:rPr>
        <w:t>Framework on embedding a whole-school approach to emotional and mental wellbeing</w:t>
      </w:r>
      <w:r>
        <w:t>. Available at: https://www.gov.wales/framework-embedding-whole-school-approach-emotional-and-mental-wellbeing (Accessed: 9 July 2026).</w:t>
      </w:r>
    </w:p>
    <w:p w14:paraId="542780AF" w14:textId="77777777" w:rsidR="00641B0F" w:rsidRDefault="00000000" w:rsidP="003B1FCB">
      <w:pPr>
        <w:spacing w:after="120" w:line="360" w:lineRule="auto"/>
        <w:ind w:left="720" w:hanging="720"/>
      </w:pPr>
      <w:r>
        <w:t xml:space="preserve">Widnall, E., Winstone, L., Plackett, R., Adams, E.A., Haworth, C.M.A., Mars, B. and Kidger, J. (2022) ‘Impact of school and peer connectedness on adolescent mental health and well-being outcomes during the COVID-19 pandemic: a longitudinal panel survey’, </w:t>
      </w:r>
      <w:r>
        <w:rPr>
          <w:i/>
        </w:rPr>
        <w:t>International Journal of Environmental Research and Public Health</w:t>
      </w:r>
      <w:r>
        <w:t>, 19(11), 6768. Available at: https://doi.org/10.3390/ijerph19116768.</w:t>
      </w:r>
    </w:p>
    <w:p w14:paraId="0A808C13" w14:textId="77777777" w:rsidR="00641B0F" w:rsidRDefault="00000000">
      <w:pPr>
        <w:spacing w:after="120" w:line="360" w:lineRule="auto"/>
        <w:ind w:left="720" w:hanging="720"/>
      </w:pPr>
      <w:r>
        <w:t xml:space="preserve">World Health Organization (no date) </w:t>
      </w:r>
      <w:r>
        <w:rPr>
          <w:i/>
        </w:rPr>
        <w:t>Adolescent health</w:t>
      </w:r>
      <w:r>
        <w:t>. Available at: https://www.who.int/health-topics/adolescent-health (Accessed: 6 June 2026).</w:t>
      </w:r>
    </w:p>
    <w:p w14:paraId="008A67DC" w14:textId="77777777" w:rsidR="00641B0F" w:rsidRDefault="00000000">
      <w:pPr>
        <w:spacing w:after="120" w:line="360" w:lineRule="auto"/>
        <w:ind w:left="720" w:hanging="720"/>
      </w:pPr>
      <w:r>
        <w:t xml:space="preserve">World Health Organization (2025a) </w:t>
      </w:r>
      <w:r>
        <w:rPr>
          <w:i/>
        </w:rPr>
        <w:t>Anxiety disorders</w:t>
      </w:r>
      <w:r>
        <w:t>. Available at: https://www.who.int/news-room/fact-sheets/detail/anxiety-disorders (Accessed: 6 June 2026).</w:t>
      </w:r>
    </w:p>
    <w:p w14:paraId="58BF03D0" w14:textId="77777777" w:rsidR="00641B0F" w:rsidRDefault="00000000">
      <w:pPr>
        <w:spacing w:after="120" w:line="360" w:lineRule="auto"/>
        <w:ind w:left="720" w:hanging="720"/>
      </w:pPr>
      <w:r>
        <w:t xml:space="preserve">World Health Organization (2025b) </w:t>
      </w:r>
      <w:r>
        <w:rPr>
          <w:i/>
        </w:rPr>
        <w:t>Mental health</w:t>
      </w:r>
      <w:r>
        <w:t>. Available at: https://www.who.int/news-room/fact-sheets/detail/mental-health-strengthening-our-response (Accessed: 6 June 2026).</w:t>
      </w:r>
    </w:p>
    <w:p w14:paraId="330238CD" w14:textId="77777777" w:rsidR="00641B0F" w:rsidRDefault="00000000">
      <w:pPr>
        <w:spacing w:after="120" w:line="360" w:lineRule="auto"/>
        <w:ind w:left="720" w:hanging="720"/>
        <w:sectPr w:rsidR="00641B0F" w:rsidSect="00FC0DB3">
          <w:footerReference w:type="default" r:id="rId11"/>
          <w:pgSz w:w="11906" w:h="16838"/>
          <w:pgMar w:top="1440" w:right="1440" w:bottom="1440" w:left="1440" w:header="708" w:footer="708" w:gutter="0"/>
          <w:cols w:space="720"/>
          <w:docGrid w:linePitch="360"/>
        </w:sectPr>
      </w:pPr>
      <w:r>
        <w:t xml:space="preserve">YoungMinds (2025) </w:t>
      </w:r>
      <w:r>
        <w:rPr>
          <w:i/>
        </w:rPr>
        <w:t>52% increase in young people waiting over a year for mental health support</w:t>
      </w:r>
      <w:r>
        <w:t>. Available at: https://www.youngminds.org.uk/about-us/media-centre/press-releases/increase-in-young-people-waiting-over-a-year-for-mental-health-support/ (Accessed: 9 July 2026).</w:t>
      </w:r>
    </w:p>
    <w:p w14:paraId="7749E789" w14:textId="77777777" w:rsidR="00641B0F" w:rsidRDefault="00000000">
      <w:pPr>
        <w:pStyle w:val="Heading1"/>
        <w:spacing w:after="240" w:line="360" w:lineRule="auto"/>
      </w:pPr>
      <w:bookmarkStart w:id="39" w:name="_Toc235845483"/>
      <w:r>
        <w:lastRenderedPageBreak/>
        <w:t>Appendices</w:t>
      </w:r>
      <w:bookmarkEnd w:id="39"/>
    </w:p>
    <w:p w14:paraId="69447584" w14:textId="77777777" w:rsidR="00641B0F" w:rsidRDefault="00000000">
      <w:pPr>
        <w:pStyle w:val="Heading2"/>
        <w:spacing w:before="240" w:after="120" w:line="360" w:lineRule="auto"/>
      </w:pPr>
      <w:bookmarkStart w:id="40" w:name="_Toc235845484"/>
      <w:r>
        <w:t>Appendix A — Results Summary Table</w:t>
      </w:r>
      <w:bookmarkEnd w:id="40"/>
    </w:p>
    <w:tbl>
      <w:tblPr>
        <w:tblW w:w="13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50"/>
        <w:gridCol w:w="1500"/>
        <w:gridCol w:w="2450"/>
        <w:gridCol w:w="2800"/>
        <w:gridCol w:w="2850"/>
        <w:gridCol w:w="1500"/>
        <w:gridCol w:w="1108"/>
      </w:tblGrid>
      <w:tr w:rsidR="00641B0F" w14:paraId="7CF2A359" w14:textId="77777777">
        <w:trPr>
          <w:tblHeader/>
        </w:trPr>
        <w:tc>
          <w:tcPr>
            <w:tcW w:w="1750" w:type="dxa"/>
            <w:shd w:val="clear" w:color="auto" w:fill="E8E8E8"/>
            <w:tcMar>
              <w:top w:w="60" w:type="dxa"/>
              <w:left w:w="80" w:type="dxa"/>
              <w:bottom w:w="60" w:type="dxa"/>
              <w:right w:w="80" w:type="dxa"/>
            </w:tcMar>
          </w:tcPr>
          <w:p w14:paraId="025D47D0" w14:textId="77777777" w:rsidR="00641B0F" w:rsidRDefault="00000000">
            <w:r>
              <w:rPr>
                <w:b/>
                <w:bCs/>
                <w:sz w:val="18"/>
                <w:szCs w:val="18"/>
              </w:rPr>
              <w:t>Author &amp; Year</w:t>
            </w:r>
          </w:p>
        </w:tc>
        <w:tc>
          <w:tcPr>
            <w:tcW w:w="1500" w:type="dxa"/>
            <w:shd w:val="clear" w:color="auto" w:fill="E8E8E8"/>
            <w:tcMar>
              <w:top w:w="60" w:type="dxa"/>
              <w:left w:w="80" w:type="dxa"/>
              <w:bottom w:w="60" w:type="dxa"/>
              <w:right w:w="80" w:type="dxa"/>
            </w:tcMar>
          </w:tcPr>
          <w:p w14:paraId="4F989788" w14:textId="77777777" w:rsidR="00641B0F" w:rsidRDefault="00000000">
            <w:r>
              <w:rPr>
                <w:b/>
                <w:bCs/>
                <w:sz w:val="18"/>
                <w:szCs w:val="18"/>
              </w:rPr>
              <w:t>Study Type</w:t>
            </w:r>
          </w:p>
        </w:tc>
        <w:tc>
          <w:tcPr>
            <w:tcW w:w="2450" w:type="dxa"/>
            <w:shd w:val="clear" w:color="auto" w:fill="E8E8E8"/>
            <w:tcMar>
              <w:top w:w="60" w:type="dxa"/>
              <w:left w:w="80" w:type="dxa"/>
              <w:bottom w:w="60" w:type="dxa"/>
              <w:right w:w="80" w:type="dxa"/>
            </w:tcMar>
          </w:tcPr>
          <w:p w14:paraId="2BFA1341" w14:textId="77777777" w:rsidR="00641B0F" w:rsidRDefault="00000000">
            <w:r>
              <w:rPr>
                <w:b/>
                <w:bCs/>
                <w:sz w:val="18"/>
                <w:szCs w:val="18"/>
              </w:rPr>
              <w:t>Method &amp; Sample</w:t>
            </w:r>
          </w:p>
        </w:tc>
        <w:tc>
          <w:tcPr>
            <w:tcW w:w="2800" w:type="dxa"/>
            <w:shd w:val="clear" w:color="auto" w:fill="E8E8E8"/>
            <w:tcMar>
              <w:top w:w="60" w:type="dxa"/>
              <w:left w:w="80" w:type="dxa"/>
              <w:bottom w:w="60" w:type="dxa"/>
              <w:right w:w="80" w:type="dxa"/>
            </w:tcMar>
          </w:tcPr>
          <w:p w14:paraId="33C15CBC" w14:textId="77777777" w:rsidR="00641B0F" w:rsidRDefault="00000000">
            <w:r>
              <w:rPr>
                <w:b/>
                <w:bCs/>
                <w:sz w:val="18"/>
                <w:szCs w:val="18"/>
              </w:rPr>
              <w:t>Strengths / Limitations</w:t>
            </w:r>
          </w:p>
        </w:tc>
        <w:tc>
          <w:tcPr>
            <w:tcW w:w="2850" w:type="dxa"/>
            <w:shd w:val="clear" w:color="auto" w:fill="E8E8E8"/>
            <w:tcMar>
              <w:top w:w="60" w:type="dxa"/>
              <w:left w:w="80" w:type="dxa"/>
              <w:bottom w:w="60" w:type="dxa"/>
              <w:right w:w="80" w:type="dxa"/>
            </w:tcMar>
          </w:tcPr>
          <w:p w14:paraId="1C0F7403" w14:textId="77777777" w:rsidR="00641B0F" w:rsidRDefault="00000000">
            <w:r>
              <w:rPr>
                <w:b/>
                <w:bCs/>
                <w:sz w:val="18"/>
                <w:szCs w:val="18"/>
              </w:rPr>
              <w:t>Main Findings</w:t>
            </w:r>
          </w:p>
        </w:tc>
        <w:tc>
          <w:tcPr>
            <w:tcW w:w="1500" w:type="dxa"/>
            <w:shd w:val="clear" w:color="auto" w:fill="E8E8E8"/>
            <w:tcMar>
              <w:top w:w="60" w:type="dxa"/>
              <w:left w:w="80" w:type="dxa"/>
              <w:bottom w:w="60" w:type="dxa"/>
              <w:right w:w="80" w:type="dxa"/>
            </w:tcMar>
          </w:tcPr>
          <w:p w14:paraId="17E25728" w14:textId="77777777" w:rsidR="00641B0F" w:rsidRDefault="00000000">
            <w:r>
              <w:rPr>
                <w:b/>
                <w:bCs/>
                <w:sz w:val="18"/>
                <w:szCs w:val="18"/>
              </w:rPr>
              <w:t>Codes</w:t>
            </w:r>
          </w:p>
        </w:tc>
        <w:tc>
          <w:tcPr>
            <w:tcW w:w="1108" w:type="dxa"/>
            <w:shd w:val="clear" w:color="auto" w:fill="E8E8E8"/>
            <w:tcMar>
              <w:top w:w="60" w:type="dxa"/>
              <w:left w:w="80" w:type="dxa"/>
              <w:bottom w:w="60" w:type="dxa"/>
              <w:right w:w="80" w:type="dxa"/>
            </w:tcMar>
          </w:tcPr>
          <w:p w14:paraId="6136589F" w14:textId="77777777" w:rsidR="00641B0F" w:rsidRDefault="00000000">
            <w:r>
              <w:rPr>
                <w:b/>
                <w:bCs/>
                <w:sz w:val="18"/>
                <w:szCs w:val="18"/>
              </w:rPr>
              <w:t>Theme</w:t>
            </w:r>
          </w:p>
        </w:tc>
      </w:tr>
      <w:tr w:rsidR="00641B0F" w14:paraId="1C05EC58" w14:textId="77777777">
        <w:tc>
          <w:tcPr>
            <w:tcW w:w="1750" w:type="dxa"/>
            <w:tcMar>
              <w:top w:w="60" w:type="dxa"/>
              <w:left w:w="80" w:type="dxa"/>
              <w:bottom w:w="60" w:type="dxa"/>
              <w:right w:w="80" w:type="dxa"/>
            </w:tcMar>
          </w:tcPr>
          <w:p w14:paraId="03719A80" w14:textId="77777777" w:rsidR="00641B0F" w:rsidRDefault="00000000">
            <w:r>
              <w:rPr>
                <w:sz w:val="18"/>
                <w:szCs w:val="18"/>
              </w:rPr>
              <w:t>Widnall et al. (2022)</w:t>
            </w:r>
          </w:p>
        </w:tc>
        <w:tc>
          <w:tcPr>
            <w:tcW w:w="1500" w:type="dxa"/>
            <w:tcMar>
              <w:top w:w="60" w:type="dxa"/>
              <w:left w:w="80" w:type="dxa"/>
              <w:bottom w:w="60" w:type="dxa"/>
              <w:right w:w="80" w:type="dxa"/>
            </w:tcMar>
          </w:tcPr>
          <w:p w14:paraId="3840DC12" w14:textId="77777777" w:rsidR="00641B0F" w:rsidRDefault="00000000">
            <w:r>
              <w:rPr>
                <w:sz w:val="18"/>
                <w:szCs w:val="18"/>
              </w:rPr>
              <w:t>Primary — longitudinal panel</w:t>
            </w:r>
          </w:p>
        </w:tc>
        <w:tc>
          <w:tcPr>
            <w:tcW w:w="2450" w:type="dxa"/>
            <w:tcMar>
              <w:top w:w="60" w:type="dxa"/>
              <w:left w:w="80" w:type="dxa"/>
              <w:bottom w:w="60" w:type="dxa"/>
              <w:right w:w="80" w:type="dxa"/>
            </w:tcMar>
          </w:tcPr>
          <w:p w14:paraId="2B476187" w14:textId="77777777" w:rsidR="00641B0F" w:rsidRDefault="00000000">
            <w:r>
              <w:rPr>
                <w:sz w:val="18"/>
                <w:szCs w:val="18"/>
              </w:rPr>
              <w:t>3 waves Oct 2019 / May 2020 / Oct 2020; 603 students aged 13–14; 17 schools, SW England</w:t>
            </w:r>
          </w:p>
        </w:tc>
        <w:tc>
          <w:tcPr>
            <w:tcW w:w="2800" w:type="dxa"/>
            <w:tcMar>
              <w:top w:w="60" w:type="dxa"/>
              <w:left w:w="80" w:type="dxa"/>
              <w:bottom w:w="60" w:type="dxa"/>
              <w:right w:w="80" w:type="dxa"/>
            </w:tcMar>
          </w:tcPr>
          <w:p w14:paraId="6C753A5A" w14:textId="77777777" w:rsidR="00641B0F" w:rsidRDefault="00000000">
            <w:r>
              <w:rPr>
                <w:sz w:val="18"/>
                <w:szCs w:val="18"/>
              </w:rPr>
              <w:t xml:space="preserve">S: pre-pandemic baseline, UK, </w:t>
            </w:r>
            <w:proofErr w:type="gramStart"/>
            <w:r>
              <w:rPr>
                <w:sz w:val="18"/>
                <w:szCs w:val="18"/>
              </w:rPr>
              <w:t>peer-reviewed</w:t>
            </w:r>
            <w:proofErr w:type="gramEnd"/>
            <w:r>
              <w:rPr>
                <w:sz w:val="18"/>
                <w:szCs w:val="18"/>
              </w:rPr>
              <w:t>. L: regional; young end of range; self-report</w:t>
            </w:r>
          </w:p>
        </w:tc>
        <w:tc>
          <w:tcPr>
            <w:tcW w:w="2850" w:type="dxa"/>
            <w:tcMar>
              <w:top w:w="60" w:type="dxa"/>
              <w:left w:w="80" w:type="dxa"/>
              <w:bottom w:w="60" w:type="dxa"/>
              <w:right w:w="80" w:type="dxa"/>
            </w:tcMar>
          </w:tcPr>
          <w:p w14:paraId="684C8561" w14:textId="77777777" w:rsidR="00641B0F" w:rsidRDefault="00000000">
            <w:r>
              <w:rPr>
                <w:sz w:val="18"/>
                <w:szCs w:val="18"/>
              </w:rPr>
              <w:t>Anxiety decreased in lockdown, rose on school return; school/peer connectedness protective</w:t>
            </w:r>
          </w:p>
        </w:tc>
        <w:tc>
          <w:tcPr>
            <w:tcW w:w="1500" w:type="dxa"/>
            <w:tcMar>
              <w:top w:w="60" w:type="dxa"/>
              <w:left w:w="80" w:type="dxa"/>
              <w:bottom w:w="60" w:type="dxa"/>
              <w:right w:w="80" w:type="dxa"/>
            </w:tcMar>
          </w:tcPr>
          <w:p w14:paraId="5AA5CFA6" w14:textId="77777777" w:rsidR="00641B0F" w:rsidRDefault="00000000">
            <w:r>
              <w:rPr>
                <w:sz w:val="18"/>
                <w:szCs w:val="18"/>
              </w:rPr>
              <w:t>anxiety at school return; connectedness</w:t>
            </w:r>
          </w:p>
        </w:tc>
        <w:tc>
          <w:tcPr>
            <w:tcW w:w="1108" w:type="dxa"/>
            <w:tcMar>
              <w:top w:w="60" w:type="dxa"/>
              <w:left w:w="80" w:type="dxa"/>
              <w:bottom w:w="60" w:type="dxa"/>
              <w:right w:w="80" w:type="dxa"/>
            </w:tcMar>
          </w:tcPr>
          <w:p w14:paraId="261C0559" w14:textId="77777777" w:rsidR="00641B0F" w:rsidRDefault="00000000">
            <w:r>
              <w:rPr>
                <w:sz w:val="18"/>
                <w:szCs w:val="18"/>
              </w:rPr>
              <w:t>1 (bridge to 2)</w:t>
            </w:r>
          </w:p>
        </w:tc>
      </w:tr>
      <w:tr w:rsidR="00641B0F" w14:paraId="6639154C" w14:textId="77777777">
        <w:tc>
          <w:tcPr>
            <w:tcW w:w="1750" w:type="dxa"/>
            <w:tcMar>
              <w:top w:w="60" w:type="dxa"/>
              <w:left w:w="80" w:type="dxa"/>
              <w:bottom w:w="60" w:type="dxa"/>
              <w:right w:w="80" w:type="dxa"/>
            </w:tcMar>
          </w:tcPr>
          <w:p w14:paraId="2A48AA9C" w14:textId="77777777" w:rsidR="00641B0F" w:rsidRDefault="00000000">
            <w:r>
              <w:rPr>
                <w:sz w:val="18"/>
                <w:szCs w:val="18"/>
              </w:rPr>
              <w:t>Magson et al. (2021)</w:t>
            </w:r>
          </w:p>
        </w:tc>
        <w:tc>
          <w:tcPr>
            <w:tcW w:w="1500" w:type="dxa"/>
            <w:tcMar>
              <w:top w:w="60" w:type="dxa"/>
              <w:left w:w="80" w:type="dxa"/>
              <w:bottom w:w="60" w:type="dxa"/>
              <w:right w:w="80" w:type="dxa"/>
            </w:tcMar>
          </w:tcPr>
          <w:p w14:paraId="40C5F6D1" w14:textId="77777777" w:rsidR="00641B0F" w:rsidRDefault="00000000">
            <w:r>
              <w:rPr>
                <w:sz w:val="18"/>
                <w:szCs w:val="18"/>
              </w:rPr>
              <w:t>Primary — prospective longitudinal</w:t>
            </w:r>
          </w:p>
        </w:tc>
        <w:tc>
          <w:tcPr>
            <w:tcW w:w="2450" w:type="dxa"/>
            <w:tcMar>
              <w:top w:w="60" w:type="dxa"/>
              <w:left w:w="80" w:type="dxa"/>
              <w:bottom w:w="60" w:type="dxa"/>
              <w:right w:w="80" w:type="dxa"/>
            </w:tcMar>
          </w:tcPr>
          <w:p w14:paraId="059A8918" w14:textId="77777777" w:rsidR="00641B0F" w:rsidRDefault="00000000">
            <w:r>
              <w:rPr>
                <w:sz w:val="18"/>
                <w:szCs w:val="18"/>
              </w:rPr>
              <w:t>248 adolescents, mean 14.4y; pre-pandemic + 2 months into restrictions (Australia)</w:t>
            </w:r>
          </w:p>
        </w:tc>
        <w:tc>
          <w:tcPr>
            <w:tcW w:w="2800" w:type="dxa"/>
            <w:tcMar>
              <w:top w:w="60" w:type="dxa"/>
              <w:left w:w="80" w:type="dxa"/>
              <w:bottom w:w="60" w:type="dxa"/>
              <w:right w:w="80" w:type="dxa"/>
            </w:tcMar>
          </w:tcPr>
          <w:p w14:paraId="148A170B" w14:textId="77777777" w:rsidR="00641B0F" w:rsidRDefault="00000000">
            <w:r>
              <w:rPr>
                <w:sz w:val="18"/>
                <w:szCs w:val="18"/>
              </w:rPr>
              <w:t>S: true pre/post design. L: modest n; Australian; 2-month window</w:t>
            </w:r>
          </w:p>
        </w:tc>
        <w:tc>
          <w:tcPr>
            <w:tcW w:w="2850" w:type="dxa"/>
            <w:tcMar>
              <w:top w:w="60" w:type="dxa"/>
              <w:left w:w="80" w:type="dxa"/>
              <w:bottom w:w="60" w:type="dxa"/>
              <w:right w:w="80" w:type="dxa"/>
            </w:tcMar>
          </w:tcPr>
          <w:p w14:paraId="10A2B2C0" w14:textId="77777777" w:rsidR="00641B0F" w:rsidRDefault="00000000">
            <w:r>
              <w:rPr>
                <w:sz w:val="18"/>
                <w:szCs w:val="18"/>
              </w:rPr>
              <w:t>Significant ↑ anxiety/depression, ↓ life satisfaction; girls worse; online-learning difficulties a key risk</w:t>
            </w:r>
          </w:p>
        </w:tc>
        <w:tc>
          <w:tcPr>
            <w:tcW w:w="1500" w:type="dxa"/>
            <w:tcMar>
              <w:top w:w="60" w:type="dxa"/>
              <w:left w:w="80" w:type="dxa"/>
              <w:bottom w:w="60" w:type="dxa"/>
              <w:right w:w="80" w:type="dxa"/>
            </w:tcMar>
          </w:tcPr>
          <w:p w14:paraId="4CB03A9A" w14:textId="77777777" w:rsidR="00641B0F" w:rsidRDefault="00000000">
            <w:r>
              <w:rPr>
                <w:sz w:val="18"/>
                <w:szCs w:val="18"/>
              </w:rPr>
              <w:t>anxiety increase; girls disproportionate</w:t>
            </w:r>
          </w:p>
        </w:tc>
        <w:tc>
          <w:tcPr>
            <w:tcW w:w="1108" w:type="dxa"/>
            <w:tcMar>
              <w:top w:w="60" w:type="dxa"/>
              <w:left w:w="80" w:type="dxa"/>
              <w:bottom w:w="60" w:type="dxa"/>
              <w:right w:w="80" w:type="dxa"/>
            </w:tcMar>
          </w:tcPr>
          <w:p w14:paraId="1FC51165" w14:textId="77777777" w:rsidR="00641B0F" w:rsidRDefault="00000000">
            <w:r>
              <w:rPr>
                <w:sz w:val="18"/>
                <w:szCs w:val="18"/>
              </w:rPr>
              <w:t>1</w:t>
            </w:r>
          </w:p>
        </w:tc>
      </w:tr>
      <w:tr w:rsidR="00641B0F" w14:paraId="2956458B" w14:textId="77777777">
        <w:tc>
          <w:tcPr>
            <w:tcW w:w="1750" w:type="dxa"/>
            <w:tcMar>
              <w:top w:w="60" w:type="dxa"/>
              <w:left w:w="80" w:type="dxa"/>
              <w:bottom w:w="60" w:type="dxa"/>
              <w:right w:w="80" w:type="dxa"/>
            </w:tcMar>
          </w:tcPr>
          <w:p w14:paraId="36F2FAFF" w14:textId="77777777" w:rsidR="00641B0F" w:rsidRDefault="00000000">
            <w:r>
              <w:rPr>
                <w:sz w:val="18"/>
                <w:szCs w:val="18"/>
              </w:rPr>
              <w:t>Racine et al. (2021)</w:t>
            </w:r>
          </w:p>
        </w:tc>
        <w:tc>
          <w:tcPr>
            <w:tcW w:w="1500" w:type="dxa"/>
            <w:tcMar>
              <w:top w:w="60" w:type="dxa"/>
              <w:left w:w="80" w:type="dxa"/>
              <w:bottom w:w="60" w:type="dxa"/>
              <w:right w:w="80" w:type="dxa"/>
            </w:tcMar>
          </w:tcPr>
          <w:p w14:paraId="2293E22E" w14:textId="77777777" w:rsidR="00641B0F" w:rsidRDefault="00000000">
            <w:r>
              <w:rPr>
                <w:sz w:val="18"/>
                <w:szCs w:val="18"/>
              </w:rPr>
              <w:t>Secondary — meta-analysis</w:t>
            </w:r>
          </w:p>
        </w:tc>
        <w:tc>
          <w:tcPr>
            <w:tcW w:w="2450" w:type="dxa"/>
            <w:tcMar>
              <w:top w:w="60" w:type="dxa"/>
              <w:left w:w="80" w:type="dxa"/>
              <w:bottom w:w="60" w:type="dxa"/>
              <w:right w:w="80" w:type="dxa"/>
            </w:tcMar>
          </w:tcPr>
          <w:p w14:paraId="1E58B483" w14:textId="77777777" w:rsidR="00641B0F" w:rsidRDefault="00000000">
            <w:r>
              <w:rPr>
                <w:sz w:val="18"/>
                <w:szCs w:val="18"/>
              </w:rPr>
              <w:t>29 studies; 80,879 children/adolescents, global</w:t>
            </w:r>
          </w:p>
        </w:tc>
        <w:tc>
          <w:tcPr>
            <w:tcW w:w="2800" w:type="dxa"/>
            <w:tcMar>
              <w:top w:w="60" w:type="dxa"/>
              <w:left w:w="80" w:type="dxa"/>
              <w:bottom w:w="60" w:type="dxa"/>
              <w:right w:w="80" w:type="dxa"/>
            </w:tcMar>
          </w:tcPr>
          <w:p w14:paraId="4C11C91A" w14:textId="77777777" w:rsidR="00641B0F" w:rsidRDefault="00000000">
            <w:r>
              <w:rPr>
                <w:sz w:val="18"/>
                <w:szCs w:val="18"/>
              </w:rPr>
              <w:t>S: largest evidence base. L: global not UK; first pandemic year only</w:t>
            </w:r>
          </w:p>
        </w:tc>
        <w:tc>
          <w:tcPr>
            <w:tcW w:w="2850" w:type="dxa"/>
            <w:tcMar>
              <w:top w:w="60" w:type="dxa"/>
              <w:left w:w="80" w:type="dxa"/>
              <w:bottom w:w="60" w:type="dxa"/>
              <w:right w:w="80" w:type="dxa"/>
            </w:tcMar>
          </w:tcPr>
          <w:p w14:paraId="615CB72C" w14:textId="77777777" w:rsidR="00641B0F" w:rsidRDefault="00000000">
            <w:r>
              <w:rPr>
                <w:sz w:val="18"/>
                <w:szCs w:val="18"/>
              </w:rPr>
              <w:t>Clinically elevated anxiety ~20.5% — approximately double pre-pandemic; higher in girls and older adolescents</w:t>
            </w:r>
          </w:p>
        </w:tc>
        <w:tc>
          <w:tcPr>
            <w:tcW w:w="1500" w:type="dxa"/>
            <w:tcMar>
              <w:top w:w="60" w:type="dxa"/>
              <w:left w:w="80" w:type="dxa"/>
              <w:bottom w:w="60" w:type="dxa"/>
              <w:right w:w="80" w:type="dxa"/>
            </w:tcMar>
          </w:tcPr>
          <w:p w14:paraId="3CEBECD3" w14:textId="77777777" w:rsidR="00641B0F" w:rsidRDefault="00000000">
            <w:r>
              <w:rPr>
                <w:sz w:val="18"/>
                <w:szCs w:val="18"/>
              </w:rPr>
              <w:t>prevalence doubled</w:t>
            </w:r>
          </w:p>
        </w:tc>
        <w:tc>
          <w:tcPr>
            <w:tcW w:w="1108" w:type="dxa"/>
            <w:tcMar>
              <w:top w:w="60" w:type="dxa"/>
              <w:left w:w="80" w:type="dxa"/>
              <w:bottom w:w="60" w:type="dxa"/>
              <w:right w:w="80" w:type="dxa"/>
            </w:tcMar>
          </w:tcPr>
          <w:p w14:paraId="41E92C53" w14:textId="77777777" w:rsidR="00641B0F" w:rsidRDefault="00000000">
            <w:r>
              <w:rPr>
                <w:sz w:val="18"/>
                <w:szCs w:val="18"/>
              </w:rPr>
              <w:t>1</w:t>
            </w:r>
          </w:p>
        </w:tc>
      </w:tr>
      <w:tr w:rsidR="00641B0F" w14:paraId="7428632C" w14:textId="77777777">
        <w:tc>
          <w:tcPr>
            <w:tcW w:w="1750" w:type="dxa"/>
            <w:tcMar>
              <w:top w:w="60" w:type="dxa"/>
              <w:left w:w="80" w:type="dxa"/>
              <w:bottom w:w="60" w:type="dxa"/>
              <w:right w:w="80" w:type="dxa"/>
            </w:tcMar>
          </w:tcPr>
          <w:p w14:paraId="6DB6B3B8" w14:textId="77777777" w:rsidR="00641B0F" w:rsidRDefault="00000000">
            <w:r>
              <w:rPr>
                <w:sz w:val="18"/>
                <w:szCs w:val="18"/>
              </w:rPr>
              <w:t>Burdzovic Andreas and Brunborg (2021)</w:t>
            </w:r>
          </w:p>
        </w:tc>
        <w:tc>
          <w:tcPr>
            <w:tcW w:w="1500" w:type="dxa"/>
            <w:tcMar>
              <w:top w:w="60" w:type="dxa"/>
              <w:left w:w="80" w:type="dxa"/>
              <w:bottom w:w="60" w:type="dxa"/>
              <w:right w:w="80" w:type="dxa"/>
            </w:tcMar>
          </w:tcPr>
          <w:p w14:paraId="15198BF6" w14:textId="77777777" w:rsidR="00641B0F" w:rsidRDefault="00000000">
            <w:r>
              <w:rPr>
                <w:sz w:val="18"/>
                <w:szCs w:val="18"/>
              </w:rPr>
              <w:t>Primary — cohort comparison</w:t>
            </w:r>
          </w:p>
        </w:tc>
        <w:tc>
          <w:tcPr>
            <w:tcW w:w="2450" w:type="dxa"/>
            <w:tcMar>
              <w:top w:w="60" w:type="dxa"/>
              <w:left w:w="80" w:type="dxa"/>
              <w:bottom w:w="60" w:type="dxa"/>
              <w:right w:w="80" w:type="dxa"/>
            </w:tcMar>
          </w:tcPr>
          <w:p w14:paraId="101B286C" w14:textId="77777777" w:rsidR="00641B0F" w:rsidRDefault="00000000">
            <w:r>
              <w:rPr>
                <w:sz w:val="18"/>
                <w:szCs w:val="18"/>
              </w:rPr>
              <w:t>2,536 students; pandemic vs pre-pandemic cohorts (Norway, short closure)</w:t>
            </w:r>
          </w:p>
        </w:tc>
        <w:tc>
          <w:tcPr>
            <w:tcW w:w="2800" w:type="dxa"/>
            <w:tcMar>
              <w:top w:w="60" w:type="dxa"/>
              <w:left w:w="80" w:type="dxa"/>
              <w:bottom w:w="60" w:type="dxa"/>
              <w:right w:w="80" w:type="dxa"/>
            </w:tcMar>
          </w:tcPr>
          <w:p w14:paraId="7CEA78B8" w14:textId="77777777" w:rsidR="00641B0F" w:rsidRDefault="00000000">
            <w:r>
              <w:rPr>
                <w:sz w:val="18"/>
                <w:szCs w:val="18"/>
              </w:rPr>
              <w:t>S: national scale. L: Norwegian; cross-cohort design</w:t>
            </w:r>
          </w:p>
        </w:tc>
        <w:tc>
          <w:tcPr>
            <w:tcW w:w="2850" w:type="dxa"/>
            <w:tcMar>
              <w:top w:w="60" w:type="dxa"/>
              <w:left w:w="80" w:type="dxa"/>
              <w:bottom w:w="60" w:type="dxa"/>
              <w:right w:w="80" w:type="dxa"/>
            </w:tcMar>
          </w:tcPr>
          <w:p w14:paraId="4A26219B" w14:textId="77777777" w:rsidR="00641B0F" w:rsidRDefault="00000000">
            <w:r>
              <w:rPr>
                <w:sz w:val="18"/>
                <w:szCs w:val="18"/>
              </w:rPr>
              <w:t>No population-level differences — but high-COVID-anxiety subgroup (17.3%) had &gt;2× odds of clinical depression symptoms</w:t>
            </w:r>
          </w:p>
        </w:tc>
        <w:tc>
          <w:tcPr>
            <w:tcW w:w="1500" w:type="dxa"/>
            <w:tcMar>
              <w:top w:w="60" w:type="dxa"/>
              <w:left w:w="80" w:type="dxa"/>
              <w:bottom w:w="60" w:type="dxa"/>
              <w:right w:w="80" w:type="dxa"/>
            </w:tcMar>
          </w:tcPr>
          <w:p w14:paraId="33E40D67" w14:textId="77777777" w:rsidR="00641B0F" w:rsidRDefault="00000000">
            <w:r>
              <w:rPr>
                <w:sz w:val="18"/>
                <w:szCs w:val="18"/>
              </w:rPr>
              <w:t>vulnerable subgroup; short closure = less harm</w:t>
            </w:r>
          </w:p>
        </w:tc>
        <w:tc>
          <w:tcPr>
            <w:tcW w:w="1108" w:type="dxa"/>
            <w:tcMar>
              <w:top w:w="60" w:type="dxa"/>
              <w:left w:w="80" w:type="dxa"/>
              <w:bottom w:w="60" w:type="dxa"/>
              <w:right w:w="80" w:type="dxa"/>
            </w:tcMar>
          </w:tcPr>
          <w:p w14:paraId="4EE2F6F1" w14:textId="77777777" w:rsidR="00641B0F" w:rsidRDefault="00000000">
            <w:r>
              <w:rPr>
                <w:sz w:val="18"/>
                <w:szCs w:val="18"/>
              </w:rPr>
              <w:t>1</w:t>
            </w:r>
          </w:p>
        </w:tc>
      </w:tr>
      <w:tr w:rsidR="00641B0F" w14:paraId="4827836D" w14:textId="77777777">
        <w:tc>
          <w:tcPr>
            <w:tcW w:w="1750" w:type="dxa"/>
            <w:tcMar>
              <w:top w:w="60" w:type="dxa"/>
              <w:left w:w="80" w:type="dxa"/>
              <w:bottom w:w="60" w:type="dxa"/>
              <w:right w:w="80" w:type="dxa"/>
            </w:tcMar>
          </w:tcPr>
          <w:p w14:paraId="4C719734" w14:textId="77777777" w:rsidR="00641B0F" w:rsidRDefault="00000000">
            <w:r>
              <w:rPr>
                <w:sz w:val="18"/>
                <w:szCs w:val="18"/>
              </w:rPr>
              <w:t>Björkegren, Svaleryd and Vlachos (2024)</w:t>
            </w:r>
          </w:p>
        </w:tc>
        <w:tc>
          <w:tcPr>
            <w:tcW w:w="1500" w:type="dxa"/>
            <w:tcMar>
              <w:top w:w="60" w:type="dxa"/>
              <w:left w:w="80" w:type="dxa"/>
              <w:bottom w:w="60" w:type="dxa"/>
              <w:right w:w="80" w:type="dxa"/>
            </w:tcMar>
          </w:tcPr>
          <w:p w14:paraId="3CC2886C" w14:textId="77777777" w:rsidR="00641B0F" w:rsidRDefault="00000000">
            <w:r>
              <w:rPr>
                <w:sz w:val="18"/>
                <w:szCs w:val="18"/>
              </w:rPr>
              <w:t>Primary — natural experiment (registers)</w:t>
            </w:r>
          </w:p>
        </w:tc>
        <w:tc>
          <w:tcPr>
            <w:tcW w:w="2450" w:type="dxa"/>
            <w:tcMar>
              <w:top w:w="60" w:type="dxa"/>
              <w:left w:w="80" w:type="dxa"/>
              <w:bottom w:w="60" w:type="dxa"/>
              <w:right w:w="80" w:type="dxa"/>
            </w:tcMar>
          </w:tcPr>
          <w:p w14:paraId="0DF86B9B" w14:textId="77777777" w:rsidR="00641B0F" w:rsidRDefault="00000000">
            <w:r>
              <w:rPr>
                <w:sz w:val="18"/>
                <w:szCs w:val="18"/>
              </w:rPr>
              <w:t>Swedish national registers; remote (upper-secondary) vs in-person (lower-secondary) instruction</w:t>
            </w:r>
          </w:p>
        </w:tc>
        <w:tc>
          <w:tcPr>
            <w:tcW w:w="2800" w:type="dxa"/>
            <w:tcMar>
              <w:top w:w="60" w:type="dxa"/>
              <w:left w:w="80" w:type="dxa"/>
              <w:bottom w:w="60" w:type="dxa"/>
              <w:right w:w="80" w:type="dxa"/>
            </w:tcMar>
          </w:tcPr>
          <w:p w14:paraId="0E44E105" w14:textId="77777777" w:rsidR="00641B0F" w:rsidRDefault="00000000">
            <w:r>
              <w:rPr>
                <w:sz w:val="18"/>
                <w:szCs w:val="18"/>
              </w:rPr>
              <w:t>S: strongest causal design in table. L: measures healthcare USE not symptoms; Swedish</w:t>
            </w:r>
          </w:p>
        </w:tc>
        <w:tc>
          <w:tcPr>
            <w:tcW w:w="2850" w:type="dxa"/>
            <w:tcMar>
              <w:top w:w="60" w:type="dxa"/>
              <w:left w:w="80" w:type="dxa"/>
              <w:bottom w:w="60" w:type="dxa"/>
              <w:right w:w="80" w:type="dxa"/>
            </w:tcMar>
          </w:tcPr>
          <w:p w14:paraId="037929C7" w14:textId="77777777" w:rsidR="00641B0F" w:rsidRDefault="00000000">
            <w:r>
              <w:rPr>
                <w:sz w:val="18"/>
                <w:szCs w:val="18"/>
              </w:rPr>
              <w:t>Remote instruction → 4.4% DECREASE in mental healthcare use, persisting after reopening</w:t>
            </w:r>
          </w:p>
        </w:tc>
        <w:tc>
          <w:tcPr>
            <w:tcW w:w="1500" w:type="dxa"/>
            <w:tcMar>
              <w:top w:w="60" w:type="dxa"/>
              <w:left w:w="80" w:type="dxa"/>
              <w:bottom w:w="60" w:type="dxa"/>
              <w:right w:w="80" w:type="dxa"/>
            </w:tcMar>
          </w:tcPr>
          <w:p w14:paraId="5A446A2B" w14:textId="77777777" w:rsidR="00641B0F" w:rsidRDefault="00000000">
            <w:r>
              <w:rPr>
                <w:sz w:val="18"/>
                <w:szCs w:val="18"/>
              </w:rPr>
              <w:t>closure effects contested; service use ≠ symptoms</w:t>
            </w:r>
          </w:p>
        </w:tc>
        <w:tc>
          <w:tcPr>
            <w:tcW w:w="1108" w:type="dxa"/>
            <w:tcMar>
              <w:top w:w="60" w:type="dxa"/>
              <w:left w:w="80" w:type="dxa"/>
              <w:bottom w:w="60" w:type="dxa"/>
              <w:right w:w="80" w:type="dxa"/>
            </w:tcMar>
          </w:tcPr>
          <w:p w14:paraId="0DA9DA47" w14:textId="77777777" w:rsidR="00641B0F" w:rsidRDefault="00000000">
            <w:r>
              <w:rPr>
                <w:sz w:val="18"/>
                <w:szCs w:val="18"/>
              </w:rPr>
              <w:t>1</w:t>
            </w:r>
          </w:p>
        </w:tc>
      </w:tr>
      <w:tr w:rsidR="00641B0F" w14:paraId="71A61A9C" w14:textId="77777777">
        <w:tc>
          <w:tcPr>
            <w:tcW w:w="1750" w:type="dxa"/>
            <w:tcMar>
              <w:top w:w="60" w:type="dxa"/>
              <w:left w:w="80" w:type="dxa"/>
              <w:bottom w:w="60" w:type="dxa"/>
              <w:right w:w="80" w:type="dxa"/>
            </w:tcMar>
          </w:tcPr>
          <w:p w14:paraId="2EE9B7D4" w14:textId="77777777" w:rsidR="00641B0F" w:rsidRDefault="00000000">
            <w:r>
              <w:rPr>
                <w:sz w:val="18"/>
                <w:szCs w:val="18"/>
              </w:rPr>
              <w:t>Creswell et al. (2021) [support citation]</w:t>
            </w:r>
          </w:p>
        </w:tc>
        <w:tc>
          <w:tcPr>
            <w:tcW w:w="1500" w:type="dxa"/>
            <w:tcMar>
              <w:top w:w="60" w:type="dxa"/>
              <w:left w:w="80" w:type="dxa"/>
              <w:bottom w:w="60" w:type="dxa"/>
              <w:right w:w="80" w:type="dxa"/>
            </w:tcMar>
          </w:tcPr>
          <w:p w14:paraId="573E0194" w14:textId="77777777" w:rsidR="00641B0F" w:rsidRDefault="00000000">
            <w:r>
              <w:rPr>
                <w:sz w:val="18"/>
                <w:szCs w:val="18"/>
              </w:rPr>
              <w:t>Comment (Lancet Child &amp; Adolescent Health)</w:t>
            </w:r>
          </w:p>
        </w:tc>
        <w:tc>
          <w:tcPr>
            <w:tcW w:w="2450" w:type="dxa"/>
            <w:tcMar>
              <w:top w:w="60" w:type="dxa"/>
              <w:left w:w="80" w:type="dxa"/>
              <w:bottom w:w="60" w:type="dxa"/>
              <w:right w:w="80" w:type="dxa"/>
            </w:tcMar>
          </w:tcPr>
          <w:p w14:paraId="00CF6223" w14:textId="77777777" w:rsidR="00641B0F" w:rsidRDefault="00000000">
            <w:r>
              <w:rPr>
                <w:sz w:val="18"/>
                <w:szCs w:val="18"/>
              </w:rPr>
              <w:t>Co-SPACE overview</w:t>
            </w:r>
          </w:p>
        </w:tc>
        <w:tc>
          <w:tcPr>
            <w:tcW w:w="2800" w:type="dxa"/>
            <w:tcMar>
              <w:top w:w="60" w:type="dxa"/>
              <w:left w:w="80" w:type="dxa"/>
              <w:bottom w:w="60" w:type="dxa"/>
              <w:right w:w="80" w:type="dxa"/>
            </w:tcMar>
          </w:tcPr>
          <w:p w14:paraId="2EF48440" w14:textId="77777777" w:rsidR="00641B0F" w:rsidRDefault="00000000">
            <w:r>
              <w:rPr>
                <w:sz w:val="18"/>
                <w:szCs w:val="18"/>
              </w:rPr>
              <w:t>Support citation only — not a core row</w:t>
            </w:r>
          </w:p>
        </w:tc>
        <w:tc>
          <w:tcPr>
            <w:tcW w:w="2850" w:type="dxa"/>
            <w:tcMar>
              <w:top w:w="60" w:type="dxa"/>
              <w:left w:w="80" w:type="dxa"/>
              <w:bottom w:w="60" w:type="dxa"/>
              <w:right w:w="80" w:type="dxa"/>
            </w:tcMar>
          </w:tcPr>
          <w:p w14:paraId="7582532E" w14:textId="77777777" w:rsidR="00641B0F" w:rsidRDefault="00000000">
            <w:r>
              <w:rPr>
                <w:sz w:val="18"/>
                <w:szCs w:val="18"/>
              </w:rPr>
              <w:t>Symptoms peaked when restrictions were tightest</w:t>
            </w:r>
          </w:p>
        </w:tc>
        <w:tc>
          <w:tcPr>
            <w:tcW w:w="1500" w:type="dxa"/>
            <w:tcMar>
              <w:top w:w="60" w:type="dxa"/>
              <w:left w:w="80" w:type="dxa"/>
              <w:bottom w:w="60" w:type="dxa"/>
              <w:right w:w="80" w:type="dxa"/>
            </w:tcMar>
          </w:tcPr>
          <w:p w14:paraId="23BDFF71" w14:textId="77777777" w:rsidR="00641B0F" w:rsidRDefault="00000000">
            <w:r>
              <w:rPr>
                <w:sz w:val="18"/>
                <w:szCs w:val="18"/>
              </w:rPr>
              <w:t>—</w:t>
            </w:r>
          </w:p>
        </w:tc>
        <w:tc>
          <w:tcPr>
            <w:tcW w:w="1108" w:type="dxa"/>
            <w:tcMar>
              <w:top w:w="60" w:type="dxa"/>
              <w:left w:w="80" w:type="dxa"/>
              <w:bottom w:w="60" w:type="dxa"/>
              <w:right w:w="80" w:type="dxa"/>
            </w:tcMar>
          </w:tcPr>
          <w:p w14:paraId="4AFD4753" w14:textId="77777777" w:rsidR="00641B0F" w:rsidRDefault="00000000">
            <w:r>
              <w:rPr>
                <w:sz w:val="18"/>
                <w:szCs w:val="18"/>
              </w:rPr>
              <w:t>1 (support)</w:t>
            </w:r>
          </w:p>
        </w:tc>
      </w:tr>
      <w:tr w:rsidR="00641B0F" w14:paraId="391AAB5D" w14:textId="77777777">
        <w:tc>
          <w:tcPr>
            <w:tcW w:w="1750" w:type="dxa"/>
            <w:tcMar>
              <w:top w:w="60" w:type="dxa"/>
              <w:left w:w="80" w:type="dxa"/>
              <w:bottom w:w="60" w:type="dxa"/>
              <w:right w:w="80" w:type="dxa"/>
            </w:tcMar>
          </w:tcPr>
          <w:p w14:paraId="0C57BC40" w14:textId="77777777" w:rsidR="00641B0F" w:rsidRDefault="00000000">
            <w:r>
              <w:rPr>
                <w:sz w:val="18"/>
                <w:szCs w:val="18"/>
              </w:rPr>
              <w:t>Finning et al. (2019)</w:t>
            </w:r>
          </w:p>
        </w:tc>
        <w:tc>
          <w:tcPr>
            <w:tcW w:w="1500" w:type="dxa"/>
            <w:tcMar>
              <w:top w:w="60" w:type="dxa"/>
              <w:left w:w="80" w:type="dxa"/>
              <w:bottom w:w="60" w:type="dxa"/>
              <w:right w:w="80" w:type="dxa"/>
            </w:tcMar>
          </w:tcPr>
          <w:p w14:paraId="1CDD942E" w14:textId="77777777" w:rsidR="00641B0F" w:rsidRDefault="00000000">
            <w:r>
              <w:rPr>
                <w:sz w:val="18"/>
                <w:szCs w:val="18"/>
              </w:rPr>
              <w:t>Secondary — systematic review</w:t>
            </w:r>
          </w:p>
        </w:tc>
        <w:tc>
          <w:tcPr>
            <w:tcW w:w="2450" w:type="dxa"/>
            <w:tcMar>
              <w:top w:w="60" w:type="dxa"/>
              <w:left w:w="80" w:type="dxa"/>
              <w:bottom w:w="60" w:type="dxa"/>
              <w:right w:w="80" w:type="dxa"/>
            </w:tcMar>
          </w:tcPr>
          <w:p w14:paraId="7B8A73A3" w14:textId="77777777" w:rsidR="00641B0F" w:rsidRDefault="00000000">
            <w:r>
              <w:rPr>
                <w:sz w:val="18"/>
                <w:szCs w:val="18"/>
              </w:rPr>
              <w:t>Review of anxiety–attendance studies in children/adolescents</w:t>
            </w:r>
          </w:p>
        </w:tc>
        <w:tc>
          <w:tcPr>
            <w:tcW w:w="2800" w:type="dxa"/>
            <w:tcMar>
              <w:top w:w="60" w:type="dxa"/>
              <w:left w:w="80" w:type="dxa"/>
              <w:bottom w:w="60" w:type="dxa"/>
              <w:right w:w="80" w:type="dxa"/>
            </w:tcMar>
          </w:tcPr>
          <w:p w14:paraId="098326A2" w14:textId="77777777" w:rsidR="00641B0F" w:rsidRDefault="00000000">
            <w:r>
              <w:rPr>
                <w:sz w:val="18"/>
                <w:szCs w:val="18"/>
              </w:rPr>
              <w:t>S: establishes mechanism pre-pandemic. L: authors note lack of high-quality/longitudinal evidence</w:t>
            </w:r>
          </w:p>
        </w:tc>
        <w:tc>
          <w:tcPr>
            <w:tcW w:w="2850" w:type="dxa"/>
            <w:tcMar>
              <w:top w:w="60" w:type="dxa"/>
              <w:left w:w="80" w:type="dxa"/>
              <w:bottom w:w="60" w:type="dxa"/>
              <w:right w:w="80" w:type="dxa"/>
            </w:tcMar>
          </w:tcPr>
          <w:p w14:paraId="076DD66B" w14:textId="77777777" w:rsidR="00641B0F" w:rsidRDefault="00000000">
            <w:r>
              <w:rPr>
                <w:sz w:val="18"/>
                <w:szCs w:val="18"/>
              </w:rPr>
              <w:t>Anxiety associated with absenteeism, truancy and school refusal</w:t>
            </w:r>
          </w:p>
        </w:tc>
        <w:tc>
          <w:tcPr>
            <w:tcW w:w="1500" w:type="dxa"/>
            <w:tcMar>
              <w:top w:w="60" w:type="dxa"/>
              <w:left w:w="80" w:type="dxa"/>
              <w:bottom w:w="60" w:type="dxa"/>
              <w:right w:w="80" w:type="dxa"/>
            </w:tcMar>
          </w:tcPr>
          <w:p w14:paraId="1BC777E0" w14:textId="77777777" w:rsidR="00641B0F" w:rsidRDefault="00000000">
            <w:r>
              <w:rPr>
                <w:sz w:val="18"/>
                <w:szCs w:val="18"/>
              </w:rPr>
              <w:t>anxiety to absence mechanism</w:t>
            </w:r>
          </w:p>
        </w:tc>
        <w:tc>
          <w:tcPr>
            <w:tcW w:w="1108" w:type="dxa"/>
            <w:tcMar>
              <w:top w:w="60" w:type="dxa"/>
              <w:left w:w="80" w:type="dxa"/>
              <w:bottom w:w="60" w:type="dxa"/>
              <w:right w:w="80" w:type="dxa"/>
            </w:tcMar>
          </w:tcPr>
          <w:p w14:paraId="4E4E9E45" w14:textId="77777777" w:rsidR="00641B0F" w:rsidRDefault="00000000">
            <w:r>
              <w:rPr>
                <w:sz w:val="18"/>
                <w:szCs w:val="18"/>
              </w:rPr>
              <w:t>2</w:t>
            </w:r>
          </w:p>
        </w:tc>
      </w:tr>
      <w:tr w:rsidR="00641B0F" w14:paraId="50D63AE1" w14:textId="77777777">
        <w:tc>
          <w:tcPr>
            <w:tcW w:w="1750" w:type="dxa"/>
            <w:tcMar>
              <w:top w:w="60" w:type="dxa"/>
              <w:left w:w="80" w:type="dxa"/>
              <w:bottom w:w="60" w:type="dxa"/>
              <w:right w:w="80" w:type="dxa"/>
            </w:tcMar>
          </w:tcPr>
          <w:p w14:paraId="4F2CD0A6" w14:textId="77777777" w:rsidR="00641B0F" w:rsidRDefault="00000000">
            <w:r>
              <w:rPr>
                <w:sz w:val="18"/>
                <w:szCs w:val="18"/>
              </w:rPr>
              <w:lastRenderedPageBreak/>
              <w:t>Lester and Michelson (2024)</w:t>
            </w:r>
          </w:p>
        </w:tc>
        <w:tc>
          <w:tcPr>
            <w:tcW w:w="1500" w:type="dxa"/>
            <w:tcMar>
              <w:top w:w="60" w:type="dxa"/>
              <w:left w:w="80" w:type="dxa"/>
              <w:bottom w:w="60" w:type="dxa"/>
              <w:right w:w="80" w:type="dxa"/>
            </w:tcMar>
          </w:tcPr>
          <w:p w14:paraId="054D3D2F" w14:textId="77777777" w:rsidR="00641B0F" w:rsidRDefault="00000000">
            <w:r>
              <w:rPr>
                <w:sz w:val="18"/>
                <w:szCs w:val="18"/>
              </w:rPr>
              <w:t>Perspective article (peer-reviewed)</w:t>
            </w:r>
          </w:p>
        </w:tc>
        <w:tc>
          <w:tcPr>
            <w:tcW w:w="2450" w:type="dxa"/>
            <w:tcMar>
              <w:top w:w="60" w:type="dxa"/>
              <w:left w:w="80" w:type="dxa"/>
              <w:bottom w:w="60" w:type="dxa"/>
              <w:right w:w="80" w:type="dxa"/>
            </w:tcMar>
          </w:tcPr>
          <w:p w14:paraId="7F30F57C" w14:textId="77777777" w:rsidR="00641B0F" w:rsidRDefault="00000000">
            <w:r>
              <w:rPr>
                <w:sz w:val="18"/>
                <w:szCs w:val="18"/>
              </w:rPr>
              <w:t>Conceptual synthesis, UK</w:t>
            </w:r>
          </w:p>
        </w:tc>
        <w:tc>
          <w:tcPr>
            <w:tcW w:w="2800" w:type="dxa"/>
            <w:tcMar>
              <w:top w:w="60" w:type="dxa"/>
              <w:left w:w="80" w:type="dxa"/>
              <w:bottom w:w="60" w:type="dxa"/>
              <w:right w:w="80" w:type="dxa"/>
            </w:tcMar>
          </w:tcPr>
          <w:p w14:paraId="144685D8" w14:textId="77777777" w:rsidR="00641B0F" w:rsidRDefault="00000000">
            <w:r>
              <w:rPr>
                <w:sz w:val="18"/>
                <w:szCs w:val="18"/>
              </w:rPr>
              <w:t xml:space="preserve">S: current, UK, </w:t>
            </w:r>
            <w:proofErr w:type="gramStart"/>
            <w:r>
              <w:rPr>
                <w:sz w:val="18"/>
                <w:szCs w:val="18"/>
              </w:rPr>
              <w:t>on-mechanism</w:t>
            </w:r>
            <w:proofErr w:type="gramEnd"/>
            <w:r>
              <w:rPr>
                <w:sz w:val="18"/>
                <w:szCs w:val="18"/>
              </w:rPr>
              <w:t>. L: commentary, not original data (CRAAP)</w:t>
            </w:r>
          </w:p>
        </w:tc>
        <w:tc>
          <w:tcPr>
            <w:tcW w:w="2850" w:type="dxa"/>
            <w:tcMar>
              <w:top w:w="60" w:type="dxa"/>
              <w:left w:w="80" w:type="dxa"/>
              <w:bottom w:w="60" w:type="dxa"/>
              <w:right w:w="80" w:type="dxa"/>
            </w:tcMar>
          </w:tcPr>
          <w:p w14:paraId="7089633E" w14:textId="77777777" w:rsidR="00641B0F" w:rsidRDefault="00000000">
            <w:r>
              <w:rPr>
                <w:sz w:val="18"/>
                <w:szCs w:val="18"/>
              </w:rPr>
              <w:t>Pandemic a “perfect storm” for EBSA: anxiety, disrupted routines, weakened school attachment</w:t>
            </w:r>
          </w:p>
        </w:tc>
        <w:tc>
          <w:tcPr>
            <w:tcW w:w="1500" w:type="dxa"/>
            <w:tcMar>
              <w:top w:w="60" w:type="dxa"/>
              <w:left w:w="80" w:type="dxa"/>
              <w:bottom w:w="60" w:type="dxa"/>
              <w:right w:w="80" w:type="dxa"/>
            </w:tcMar>
          </w:tcPr>
          <w:p w14:paraId="61B12F11" w14:textId="77777777" w:rsidR="00641B0F" w:rsidRDefault="00000000">
            <w:r>
              <w:rPr>
                <w:sz w:val="18"/>
                <w:szCs w:val="18"/>
              </w:rPr>
              <w:t>EBSA; anxiety to avoidance</w:t>
            </w:r>
          </w:p>
        </w:tc>
        <w:tc>
          <w:tcPr>
            <w:tcW w:w="1108" w:type="dxa"/>
            <w:tcMar>
              <w:top w:w="60" w:type="dxa"/>
              <w:left w:w="80" w:type="dxa"/>
              <w:bottom w:w="60" w:type="dxa"/>
              <w:right w:w="80" w:type="dxa"/>
            </w:tcMar>
          </w:tcPr>
          <w:p w14:paraId="65678E98" w14:textId="77777777" w:rsidR="00641B0F" w:rsidRDefault="00000000">
            <w:r>
              <w:rPr>
                <w:sz w:val="18"/>
                <w:szCs w:val="18"/>
              </w:rPr>
              <w:t>2</w:t>
            </w:r>
          </w:p>
        </w:tc>
      </w:tr>
      <w:tr w:rsidR="00641B0F" w14:paraId="1161D0FC" w14:textId="77777777">
        <w:tc>
          <w:tcPr>
            <w:tcW w:w="1750" w:type="dxa"/>
            <w:tcMar>
              <w:top w:w="60" w:type="dxa"/>
              <w:left w:w="80" w:type="dxa"/>
              <w:bottom w:w="60" w:type="dxa"/>
              <w:right w:w="80" w:type="dxa"/>
            </w:tcMar>
          </w:tcPr>
          <w:p w14:paraId="459DA587" w14:textId="77777777" w:rsidR="00641B0F" w:rsidRDefault="00000000">
            <w:r>
              <w:rPr>
                <w:sz w:val="18"/>
                <w:szCs w:val="18"/>
              </w:rPr>
              <w:t>McDonald and Pervez (2025)</w:t>
            </w:r>
          </w:p>
        </w:tc>
        <w:tc>
          <w:tcPr>
            <w:tcW w:w="1500" w:type="dxa"/>
            <w:tcMar>
              <w:top w:w="60" w:type="dxa"/>
              <w:left w:w="80" w:type="dxa"/>
              <w:bottom w:w="60" w:type="dxa"/>
              <w:right w:w="80" w:type="dxa"/>
            </w:tcMar>
          </w:tcPr>
          <w:p w14:paraId="4BE3F313" w14:textId="77777777" w:rsidR="00641B0F" w:rsidRDefault="00000000">
            <w:r>
              <w:rPr>
                <w:sz w:val="18"/>
                <w:szCs w:val="18"/>
              </w:rPr>
              <w:t>Secondary — systematic review</w:t>
            </w:r>
          </w:p>
        </w:tc>
        <w:tc>
          <w:tcPr>
            <w:tcW w:w="2450" w:type="dxa"/>
            <w:tcMar>
              <w:top w:w="60" w:type="dxa"/>
              <w:left w:w="80" w:type="dxa"/>
              <w:bottom w:w="60" w:type="dxa"/>
              <w:right w:w="80" w:type="dxa"/>
            </w:tcMar>
          </w:tcPr>
          <w:p w14:paraId="02F1013D" w14:textId="77777777" w:rsidR="00641B0F" w:rsidRDefault="00000000">
            <w:r>
              <w:rPr>
                <w:sz w:val="18"/>
                <w:szCs w:val="18"/>
              </w:rPr>
              <w:t>UK school-partnered EBSA interventions (ERIC, PsycInfo, Web of Science)</w:t>
            </w:r>
          </w:p>
        </w:tc>
        <w:tc>
          <w:tcPr>
            <w:tcW w:w="2800" w:type="dxa"/>
            <w:tcMar>
              <w:top w:w="60" w:type="dxa"/>
              <w:left w:w="80" w:type="dxa"/>
              <w:bottom w:w="60" w:type="dxa"/>
              <w:right w:w="80" w:type="dxa"/>
            </w:tcMar>
          </w:tcPr>
          <w:p w14:paraId="72C932C3" w14:textId="77777777" w:rsidR="00641B0F" w:rsidRDefault="00000000">
            <w:r>
              <w:rPr>
                <w:sz w:val="18"/>
                <w:szCs w:val="18"/>
              </w:rPr>
              <w:t>S: UK, current, intervention focus. L: included studies insufficient to confirm effectiveness</w:t>
            </w:r>
          </w:p>
        </w:tc>
        <w:tc>
          <w:tcPr>
            <w:tcW w:w="2850" w:type="dxa"/>
            <w:tcMar>
              <w:top w:w="60" w:type="dxa"/>
              <w:left w:w="80" w:type="dxa"/>
              <w:bottom w:w="60" w:type="dxa"/>
              <w:right w:w="80" w:type="dxa"/>
            </w:tcMar>
          </w:tcPr>
          <w:p w14:paraId="2BAD4620" w14:textId="77777777" w:rsidR="00641B0F" w:rsidRDefault="00000000">
            <w:r>
              <w:rPr>
                <w:sz w:val="18"/>
                <w:szCs w:val="18"/>
              </w:rPr>
              <w:t>Pandemic the genesis of persistent absenteeism; intervention evidence weak; punitive attendance culture</w:t>
            </w:r>
          </w:p>
        </w:tc>
        <w:tc>
          <w:tcPr>
            <w:tcW w:w="1500" w:type="dxa"/>
            <w:tcMar>
              <w:top w:w="60" w:type="dxa"/>
              <w:left w:w="80" w:type="dxa"/>
              <w:bottom w:w="60" w:type="dxa"/>
              <w:right w:w="80" w:type="dxa"/>
            </w:tcMar>
          </w:tcPr>
          <w:p w14:paraId="3167F798" w14:textId="77777777" w:rsidR="00641B0F" w:rsidRDefault="00000000">
            <w:r>
              <w:rPr>
                <w:sz w:val="18"/>
                <w:szCs w:val="18"/>
              </w:rPr>
              <w:t>intervention gap; punitive culture</w:t>
            </w:r>
          </w:p>
        </w:tc>
        <w:tc>
          <w:tcPr>
            <w:tcW w:w="1108" w:type="dxa"/>
            <w:tcMar>
              <w:top w:w="60" w:type="dxa"/>
              <w:left w:w="80" w:type="dxa"/>
              <w:bottom w:w="60" w:type="dxa"/>
              <w:right w:w="80" w:type="dxa"/>
            </w:tcMar>
          </w:tcPr>
          <w:p w14:paraId="7C923E02" w14:textId="77777777" w:rsidR="00641B0F" w:rsidRDefault="00000000">
            <w:r>
              <w:rPr>
                <w:sz w:val="18"/>
                <w:szCs w:val="18"/>
              </w:rPr>
              <w:t>2 (feeds Ch.5)</w:t>
            </w:r>
          </w:p>
        </w:tc>
      </w:tr>
      <w:tr w:rsidR="00641B0F" w14:paraId="5EE79248" w14:textId="77777777">
        <w:tc>
          <w:tcPr>
            <w:tcW w:w="1750" w:type="dxa"/>
            <w:tcMar>
              <w:top w:w="60" w:type="dxa"/>
              <w:left w:w="80" w:type="dxa"/>
              <w:bottom w:w="60" w:type="dxa"/>
              <w:right w:w="80" w:type="dxa"/>
            </w:tcMar>
          </w:tcPr>
          <w:p w14:paraId="709B0991" w14:textId="77777777" w:rsidR="00641B0F" w:rsidRDefault="00000000">
            <w:r>
              <w:rPr>
                <w:sz w:val="18"/>
                <w:szCs w:val="18"/>
              </w:rPr>
              <w:t>Abel et al. (2025)</w:t>
            </w:r>
          </w:p>
        </w:tc>
        <w:tc>
          <w:tcPr>
            <w:tcW w:w="1500" w:type="dxa"/>
            <w:tcMar>
              <w:top w:w="60" w:type="dxa"/>
              <w:left w:w="80" w:type="dxa"/>
              <w:bottom w:w="60" w:type="dxa"/>
              <w:right w:w="80" w:type="dxa"/>
            </w:tcMar>
          </w:tcPr>
          <w:p w14:paraId="06CAFE75" w14:textId="77777777" w:rsidR="00641B0F" w:rsidRDefault="00000000">
            <w:r>
              <w:rPr>
                <w:sz w:val="18"/>
                <w:szCs w:val="18"/>
              </w:rPr>
              <w:t>Primary — mixed methods (NIHR)</w:t>
            </w:r>
          </w:p>
        </w:tc>
        <w:tc>
          <w:tcPr>
            <w:tcW w:w="2450" w:type="dxa"/>
            <w:tcMar>
              <w:top w:w="60" w:type="dxa"/>
              <w:left w:w="80" w:type="dxa"/>
              <w:bottom w:w="60" w:type="dxa"/>
              <w:right w:w="80" w:type="dxa"/>
            </w:tcMar>
          </w:tcPr>
          <w:p w14:paraId="34908EDE" w14:textId="77777777" w:rsidR="00641B0F" w:rsidRDefault="00000000">
            <w:r>
              <w:rPr>
                <w:sz w:val="18"/>
                <w:szCs w:val="18"/>
              </w:rPr>
              <w:t>Referral data from 4 CAMHS providers + national NHS data + stakeholder interviews</w:t>
            </w:r>
          </w:p>
        </w:tc>
        <w:tc>
          <w:tcPr>
            <w:tcW w:w="2800" w:type="dxa"/>
            <w:tcMar>
              <w:top w:w="60" w:type="dxa"/>
              <w:left w:w="80" w:type="dxa"/>
              <w:bottom w:w="60" w:type="dxa"/>
              <w:right w:w="80" w:type="dxa"/>
            </w:tcMar>
          </w:tcPr>
          <w:p w14:paraId="28C5B59D" w14:textId="77777777" w:rsidR="00641B0F" w:rsidRDefault="00000000">
            <w:r>
              <w:rPr>
                <w:sz w:val="18"/>
                <w:szCs w:val="18"/>
              </w:rPr>
              <w:t>S: NIHR-funded, quantitative + qualitative, national. L: high missing Trust data (acknowledged)</w:t>
            </w:r>
          </w:p>
        </w:tc>
        <w:tc>
          <w:tcPr>
            <w:tcW w:w="2850" w:type="dxa"/>
            <w:tcMar>
              <w:top w:w="60" w:type="dxa"/>
              <w:left w:w="80" w:type="dxa"/>
              <w:bottom w:w="60" w:type="dxa"/>
              <w:right w:w="80" w:type="dxa"/>
            </w:tcMar>
          </w:tcPr>
          <w:p w14:paraId="43D50F24" w14:textId="77777777" w:rsidR="00641B0F" w:rsidRDefault="00000000">
            <w:r>
              <w:rPr>
                <w:sz w:val="18"/>
                <w:szCs w:val="18"/>
              </w:rPr>
              <w:t>Referrals +47% 2020→21 (84% vs 2018–19); 497,502 referred 2020–21, ~¼ unsuccessful</w:t>
            </w:r>
          </w:p>
        </w:tc>
        <w:tc>
          <w:tcPr>
            <w:tcW w:w="1500" w:type="dxa"/>
            <w:tcMar>
              <w:top w:w="60" w:type="dxa"/>
              <w:left w:w="80" w:type="dxa"/>
              <w:bottom w:w="60" w:type="dxa"/>
              <w:right w:w="80" w:type="dxa"/>
            </w:tcMar>
          </w:tcPr>
          <w:p w14:paraId="5FB2C060" w14:textId="77777777" w:rsidR="00641B0F" w:rsidRDefault="00000000">
            <w:r>
              <w:rPr>
                <w:sz w:val="18"/>
                <w:szCs w:val="18"/>
              </w:rPr>
              <w:t>referral surge; rejected referrals</w:t>
            </w:r>
          </w:p>
        </w:tc>
        <w:tc>
          <w:tcPr>
            <w:tcW w:w="1108" w:type="dxa"/>
            <w:tcMar>
              <w:top w:w="60" w:type="dxa"/>
              <w:left w:w="80" w:type="dxa"/>
              <w:bottom w:w="60" w:type="dxa"/>
              <w:right w:w="80" w:type="dxa"/>
            </w:tcMar>
          </w:tcPr>
          <w:p w14:paraId="678B1D15" w14:textId="77777777" w:rsidR="00641B0F" w:rsidRDefault="00000000">
            <w:r>
              <w:rPr>
                <w:sz w:val="18"/>
                <w:szCs w:val="18"/>
              </w:rPr>
              <w:t>3</w:t>
            </w:r>
          </w:p>
        </w:tc>
      </w:tr>
      <w:tr w:rsidR="00641B0F" w14:paraId="6A0E6F68" w14:textId="77777777">
        <w:tc>
          <w:tcPr>
            <w:tcW w:w="1750" w:type="dxa"/>
            <w:tcMar>
              <w:top w:w="60" w:type="dxa"/>
              <w:left w:w="80" w:type="dxa"/>
              <w:bottom w:w="60" w:type="dxa"/>
              <w:right w:w="80" w:type="dxa"/>
            </w:tcMar>
          </w:tcPr>
          <w:p w14:paraId="74E3C452" w14:textId="77777777" w:rsidR="00641B0F" w:rsidRDefault="00000000">
            <w:r>
              <w:rPr>
                <w:sz w:val="18"/>
                <w:szCs w:val="18"/>
              </w:rPr>
              <w:t>National Audit Office (2023)</w:t>
            </w:r>
          </w:p>
        </w:tc>
        <w:tc>
          <w:tcPr>
            <w:tcW w:w="1500" w:type="dxa"/>
            <w:tcMar>
              <w:top w:w="60" w:type="dxa"/>
              <w:left w:w="80" w:type="dxa"/>
              <w:bottom w:w="60" w:type="dxa"/>
              <w:right w:w="80" w:type="dxa"/>
            </w:tcMar>
          </w:tcPr>
          <w:p w14:paraId="60EF7AC5" w14:textId="77777777" w:rsidR="00641B0F" w:rsidRDefault="00000000">
            <w:r>
              <w:rPr>
                <w:sz w:val="18"/>
                <w:szCs w:val="18"/>
              </w:rPr>
              <w:t>Official report (grey literature)</w:t>
            </w:r>
          </w:p>
        </w:tc>
        <w:tc>
          <w:tcPr>
            <w:tcW w:w="2450" w:type="dxa"/>
            <w:tcMar>
              <w:top w:w="60" w:type="dxa"/>
              <w:left w:w="80" w:type="dxa"/>
              <w:bottom w:w="60" w:type="dxa"/>
              <w:right w:w="80" w:type="dxa"/>
            </w:tcMar>
          </w:tcPr>
          <w:p w14:paraId="5E45B081" w14:textId="77777777" w:rsidR="00641B0F" w:rsidRDefault="00000000">
            <w:r>
              <w:rPr>
                <w:sz w:val="18"/>
                <w:szCs w:val="18"/>
              </w:rPr>
              <w:t>National audit against the NHS Long Term Plan</w:t>
            </w:r>
          </w:p>
        </w:tc>
        <w:tc>
          <w:tcPr>
            <w:tcW w:w="2800" w:type="dxa"/>
            <w:tcMar>
              <w:top w:w="60" w:type="dxa"/>
              <w:left w:w="80" w:type="dxa"/>
              <w:bottom w:w="60" w:type="dxa"/>
              <w:right w:w="80" w:type="dxa"/>
            </w:tcMar>
          </w:tcPr>
          <w:p w14:paraId="32913602" w14:textId="77777777" w:rsidR="00641B0F" w:rsidRDefault="00000000">
            <w:r>
              <w:rPr>
                <w:sz w:val="18"/>
                <w:szCs w:val="18"/>
              </w:rPr>
              <w:t>S: authoritative independent auditor. L: not peer-reviewed; not adolescent-only</w:t>
            </w:r>
          </w:p>
        </w:tc>
        <w:tc>
          <w:tcPr>
            <w:tcW w:w="2850" w:type="dxa"/>
            <w:tcMar>
              <w:top w:w="60" w:type="dxa"/>
              <w:left w:w="80" w:type="dxa"/>
              <w:bottom w:w="60" w:type="dxa"/>
              <w:right w:w="80" w:type="dxa"/>
            </w:tcMar>
          </w:tcPr>
          <w:p w14:paraId="07D1A8D9" w14:textId="77777777" w:rsidR="00641B0F" w:rsidRDefault="00000000">
            <w:r>
              <w:rPr>
                <w:sz w:val="18"/>
                <w:szCs w:val="18"/>
              </w:rPr>
              <w:t>Demand exceeded plan; even if target met, only ~2/5 of children with need would access services</w:t>
            </w:r>
          </w:p>
        </w:tc>
        <w:tc>
          <w:tcPr>
            <w:tcW w:w="1500" w:type="dxa"/>
            <w:tcMar>
              <w:top w:w="60" w:type="dxa"/>
              <w:left w:w="80" w:type="dxa"/>
              <w:bottom w:w="60" w:type="dxa"/>
              <w:right w:w="80" w:type="dxa"/>
            </w:tcMar>
          </w:tcPr>
          <w:p w14:paraId="11473034" w14:textId="77777777" w:rsidR="00641B0F" w:rsidRDefault="00000000">
            <w:r>
              <w:rPr>
                <w:sz w:val="18"/>
                <w:szCs w:val="18"/>
              </w:rPr>
              <w:t>unmet need; capacity gap</w:t>
            </w:r>
          </w:p>
        </w:tc>
        <w:tc>
          <w:tcPr>
            <w:tcW w:w="1108" w:type="dxa"/>
            <w:tcMar>
              <w:top w:w="60" w:type="dxa"/>
              <w:left w:w="80" w:type="dxa"/>
              <w:bottom w:w="60" w:type="dxa"/>
              <w:right w:w="80" w:type="dxa"/>
            </w:tcMar>
          </w:tcPr>
          <w:p w14:paraId="7310E42C" w14:textId="77777777" w:rsidR="00641B0F" w:rsidRDefault="00000000">
            <w:r>
              <w:rPr>
                <w:sz w:val="18"/>
                <w:szCs w:val="18"/>
              </w:rPr>
              <w:t>3</w:t>
            </w:r>
          </w:p>
        </w:tc>
      </w:tr>
      <w:tr w:rsidR="00641B0F" w14:paraId="2BE11592" w14:textId="77777777">
        <w:tc>
          <w:tcPr>
            <w:tcW w:w="1750" w:type="dxa"/>
            <w:tcMar>
              <w:top w:w="60" w:type="dxa"/>
              <w:left w:w="80" w:type="dxa"/>
              <w:bottom w:w="60" w:type="dxa"/>
              <w:right w:w="80" w:type="dxa"/>
            </w:tcMar>
          </w:tcPr>
          <w:p w14:paraId="46D4D9B3" w14:textId="77777777" w:rsidR="00641B0F" w:rsidRDefault="00000000">
            <w:r>
              <w:rPr>
                <w:sz w:val="18"/>
                <w:szCs w:val="18"/>
              </w:rPr>
              <w:t>YoungMinds (2025) and Children’s Commissioner for England (2025)</w:t>
            </w:r>
          </w:p>
        </w:tc>
        <w:tc>
          <w:tcPr>
            <w:tcW w:w="1500" w:type="dxa"/>
            <w:tcMar>
              <w:top w:w="60" w:type="dxa"/>
              <w:left w:w="80" w:type="dxa"/>
              <w:bottom w:w="60" w:type="dxa"/>
              <w:right w:w="80" w:type="dxa"/>
            </w:tcMar>
          </w:tcPr>
          <w:p w14:paraId="6EB07799" w14:textId="77777777" w:rsidR="00641B0F" w:rsidRDefault="00000000">
            <w:r>
              <w:rPr>
                <w:sz w:val="18"/>
                <w:szCs w:val="18"/>
              </w:rPr>
              <w:t>Grey literature (NHS England data / statutory office)</w:t>
            </w:r>
          </w:p>
        </w:tc>
        <w:tc>
          <w:tcPr>
            <w:tcW w:w="2450" w:type="dxa"/>
            <w:tcMar>
              <w:top w:w="60" w:type="dxa"/>
              <w:left w:w="80" w:type="dxa"/>
              <w:bottom w:w="60" w:type="dxa"/>
              <w:right w:w="80" w:type="dxa"/>
            </w:tcMar>
          </w:tcPr>
          <w:p w14:paraId="02E9250B" w14:textId="77777777" w:rsidR="00641B0F" w:rsidRDefault="00000000">
            <w:r>
              <w:rPr>
                <w:sz w:val="18"/>
                <w:szCs w:val="18"/>
              </w:rPr>
              <w:t>NHS referral and waiting-time data 2023/24</w:t>
            </w:r>
          </w:p>
        </w:tc>
        <w:tc>
          <w:tcPr>
            <w:tcW w:w="2800" w:type="dxa"/>
            <w:tcMar>
              <w:top w:w="60" w:type="dxa"/>
              <w:left w:w="80" w:type="dxa"/>
              <w:bottom w:w="60" w:type="dxa"/>
              <w:right w:w="80" w:type="dxa"/>
            </w:tcMar>
          </w:tcPr>
          <w:p w14:paraId="453EBF3C" w14:textId="77777777" w:rsidR="00641B0F" w:rsidRDefault="00000000">
            <w:r>
              <w:rPr>
                <w:sz w:val="18"/>
                <w:szCs w:val="18"/>
              </w:rPr>
              <w:t>S: official underlying data, most recent. L: advocacy framing (YoungMinds, per CRAAP); not peer-reviewed</w:t>
            </w:r>
          </w:p>
        </w:tc>
        <w:tc>
          <w:tcPr>
            <w:tcW w:w="2850" w:type="dxa"/>
            <w:tcMar>
              <w:top w:w="60" w:type="dxa"/>
              <w:left w:w="80" w:type="dxa"/>
              <w:bottom w:w="60" w:type="dxa"/>
              <w:right w:w="80" w:type="dxa"/>
            </w:tcMar>
          </w:tcPr>
          <w:p w14:paraId="133B2908" w14:textId="77777777" w:rsidR="00641B0F" w:rsidRDefault="00000000">
            <w:r>
              <w:rPr>
                <w:sz w:val="18"/>
                <w:szCs w:val="18"/>
              </w:rPr>
              <w:t>78,577 waited &gt;1yr (+52% YoY); 320,000 active referrals awaiting treatment; anxiety most common</w:t>
            </w:r>
          </w:p>
        </w:tc>
        <w:tc>
          <w:tcPr>
            <w:tcW w:w="1500" w:type="dxa"/>
            <w:tcMar>
              <w:top w:w="60" w:type="dxa"/>
              <w:left w:w="80" w:type="dxa"/>
              <w:bottom w:w="60" w:type="dxa"/>
              <w:right w:w="80" w:type="dxa"/>
            </w:tcMar>
          </w:tcPr>
          <w:p w14:paraId="5FA1E648" w14:textId="77777777" w:rsidR="00641B0F" w:rsidRDefault="00000000">
            <w:r>
              <w:rPr>
                <w:sz w:val="18"/>
                <w:szCs w:val="18"/>
              </w:rPr>
              <w:t>waiting times; anxiety-driven referrals</w:t>
            </w:r>
          </w:p>
        </w:tc>
        <w:tc>
          <w:tcPr>
            <w:tcW w:w="1108" w:type="dxa"/>
            <w:tcMar>
              <w:top w:w="60" w:type="dxa"/>
              <w:left w:w="80" w:type="dxa"/>
              <w:bottom w:w="60" w:type="dxa"/>
              <w:right w:w="80" w:type="dxa"/>
            </w:tcMar>
          </w:tcPr>
          <w:p w14:paraId="610C31D8" w14:textId="77777777" w:rsidR="00641B0F" w:rsidRDefault="00000000">
            <w:r>
              <w:rPr>
                <w:sz w:val="18"/>
                <w:szCs w:val="18"/>
              </w:rPr>
              <w:t>3</w:t>
            </w:r>
          </w:p>
        </w:tc>
      </w:tr>
    </w:tbl>
    <w:p w14:paraId="75053D4E" w14:textId="77777777" w:rsidR="00641B0F" w:rsidRDefault="00000000">
      <w:r>
        <w:br w:type="page"/>
      </w:r>
    </w:p>
    <w:p w14:paraId="650DCD2C" w14:textId="77777777" w:rsidR="00641B0F" w:rsidRDefault="00000000">
      <w:pPr>
        <w:pStyle w:val="Heading2"/>
        <w:spacing w:before="240" w:after="120" w:line="360" w:lineRule="auto"/>
      </w:pPr>
      <w:bookmarkStart w:id="41" w:name="_Toc235845485"/>
      <w:r>
        <w:lastRenderedPageBreak/>
        <w:t>Appendix B — Search Log</w:t>
      </w:r>
      <w:bookmarkEnd w:id="41"/>
    </w:p>
    <w:p w14:paraId="5D850A4B" w14:textId="77777777" w:rsidR="00641B0F" w:rsidRDefault="00000000">
      <w:pPr>
        <w:spacing w:before="160" w:after="120" w:line="360" w:lineRule="auto"/>
      </w:pPr>
      <w:r>
        <w:rPr>
          <w:i/>
          <w:iCs/>
        </w:rPr>
        <w:t>Google Scholar (filter: Custom range 2016–2026) — all searches run 10/07/2026.</w:t>
      </w:r>
    </w:p>
    <w:tbl>
      <w:tblPr>
        <w:tblW w:w="13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5600"/>
        <w:gridCol w:w="1700"/>
        <w:gridCol w:w="5958"/>
      </w:tblGrid>
      <w:tr w:rsidR="00641B0F" w14:paraId="040C130E" w14:textId="77777777">
        <w:trPr>
          <w:tblHeader/>
        </w:trPr>
        <w:tc>
          <w:tcPr>
            <w:tcW w:w="700" w:type="dxa"/>
            <w:shd w:val="clear" w:color="auto" w:fill="E8E8E8"/>
            <w:tcMar>
              <w:top w:w="60" w:type="dxa"/>
              <w:left w:w="80" w:type="dxa"/>
              <w:bottom w:w="60" w:type="dxa"/>
              <w:right w:w="80" w:type="dxa"/>
            </w:tcMar>
          </w:tcPr>
          <w:p w14:paraId="53E8BC02" w14:textId="77777777" w:rsidR="00641B0F" w:rsidRDefault="00000000">
            <w:r>
              <w:rPr>
                <w:b/>
                <w:bCs/>
                <w:sz w:val="18"/>
                <w:szCs w:val="18"/>
              </w:rPr>
              <w:t>#</w:t>
            </w:r>
          </w:p>
        </w:tc>
        <w:tc>
          <w:tcPr>
            <w:tcW w:w="5600" w:type="dxa"/>
            <w:shd w:val="clear" w:color="auto" w:fill="E8E8E8"/>
            <w:tcMar>
              <w:top w:w="60" w:type="dxa"/>
              <w:left w:w="80" w:type="dxa"/>
              <w:bottom w:w="60" w:type="dxa"/>
              <w:right w:w="80" w:type="dxa"/>
            </w:tcMar>
          </w:tcPr>
          <w:p w14:paraId="22816D9F" w14:textId="77777777" w:rsidR="00641B0F" w:rsidRDefault="00000000">
            <w:r>
              <w:rPr>
                <w:b/>
                <w:bCs/>
                <w:sz w:val="18"/>
                <w:szCs w:val="18"/>
              </w:rPr>
              <w:t>Search string</w:t>
            </w:r>
          </w:p>
        </w:tc>
        <w:tc>
          <w:tcPr>
            <w:tcW w:w="1700" w:type="dxa"/>
            <w:shd w:val="clear" w:color="auto" w:fill="E8E8E8"/>
            <w:tcMar>
              <w:top w:w="60" w:type="dxa"/>
              <w:left w:w="80" w:type="dxa"/>
              <w:bottom w:w="60" w:type="dxa"/>
              <w:right w:w="80" w:type="dxa"/>
            </w:tcMar>
          </w:tcPr>
          <w:p w14:paraId="5A573EE2" w14:textId="77777777" w:rsidR="00641B0F" w:rsidRDefault="00000000">
            <w:r>
              <w:rPr>
                <w:b/>
                <w:bCs/>
                <w:sz w:val="18"/>
                <w:szCs w:val="18"/>
              </w:rPr>
              <w:t>Results returned</w:t>
            </w:r>
          </w:p>
        </w:tc>
        <w:tc>
          <w:tcPr>
            <w:tcW w:w="5958" w:type="dxa"/>
            <w:shd w:val="clear" w:color="auto" w:fill="E8E8E8"/>
            <w:tcMar>
              <w:top w:w="60" w:type="dxa"/>
              <w:left w:w="80" w:type="dxa"/>
              <w:bottom w:w="60" w:type="dxa"/>
              <w:right w:w="80" w:type="dxa"/>
            </w:tcMar>
          </w:tcPr>
          <w:p w14:paraId="601440F0" w14:textId="77777777" w:rsidR="00641B0F" w:rsidRDefault="00000000">
            <w:r>
              <w:rPr>
                <w:b/>
                <w:bCs/>
                <w:sz w:val="18"/>
                <w:szCs w:val="18"/>
              </w:rPr>
              <w:t>Key articles located</w:t>
            </w:r>
          </w:p>
        </w:tc>
      </w:tr>
      <w:tr w:rsidR="00641B0F" w14:paraId="7593EAF5" w14:textId="77777777">
        <w:tc>
          <w:tcPr>
            <w:tcW w:w="700" w:type="dxa"/>
            <w:tcMar>
              <w:top w:w="60" w:type="dxa"/>
              <w:left w:w="80" w:type="dxa"/>
              <w:bottom w:w="60" w:type="dxa"/>
              <w:right w:w="80" w:type="dxa"/>
            </w:tcMar>
          </w:tcPr>
          <w:p w14:paraId="5E43A7B9" w14:textId="77777777" w:rsidR="00641B0F" w:rsidRDefault="00000000">
            <w:r>
              <w:rPr>
                <w:sz w:val="18"/>
                <w:szCs w:val="18"/>
              </w:rPr>
              <w:t>G1</w:t>
            </w:r>
          </w:p>
        </w:tc>
        <w:tc>
          <w:tcPr>
            <w:tcW w:w="5600" w:type="dxa"/>
            <w:tcMar>
              <w:top w:w="60" w:type="dxa"/>
              <w:left w:w="80" w:type="dxa"/>
              <w:bottom w:w="60" w:type="dxa"/>
              <w:right w:w="80" w:type="dxa"/>
            </w:tcMar>
          </w:tcPr>
          <w:p w14:paraId="6486416A" w14:textId="77777777" w:rsidR="00641B0F" w:rsidRDefault="00000000">
            <w:r>
              <w:rPr>
                <w:sz w:val="18"/>
                <w:szCs w:val="18"/>
              </w:rPr>
              <w:t>COVID-19 AND adolescent AND anxiety AND UK</w:t>
            </w:r>
          </w:p>
        </w:tc>
        <w:tc>
          <w:tcPr>
            <w:tcW w:w="1700" w:type="dxa"/>
            <w:tcMar>
              <w:top w:w="60" w:type="dxa"/>
              <w:left w:w="80" w:type="dxa"/>
              <w:bottom w:w="60" w:type="dxa"/>
              <w:right w:w="80" w:type="dxa"/>
            </w:tcMar>
          </w:tcPr>
          <w:p w14:paraId="0D887E37" w14:textId="77777777" w:rsidR="00641B0F" w:rsidRDefault="00D3685D">
            <w:r w:rsidRPr="00D3685D">
              <w:t>17,300</w:t>
            </w:r>
          </w:p>
        </w:tc>
        <w:tc>
          <w:tcPr>
            <w:tcW w:w="5958" w:type="dxa"/>
            <w:tcMar>
              <w:top w:w="60" w:type="dxa"/>
              <w:left w:w="80" w:type="dxa"/>
              <w:bottom w:w="60" w:type="dxa"/>
              <w:right w:w="80" w:type="dxa"/>
            </w:tcMar>
          </w:tcPr>
          <w:p w14:paraId="485EBD60" w14:textId="77777777" w:rsidR="00641B0F" w:rsidRDefault="00000000">
            <w:r>
              <w:rPr>
                <w:sz w:val="18"/>
                <w:szCs w:val="18"/>
              </w:rPr>
              <w:t>Waite (p.1); Creswell (p.1); Widnall (p.3)</w:t>
            </w:r>
          </w:p>
        </w:tc>
      </w:tr>
      <w:tr w:rsidR="00641B0F" w14:paraId="39580EB1" w14:textId="77777777">
        <w:tc>
          <w:tcPr>
            <w:tcW w:w="700" w:type="dxa"/>
            <w:tcMar>
              <w:top w:w="60" w:type="dxa"/>
              <w:left w:w="80" w:type="dxa"/>
              <w:bottom w:w="60" w:type="dxa"/>
              <w:right w:w="80" w:type="dxa"/>
            </w:tcMar>
          </w:tcPr>
          <w:p w14:paraId="46A9A619" w14:textId="77777777" w:rsidR="00641B0F" w:rsidRDefault="00000000">
            <w:r>
              <w:rPr>
                <w:sz w:val="18"/>
                <w:szCs w:val="18"/>
              </w:rPr>
              <w:t>G2</w:t>
            </w:r>
          </w:p>
        </w:tc>
        <w:tc>
          <w:tcPr>
            <w:tcW w:w="5600" w:type="dxa"/>
            <w:tcMar>
              <w:top w:w="60" w:type="dxa"/>
              <w:left w:w="80" w:type="dxa"/>
              <w:bottom w:w="60" w:type="dxa"/>
              <w:right w:w="80" w:type="dxa"/>
            </w:tcMar>
          </w:tcPr>
          <w:p w14:paraId="7555F8E7" w14:textId="77777777" w:rsidR="00641B0F" w:rsidRDefault="00000000">
            <w:r>
              <w:rPr>
                <w:sz w:val="18"/>
                <w:szCs w:val="18"/>
              </w:rPr>
              <w:t>lockdown AND “school closure” AND mental health AND adolescents</w:t>
            </w:r>
          </w:p>
        </w:tc>
        <w:tc>
          <w:tcPr>
            <w:tcW w:w="1700" w:type="dxa"/>
            <w:tcMar>
              <w:top w:w="60" w:type="dxa"/>
              <w:left w:w="80" w:type="dxa"/>
              <w:bottom w:w="60" w:type="dxa"/>
              <w:right w:w="80" w:type="dxa"/>
            </w:tcMar>
          </w:tcPr>
          <w:p w14:paraId="7E3A9E5D" w14:textId="77777777" w:rsidR="00641B0F" w:rsidRDefault="00D3685D">
            <w:r w:rsidRPr="00D3685D">
              <w:rPr>
                <w:sz w:val="18"/>
                <w:szCs w:val="18"/>
              </w:rPr>
              <w:t>11,800</w:t>
            </w:r>
          </w:p>
        </w:tc>
        <w:tc>
          <w:tcPr>
            <w:tcW w:w="5958" w:type="dxa"/>
            <w:tcMar>
              <w:top w:w="60" w:type="dxa"/>
              <w:left w:w="80" w:type="dxa"/>
              <w:bottom w:w="60" w:type="dxa"/>
              <w:right w:w="80" w:type="dxa"/>
            </w:tcMar>
          </w:tcPr>
          <w:p w14:paraId="29DA5E15" w14:textId="77777777" w:rsidR="00641B0F" w:rsidRDefault="00000000">
            <w:r>
              <w:rPr>
                <w:sz w:val="18"/>
                <w:szCs w:val="18"/>
              </w:rPr>
              <w:t>None located — refined as G7a–d</w:t>
            </w:r>
          </w:p>
        </w:tc>
      </w:tr>
      <w:tr w:rsidR="00641B0F" w14:paraId="290DC9D7" w14:textId="77777777">
        <w:tc>
          <w:tcPr>
            <w:tcW w:w="700" w:type="dxa"/>
            <w:tcMar>
              <w:top w:w="60" w:type="dxa"/>
              <w:left w:w="80" w:type="dxa"/>
              <w:bottom w:w="60" w:type="dxa"/>
              <w:right w:w="80" w:type="dxa"/>
            </w:tcMar>
          </w:tcPr>
          <w:p w14:paraId="02386596" w14:textId="77777777" w:rsidR="00641B0F" w:rsidRDefault="00000000">
            <w:r>
              <w:rPr>
                <w:sz w:val="18"/>
                <w:szCs w:val="18"/>
              </w:rPr>
              <w:t>G3</w:t>
            </w:r>
          </w:p>
        </w:tc>
        <w:tc>
          <w:tcPr>
            <w:tcW w:w="5600" w:type="dxa"/>
            <w:tcMar>
              <w:top w:w="60" w:type="dxa"/>
              <w:left w:w="80" w:type="dxa"/>
              <w:bottom w:w="60" w:type="dxa"/>
              <w:right w:w="80" w:type="dxa"/>
            </w:tcMar>
          </w:tcPr>
          <w:p w14:paraId="489DD155" w14:textId="77777777" w:rsidR="00641B0F" w:rsidRDefault="00000000">
            <w:r>
              <w:rPr>
                <w:sz w:val="18"/>
                <w:szCs w:val="18"/>
              </w:rPr>
              <w:t>post-pandemic AND “school absenteeism”</w:t>
            </w:r>
          </w:p>
        </w:tc>
        <w:tc>
          <w:tcPr>
            <w:tcW w:w="1700" w:type="dxa"/>
            <w:tcMar>
              <w:top w:w="60" w:type="dxa"/>
              <w:left w:w="80" w:type="dxa"/>
              <w:bottom w:w="60" w:type="dxa"/>
              <w:right w:w="80" w:type="dxa"/>
            </w:tcMar>
          </w:tcPr>
          <w:p w14:paraId="6974794E" w14:textId="77777777" w:rsidR="00641B0F" w:rsidRDefault="00D3685D">
            <w:r w:rsidRPr="00D3685D">
              <w:rPr>
                <w:sz w:val="18"/>
                <w:szCs w:val="18"/>
              </w:rPr>
              <w:t>800</w:t>
            </w:r>
          </w:p>
        </w:tc>
        <w:tc>
          <w:tcPr>
            <w:tcW w:w="5958" w:type="dxa"/>
            <w:tcMar>
              <w:top w:w="60" w:type="dxa"/>
              <w:left w:w="80" w:type="dxa"/>
              <w:bottom w:w="60" w:type="dxa"/>
              <w:right w:w="80" w:type="dxa"/>
            </w:tcMar>
          </w:tcPr>
          <w:p w14:paraId="345E847F" w14:textId="77777777" w:rsidR="00641B0F" w:rsidRDefault="00000000">
            <w:r>
              <w:rPr>
                <w:sz w:val="18"/>
                <w:szCs w:val="18"/>
              </w:rPr>
              <w:t>Lester &amp; Michelson (p.1)</w:t>
            </w:r>
          </w:p>
        </w:tc>
      </w:tr>
      <w:tr w:rsidR="00641B0F" w14:paraId="21844EAF" w14:textId="77777777">
        <w:tc>
          <w:tcPr>
            <w:tcW w:w="700" w:type="dxa"/>
            <w:tcMar>
              <w:top w:w="60" w:type="dxa"/>
              <w:left w:w="80" w:type="dxa"/>
              <w:bottom w:w="60" w:type="dxa"/>
              <w:right w:w="80" w:type="dxa"/>
            </w:tcMar>
          </w:tcPr>
          <w:p w14:paraId="1104FE72" w14:textId="77777777" w:rsidR="00641B0F" w:rsidRDefault="00000000">
            <w:r>
              <w:rPr>
                <w:sz w:val="18"/>
                <w:szCs w:val="18"/>
              </w:rPr>
              <w:t>G4</w:t>
            </w:r>
          </w:p>
        </w:tc>
        <w:tc>
          <w:tcPr>
            <w:tcW w:w="5600" w:type="dxa"/>
            <w:tcMar>
              <w:top w:w="60" w:type="dxa"/>
              <w:left w:w="80" w:type="dxa"/>
              <w:bottom w:w="60" w:type="dxa"/>
              <w:right w:w="80" w:type="dxa"/>
            </w:tcMar>
          </w:tcPr>
          <w:p w14:paraId="07A21DE1" w14:textId="77777777" w:rsidR="00641B0F" w:rsidRDefault="00000000">
            <w:r>
              <w:rPr>
                <w:sz w:val="18"/>
                <w:szCs w:val="18"/>
              </w:rPr>
              <w:t>“</w:t>
            </w:r>
            <w:proofErr w:type="gramStart"/>
            <w:r>
              <w:rPr>
                <w:sz w:val="18"/>
                <w:szCs w:val="18"/>
              </w:rPr>
              <w:t>emotionally</w:t>
            </w:r>
            <w:proofErr w:type="gramEnd"/>
            <w:r>
              <w:rPr>
                <w:sz w:val="18"/>
                <w:szCs w:val="18"/>
              </w:rPr>
              <w:t xml:space="preserve"> based school avoidance”</w:t>
            </w:r>
          </w:p>
        </w:tc>
        <w:tc>
          <w:tcPr>
            <w:tcW w:w="1700" w:type="dxa"/>
            <w:tcMar>
              <w:top w:w="60" w:type="dxa"/>
              <w:left w:w="80" w:type="dxa"/>
              <w:bottom w:w="60" w:type="dxa"/>
              <w:right w:w="80" w:type="dxa"/>
            </w:tcMar>
          </w:tcPr>
          <w:p w14:paraId="7160F8A2" w14:textId="77777777" w:rsidR="00641B0F" w:rsidRDefault="00D3685D">
            <w:r w:rsidRPr="00D3685D">
              <w:rPr>
                <w:sz w:val="18"/>
                <w:szCs w:val="18"/>
              </w:rPr>
              <w:t>489 </w:t>
            </w:r>
          </w:p>
        </w:tc>
        <w:tc>
          <w:tcPr>
            <w:tcW w:w="5958" w:type="dxa"/>
            <w:tcMar>
              <w:top w:w="60" w:type="dxa"/>
              <w:left w:w="80" w:type="dxa"/>
              <w:bottom w:w="60" w:type="dxa"/>
              <w:right w:w="80" w:type="dxa"/>
            </w:tcMar>
          </w:tcPr>
          <w:p w14:paraId="302F4C06" w14:textId="77777777" w:rsidR="00641B0F" w:rsidRDefault="00000000">
            <w:r>
              <w:rPr>
                <w:sz w:val="18"/>
                <w:szCs w:val="18"/>
              </w:rPr>
              <w:t>Lester &amp; Michelson (first result)</w:t>
            </w:r>
          </w:p>
        </w:tc>
      </w:tr>
      <w:tr w:rsidR="00641B0F" w14:paraId="000D960D" w14:textId="77777777">
        <w:tc>
          <w:tcPr>
            <w:tcW w:w="700" w:type="dxa"/>
            <w:tcMar>
              <w:top w:w="60" w:type="dxa"/>
              <w:left w:w="80" w:type="dxa"/>
              <w:bottom w:w="60" w:type="dxa"/>
              <w:right w:w="80" w:type="dxa"/>
            </w:tcMar>
          </w:tcPr>
          <w:p w14:paraId="6BCB5482" w14:textId="77777777" w:rsidR="00641B0F" w:rsidRDefault="00000000">
            <w:r>
              <w:rPr>
                <w:sz w:val="18"/>
                <w:szCs w:val="18"/>
              </w:rPr>
              <w:t>G5</w:t>
            </w:r>
          </w:p>
        </w:tc>
        <w:tc>
          <w:tcPr>
            <w:tcW w:w="5600" w:type="dxa"/>
            <w:tcMar>
              <w:top w:w="60" w:type="dxa"/>
              <w:left w:w="80" w:type="dxa"/>
              <w:bottom w:w="60" w:type="dxa"/>
              <w:right w:w="80" w:type="dxa"/>
            </w:tcMar>
          </w:tcPr>
          <w:p w14:paraId="7275DD42" w14:textId="77777777" w:rsidR="00641B0F" w:rsidRDefault="00000000">
            <w:r>
              <w:rPr>
                <w:sz w:val="18"/>
                <w:szCs w:val="18"/>
              </w:rPr>
              <w:t>CAMHS AND “waiting times”</w:t>
            </w:r>
          </w:p>
        </w:tc>
        <w:tc>
          <w:tcPr>
            <w:tcW w:w="1700" w:type="dxa"/>
            <w:tcMar>
              <w:top w:w="60" w:type="dxa"/>
              <w:left w:w="80" w:type="dxa"/>
              <w:bottom w:w="60" w:type="dxa"/>
              <w:right w:w="80" w:type="dxa"/>
            </w:tcMar>
          </w:tcPr>
          <w:p w14:paraId="2EB62BAF" w14:textId="77777777" w:rsidR="00641B0F" w:rsidRDefault="00D3685D">
            <w:r w:rsidRPr="00D3685D">
              <w:rPr>
                <w:sz w:val="18"/>
                <w:szCs w:val="18"/>
              </w:rPr>
              <w:t>2,470</w:t>
            </w:r>
          </w:p>
        </w:tc>
        <w:tc>
          <w:tcPr>
            <w:tcW w:w="5958" w:type="dxa"/>
            <w:tcMar>
              <w:top w:w="60" w:type="dxa"/>
              <w:left w:w="80" w:type="dxa"/>
              <w:bottom w:w="60" w:type="dxa"/>
              <w:right w:w="80" w:type="dxa"/>
            </w:tcMar>
          </w:tcPr>
          <w:p w14:paraId="1DB6920C" w14:textId="77777777" w:rsidR="00641B0F" w:rsidRDefault="00000000">
            <w:r>
              <w:rPr>
                <w:sz w:val="18"/>
                <w:szCs w:val="18"/>
              </w:rPr>
              <w:t>Grey literature (NAO, YoungMinds) accessed directly</w:t>
            </w:r>
          </w:p>
        </w:tc>
      </w:tr>
      <w:tr w:rsidR="00641B0F" w14:paraId="5FBD99F9" w14:textId="77777777">
        <w:tc>
          <w:tcPr>
            <w:tcW w:w="700" w:type="dxa"/>
            <w:tcMar>
              <w:top w:w="60" w:type="dxa"/>
              <w:left w:w="80" w:type="dxa"/>
              <w:bottom w:w="60" w:type="dxa"/>
              <w:right w:w="80" w:type="dxa"/>
            </w:tcMar>
          </w:tcPr>
          <w:p w14:paraId="24423356" w14:textId="77777777" w:rsidR="00641B0F" w:rsidRDefault="00000000">
            <w:r>
              <w:rPr>
                <w:sz w:val="18"/>
                <w:szCs w:val="18"/>
              </w:rPr>
              <w:t>G6</w:t>
            </w:r>
          </w:p>
        </w:tc>
        <w:tc>
          <w:tcPr>
            <w:tcW w:w="5600" w:type="dxa"/>
            <w:tcMar>
              <w:top w:w="60" w:type="dxa"/>
              <w:left w:w="80" w:type="dxa"/>
              <w:bottom w:w="60" w:type="dxa"/>
              <w:right w:w="80" w:type="dxa"/>
            </w:tcMar>
          </w:tcPr>
          <w:p w14:paraId="1AB83014" w14:textId="77777777" w:rsidR="00641B0F" w:rsidRDefault="00000000">
            <w:r>
              <w:rPr>
                <w:sz w:val="18"/>
                <w:szCs w:val="18"/>
              </w:rPr>
              <w:t>adolescent AND “mental health prevalence” AND England</w:t>
            </w:r>
          </w:p>
        </w:tc>
        <w:tc>
          <w:tcPr>
            <w:tcW w:w="1700" w:type="dxa"/>
            <w:tcMar>
              <w:top w:w="60" w:type="dxa"/>
              <w:left w:w="80" w:type="dxa"/>
              <w:bottom w:w="60" w:type="dxa"/>
              <w:right w:w="80" w:type="dxa"/>
            </w:tcMar>
          </w:tcPr>
          <w:p w14:paraId="27193B78" w14:textId="77777777" w:rsidR="00641B0F" w:rsidRDefault="00D3685D">
            <w:r w:rsidRPr="00D3685D">
              <w:rPr>
                <w:sz w:val="18"/>
                <w:szCs w:val="18"/>
              </w:rPr>
              <w:t>2,180</w:t>
            </w:r>
          </w:p>
        </w:tc>
        <w:tc>
          <w:tcPr>
            <w:tcW w:w="5958" w:type="dxa"/>
            <w:tcMar>
              <w:top w:w="60" w:type="dxa"/>
              <w:left w:w="80" w:type="dxa"/>
              <w:bottom w:w="60" w:type="dxa"/>
              <w:right w:w="80" w:type="dxa"/>
            </w:tcMar>
          </w:tcPr>
          <w:p w14:paraId="0E0B3A05" w14:textId="77777777" w:rsidR="00641B0F" w:rsidRDefault="00000000">
            <w:r>
              <w:rPr>
                <w:sz w:val="18"/>
                <w:szCs w:val="18"/>
              </w:rPr>
              <w:t>Sadler/Ford (p.1); Newlove-Delgado (p.2)</w:t>
            </w:r>
          </w:p>
        </w:tc>
      </w:tr>
      <w:tr w:rsidR="00641B0F" w14:paraId="5FED919D" w14:textId="77777777">
        <w:tc>
          <w:tcPr>
            <w:tcW w:w="700" w:type="dxa"/>
            <w:tcMar>
              <w:top w:w="60" w:type="dxa"/>
              <w:left w:w="80" w:type="dxa"/>
              <w:bottom w:w="60" w:type="dxa"/>
              <w:right w:w="80" w:type="dxa"/>
            </w:tcMar>
          </w:tcPr>
          <w:p w14:paraId="07C8BC3A" w14:textId="77777777" w:rsidR="00641B0F" w:rsidRDefault="00000000">
            <w:r>
              <w:rPr>
                <w:sz w:val="18"/>
                <w:szCs w:val="18"/>
              </w:rPr>
              <w:t>G7a</w:t>
            </w:r>
          </w:p>
        </w:tc>
        <w:tc>
          <w:tcPr>
            <w:tcW w:w="5600" w:type="dxa"/>
            <w:tcMar>
              <w:top w:w="60" w:type="dxa"/>
              <w:left w:w="80" w:type="dxa"/>
              <w:bottom w:w="60" w:type="dxa"/>
              <w:right w:w="80" w:type="dxa"/>
            </w:tcMar>
          </w:tcPr>
          <w:p w14:paraId="3AE9BD96" w14:textId="77777777" w:rsidR="00641B0F" w:rsidRDefault="00000000">
            <w:r>
              <w:rPr>
                <w:sz w:val="18"/>
                <w:szCs w:val="18"/>
              </w:rPr>
              <w:t>COVID-19 AND adolescent AND mental health AND Sweden</w:t>
            </w:r>
          </w:p>
        </w:tc>
        <w:tc>
          <w:tcPr>
            <w:tcW w:w="1700" w:type="dxa"/>
            <w:tcMar>
              <w:top w:w="60" w:type="dxa"/>
              <w:left w:w="80" w:type="dxa"/>
              <w:bottom w:w="60" w:type="dxa"/>
              <w:right w:w="80" w:type="dxa"/>
            </w:tcMar>
          </w:tcPr>
          <w:p w14:paraId="341AE608" w14:textId="77777777" w:rsidR="00641B0F" w:rsidRDefault="00000000">
            <w:r>
              <w:rPr>
                <w:sz w:val="18"/>
                <w:szCs w:val="18"/>
              </w:rPr>
              <w:t>17,</w:t>
            </w:r>
            <w:r w:rsidR="00D3685D">
              <w:rPr>
                <w:sz w:val="18"/>
                <w:szCs w:val="18"/>
              </w:rPr>
              <w:t>1</w:t>
            </w:r>
            <w:r>
              <w:rPr>
                <w:sz w:val="18"/>
                <w:szCs w:val="18"/>
              </w:rPr>
              <w:t>00</w:t>
            </w:r>
          </w:p>
        </w:tc>
        <w:tc>
          <w:tcPr>
            <w:tcW w:w="5958" w:type="dxa"/>
            <w:tcMar>
              <w:top w:w="60" w:type="dxa"/>
              <w:left w:w="80" w:type="dxa"/>
              <w:bottom w:w="60" w:type="dxa"/>
              <w:right w:w="80" w:type="dxa"/>
            </w:tcMar>
          </w:tcPr>
          <w:p w14:paraId="06F77FC6" w14:textId="77777777" w:rsidR="00641B0F" w:rsidRDefault="00000000">
            <w:r>
              <w:rPr>
                <w:sz w:val="18"/>
                <w:szCs w:val="18"/>
              </w:rPr>
              <w:t>Björkegren (Svaleryd/Vlachos) (p.1)</w:t>
            </w:r>
          </w:p>
        </w:tc>
      </w:tr>
      <w:tr w:rsidR="00641B0F" w14:paraId="0BC91D4C" w14:textId="77777777">
        <w:tc>
          <w:tcPr>
            <w:tcW w:w="700" w:type="dxa"/>
            <w:tcMar>
              <w:top w:w="60" w:type="dxa"/>
              <w:left w:w="80" w:type="dxa"/>
              <w:bottom w:w="60" w:type="dxa"/>
              <w:right w:w="80" w:type="dxa"/>
            </w:tcMar>
          </w:tcPr>
          <w:p w14:paraId="37F82733" w14:textId="77777777" w:rsidR="00641B0F" w:rsidRDefault="00000000">
            <w:r>
              <w:rPr>
                <w:sz w:val="18"/>
                <w:szCs w:val="18"/>
              </w:rPr>
              <w:t>G7b</w:t>
            </w:r>
          </w:p>
        </w:tc>
        <w:tc>
          <w:tcPr>
            <w:tcW w:w="5600" w:type="dxa"/>
            <w:tcMar>
              <w:top w:w="60" w:type="dxa"/>
              <w:left w:w="80" w:type="dxa"/>
              <w:bottom w:w="60" w:type="dxa"/>
              <w:right w:w="80" w:type="dxa"/>
            </w:tcMar>
          </w:tcPr>
          <w:p w14:paraId="4604B056" w14:textId="77777777" w:rsidR="00641B0F" w:rsidRDefault="00000000">
            <w:r>
              <w:rPr>
                <w:sz w:val="18"/>
                <w:szCs w:val="18"/>
              </w:rPr>
              <w:t>COVID-19 AND adolescent AND mental health AND Norway</w:t>
            </w:r>
          </w:p>
        </w:tc>
        <w:tc>
          <w:tcPr>
            <w:tcW w:w="1700" w:type="dxa"/>
            <w:tcMar>
              <w:top w:w="60" w:type="dxa"/>
              <w:left w:w="80" w:type="dxa"/>
              <w:bottom w:w="60" w:type="dxa"/>
              <w:right w:w="80" w:type="dxa"/>
            </w:tcMar>
          </w:tcPr>
          <w:p w14:paraId="3CEDA0CB" w14:textId="77777777" w:rsidR="00641B0F" w:rsidRDefault="00000000">
            <w:r>
              <w:rPr>
                <w:sz w:val="18"/>
                <w:szCs w:val="18"/>
              </w:rPr>
              <w:t>17,</w:t>
            </w:r>
            <w:r w:rsidR="00D3685D">
              <w:rPr>
                <w:sz w:val="18"/>
                <w:szCs w:val="18"/>
              </w:rPr>
              <w:t>3</w:t>
            </w:r>
            <w:r>
              <w:rPr>
                <w:sz w:val="18"/>
                <w:szCs w:val="18"/>
              </w:rPr>
              <w:t>00</w:t>
            </w:r>
          </w:p>
        </w:tc>
        <w:tc>
          <w:tcPr>
            <w:tcW w:w="5958" w:type="dxa"/>
            <w:tcMar>
              <w:top w:w="60" w:type="dxa"/>
              <w:left w:w="80" w:type="dxa"/>
              <w:bottom w:w="60" w:type="dxa"/>
              <w:right w:w="80" w:type="dxa"/>
            </w:tcMar>
          </w:tcPr>
          <w:p w14:paraId="033E6584" w14:textId="77777777" w:rsidR="00641B0F" w:rsidRDefault="00000000">
            <w:r>
              <w:rPr>
                <w:sz w:val="18"/>
                <w:szCs w:val="18"/>
              </w:rPr>
              <w:t>Burdzovic Andreas &amp; Brunborg (p.1)</w:t>
            </w:r>
          </w:p>
        </w:tc>
      </w:tr>
      <w:tr w:rsidR="00641B0F" w14:paraId="7E0E5040" w14:textId="77777777">
        <w:tc>
          <w:tcPr>
            <w:tcW w:w="700" w:type="dxa"/>
            <w:tcMar>
              <w:top w:w="60" w:type="dxa"/>
              <w:left w:w="80" w:type="dxa"/>
              <w:bottom w:w="60" w:type="dxa"/>
              <w:right w:w="80" w:type="dxa"/>
            </w:tcMar>
          </w:tcPr>
          <w:p w14:paraId="3D75A3C2" w14:textId="77777777" w:rsidR="00641B0F" w:rsidRDefault="00000000">
            <w:r>
              <w:rPr>
                <w:sz w:val="18"/>
                <w:szCs w:val="18"/>
              </w:rPr>
              <w:t>G7c</w:t>
            </w:r>
          </w:p>
        </w:tc>
        <w:tc>
          <w:tcPr>
            <w:tcW w:w="5600" w:type="dxa"/>
            <w:tcMar>
              <w:top w:w="60" w:type="dxa"/>
              <w:left w:w="80" w:type="dxa"/>
              <w:bottom w:w="60" w:type="dxa"/>
              <w:right w:w="80" w:type="dxa"/>
            </w:tcMar>
          </w:tcPr>
          <w:p w14:paraId="65182E52" w14:textId="77777777" w:rsidR="00641B0F" w:rsidRDefault="00000000">
            <w:r>
              <w:rPr>
                <w:sz w:val="18"/>
                <w:szCs w:val="18"/>
              </w:rPr>
              <w:t>COVID-19 AND adolescent AND anxiety AND Australia</w:t>
            </w:r>
          </w:p>
        </w:tc>
        <w:tc>
          <w:tcPr>
            <w:tcW w:w="1700" w:type="dxa"/>
            <w:tcMar>
              <w:top w:w="60" w:type="dxa"/>
              <w:left w:w="80" w:type="dxa"/>
              <w:bottom w:w="60" w:type="dxa"/>
              <w:right w:w="80" w:type="dxa"/>
            </w:tcMar>
          </w:tcPr>
          <w:p w14:paraId="6BB5DD13" w14:textId="77777777" w:rsidR="00641B0F" w:rsidRDefault="00000000">
            <w:r>
              <w:rPr>
                <w:sz w:val="18"/>
                <w:szCs w:val="18"/>
              </w:rPr>
              <w:t>17,</w:t>
            </w:r>
            <w:r w:rsidR="00D3685D">
              <w:rPr>
                <w:sz w:val="18"/>
                <w:szCs w:val="18"/>
              </w:rPr>
              <w:t>2</w:t>
            </w:r>
            <w:r>
              <w:rPr>
                <w:sz w:val="18"/>
                <w:szCs w:val="18"/>
              </w:rPr>
              <w:t>00</w:t>
            </w:r>
          </w:p>
        </w:tc>
        <w:tc>
          <w:tcPr>
            <w:tcW w:w="5958" w:type="dxa"/>
            <w:tcMar>
              <w:top w:w="60" w:type="dxa"/>
              <w:left w:w="80" w:type="dxa"/>
              <w:bottom w:w="60" w:type="dxa"/>
              <w:right w:w="80" w:type="dxa"/>
            </w:tcMar>
          </w:tcPr>
          <w:p w14:paraId="3AEF0136" w14:textId="77777777" w:rsidR="00641B0F" w:rsidRDefault="00000000">
            <w:r>
              <w:rPr>
                <w:sz w:val="18"/>
                <w:szCs w:val="18"/>
              </w:rPr>
              <w:t>Magson (Rapee) (p.4)</w:t>
            </w:r>
          </w:p>
        </w:tc>
      </w:tr>
      <w:tr w:rsidR="00641B0F" w14:paraId="6AED698E" w14:textId="77777777">
        <w:tc>
          <w:tcPr>
            <w:tcW w:w="700" w:type="dxa"/>
            <w:tcMar>
              <w:top w:w="60" w:type="dxa"/>
              <w:left w:w="80" w:type="dxa"/>
              <w:bottom w:w="60" w:type="dxa"/>
              <w:right w:w="80" w:type="dxa"/>
            </w:tcMar>
          </w:tcPr>
          <w:p w14:paraId="0629AD13" w14:textId="77777777" w:rsidR="00641B0F" w:rsidRDefault="00000000">
            <w:r>
              <w:rPr>
                <w:sz w:val="18"/>
                <w:szCs w:val="18"/>
              </w:rPr>
              <w:t>G7d</w:t>
            </w:r>
          </w:p>
        </w:tc>
        <w:tc>
          <w:tcPr>
            <w:tcW w:w="5600" w:type="dxa"/>
            <w:tcMar>
              <w:top w:w="60" w:type="dxa"/>
              <w:left w:w="80" w:type="dxa"/>
              <w:bottom w:w="60" w:type="dxa"/>
              <w:right w:w="80" w:type="dxa"/>
            </w:tcMar>
          </w:tcPr>
          <w:p w14:paraId="07E17544" w14:textId="77777777" w:rsidR="00641B0F" w:rsidRDefault="00000000">
            <w:r>
              <w:rPr>
                <w:sz w:val="18"/>
                <w:szCs w:val="18"/>
              </w:rPr>
              <w:t>COVID-19 AND adolescent AND anxiety AND meta-analysis</w:t>
            </w:r>
          </w:p>
        </w:tc>
        <w:tc>
          <w:tcPr>
            <w:tcW w:w="1700" w:type="dxa"/>
            <w:tcMar>
              <w:top w:w="60" w:type="dxa"/>
              <w:left w:w="80" w:type="dxa"/>
              <w:bottom w:w="60" w:type="dxa"/>
              <w:right w:w="80" w:type="dxa"/>
            </w:tcMar>
          </w:tcPr>
          <w:p w14:paraId="6F5C707E" w14:textId="77777777" w:rsidR="00641B0F" w:rsidRDefault="00000000">
            <w:r>
              <w:rPr>
                <w:sz w:val="18"/>
                <w:szCs w:val="18"/>
              </w:rPr>
              <w:t>17,</w:t>
            </w:r>
            <w:r w:rsidR="00D3685D">
              <w:rPr>
                <w:sz w:val="18"/>
                <w:szCs w:val="18"/>
              </w:rPr>
              <w:t>4</w:t>
            </w:r>
            <w:r>
              <w:rPr>
                <w:sz w:val="18"/>
                <w:szCs w:val="18"/>
              </w:rPr>
              <w:t>00</w:t>
            </w:r>
          </w:p>
        </w:tc>
        <w:tc>
          <w:tcPr>
            <w:tcW w:w="5958" w:type="dxa"/>
            <w:tcMar>
              <w:top w:w="60" w:type="dxa"/>
              <w:left w:w="80" w:type="dxa"/>
              <w:bottom w:w="60" w:type="dxa"/>
              <w:right w:w="80" w:type="dxa"/>
            </w:tcMar>
          </w:tcPr>
          <w:p w14:paraId="485473DB" w14:textId="77777777" w:rsidR="00641B0F" w:rsidRDefault="00000000">
            <w:r>
              <w:rPr>
                <w:sz w:val="18"/>
                <w:szCs w:val="18"/>
              </w:rPr>
              <w:t>Racine (first result)</w:t>
            </w:r>
          </w:p>
        </w:tc>
      </w:tr>
      <w:tr w:rsidR="00641B0F" w14:paraId="0362EE8E" w14:textId="77777777">
        <w:tc>
          <w:tcPr>
            <w:tcW w:w="700" w:type="dxa"/>
            <w:tcMar>
              <w:top w:w="60" w:type="dxa"/>
              <w:left w:w="80" w:type="dxa"/>
              <w:bottom w:w="60" w:type="dxa"/>
              <w:right w:w="80" w:type="dxa"/>
            </w:tcMar>
          </w:tcPr>
          <w:p w14:paraId="30F753FD" w14:textId="77777777" w:rsidR="00641B0F" w:rsidRDefault="00000000">
            <w:r>
              <w:rPr>
                <w:sz w:val="18"/>
                <w:szCs w:val="18"/>
              </w:rPr>
              <w:t>G8</w:t>
            </w:r>
          </w:p>
        </w:tc>
        <w:tc>
          <w:tcPr>
            <w:tcW w:w="5600" w:type="dxa"/>
            <w:tcMar>
              <w:top w:w="60" w:type="dxa"/>
              <w:left w:w="80" w:type="dxa"/>
              <w:bottom w:w="60" w:type="dxa"/>
              <w:right w:w="80" w:type="dxa"/>
            </w:tcMar>
          </w:tcPr>
          <w:p w14:paraId="1B5DDDDD" w14:textId="77777777" w:rsidR="00641B0F" w:rsidRDefault="00000000">
            <w:r>
              <w:rPr>
                <w:sz w:val="18"/>
                <w:szCs w:val="18"/>
              </w:rPr>
              <w:t>anxiety AND “school attendance” AND review</w:t>
            </w:r>
          </w:p>
        </w:tc>
        <w:tc>
          <w:tcPr>
            <w:tcW w:w="1700" w:type="dxa"/>
            <w:tcMar>
              <w:top w:w="60" w:type="dxa"/>
              <w:left w:w="80" w:type="dxa"/>
              <w:bottom w:w="60" w:type="dxa"/>
              <w:right w:w="80" w:type="dxa"/>
            </w:tcMar>
          </w:tcPr>
          <w:p w14:paraId="7B152FAA" w14:textId="77777777" w:rsidR="00641B0F" w:rsidRDefault="00000000">
            <w:r>
              <w:rPr>
                <w:sz w:val="18"/>
                <w:szCs w:val="18"/>
              </w:rPr>
              <w:t>1</w:t>
            </w:r>
            <w:r w:rsidR="00D3685D">
              <w:rPr>
                <w:sz w:val="18"/>
                <w:szCs w:val="18"/>
              </w:rPr>
              <w:t>8</w:t>
            </w:r>
            <w:r>
              <w:rPr>
                <w:sz w:val="18"/>
                <w:szCs w:val="18"/>
              </w:rPr>
              <w:t>,</w:t>
            </w:r>
            <w:r w:rsidR="00D3685D">
              <w:rPr>
                <w:sz w:val="18"/>
                <w:szCs w:val="18"/>
              </w:rPr>
              <w:t>5</w:t>
            </w:r>
            <w:r>
              <w:rPr>
                <w:sz w:val="18"/>
                <w:szCs w:val="18"/>
              </w:rPr>
              <w:t>00</w:t>
            </w:r>
          </w:p>
        </w:tc>
        <w:tc>
          <w:tcPr>
            <w:tcW w:w="5958" w:type="dxa"/>
            <w:tcMar>
              <w:top w:w="60" w:type="dxa"/>
              <w:left w:w="80" w:type="dxa"/>
              <w:bottom w:w="60" w:type="dxa"/>
              <w:right w:w="80" w:type="dxa"/>
            </w:tcMar>
          </w:tcPr>
          <w:p w14:paraId="76D2786D" w14:textId="77777777" w:rsidR="00641B0F" w:rsidRDefault="00000000">
            <w:r>
              <w:rPr>
                <w:sz w:val="18"/>
                <w:szCs w:val="18"/>
              </w:rPr>
              <w:t>Finning (first result)</w:t>
            </w:r>
          </w:p>
        </w:tc>
      </w:tr>
      <w:tr w:rsidR="00641B0F" w14:paraId="2F8A1C39" w14:textId="77777777">
        <w:tc>
          <w:tcPr>
            <w:tcW w:w="700" w:type="dxa"/>
            <w:tcMar>
              <w:top w:w="60" w:type="dxa"/>
              <w:left w:w="80" w:type="dxa"/>
              <w:bottom w:w="60" w:type="dxa"/>
              <w:right w:w="80" w:type="dxa"/>
            </w:tcMar>
          </w:tcPr>
          <w:p w14:paraId="056661EE" w14:textId="77777777" w:rsidR="00641B0F" w:rsidRDefault="00000000">
            <w:r>
              <w:rPr>
                <w:sz w:val="18"/>
                <w:szCs w:val="18"/>
              </w:rPr>
              <w:t>G9</w:t>
            </w:r>
          </w:p>
        </w:tc>
        <w:tc>
          <w:tcPr>
            <w:tcW w:w="5600" w:type="dxa"/>
            <w:tcMar>
              <w:top w:w="60" w:type="dxa"/>
              <w:left w:w="80" w:type="dxa"/>
              <w:bottom w:w="60" w:type="dxa"/>
              <w:right w:w="80" w:type="dxa"/>
            </w:tcMar>
          </w:tcPr>
          <w:p w14:paraId="43C79E9C" w14:textId="77777777" w:rsidR="00641B0F" w:rsidRDefault="00000000">
            <w:r>
              <w:rPr>
                <w:sz w:val="18"/>
                <w:szCs w:val="18"/>
              </w:rPr>
              <w:t>CAMHS AND referrals AND pandemic</w:t>
            </w:r>
          </w:p>
        </w:tc>
        <w:tc>
          <w:tcPr>
            <w:tcW w:w="1700" w:type="dxa"/>
            <w:tcMar>
              <w:top w:w="60" w:type="dxa"/>
              <w:left w:w="80" w:type="dxa"/>
              <w:bottom w:w="60" w:type="dxa"/>
              <w:right w:w="80" w:type="dxa"/>
            </w:tcMar>
          </w:tcPr>
          <w:p w14:paraId="5C1C9485" w14:textId="77777777" w:rsidR="00641B0F" w:rsidRDefault="00D3685D">
            <w:r w:rsidRPr="00D3685D">
              <w:t>4,980</w:t>
            </w:r>
          </w:p>
        </w:tc>
        <w:tc>
          <w:tcPr>
            <w:tcW w:w="5958" w:type="dxa"/>
            <w:tcMar>
              <w:top w:w="60" w:type="dxa"/>
              <w:left w:w="80" w:type="dxa"/>
              <w:bottom w:w="60" w:type="dxa"/>
              <w:right w:w="80" w:type="dxa"/>
            </w:tcMar>
          </w:tcPr>
          <w:p w14:paraId="4F7AA7F4" w14:textId="77777777" w:rsidR="00641B0F" w:rsidRDefault="00000000">
            <w:r>
              <w:rPr>
                <w:sz w:val="18"/>
                <w:szCs w:val="18"/>
              </w:rPr>
              <w:t>Abel (EN-CAMHS) (p.2)</w:t>
            </w:r>
          </w:p>
        </w:tc>
      </w:tr>
    </w:tbl>
    <w:p w14:paraId="606995B7" w14:textId="77777777" w:rsidR="00641B0F" w:rsidRDefault="00000000">
      <w:pPr>
        <w:spacing w:before="160" w:after="120" w:line="360" w:lineRule="auto"/>
      </w:pPr>
      <w:r>
        <w:rPr>
          <w:i/>
          <w:iCs/>
        </w:rPr>
        <w:t>PubMed (filter: Publication date — 10 years) — all searches run 10/07/2026.</w:t>
      </w:r>
    </w:p>
    <w:tbl>
      <w:tblPr>
        <w:tblW w:w="13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5600"/>
        <w:gridCol w:w="1700"/>
        <w:gridCol w:w="5958"/>
      </w:tblGrid>
      <w:tr w:rsidR="00641B0F" w14:paraId="73F59F28" w14:textId="77777777">
        <w:trPr>
          <w:tblHeader/>
        </w:trPr>
        <w:tc>
          <w:tcPr>
            <w:tcW w:w="700" w:type="dxa"/>
            <w:shd w:val="clear" w:color="auto" w:fill="E8E8E8"/>
            <w:tcMar>
              <w:top w:w="60" w:type="dxa"/>
              <w:left w:w="80" w:type="dxa"/>
              <w:bottom w:w="60" w:type="dxa"/>
              <w:right w:w="80" w:type="dxa"/>
            </w:tcMar>
          </w:tcPr>
          <w:p w14:paraId="4DA1739B" w14:textId="77777777" w:rsidR="00641B0F" w:rsidRDefault="00000000">
            <w:r>
              <w:rPr>
                <w:b/>
                <w:bCs/>
                <w:sz w:val="18"/>
                <w:szCs w:val="18"/>
              </w:rPr>
              <w:t>#</w:t>
            </w:r>
          </w:p>
        </w:tc>
        <w:tc>
          <w:tcPr>
            <w:tcW w:w="5600" w:type="dxa"/>
            <w:shd w:val="clear" w:color="auto" w:fill="E8E8E8"/>
            <w:tcMar>
              <w:top w:w="60" w:type="dxa"/>
              <w:left w:w="80" w:type="dxa"/>
              <w:bottom w:w="60" w:type="dxa"/>
              <w:right w:w="80" w:type="dxa"/>
            </w:tcMar>
          </w:tcPr>
          <w:p w14:paraId="45DCF140" w14:textId="77777777" w:rsidR="00641B0F" w:rsidRDefault="00000000">
            <w:r>
              <w:rPr>
                <w:b/>
                <w:bCs/>
                <w:sz w:val="18"/>
                <w:szCs w:val="18"/>
              </w:rPr>
              <w:t>Search string</w:t>
            </w:r>
          </w:p>
        </w:tc>
        <w:tc>
          <w:tcPr>
            <w:tcW w:w="1700" w:type="dxa"/>
            <w:shd w:val="clear" w:color="auto" w:fill="E8E8E8"/>
            <w:tcMar>
              <w:top w:w="60" w:type="dxa"/>
              <w:left w:w="80" w:type="dxa"/>
              <w:bottom w:w="60" w:type="dxa"/>
              <w:right w:w="80" w:type="dxa"/>
            </w:tcMar>
          </w:tcPr>
          <w:p w14:paraId="48200C53" w14:textId="77777777" w:rsidR="00641B0F" w:rsidRDefault="00000000">
            <w:r>
              <w:rPr>
                <w:b/>
                <w:bCs/>
                <w:sz w:val="18"/>
                <w:szCs w:val="18"/>
              </w:rPr>
              <w:t>Results returned</w:t>
            </w:r>
          </w:p>
        </w:tc>
        <w:tc>
          <w:tcPr>
            <w:tcW w:w="5958" w:type="dxa"/>
            <w:shd w:val="clear" w:color="auto" w:fill="E8E8E8"/>
            <w:tcMar>
              <w:top w:w="60" w:type="dxa"/>
              <w:left w:w="80" w:type="dxa"/>
              <w:bottom w:w="60" w:type="dxa"/>
              <w:right w:w="80" w:type="dxa"/>
            </w:tcMar>
          </w:tcPr>
          <w:p w14:paraId="1085B175" w14:textId="77777777" w:rsidR="00641B0F" w:rsidRDefault="00000000">
            <w:r>
              <w:rPr>
                <w:b/>
                <w:bCs/>
                <w:sz w:val="18"/>
                <w:szCs w:val="18"/>
              </w:rPr>
              <w:t>Key articles located</w:t>
            </w:r>
          </w:p>
        </w:tc>
      </w:tr>
      <w:tr w:rsidR="00641B0F" w14:paraId="1AB41617" w14:textId="77777777">
        <w:tc>
          <w:tcPr>
            <w:tcW w:w="700" w:type="dxa"/>
            <w:tcMar>
              <w:top w:w="60" w:type="dxa"/>
              <w:left w:w="80" w:type="dxa"/>
              <w:bottom w:w="60" w:type="dxa"/>
              <w:right w:w="80" w:type="dxa"/>
            </w:tcMar>
          </w:tcPr>
          <w:p w14:paraId="30E7B094" w14:textId="77777777" w:rsidR="00641B0F" w:rsidRDefault="00000000">
            <w:r>
              <w:rPr>
                <w:sz w:val="18"/>
                <w:szCs w:val="18"/>
              </w:rPr>
              <w:t>P1</w:t>
            </w:r>
          </w:p>
        </w:tc>
        <w:tc>
          <w:tcPr>
            <w:tcW w:w="5600" w:type="dxa"/>
            <w:tcMar>
              <w:top w:w="60" w:type="dxa"/>
              <w:left w:w="80" w:type="dxa"/>
              <w:bottom w:w="60" w:type="dxa"/>
              <w:right w:w="80" w:type="dxa"/>
            </w:tcMar>
          </w:tcPr>
          <w:p w14:paraId="436DD8BC" w14:textId="77777777" w:rsidR="00641B0F" w:rsidRDefault="00000000">
            <w:r>
              <w:rPr>
                <w:sz w:val="18"/>
                <w:szCs w:val="18"/>
              </w:rPr>
              <w:t>COVID-19 AND adolescent AND anxiety AND United Kingdom</w:t>
            </w:r>
          </w:p>
        </w:tc>
        <w:tc>
          <w:tcPr>
            <w:tcW w:w="1700" w:type="dxa"/>
            <w:tcMar>
              <w:top w:w="60" w:type="dxa"/>
              <w:left w:w="80" w:type="dxa"/>
              <w:bottom w:w="60" w:type="dxa"/>
              <w:right w:w="80" w:type="dxa"/>
            </w:tcMar>
          </w:tcPr>
          <w:p w14:paraId="68207C43" w14:textId="77777777" w:rsidR="00641B0F" w:rsidRDefault="00000000">
            <w:r>
              <w:rPr>
                <w:sz w:val="18"/>
                <w:szCs w:val="18"/>
              </w:rPr>
              <w:t>280</w:t>
            </w:r>
          </w:p>
        </w:tc>
        <w:tc>
          <w:tcPr>
            <w:tcW w:w="5958" w:type="dxa"/>
            <w:tcMar>
              <w:top w:w="60" w:type="dxa"/>
              <w:left w:w="80" w:type="dxa"/>
              <w:bottom w:w="60" w:type="dxa"/>
              <w:right w:w="80" w:type="dxa"/>
            </w:tcMar>
          </w:tcPr>
          <w:p w14:paraId="414BF99F" w14:textId="77777777" w:rsidR="00641B0F" w:rsidRDefault="00000000">
            <w:r>
              <w:rPr>
                <w:sz w:val="18"/>
                <w:szCs w:val="18"/>
              </w:rPr>
              <w:t>Creswell (position 51)</w:t>
            </w:r>
          </w:p>
        </w:tc>
      </w:tr>
      <w:tr w:rsidR="00641B0F" w14:paraId="437F7033" w14:textId="77777777">
        <w:tc>
          <w:tcPr>
            <w:tcW w:w="700" w:type="dxa"/>
            <w:tcMar>
              <w:top w:w="60" w:type="dxa"/>
              <w:left w:w="80" w:type="dxa"/>
              <w:bottom w:w="60" w:type="dxa"/>
              <w:right w:w="80" w:type="dxa"/>
            </w:tcMar>
          </w:tcPr>
          <w:p w14:paraId="09C03538" w14:textId="77777777" w:rsidR="00641B0F" w:rsidRDefault="00000000">
            <w:r>
              <w:rPr>
                <w:sz w:val="18"/>
                <w:szCs w:val="18"/>
              </w:rPr>
              <w:t>P2</w:t>
            </w:r>
          </w:p>
        </w:tc>
        <w:tc>
          <w:tcPr>
            <w:tcW w:w="5600" w:type="dxa"/>
            <w:tcMar>
              <w:top w:w="60" w:type="dxa"/>
              <w:left w:w="80" w:type="dxa"/>
              <w:bottom w:w="60" w:type="dxa"/>
              <w:right w:w="80" w:type="dxa"/>
            </w:tcMar>
          </w:tcPr>
          <w:p w14:paraId="2DC6560C" w14:textId="77777777" w:rsidR="00641B0F" w:rsidRDefault="00000000">
            <w:r>
              <w:rPr>
                <w:sz w:val="18"/>
                <w:szCs w:val="18"/>
              </w:rPr>
              <w:t>lockdown AND school closure AND adolescent mental health</w:t>
            </w:r>
          </w:p>
        </w:tc>
        <w:tc>
          <w:tcPr>
            <w:tcW w:w="1700" w:type="dxa"/>
            <w:tcMar>
              <w:top w:w="60" w:type="dxa"/>
              <w:left w:w="80" w:type="dxa"/>
              <w:bottom w:w="60" w:type="dxa"/>
              <w:right w:w="80" w:type="dxa"/>
            </w:tcMar>
          </w:tcPr>
          <w:p w14:paraId="2CDFE6BF" w14:textId="77777777" w:rsidR="00641B0F" w:rsidRDefault="00000000">
            <w:r>
              <w:rPr>
                <w:sz w:val="18"/>
                <w:szCs w:val="18"/>
              </w:rPr>
              <w:t>83</w:t>
            </w:r>
          </w:p>
        </w:tc>
        <w:tc>
          <w:tcPr>
            <w:tcW w:w="5958" w:type="dxa"/>
            <w:tcMar>
              <w:top w:w="60" w:type="dxa"/>
              <w:left w:w="80" w:type="dxa"/>
              <w:bottom w:w="60" w:type="dxa"/>
              <w:right w:w="80" w:type="dxa"/>
            </w:tcMar>
          </w:tcPr>
          <w:p w14:paraId="24A405CE" w14:textId="77777777" w:rsidR="00641B0F" w:rsidRDefault="00000000">
            <w:r>
              <w:rPr>
                <w:sz w:val="18"/>
                <w:szCs w:val="18"/>
              </w:rPr>
              <w:t>None located — refined as P3/P4</w:t>
            </w:r>
          </w:p>
        </w:tc>
      </w:tr>
      <w:tr w:rsidR="00641B0F" w14:paraId="5C4E9A0C" w14:textId="77777777">
        <w:tc>
          <w:tcPr>
            <w:tcW w:w="700" w:type="dxa"/>
            <w:tcMar>
              <w:top w:w="60" w:type="dxa"/>
              <w:left w:w="80" w:type="dxa"/>
              <w:bottom w:w="60" w:type="dxa"/>
              <w:right w:w="80" w:type="dxa"/>
            </w:tcMar>
          </w:tcPr>
          <w:p w14:paraId="0B002F7E" w14:textId="77777777" w:rsidR="00641B0F" w:rsidRDefault="00000000">
            <w:r>
              <w:rPr>
                <w:sz w:val="18"/>
                <w:szCs w:val="18"/>
              </w:rPr>
              <w:t>P3</w:t>
            </w:r>
          </w:p>
        </w:tc>
        <w:tc>
          <w:tcPr>
            <w:tcW w:w="5600" w:type="dxa"/>
            <w:tcMar>
              <w:top w:w="60" w:type="dxa"/>
              <w:left w:w="80" w:type="dxa"/>
              <w:bottom w:w="60" w:type="dxa"/>
              <w:right w:w="80" w:type="dxa"/>
            </w:tcMar>
          </w:tcPr>
          <w:p w14:paraId="212ABBE2" w14:textId="77777777" w:rsidR="00641B0F" w:rsidRDefault="00000000">
            <w:r>
              <w:rPr>
                <w:sz w:val="18"/>
                <w:szCs w:val="18"/>
              </w:rPr>
              <w:t>emotionally based school avoidance</w:t>
            </w:r>
          </w:p>
        </w:tc>
        <w:tc>
          <w:tcPr>
            <w:tcW w:w="1700" w:type="dxa"/>
            <w:tcMar>
              <w:top w:w="60" w:type="dxa"/>
              <w:left w:w="80" w:type="dxa"/>
              <w:bottom w:w="60" w:type="dxa"/>
              <w:right w:w="80" w:type="dxa"/>
            </w:tcMar>
          </w:tcPr>
          <w:p w14:paraId="7F768F09" w14:textId="77777777" w:rsidR="00641B0F" w:rsidRDefault="00000000">
            <w:r>
              <w:rPr>
                <w:sz w:val="18"/>
                <w:szCs w:val="18"/>
              </w:rPr>
              <w:t>69</w:t>
            </w:r>
          </w:p>
        </w:tc>
        <w:tc>
          <w:tcPr>
            <w:tcW w:w="5958" w:type="dxa"/>
            <w:tcMar>
              <w:top w:w="60" w:type="dxa"/>
              <w:left w:w="80" w:type="dxa"/>
              <w:bottom w:w="60" w:type="dxa"/>
              <w:right w:w="80" w:type="dxa"/>
            </w:tcMar>
          </w:tcPr>
          <w:p w14:paraId="025A467B" w14:textId="77777777" w:rsidR="00641B0F" w:rsidRDefault="00000000">
            <w:r>
              <w:rPr>
                <w:sz w:val="18"/>
                <w:szCs w:val="18"/>
              </w:rPr>
              <w:t>Lester &amp; Michelson (position 2)</w:t>
            </w:r>
          </w:p>
        </w:tc>
      </w:tr>
      <w:tr w:rsidR="00641B0F" w14:paraId="32123503" w14:textId="77777777">
        <w:tc>
          <w:tcPr>
            <w:tcW w:w="700" w:type="dxa"/>
            <w:tcMar>
              <w:top w:w="60" w:type="dxa"/>
              <w:left w:w="80" w:type="dxa"/>
              <w:bottom w:w="60" w:type="dxa"/>
              <w:right w:w="80" w:type="dxa"/>
            </w:tcMar>
          </w:tcPr>
          <w:p w14:paraId="4E78B57F" w14:textId="77777777" w:rsidR="00641B0F" w:rsidRDefault="00000000">
            <w:r>
              <w:rPr>
                <w:sz w:val="18"/>
                <w:szCs w:val="18"/>
              </w:rPr>
              <w:t>P4</w:t>
            </w:r>
          </w:p>
        </w:tc>
        <w:tc>
          <w:tcPr>
            <w:tcW w:w="5600" w:type="dxa"/>
            <w:tcMar>
              <w:top w:w="60" w:type="dxa"/>
              <w:left w:w="80" w:type="dxa"/>
              <w:bottom w:w="60" w:type="dxa"/>
              <w:right w:w="80" w:type="dxa"/>
            </w:tcMar>
          </w:tcPr>
          <w:p w14:paraId="07D7B2A4" w14:textId="77777777" w:rsidR="00641B0F" w:rsidRDefault="00000000">
            <w:r>
              <w:rPr>
                <w:sz w:val="18"/>
                <w:szCs w:val="18"/>
              </w:rPr>
              <w:t>COVID-19 AND adolescent AND anxiety AND meta-analysis</w:t>
            </w:r>
          </w:p>
        </w:tc>
        <w:tc>
          <w:tcPr>
            <w:tcW w:w="1700" w:type="dxa"/>
            <w:tcMar>
              <w:top w:w="60" w:type="dxa"/>
              <w:left w:w="80" w:type="dxa"/>
              <w:bottom w:w="60" w:type="dxa"/>
              <w:right w:w="80" w:type="dxa"/>
            </w:tcMar>
          </w:tcPr>
          <w:p w14:paraId="78ECE776" w14:textId="77777777" w:rsidR="00641B0F" w:rsidRDefault="00000000">
            <w:r>
              <w:rPr>
                <w:sz w:val="18"/>
                <w:szCs w:val="18"/>
              </w:rPr>
              <w:t>78</w:t>
            </w:r>
          </w:p>
        </w:tc>
        <w:tc>
          <w:tcPr>
            <w:tcW w:w="5958" w:type="dxa"/>
            <w:tcMar>
              <w:top w:w="60" w:type="dxa"/>
              <w:left w:w="80" w:type="dxa"/>
              <w:bottom w:w="60" w:type="dxa"/>
              <w:right w:w="80" w:type="dxa"/>
            </w:tcMar>
          </w:tcPr>
          <w:p w14:paraId="33788850" w14:textId="77777777" w:rsidR="00641B0F" w:rsidRDefault="00000000">
            <w:r>
              <w:rPr>
                <w:sz w:val="18"/>
                <w:szCs w:val="18"/>
              </w:rPr>
              <w:t>Racine (position 1)</w:t>
            </w:r>
          </w:p>
        </w:tc>
      </w:tr>
    </w:tbl>
    <w:p w14:paraId="7F8886A8" w14:textId="77777777" w:rsidR="00641B0F" w:rsidRDefault="00000000">
      <w:pPr>
        <w:spacing w:before="160" w:after="120" w:line="360" w:lineRule="auto"/>
      </w:pPr>
      <w:r>
        <w:rPr>
          <w:i/>
          <w:iCs/>
        </w:rPr>
        <w:t>UWTSD Library (filter: Peer-reviewed journals) — scoping stage.</w:t>
      </w:r>
    </w:p>
    <w:tbl>
      <w:tblPr>
        <w:tblW w:w="13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5600"/>
        <w:gridCol w:w="1700"/>
        <w:gridCol w:w="5958"/>
      </w:tblGrid>
      <w:tr w:rsidR="00641B0F" w14:paraId="3153189F" w14:textId="77777777">
        <w:trPr>
          <w:tblHeader/>
        </w:trPr>
        <w:tc>
          <w:tcPr>
            <w:tcW w:w="700" w:type="dxa"/>
            <w:shd w:val="clear" w:color="auto" w:fill="E8E8E8"/>
            <w:tcMar>
              <w:top w:w="60" w:type="dxa"/>
              <w:left w:w="80" w:type="dxa"/>
              <w:bottom w:w="60" w:type="dxa"/>
              <w:right w:w="80" w:type="dxa"/>
            </w:tcMar>
          </w:tcPr>
          <w:p w14:paraId="33A2E1AE" w14:textId="77777777" w:rsidR="00641B0F" w:rsidRDefault="00000000">
            <w:r>
              <w:rPr>
                <w:b/>
                <w:bCs/>
                <w:sz w:val="18"/>
                <w:szCs w:val="18"/>
              </w:rPr>
              <w:lastRenderedPageBreak/>
              <w:t>#</w:t>
            </w:r>
          </w:p>
        </w:tc>
        <w:tc>
          <w:tcPr>
            <w:tcW w:w="5600" w:type="dxa"/>
            <w:shd w:val="clear" w:color="auto" w:fill="E8E8E8"/>
            <w:tcMar>
              <w:top w:w="60" w:type="dxa"/>
              <w:left w:w="80" w:type="dxa"/>
              <w:bottom w:w="60" w:type="dxa"/>
              <w:right w:w="80" w:type="dxa"/>
            </w:tcMar>
          </w:tcPr>
          <w:p w14:paraId="0AB8936D" w14:textId="77777777" w:rsidR="00641B0F" w:rsidRDefault="00000000">
            <w:r>
              <w:rPr>
                <w:b/>
                <w:bCs/>
                <w:sz w:val="18"/>
                <w:szCs w:val="18"/>
              </w:rPr>
              <w:t>Search string</w:t>
            </w:r>
          </w:p>
        </w:tc>
        <w:tc>
          <w:tcPr>
            <w:tcW w:w="1700" w:type="dxa"/>
            <w:shd w:val="clear" w:color="auto" w:fill="E8E8E8"/>
            <w:tcMar>
              <w:top w:w="60" w:type="dxa"/>
              <w:left w:w="80" w:type="dxa"/>
              <w:bottom w:w="60" w:type="dxa"/>
              <w:right w:w="80" w:type="dxa"/>
            </w:tcMar>
          </w:tcPr>
          <w:p w14:paraId="65FC6D73" w14:textId="77777777" w:rsidR="00641B0F" w:rsidRDefault="00000000">
            <w:r>
              <w:rPr>
                <w:b/>
                <w:bCs/>
                <w:sz w:val="18"/>
                <w:szCs w:val="18"/>
              </w:rPr>
              <w:t>Results returned</w:t>
            </w:r>
          </w:p>
        </w:tc>
        <w:tc>
          <w:tcPr>
            <w:tcW w:w="5958" w:type="dxa"/>
            <w:shd w:val="clear" w:color="auto" w:fill="E8E8E8"/>
            <w:tcMar>
              <w:top w:w="60" w:type="dxa"/>
              <w:left w:w="80" w:type="dxa"/>
              <w:bottom w:w="60" w:type="dxa"/>
              <w:right w:w="80" w:type="dxa"/>
            </w:tcMar>
          </w:tcPr>
          <w:p w14:paraId="1FFFBF1A" w14:textId="77777777" w:rsidR="00641B0F" w:rsidRDefault="00000000">
            <w:r>
              <w:rPr>
                <w:b/>
                <w:bCs/>
                <w:sz w:val="18"/>
                <w:szCs w:val="18"/>
              </w:rPr>
              <w:t>Key articles located</w:t>
            </w:r>
          </w:p>
        </w:tc>
      </w:tr>
      <w:tr w:rsidR="00641B0F" w14:paraId="6F9697A7" w14:textId="77777777">
        <w:tc>
          <w:tcPr>
            <w:tcW w:w="700" w:type="dxa"/>
            <w:tcMar>
              <w:top w:w="60" w:type="dxa"/>
              <w:left w:w="80" w:type="dxa"/>
              <w:bottom w:w="60" w:type="dxa"/>
              <w:right w:w="80" w:type="dxa"/>
            </w:tcMar>
          </w:tcPr>
          <w:p w14:paraId="5BE44CDF" w14:textId="77777777" w:rsidR="00641B0F" w:rsidRDefault="00000000">
            <w:r>
              <w:rPr>
                <w:sz w:val="18"/>
                <w:szCs w:val="18"/>
              </w:rPr>
              <w:t>U1</w:t>
            </w:r>
          </w:p>
        </w:tc>
        <w:tc>
          <w:tcPr>
            <w:tcW w:w="5600" w:type="dxa"/>
            <w:tcMar>
              <w:top w:w="60" w:type="dxa"/>
              <w:left w:w="80" w:type="dxa"/>
              <w:bottom w:w="60" w:type="dxa"/>
              <w:right w:w="80" w:type="dxa"/>
            </w:tcMar>
          </w:tcPr>
          <w:p w14:paraId="6066014B" w14:textId="77777777" w:rsidR="00641B0F" w:rsidRDefault="00000000">
            <w:r>
              <w:rPr>
                <w:sz w:val="18"/>
                <w:szCs w:val="18"/>
              </w:rPr>
              <w:t>COVID-19 AND adolescent AND anxiety AND UK</w:t>
            </w:r>
          </w:p>
        </w:tc>
        <w:tc>
          <w:tcPr>
            <w:tcW w:w="1700" w:type="dxa"/>
            <w:tcMar>
              <w:top w:w="60" w:type="dxa"/>
              <w:left w:w="80" w:type="dxa"/>
              <w:bottom w:w="60" w:type="dxa"/>
              <w:right w:w="80" w:type="dxa"/>
            </w:tcMar>
          </w:tcPr>
          <w:p w14:paraId="444C84DE" w14:textId="77777777" w:rsidR="00641B0F" w:rsidRDefault="00000000">
            <w:r>
              <w:rPr>
                <w:sz w:val="18"/>
                <w:szCs w:val="18"/>
              </w:rPr>
              <w:t>—</w:t>
            </w:r>
          </w:p>
        </w:tc>
        <w:tc>
          <w:tcPr>
            <w:tcW w:w="5958" w:type="dxa"/>
            <w:tcMar>
              <w:top w:w="60" w:type="dxa"/>
              <w:left w:w="80" w:type="dxa"/>
              <w:bottom w:w="60" w:type="dxa"/>
              <w:right w:w="80" w:type="dxa"/>
            </w:tcMar>
          </w:tcPr>
          <w:p w14:paraId="469224B2" w14:textId="77777777" w:rsidR="00641B0F" w:rsidRDefault="00000000">
            <w:r>
              <w:rPr>
                <w:sz w:val="18"/>
                <w:szCs w:val="18"/>
              </w:rPr>
              <w:t>Creswell (position 10)</w:t>
            </w:r>
          </w:p>
        </w:tc>
      </w:tr>
    </w:tbl>
    <w:p w14:paraId="7F44DD72" w14:textId="77777777" w:rsidR="00D04FD3" w:rsidRDefault="00D04FD3"/>
    <w:sectPr w:rsidR="00D04FD3" w:rsidSect="00FC0DB3">
      <w:footerReference w:type="default" r:id="rId12"/>
      <w:type w:val="continuous"/>
      <w:pgSz w:w="16838" w:h="11906" w:orient="landscape"/>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A2364" w14:textId="77777777" w:rsidR="003D69EE" w:rsidRDefault="003D69EE">
      <w:r>
        <w:separator/>
      </w:r>
    </w:p>
  </w:endnote>
  <w:endnote w:type="continuationSeparator" w:id="0">
    <w:p w14:paraId="3559E927" w14:textId="77777777" w:rsidR="003D69EE" w:rsidRDefault="003D6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2396E" w14:textId="77777777" w:rsidR="00641B0F" w:rsidRDefault="00000000">
    <w:pPr>
      <w:jc w:val="center"/>
    </w:pPr>
    <w:r>
      <w:rPr>
        <w:sz w:val="20"/>
        <w:szCs w:val="20"/>
      </w:rPr>
      <w:fldChar w:fldCharType="begin"/>
    </w:r>
    <w:r>
      <w:rPr>
        <w:sz w:val="20"/>
        <w:szCs w:val="20"/>
      </w:rPr>
      <w:instrText>PAGE</w:instrText>
    </w:r>
    <w:r>
      <w:rPr>
        <w:sz w:val="20"/>
        <w:szCs w:val="20"/>
      </w:rPr>
      <w:fldChar w:fldCharType="separate"/>
    </w:r>
    <w:r w:rsidR="00F36E44">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EE59F" w14:textId="77777777" w:rsidR="00641B0F" w:rsidRDefault="00000000">
    <w:pPr>
      <w:jc w:val="center"/>
    </w:pPr>
    <w:r>
      <w:rPr>
        <w:sz w:val="20"/>
        <w:szCs w:val="20"/>
      </w:rPr>
      <w:fldChar w:fldCharType="begin"/>
    </w:r>
    <w:r>
      <w:rPr>
        <w:sz w:val="20"/>
        <w:szCs w:val="20"/>
      </w:rPr>
      <w:instrText>PAGE</w:instrText>
    </w:r>
    <w:r>
      <w:rPr>
        <w:sz w:val="20"/>
        <w:szCs w:val="20"/>
      </w:rPr>
      <w:fldChar w:fldCharType="separate"/>
    </w:r>
    <w:r w:rsidR="00F36E44">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45BDF" w14:textId="77777777" w:rsidR="003D69EE" w:rsidRDefault="003D69EE">
      <w:r>
        <w:separator/>
      </w:r>
    </w:p>
  </w:footnote>
  <w:footnote w:type="continuationSeparator" w:id="0">
    <w:p w14:paraId="467B2869" w14:textId="77777777" w:rsidR="003D69EE" w:rsidRDefault="003D69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041B8" w14:textId="77777777" w:rsidR="007152E5" w:rsidRDefault="007152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D14E22"/>
    <w:multiLevelType w:val="hybridMultilevel"/>
    <w:tmpl w:val="69B835FA"/>
    <w:lvl w:ilvl="0" w:tplc="19508836">
      <w:start w:val="1"/>
      <w:numFmt w:val="bullet"/>
      <w:lvlText w:val="●"/>
      <w:lvlJc w:val="left"/>
      <w:pPr>
        <w:ind w:left="720" w:hanging="360"/>
      </w:pPr>
    </w:lvl>
    <w:lvl w:ilvl="1" w:tplc="01FA4846">
      <w:start w:val="1"/>
      <w:numFmt w:val="bullet"/>
      <w:lvlText w:val="○"/>
      <w:lvlJc w:val="left"/>
      <w:pPr>
        <w:ind w:left="1440" w:hanging="360"/>
      </w:pPr>
    </w:lvl>
    <w:lvl w:ilvl="2" w:tplc="036A7656">
      <w:start w:val="1"/>
      <w:numFmt w:val="bullet"/>
      <w:lvlText w:val="■"/>
      <w:lvlJc w:val="left"/>
      <w:pPr>
        <w:ind w:left="2160" w:hanging="360"/>
      </w:pPr>
    </w:lvl>
    <w:lvl w:ilvl="3" w:tplc="5FB8AD1E">
      <w:start w:val="1"/>
      <w:numFmt w:val="bullet"/>
      <w:lvlText w:val="●"/>
      <w:lvlJc w:val="left"/>
      <w:pPr>
        <w:ind w:left="2880" w:hanging="360"/>
      </w:pPr>
    </w:lvl>
    <w:lvl w:ilvl="4" w:tplc="0380C1C8">
      <w:start w:val="1"/>
      <w:numFmt w:val="bullet"/>
      <w:lvlText w:val="○"/>
      <w:lvlJc w:val="left"/>
      <w:pPr>
        <w:ind w:left="3600" w:hanging="360"/>
      </w:pPr>
    </w:lvl>
    <w:lvl w:ilvl="5" w:tplc="9D6CAA8A">
      <w:start w:val="1"/>
      <w:numFmt w:val="bullet"/>
      <w:lvlText w:val="■"/>
      <w:lvlJc w:val="left"/>
      <w:pPr>
        <w:ind w:left="4320" w:hanging="360"/>
      </w:pPr>
    </w:lvl>
    <w:lvl w:ilvl="6" w:tplc="079C6700">
      <w:start w:val="1"/>
      <w:numFmt w:val="bullet"/>
      <w:lvlText w:val="●"/>
      <w:lvlJc w:val="left"/>
      <w:pPr>
        <w:ind w:left="5040" w:hanging="360"/>
      </w:pPr>
    </w:lvl>
    <w:lvl w:ilvl="7" w:tplc="E436AC76">
      <w:start w:val="1"/>
      <w:numFmt w:val="bullet"/>
      <w:lvlText w:val="●"/>
      <w:lvlJc w:val="left"/>
      <w:pPr>
        <w:ind w:left="5760" w:hanging="360"/>
      </w:pPr>
    </w:lvl>
    <w:lvl w:ilvl="8" w:tplc="D92C12F4">
      <w:start w:val="1"/>
      <w:numFmt w:val="bullet"/>
      <w:lvlText w:val="●"/>
      <w:lvlJc w:val="left"/>
      <w:pPr>
        <w:ind w:left="6480" w:hanging="360"/>
      </w:pPr>
    </w:lvl>
  </w:abstractNum>
  <w:num w:numId="1" w16cid:durableId="84031544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B0F"/>
    <w:rsid w:val="000B6518"/>
    <w:rsid w:val="000D1519"/>
    <w:rsid w:val="000D5978"/>
    <w:rsid w:val="001175B5"/>
    <w:rsid w:val="0015654E"/>
    <w:rsid w:val="001831CB"/>
    <w:rsid w:val="00187E49"/>
    <w:rsid w:val="001B06E1"/>
    <w:rsid w:val="002E5EFD"/>
    <w:rsid w:val="00357E16"/>
    <w:rsid w:val="00362966"/>
    <w:rsid w:val="003920C0"/>
    <w:rsid w:val="003A02B2"/>
    <w:rsid w:val="003A1781"/>
    <w:rsid w:val="003B1FCB"/>
    <w:rsid w:val="003D69EE"/>
    <w:rsid w:val="00414FCA"/>
    <w:rsid w:val="00426753"/>
    <w:rsid w:val="00451806"/>
    <w:rsid w:val="004B66D3"/>
    <w:rsid w:val="0051397E"/>
    <w:rsid w:val="005629AE"/>
    <w:rsid w:val="00581714"/>
    <w:rsid w:val="005F31EF"/>
    <w:rsid w:val="00641B0F"/>
    <w:rsid w:val="00686E18"/>
    <w:rsid w:val="006D48A0"/>
    <w:rsid w:val="006E151D"/>
    <w:rsid w:val="007152E5"/>
    <w:rsid w:val="00777B0F"/>
    <w:rsid w:val="007C33AE"/>
    <w:rsid w:val="008616A7"/>
    <w:rsid w:val="008C3418"/>
    <w:rsid w:val="008E3284"/>
    <w:rsid w:val="009321EC"/>
    <w:rsid w:val="00952A9A"/>
    <w:rsid w:val="00962EA5"/>
    <w:rsid w:val="009877B8"/>
    <w:rsid w:val="009E6D82"/>
    <w:rsid w:val="009F3547"/>
    <w:rsid w:val="00A025A2"/>
    <w:rsid w:val="00A531FA"/>
    <w:rsid w:val="00A92891"/>
    <w:rsid w:val="00AE3C46"/>
    <w:rsid w:val="00AE458C"/>
    <w:rsid w:val="00B247B2"/>
    <w:rsid w:val="00B36210"/>
    <w:rsid w:val="00C320F9"/>
    <w:rsid w:val="00C513A0"/>
    <w:rsid w:val="00CB49D6"/>
    <w:rsid w:val="00D04FD3"/>
    <w:rsid w:val="00D3685D"/>
    <w:rsid w:val="00E33B7F"/>
    <w:rsid w:val="00E53C82"/>
    <w:rsid w:val="00F27F8F"/>
    <w:rsid w:val="00F36E44"/>
    <w:rsid w:val="00F94A1A"/>
    <w:rsid w:val="00FC0DB3"/>
    <w:rsid w:val="00FE7406"/>
    <w:rsid w:val="00FF6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30438"/>
  <w15:docId w15:val="{8960466A-B94A-4CF6-B89B-11936DC5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color w:val="000000"/>
      <w:sz w:val="32"/>
      <w:szCs w:val="32"/>
    </w:rPr>
  </w:style>
  <w:style w:type="paragraph" w:styleId="Heading2">
    <w:name w:val="heading 2"/>
    <w:uiPriority w:val="9"/>
    <w:unhideWhenUsed/>
    <w:qFormat/>
    <w:pPr>
      <w:outlineLvl w:val="1"/>
    </w:pPr>
    <w:rPr>
      <w:b/>
      <w:bCs/>
      <w:color w:val="000000"/>
      <w:sz w:val="28"/>
      <w:szCs w:val="28"/>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F36E44"/>
    <w:pPr>
      <w:spacing w:after="100"/>
    </w:pPr>
  </w:style>
  <w:style w:type="paragraph" w:styleId="TOC2">
    <w:name w:val="toc 2"/>
    <w:basedOn w:val="Normal"/>
    <w:next w:val="Normal"/>
    <w:autoRedefine/>
    <w:uiPriority w:val="39"/>
    <w:unhideWhenUsed/>
    <w:rsid w:val="00F36E44"/>
    <w:pPr>
      <w:spacing w:after="100"/>
      <w:ind w:left="220"/>
    </w:pPr>
  </w:style>
  <w:style w:type="character" w:styleId="UnresolvedMention">
    <w:name w:val="Unresolved Mention"/>
    <w:basedOn w:val="DefaultParagraphFont"/>
    <w:uiPriority w:val="99"/>
    <w:semiHidden/>
    <w:unhideWhenUsed/>
    <w:rsid w:val="00F36E44"/>
    <w:rPr>
      <w:color w:val="605E5C"/>
      <w:shd w:val="clear" w:color="auto" w:fill="E1DFDD"/>
    </w:rPr>
  </w:style>
  <w:style w:type="character" w:styleId="CommentReference">
    <w:name w:val="annotation reference"/>
    <w:basedOn w:val="DefaultParagraphFont"/>
    <w:uiPriority w:val="99"/>
    <w:semiHidden/>
    <w:unhideWhenUsed/>
    <w:rsid w:val="00E33B7F"/>
    <w:rPr>
      <w:sz w:val="16"/>
      <w:szCs w:val="16"/>
    </w:rPr>
  </w:style>
  <w:style w:type="paragraph" w:styleId="CommentText">
    <w:name w:val="annotation text"/>
    <w:basedOn w:val="Normal"/>
    <w:link w:val="CommentTextChar"/>
    <w:uiPriority w:val="99"/>
    <w:unhideWhenUsed/>
    <w:rsid w:val="00E33B7F"/>
    <w:rPr>
      <w:sz w:val="20"/>
      <w:szCs w:val="20"/>
    </w:rPr>
  </w:style>
  <w:style w:type="character" w:customStyle="1" w:styleId="CommentTextChar">
    <w:name w:val="Comment Text Char"/>
    <w:basedOn w:val="DefaultParagraphFont"/>
    <w:link w:val="CommentText"/>
    <w:uiPriority w:val="99"/>
    <w:rsid w:val="00E33B7F"/>
    <w:rPr>
      <w:sz w:val="20"/>
      <w:szCs w:val="20"/>
    </w:rPr>
  </w:style>
  <w:style w:type="paragraph" w:styleId="CommentSubject">
    <w:name w:val="annotation subject"/>
    <w:basedOn w:val="CommentText"/>
    <w:next w:val="CommentText"/>
    <w:link w:val="CommentSubjectChar"/>
    <w:uiPriority w:val="99"/>
    <w:semiHidden/>
    <w:unhideWhenUsed/>
    <w:rsid w:val="00E33B7F"/>
    <w:rPr>
      <w:b/>
      <w:bCs/>
    </w:rPr>
  </w:style>
  <w:style w:type="character" w:customStyle="1" w:styleId="CommentSubjectChar">
    <w:name w:val="Comment Subject Char"/>
    <w:basedOn w:val="CommentTextChar"/>
    <w:link w:val="CommentSubject"/>
    <w:uiPriority w:val="99"/>
    <w:semiHidden/>
    <w:rsid w:val="00E33B7F"/>
    <w:rPr>
      <w:b/>
      <w:bCs/>
      <w:sz w:val="20"/>
      <w:szCs w:val="20"/>
    </w:rPr>
  </w:style>
  <w:style w:type="paragraph" w:styleId="Header">
    <w:name w:val="header"/>
    <w:basedOn w:val="Normal"/>
    <w:link w:val="HeaderChar"/>
    <w:uiPriority w:val="99"/>
    <w:unhideWhenUsed/>
    <w:rsid w:val="000D1519"/>
    <w:pPr>
      <w:tabs>
        <w:tab w:val="center" w:pos="4513"/>
        <w:tab w:val="right" w:pos="9026"/>
      </w:tabs>
    </w:pPr>
  </w:style>
  <w:style w:type="character" w:customStyle="1" w:styleId="HeaderChar">
    <w:name w:val="Header Char"/>
    <w:basedOn w:val="DefaultParagraphFont"/>
    <w:link w:val="Header"/>
    <w:uiPriority w:val="99"/>
    <w:rsid w:val="000D1519"/>
  </w:style>
  <w:style w:type="paragraph" w:styleId="Footer">
    <w:name w:val="footer"/>
    <w:basedOn w:val="Normal"/>
    <w:link w:val="FooterChar"/>
    <w:uiPriority w:val="99"/>
    <w:unhideWhenUsed/>
    <w:rsid w:val="000D1519"/>
    <w:pPr>
      <w:tabs>
        <w:tab w:val="center" w:pos="4513"/>
        <w:tab w:val="right" w:pos="9026"/>
      </w:tabs>
    </w:pPr>
  </w:style>
  <w:style w:type="character" w:customStyle="1" w:styleId="FooterChar">
    <w:name w:val="Footer Char"/>
    <w:basedOn w:val="DefaultParagraphFont"/>
    <w:link w:val="Footer"/>
    <w:uiPriority w:val="99"/>
    <w:rsid w:val="000D1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9DACA-C937-44B1-83AD-F18B347F4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14177</Words>
  <Characters>80814</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Tahmid Summy</cp:lastModifiedBy>
  <cp:revision>2</cp:revision>
  <dcterms:created xsi:type="dcterms:W3CDTF">2026-07-25T03:17:00Z</dcterms:created>
  <dcterms:modified xsi:type="dcterms:W3CDTF">2026-07-25T03:17:00Z</dcterms:modified>
</cp:coreProperties>
</file>