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4067A" w:rsidRPr="00786E87" w:rsidRDefault="0004067A" w:rsidP="0004067A">
      <w:pPr>
        <w:spacing w:before="1440" w:line="276" w:lineRule="auto"/>
        <w:jc w:val="center"/>
      </w:pPr>
      <w:bookmarkStart w:id="0" w:name="X3e11a404bdaa8178b035f9b59a9ccc32e04ffdb"/>
      <w:bookmarkStart w:id="1" w:name="content"/>
      <w:r w:rsidRPr="00786E87">
        <w:rPr>
          <w:noProof/>
          <w:lang w:val="en-US"/>
        </w:rPr>
        <w:drawing>
          <wp:inline distT="0" distB="0" distL="0" distR="0" wp14:anchorId="126FE97E" wp14:editId="6A5D408A">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5"/>
                    <a:stretch>
                      <a:fillRect/>
                    </a:stretch>
                  </pic:blipFill>
                  <pic:spPr>
                    <a:xfrm>
                      <a:off x="0" y="0"/>
                      <a:ext cx="4674497" cy="1762515"/>
                    </a:xfrm>
                    <a:prstGeom prst="rect">
                      <a:avLst/>
                    </a:prstGeom>
                  </pic:spPr>
                </pic:pic>
              </a:graphicData>
            </a:graphic>
          </wp:inline>
        </w:drawing>
      </w:r>
    </w:p>
    <w:p w:rsidR="0004067A" w:rsidRPr="00786E87" w:rsidRDefault="0004067A" w:rsidP="0004067A">
      <w:pPr>
        <w:pBdr>
          <w:bottom w:val="single" w:sz="8" w:space="8" w:color="1F3864"/>
        </w:pBdr>
        <w:spacing w:after="80" w:line="276" w:lineRule="auto"/>
        <w:jc w:val="center"/>
      </w:pPr>
    </w:p>
    <w:p w:rsidR="0004067A" w:rsidRPr="00786E87" w:rsidRDefault="0004067A" w:rsidP="0004067A">
      <w:pPr>
        <w:spacing w:after="80" w:line="276" w:lineRule="auto"/>
        <w:jc w:val="center"/>
      </w:pPr>
    </w:p>
    <w:p w:rsidR="0004067A" w:rsidRPr="00786E87" w:rsidRDefault="0004067A" w:rsidP="0004067A">
      <w:pPr>
        <w:spacing w:after="80" w:line="276" w:lineRule="auto"/>
        <w:jc w:val="center"/>
        <w:rPr>
          <w:b/>
          <w:bCs/>
          <w:color w:val="333333"/>
        </w:rPr>
      </w:pPr>
    </w:p>
    <w:p w:rsidR="0004067A" w:rsidRPr="00786E87" w:rsidRDefault="0004067A" w:rsidP="0004067A">
      <w:pPr>
        <w:spacing w:after="80" w:line="276" w:lineRule="auto"/>
        <w:jc w:val="center"/>
        <w:rPr>
          <w:b/>
          <w:bCs/>
          <w:color w:val="333333"/>
        </w:rPr>
      </w:pPr>
    </w:p>
    <w:p w:rsidR="0004067A" w:rsidRPr="00786E87" w:rsidRDefault="0004067A" w:rsidP="0004067A">
      <w:pPr>
        <w:spacing w:after="80" w:line="276" w:lineRule="auto"/>
        <w:jc w:val="center"/>
        <w:rPr>
          <w:b/>
          <w:bCs/>
          <w:color w:val="333333"/>
        </w:rPr>
      </w:pPr>
    </w:p>
    <w:p w:rsidR="0004067A" w:rsidRPr="00786E87" w:rsidRDefault="0004067A" w:rsidP="0004067A">
      <w:pPr>
        <w:spacing w:after="80" w:line="276" w:lineRule="auto"/>
        <w:jc w:val="center"/>
        <w:rPr>
          <w:b/>
          <w:bCs/>
          <w:color w:val="333333"/>
        </w:rPr>
      </w:pPr>
    </w:p>
    <w:p w:rsidR="0004067A" w:rsidRPr="00786E87" w:rsidRDefault="0004067A" w:rsidP="0004067A">
      <w:pPr>
        <w:spacing w:after="80" w:line="276" w:lineRule="auto"/>
        <w:jc w:val="center"/>
      </w:pPr>
    </w:p>
    <w:p w:rsidR="0004067A" w:rsidRPr="00786E87" w:rsidRDefault="0004067A" w:rsidP="0004067A">
      <w:pPr>
        <w:spacing w:after="80" w:line="276" w:lineRule="auto"/>
        <w:jc w:val="center"/>
      </w:pPr>
    </w:p>
    <w:tbl>
      <w:tblPr>
        <w:tblW w:w="7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4200"/>
      </w:tblGrid>
      <w:tr w:rsidR="0004067A" w:rsidRPr="00786E87" w:rsidTr="0004067A">
        <w:trPr>
          <w:jc w:val="center"/>
        </w:trPr>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4067A" w:rsidRPr="00786E87" w:rsidRDefault="0004067A" w:rsidP="0004067A">
            <w:pPr>
              <w:spacing w:before="55" w:after="55" w:line="276" w:lineRule="auto"/>
              <w:jc w:val="center"/>
            </w:pPr>
            <w:proofErr w:type="spellStart"/>
            <w:r w:rsidRPr="00786E87">
              <w:rPr>
                <w:b/>
                <w:bCs/>
              </w:rPr>
              <w:t>Programme</w:t>
            </w:r>
            <w:proofErr w:type="spellEnd"/>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4067A" w:rsidRPr="00786E87" w:rsidRDefault="0004067A" w:rsidP="0004067A">
            <w:pPr>
              <w:spacing w:before="55" w:after="55" w:line="276" w:lineRule="auto"/>
              <w:jc w:val="center"/>
            </w:pPr>
            <w:r w:rsidRPr="00786E87">
              <w:t>Master of Business Administration</w:t>
            </w:r>
          </w:p>
        </w:tc>
      </w:tr>
      <w:tr w:rsidR="0004067A" w:rsidRPr="00786E87" w:rsidTr="0004067A">
        <w:trPr>
          <w:jc w:val="center"/>
        </w:trPr>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4067A" w:rsidRPr="00786E87" w:rsidRDefault="0004067A" w:rsidP="0004067A">
            <w:pPr>
              <w:spacing w:before="55" w:after="55" w:line="276" w:lineRule="auto"/>
              <w:jc w:val="center"/>
            </w:pPr>
            <w:r w:rsidRPr="00786E87">
              <w:rPr>
                <w:b/>
                <w:bCs/>
              </w:rPr>
              <w:t>Module</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4067A" w:rsidRPr="00786E87" w:rsidRDefault="0004067A" w:rsidP="0004067A">
            <w:pPr>
              <w:spacing w:before="55" w:after="55" w:line="276" w:lineRule="auto"/>
              <w:jc w:val="center"/>
            </w:pPr>
            <w:r w:rsidRPr="00786E87">
              <w:t>International Business Concepts</w:t>
            </w:r>
          </w:p>
        </w:tc>
      </w:tr>
      <w:tr w:rsidR="0004067A" w:rsidRPr="00786E87" w:rsidTr="0004067A">
        <w:trPr>
          <w:jc w:val="center"/>
        </w:trPr>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4067A" w:rsidRPr="00786E87" w:rsidRDefault="0004067A" w:rsidP="0004067A">
            <w:pPr>
              <w:spacing w:before="55" w:after="55" w:line="276" w:lineRule="auto"/>
              <w:jc w:val="center"/>
            </w:pPr>
            <w:r w:rsidRPr="00786E87">
              <w:rPr>
                <w:b/>
                <w:bCs/>
              </w:rPr>
              <w:t>Lecturer</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4067A" w:rsidRPr="00786E87" w:rsidRDefault="00A978D7" w:rsidP="00A978D7">
            <w:pPr>
              <w:spacing w:before="55" w:after="55" w:line="276" w:lineRule="auto"/>
              <w:jc w:val="center"/>
            </w:pPr>
            <w:proofErr w:type="spellStart"/>
            <w:r>
              <w:t>Bentil</w:t>
            </w:r>
            <w:proofErr w:type="spellEnd"/>
            <w:r>
              <w:t xml:space="preserve"> </w:t>
            </w:r>
            <w:proofErr w:type="spellStart"/>
            <w:r>
              <w:t>Oduro</w:t>
            </w:r>
            <w:proofErr w:type="spellEnd"/>
          </w:p>
        </w:tc>
      </w:tr>
      <w:tr w:rsidR="0004067A" w:rsidRPr="00786E87" w:rsidTr="0004067A">
        <w:trPr>
          <w:jc w:val="center"/>
        </w:trPr>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4067A" w:rsidRPr="00786E87" w:rsidRDefault="0004067A" w:rsidP="0004067A">
            <w:pPr>
              <w:spacing w:before="55" w:after="55" w:line="276" w:lineRule="auto"/>
              <w:jc w:val="center"/>
              <w:rPr>
                <w:b/>
                <w:bCs/>
              </w:rPr>
            </w:pPr>
            <w:r w:rsidRPr="00786E87">
              <w:rPr>
                <w:b/>
                <w:bCs/>
              </w:rPr>
              <w:t>Student Name</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4067A" w:rsidRPr="00786E87" w:rsidRDefault="0004067A" w:rsidP="0004067A">
            <w:pPr>
              <w:spacing w:before="55" w:after="55" w:line="276" w:lineRule="auto"/>
              <w:jc w:val="center"/>
            </w:pPr>
            <w:r w:rsidRPr="00786E87">
              <w:t>Raj Nalinkumar Bharucha</w:t>
            </w:r>
          </w:p>
        </w:tc>
      </w:tr>
      <w:tr w:rsidR="0004067A" w:rsidRPr="00786E87" w:rsidTr="0004067A">
        <w:trPr>
          <w:jc w:val="center"/>
        </w:trPr>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4067A" w:rsidRPr="00786E87" w:rsidRDefault="0004067A" w:rsidP="0004067A">
            <w:pPr>
              <w:spacing w:before="55" w:after="55" w:line="276" w:lineRule="auto"/>
              <w:jc w:val="center"/>
              <w:rPr>
                <w:b/>
                <w:bCs/>
              </w:rPr>
            </w:pPr>
            <w:r w:rsidRPr="00786E87">
              <w:rPr>
                <w:b/>
                <w:bCs/>
              </w:rPr>
              <w:t>Student ID</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4067A" w:rsidRPr="00786E87" w:rsidRDefault="0004067A" w:rsidP="0004067A">
            <w:pPr>
              <w:spacing w:before="55" w:after="55" w:line="276" w:lineRule="auto"/>
              <w:jc w:val="center"/>
            </w:pPr>
            <w:r w:rsidRPr="00786E87">
              <w:t>2510180</w:t>
            </w:r>
          </w:p>
        </w:tc>
      </w:tr>
      <w:tr w:rsidR="0004067A" w:rsidRPr="00786E87" w:rsidTr="0004067A">
        <w:trPr>
          <w:jc w:val="center"/>
        </w:trPr>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4067A" w:rsidRPr="00786E87" w:rsidRDefault="0004067A" w:rsidP="0004067A">
            <w:pPr>
              <w:spacing w:before="55" w:after="55" w:line="276" w:lineRule="auto"/>
              <w:jc w:val="center"/>
            </w:pPr>
            <w:r w:rsidRPr="00786E87">
              <w:rPr>
                <w:b/>
                <w:bCs/>
              </w:rPr>
              <w:t>Submission</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4067A" w:rsidRPr="00786E87" w:rsidRDefault="0004067A" w:rsidP="0004067A">
            <w:pPr>
              <w:spacing w:before="55" w:after="55" w:line="276" w:lineRule="auto"/>
              <w:jc w:val="center"/>
            </w:pPr>
            <w:r>
              <w:t>Thursday 11/06</w:t>
            </w:r>
            <w:r w:rsidRPr="00786E87">
              <w:t>/2026</w:t>
            </w:r>
          </w:p>
        </w:tc>
      </w:tr>
    </w:tbl>
    <w:p w:rsidR="0004067A" w:rsidRDefault="0004067A" w:rsidP="0004067A">
      <w:pPr>
        <w:spacing w:line="276" w:lineRule="auto"/>
        <w:rPr>
          <w:b/>
          <w:bCs/>
          <w:color w:val="1F3864"/>
        </w:rPr>
      </w:pPr>
      <w:r w:rsidRPr="00786E87">
        <w:br/>
      </w:r>
    </w:p>
    <w:p w:rsidR="0004067A" w:rsidRDefault="0004067A" w:rsidP="0004067A">
      <w:pPr>
        <w:spacing w:line="276" w:lineRule="auto"/>
        <w:rPr>
          <w:b/>
          <w:bCs/>
          <w:color w:val="1F3864"/>
        </w:rPr>
      </w:pPr>
    </w:p>
    <w:p w:rsidR="00A978D7" w:rsidRDefault="00A978D7" w:rsidP="0004067A">
      <w:pPr>
        <w:spacing w:line="276" w:lineRule="auto"/>
        <w:rPr>
          <w:b/>
          <w:bCs/>
          <w:color w:val="1F3864"/>
        </w:rPr>
      </w:pPr>
    </w:p>
    <w:p w:rsidR="0079310C" w:rsidRDefault="0079310C" w:rsidP="0004067A">
      <w:pPr>
        <w:pStyle w:val="FirstParagraph"/>
      </w:pPr>
      <w:bookmarkStart w:id="2" w:name="executive-summary"/>
    </w:p>
    <w:p w:rsidR="004720D9" w:rsidRDefault="0004067A">
      <w:pPr>
        <w:pStyle w:val="Heading2"/>
      </w:pPr>
      <w:r>
        <w:lastRenderedPageBreak/>
        <w:t>Executive Summary</w:t>
      </w:r>
    </w:p>
    <w:p w:rsidR="004720D9" w:rsidRDefault="0004067A">
      <w:pPr>
        <w:pStyle w:val="FirstParagraph"/>
      </w:pPr>
      <w:r>
        <w:t xml:space="preserve">With UK hospitality growing at ~6% annually and Leicester’s population now 59.1% non-white (43.4% Asian), there is strong demand for diverse Indian cuisine. </w:t>
      </w:r>
      <w:r>
        <w:rPr>
          <w:i/>
          <w:iCs/>
        </w:rPr>
        <w:t>Taste of India</w:t>
      </w:r>
      <w:r>
        <w:t xml:space="preserve"> will launch a regional Indian restaurant on Melton Road, Leicester, catering to local South Asian and food-enthusiast diners. The concept (tagline “Every Dish Tells a Story”) fills a gap between generic curry houses and fine-dining (noted as a growing market niche). Key objectives include a soft launch in 6 months, 60–80 daily covers by month 6, Halal certification from opening (23.5% of Leicester is Muslim), and break-even by month 6. The proposal outlines methodology (surveys, industry reports), market analysis (size, segments, competitors), risk mitigation, funding options, and a Gantt timeline.</w:t>
      </w:r>
    </w:p>
    <w:p w:rsidR="00A978D7" w:rsidRDefault="00A978D7">
      <w:pPr>
        <w:pStyle w:val="Heading2"/>
      </w:pPr>
      <w:bookmarkStart w:id="3" w:name="introduction"/>
      <w:bookmarkEnd w:id="2"/>
    </w:p>
    <w:p w:rsidR="00A978D7" w:rsidRDefault="00A978D7">
      <w:pPr>
        <w:pStyle w:val="Heading2"/>
      </w:pPr>
    </w:p>
    <w:p w:rsidR="004720D9" w:rsidRDefault="0004067A">
      <w:pPr>
        <w:pStyle w:val="Heading2"/>
      </w:pPr>
      <w:r>
        <w:t>Introduction</w:t>
      </w:r>
    </w:p>
    <w:p w:rsidR="004720D9" w:rsidRDefault="0004067A">
      <w:pPr>
        <w:pStyle w:val="FirstParagraph"/>
      </w:pPr>
      <w:r>
        <w:t>Taste of India aims to be Leicester’s premier regional Indian restaurant. Leicester’s vibrant ethnic mix (only 41% identify as white) and 26% Hindu population suggest a deep local interest in South Asian cuisine. Nationally, there are roughly 10–12,000 “curry houses” in the UK, generating £4–5 billion annually. Yet recent reviews note a gap for modern, regionally authentic Indian dining. This proposal assumes a Leicester, UK location (Melton Road), targeting local residents (families, students, professionals), with GBP financing secured pre-launch. Planning, fit-out and licensing are assumed to complete within ~6 months.</w:t>
      </w:r>
    </w:p>
    <w:p w:rsidR="0079310C" w:rsidRDefault="0079310C">
      <w:pPr>
        <w:pStyle w:val="Heading3"/>
      </w:pPr>
      <w:bookmarkStart w:id="4" w:name="aims-and-objectives"/>
    </w:p>
    <w:p w:rsidR="0079310C" w:rsidRDefault="0079310C">
      <w:pPr>
        <w:pStyle w:val="Heading3"/>
      </w:pPr>
    </w:p>
    <w:p w:rsidR="0079310C" w:rsidRDefault="0079310C">
      <w:pPr>
        <w:pStyle w:val="Heading3"/>
      </w:pPr>
    </w:p>
    <w:p w:rsidR="0079310C" w:rsidRDefault="0079310C">
      <w:pPr>
        <w:pStyle w:val="Heading3"/>
      </w:pPr>
    </w:p>
    <w:p w:rsidR="004720D9" w:rsidRDefault="0004067A">
      <w:pPr>
        <w:pStyle w:val="Heading3"/>
      </w:pPr>
      <w:r>
        <w:t>Aims and Objectives</w:t>
      </w:r>
    </w:p>
    <w:p w:rsidR="004720D9" w:rsidRDefault="0004067A">
      <w:pPr>
        <w:pStyle w:val="Compact"/>
        <w:numPr>
          <w:ilvl w:val="0"/>
          <w:numId w:val="2"/>
        </w:numPr>
      </w:pPr>
      <w:r>
        <w:rPr>
          <w:b/>
          <w:bCs/>
        </w:rPr>
        <w:t>Business Aim:</w:t>
      </w:r>
      <w:r>
        <w:t xml:space="preserve"> Establish </w:t>
      </w:r>
      <w:r>
        <w:rPr>
          <w:i/>
          <w:iCs/>
        </w:rPr>
        <w:t>Taste of India</w:t>
      </w:r>
      <w:r>
        <w:t xml:space="preserve"> as a profitable Leicester restaurant specializing in authentic regional Indian cuisine, storytelling through menu, and a modern dining experience.</w:t>
      </w:r>
    </w:p>
    <w:p w:rsidR="00215F76" w:rsidRDefault="0004067A">
      <w:pPr>
        <w:pStyle w:val="Compact"/>
        <w:numPr>
          <w:ilvl w:val="0"/>
          <w:numId w:val="2"/>
        </w:numPr>
      </w:pPr>
      <w:r>
        <w:rPr>
          <w:b/>
          <w:bCs/>
        </w:rPr>
        <w:t>Objectives:</w:t>
      </w:r>
      <w:r>
        <w:t xml:space="preserve"> </w:t>
      </w:r>
    </w:p>
    <w:p w:rsidR="00215F76" w:rsidRDefault="00215F76" w:rsidP="00215F76">
      <w:pPr>
        <w:pStyle w:val="Compact"/>
        <w:ind w:left="720"/>
      </w:pPr>
      <w:r>
        <w:t xml:space="preserve">The objectives of this study are as follows: </w:t>
      </w:r>
    </w:p>
    <w:p w:rsidR="0079310C" w:rsidRDefault="0004067A" w:rsidP="00215F76">
      <w:pPr>
        <w:pStyle w:val="Compact"/>
        <w:ind w:left="720"/>
      </w:pPr>
      <w:r>
        <w:t xml:space="preserve">(1) Secure site, fit-out and licenses within 3 months; </w:t>
      </w:r>
    </w:p>
    <w:p w:rsidR="0079310C" w:rsidRDefault="0004067A" w:rsidP="00215F76">
      <w:pPr>
        <w:pStyle w:val="Compact"/>
        <w:ind w:left="720"/>
      </w:pPr>
      <w:r>
        <w:t xml:space="preserve">(2) Launch with Halal certification and 60–80 covers/day by month 6; </w:t>
      </w:r>
    </w:p>
    <w:p w:rsidR="0079310C" w:rsidRDefault="0004067A" w:rsidP="00215F76">
      <w:pPr>
        <w:pStyle w:val="Compact"/>
        <w:ind w:left="720"/>
      </w:pPr>
      <w:r>
        <w:t xml:space="preserve">(3) Attain 2,000 Instagram followers by month 6; </w:t>
      </w:r>
    </w:p>
    <w:p w:rsidR="0079310C" w:rsidRDefault="0004067A" w:rsidP="00215F76">
      <w:pPr>
        <w:pStyle w:val="Compact"/>
        <w:ind w:left="720"/>
      </w:pPr>
      <w:r>
        <w:t xml:space="preserve">(4) Achieve break-even in 6 months; </w:t>
      </w:r>
    </w:p>
    <w:p w:rsidR="004720D9" w:rsidRDefault="0004067A" w:rsidP="00215F76">
      <w:pPr>
        <w:pStyle w:val="Compact"/>
        <w:ind w:left="720"/>
      </w:pPr>
      <w:r>
        <w:t>(5) Expand menu offerings by year 1.</w:t>
      </w:r>
    </w:p>
    <w:p w:rsidR="0004067A" w:rsidRDefault="0004067A">
      <w:pPr>
        <w:pStyle w:val="Heading2"/>
      </w:pPr>
      <w:bookmarkStart w:id="5" w:name="companyidea-description"/>
      <w:bookmarkEnd w:id="3"/>
      <w:bookmarkEnd w:id="4"/>
    </w:p>
    <w:p w:rsidR="0004067A" w:rsidRDefault="0004067A">
      <w:pPr>
        <w:pStyle w:val="Heading2"/>
      </w:pPr>
    </w:p>
    <w:p w:rsidR="0004067A" w:rsidRDefault="0004067A">
      <w:pPr>
        <w:pStyle w:val="Heading2"/>
      </w:pPr>
    </w:p>
    <w:p w:rsidR="004720D9" w:rsidRDefault="004720D9">
      <w:pPr>
        <w:pStyle w:val="Heading2"/>
      </w:pPr>
    </w:p>
    <w:p w:rsidR="0004067A" w:rsidRDefault="0004067A">
      <w:pPr>
        <w:pStyle w:val="FirstParagraph"/>
      </w:pPr>
    </w:p>
    <w:p w:rsidR="0004067A" w:rsidRDefault="0004067A">
      <w:pPr>
        <w:pStyle w:val="FirstParagraph"/>
      </w:pPr>
    </w:p>
    <w:p w:rsidR="0004067A" w:rsidRPr="0004067A" w:rsidRDefault="0004067A" w:rsidP="0004067A">
      <w:pPr>
        <w:pStyle w:val="Heading2"/>
      </w:pPr>
      <w:r>
        <w:t xml:space="preserve">Company/Idea </w:t>
      </w:r>
      <w:r w:rsidRPr="0004067A">
        <w:t>Description</w:t>
      </w:r>
    </w:p>
    <w:p w:rsidR="004720D9" w:rsidRDefault="0004067A">
      <w:pPr>
        <w:pStyle w:val="FirstParagraph"/>
      </w:pPr>
      <w:r>
        <w:t>Taste of India is a proposed full-service restaurant and takeaway. The concept focuses on diverse Indian regions (e.g. Punjabi curries, South Indian coconut- and tamarind-based dishes, street-food “</w:t>
      </w:r>
      <w:proofErr w:type="spellStart"/>
      <w:r>
        <w:t>chaat</w:t>
      </w:r>
      <w:proofErr w:type="spellEnd"/>
      <w:r>
        <w:t>”), under the theme “Every dish tells a story.” The owners will emphasize authentic recipes, fresh ingredients, and cultural authenticity. The Leicester site (Melton Road) is in a busy commercial area with many South Asian residents and existing eateries. The restaurant will offer dine-in (up to ~60 covers), takeaway, and delivery (via apps). A fully licensed bar allows Indian-inspired cocktails. Fully Halal operations will cater to Leicester’s 23.5% Muslim population. Menu pricing will be mid-range (mains ~£10–£15, thali combos £15–£20) comparable to local competitors. The value proposition is a vibrant atmosphere + authentic regional menu, filling a niche between generic curry houses and high-end restaurants.</w:t>
      </w:r>
    </w:p>
    <w:p w:rsidR="0079310C" w:rsidRDefault="0079310C">
      <w:pPr>
        <w:pStyle w:val="Heading2"/>
      </w:pPr>
      <w:bookmarkStart w:id="6" w:name="methodology-to-gather-data"/>
      <w:bookmarkEnd w:id="5"/>
    </w:p>
    <w:p w:rsidR="0079310C" w:rsidRDefault="0079310C">
      <w:pPr>
        <w:pStyle w:val="Heading2"/>
      </w:pPr>
    </w:p>
    <w:p w:rsidR="0004067A" w:rsidRDefault="0004067A" w:rsidP="0004067A">
      <w:pPr>
        <w:pStyle w:val="BodyText"/>
        <w:rPr>
          <w:rFonts w:asciiTheme="majorHAnsi" w:eastAsiaTheme="majorEastAsia" w:hAnsiTheme="majorHAnsi" w:cstheme="majorBidi"/>
          <w:color w:val="0F4761" w:themeColor="accent1" w:themeShade="BF"/>
          <w:sz w:val="32"/>
          <w:szCs w:val="32"/>
        </w:rPr>
      </w:pPr>
    </w:p>
    <w:p w:rsidR="0004067A" w:rsidRPr="0004067A" w:rsidRDefault="0004067A" w:rsidP="0004067A">
      <w:pPr>
        <w:pStyle w:val="BodyText"/>
      </w:pPr>
    </w:p>
    <w:p w:rsidR="004720D9" w:rsidRDefault="0004067A">
      <w:pPr>
        <w:pStyle w:val="Heading2"/>
      </w:pPr>
      <w:r>
        <w:t>Methodology to Gather Data</w:t>
      </w:r>
    </w:p>
    <w:p w:rsidR="000C087C" w:rsidRDefault="000C087C" w:rsidP="000C087C">
      <w:pPr>
        <w:pStyle w:val="FirstParagraph"/>
      </w:pPr>
      <w:r>
        <w:t xml:space="preserve">The research adopts a </w:t>
      </w:r>
      <w:r>
        <w:rPr>
          <w:b/>
          <w:bCs/>
        </w:rPr>
        <w:t>secondary data-driven</w:t>
      </w:r>
      <w:r>
        <w:t xml:space="preserve"> framework. We gather published information rather than conducting new surveys or interviews. Data sources include:</w:t>
      </w:r>
    </w:p>
    <w:p w:rsidR="000C087C" w:rsidRDefault="000C087C" w:rsidP="000C087C">
      <w:pPr>
        <w:pStyle w:val="Compact"/>
        <w:numPr>
          <w:ilvl w:val="0"/>
          <w:numId w:val="2"/>
        </w:numPr>
      </w:pPr>
      <w:r>
        <w:rPr>
          <w:b/>
          <w:bCs/>
        </w:rPr>
        <w:t>Official statistics:</w:t>
      </w:r>
      <w:r>
        <w:t xml:space="preserve"> UK Office for National Statistics (ONS) for demographic, economic, and consumption data (e.g. Leicester population, spending on foodservice), and Leicester City Council/tourism reports for visitor economy figures.</w:t>
      </w:r>
    </w:p>
    <w:p w:rsidR="000C087C" w:rsidRDefault="000C087C" w:rsidP="000C087C">
      <w:pPr>
        <w:pStyle w:val="Compact"/>
        <w:numPr>
          <w:ilvl w:val="0"/>
          <w:numId w:val="2"/>
        </w:numPr>
      </w:pPr>
      <w:r>
        <w:rPr>
          <w:b/>
          <w:bCs/>
        </w:rPr>
        <w:t>Industry reports and databases:</w:t>
      </w:r>
      <w:r>
        <w:t xml:space="preserve"> Trade and market research sources such as Lumina Intelligence (market sizing press releases), Mintel/Euro monitor (via library), and BDO or Barclays hospitality analyses, providing up-to-date industry trends. A UK Parliament briefing notes ~176k hospitality businesses (97.7% SMEs) highlighting the sector’s scale.</w:t>
      </w:r>
    </w:p>
    <w:p w:rsidR="000C087C" w:rsidRDefault="000C087C" w:rsidP="000C087C">
      <w:pPr>
        <w:pStyle w:val="Compact"/>
        <w:numPr>
          <w:ilvl w:val="0"/>
          <w:numId w:val="2"/>
        </w:numPr>
      </w:pPr>
      <w:r>
        <w:rPr>
          <w:b/>
          <w:bCs/>
        </w:rPr>
        <w:t>Academic literature:</w:t>
      </w:r>
      <w:r>
        <w:t xml:space="preserve"> Journals on hospitality, consumer </w:t>
      </w:r>
      <w:proofErr w:type="spellStart"/>
      <w:r>
        <w:t>behaviour</w:t>
      </w:r>
      <w:proofErr w:type="spellEnd"/>
      <w:r>
        <w:t>, and ethnic cuisine preferences (e.g. studies on ethnic food consumption drivers) inform understanding of customer motivations and trend forecasts.</w:t>
      </w:r>
    </w:p>
    <w:p w:rsidR="000C087C" w:rsidRDefault="000C087C" w:rsidP="000C087C">
      <w:pPr>
        <w:pStyle w:val="Compact"/>
        <w:numPr>
          <w:ilvl w:val="0"/>
          <w:numId w:val="2"/>
        </w:numPr>
      </w:pPr>
      <w:r>
        <w:rPr>
          <w:b/>
          <w:bCs/>
        </w:rPr>
        <w:t>Trade publications and news:</w:t>
      </w:r>
      <w:r>
        <w:t xml:space="preserve"> Local media (Leicester Mercury, business news) and sector blogs can reveal competitor activity, council initiatives, or consumer interest (e.g. Leicester’s Curry Awards, new openings).</w:t>
      </w:r>
    </w:p>
    <w:p w:rsidR="000C087C" w:rsidRDefault="000C087C" w:rsidP="000C087C">
      <w:pPr>
        <w:pStyle w:val="Compact"/>
        <w:numPr>
          <w:ilvl w:val="0"/>
          <w:numId w:val="2"/>
        </w:numPr>
      </w:pPr>
      <w:r>
        <w:rPr>
          <w:b/>
          <w:bCs/>
        </w:rPr>
        <w:t>Competitor information:</w:t>
      </w:r>
      <w:r>
        <w:t xml:space="preserve"> Companies House filings, websites, and review sites (TripAdvisor, Google) for key local Indian restaurants (e.g. Chutney Ivy, Herb, Spice </w:t>
      </w:r>
      <w:proofErr w:type="spellStart"/>
      <w:r>
        <w:t>Bazzar</w:t>
      </w:r>
      <w:proofErr w:type="spellEnd"/>
      <w:r>
        <w:t>) to profile offerings, prices, and capacity.</w:t>
      </w:r>
    </w:p>
    <w:p w:rsidR="000C087C" w:rsidRDefault="000C087C" w:rsidP="000C087C">
      <w:pPr>
        <w:pStyle w:val="Compact"/>
        <w:numPr>
          <w:ilvl w:val="0"/>
          <w:numId w:val="2"/>
        </w:numPr>
      </w:pPr>
      <w:r>
        <w:rPr>
          <w:b/>
          <w:bCs/>
        </w:rPr>
        <w:t>Local resources:</w:t>
      </w:r>
      <w:r>
        <w:t xml:space="preserve"> Leicester Open Data or council surveys for city-specific food/hospitality data.</w:t>
      </w:r>
    </w:p>
    <w:p w:rsidR="00A978D7" w:rsidRDefault="00A978D7" w:rsidP="000C087C">
      <w:pPr>
        <w:pStyle w:val="FirstParagraph"/>
      </w:pPr>
    </w:p>
    <w:p w:rsidR="00A978D7" w:rsidRDefault="00A978D7" w:rsidP="000C087C">
      <w:pPr>
        <w:pStyle w:val="FirstParagraph"/>
      </w:pPr>
    </w:p>
    <w:p w:rsidR="00A978D7" w:rsidRDefault="00A978D7" w:rsidP="000C087C">
      <w:pPr>
        <w:pStyle w:val="FirstParagraph"/>
      </w:pPr>
    </w:p>
    <w:p w:rsidR="00A978D7" w:rsidRDefault="00A978D7" w:rsidP="000C087C">
      <w:pPr>
        <w:pStyle w:val="FirstParagraph"/>
      </w:pPr>
    </w:p>
    <w:p w:rsidR="000C087C" w:rsidRDefault="000C087C" w:rsidP="000C087C">
      <w:pPr>
        <w:pStyle w:val="FirstParagraph"/>
      </w:pPr>
      <w:r>
        <w:lastRenderedPageBreak/>
        <w:t>Analysis methods include:</w:t>
      </w:r>
    </w:p>
    <w:p w:rsidR="000C087C" w:rsidRDefault="000C087C" w:rsidP="000C087C">
      <w:pPr>
        <w:pStyle w:val="Compact"/>
        <w:numPr>
          <w:ilvl w:val="0"/>
          <w:numId w:val="2"/>
        </w:numPr>
      </w:pPr>
      <w:r>
        <w:rPr>
          <w:b/>
          <w:bCs/>
        </w:rPr>
        <w:t>PESTLE analysis</w:t>
      </w:r>
      <w:r>
        <w:t xml:space="preserve"> (Political, Economic, Social, Technological, Legal, Environmental) to assess macro-environment factors affecting the business (e.g. economic growth, inflation, food hygiene regulations, sustainability trends). This helps ensure the plan aligns with current contexts.</w:t>
      </w:r>
    </w:p>
    <w:p w:rsidR="000C087C" w:rsidRDefault="000C087C" w:rsidP="000C087C">
      <w:pPr>
        <w:pStyle w:val="Compact"/>
        <w:numPr>
          <w:ilvl w:val="0"/>
          <w:numId w:val="2"/>
        </w:numPr>
      </w:pPr>
      <w:r>
        <w:rPr>
          <w:b/>
          <w:bCs/>
        </w:rPr>
        <w:t>SWOT analysis</w:t>
      </w:r>
      <w:r>
        <w:t xml:space="preserve"> to identify internal strengths/weaknesses (e.g. unique menu vs. small scale) and external opportunities/threats (e.g. growing tourism vs. fierce competition).</w:t>
      </w:r>
    </w:p>
    <w:p w:rsidR="000C087C" w:rsidRDefault="000C087C" w:rsidP="000C087C">
      <w:pPr>
        <w:pStyle w:val="Compact"/>
        <w:numPr>
          <w:ilvl w:val="0"/>
          <w:numId w:val="2"/>
        </w:numPr>
      </w:pPr>
      <w:r>
        <w:rPr>
          <w:b/>
          <w:bCs/>
        </w:rPr>
        <w:t>Demand forecasting</w:t>
      </w:r>
      <w:r>
        <w:t xml:space="preserve"> using quantitative data: for example, applying ONS consumption figures to Leicester’s population. ONS shows UK restaurants/cafés spending has rebounded to ~£37.35bn quarterly by Q4 2025, above pre-pandemic levels, indicating strong underlying demand. Leveraging Leicester’s demographics (43% Asian population) and visitor numbers, we will estimate potential customer traffic and sales volume.</w:t>
      </w:r>
    </w:p>
    <w:p w:rsidR="000C087C" w:rsidRDefault="000C087C" w:rsidP="000C087C">
      <w:pPr>
        <w:pStyle w:val="Compact"/>
        <w:numPr>
          <w:ilvl w:val="0"/>
          <w:numId w:val="2"/>
        </w:numPr>
      </w:pPr>
      <w:r>
        <w:rPr>
          <w:b/>
          <w:bCs/>
        </w:rPr>
        <w:t>Comparative benchmarking:</w:t>
      </w:r>
      <w:r>
        <w:t xml:space="preserve"> We will benchmark against competitor key metrics. For instance, the average full-service UK restaurant net profit margin is only ~3–5%, so pricing and cost structures must be realistic.</w:t>
      </w:r>
    </w:p>
    <w:p w:rsidR="000C087C" w:rsidRDefault="000C087C" w:rsidP="000C087C">
      <w:pPr>
        <w:pStyle w:val="Compact"/>
        <w:numPr>
          <w:ilvl w:val="0"/>
          <w:numId w:val="2"/>
        </w:numPr>
      </w:pPr>
      <w:r>
        <w:rPr>
          <w:b/>
          <w:bCs/>
        </w:rPr>
        <w:t>Competitor profiling:</w:t>
      </w:r>
      <w:r>
        <w:t xml:space="preserve"> Detailed comparisons of local rivals by cuisine style, location, price range, and unique selling points (see Table 1). For example, Chutney Ivy is an “upscale, contemporary” city-center fine-dining Indian restaurant, while Spice </w:t>
      </w:r>
      <w:proofErr w:type="spellStart"/>
      <w:r>
        <w:t>Bazzar</w:t>
      </w:r>
      <w:proofErr w:type="spellEnd"/>
      <w:r>
        <w:t xml:space="preserve"> is a “down-to-earth” suburban curry house. This profiling identifies market gaps (e.g. few mid-priced, authentic regional menus).</w:t>
      </w:r>
    </w:p>
    <w:p w:rsidR="000C087C" w:rsidRDefault="000C087C" w:rsidP="000C087C">
      <w:pPr>
        <w:pStyle w:val="Compact"/>
        <w:numPr>
          <w:ilvl w:val="0"/>
          <w:numId w:val="2"/>
        </w:numPr>
      </w:pPr>
      <w:r>
        <w:rPr>
          <w:b/>
          <w:bCs/>
        </w:rPr>
        <w:t>Thematic analysis of qualitative sources:</w:t>
      </w:r>
      <w:r>
        <w:t xml:space="preserve"> Synthesizing industry expert commentary on consumer trends (e.g. desire for authenticity, ethical sourcing, fusion menus) to guide concept refinement.</w:t>
      </w:r>
    </w:p>
    <w:p w:rsidR="004720D9" w:rsidRDefault="000C087C" w:rsidP="000C087C">
      <w:pPr>
        <w:pStyle w:val="FirstParagraph"/>
      </w:pPr>
      <w:r>
        <w:t xml:space="preserve">These methods are </w:t>
      </w:r>
      <w:r>
        <w:rPr>
          <w:b/>
          <w:bCs/>
        </w:rPr>
        <w:t>chosen and justified</w:t>
      </w:r>
      <w:r>
        <w:t xml:space="preserve"> as follows: secondary data is timely, cost-effective, and avoids ethical complexities of human subjects. Official/industry sources ensure data credibility and relevance. PESTLE and SWOT are standard strategic tools for new ventures. Benchmarking and forecasting ground the plan in numeric reality rather than assumptions. Together, they form a comprehensive, feasible approach proportionate to this project’s scope. The approach will yield actionable outputs (market estimates, strategic options, SWOT/PESTLE summaries) that directly inform the business model and anticipated impacts.</w:t>
      </w:r>
    </w:p>
    <w:p w:rsidR="0004067A" w:rsidRDefault="0004067A" w:rsidP="0079310C">
      <w:pPr>
        <w:pStyle w:val="Heading2"/>
        <w:spacing w:before="100" w:beforeAutospacing="1" w:after="100" w:afterAutospacing="1"/>
      </w:pPr>
      <w:bookmarkStart w:id="7" w:name="market-research-and-validation"/>
      <w:bookmarkEnd w:id="6"/>
    </w:p>
    <w:p w:rsidR="004720D9" w:rsidRDefault="0004067A" w:rsidP="0079310C">
      <w:pPr>
        <w:pStyle w:val="Heading2"/>
        <w:spacing w:before="100" w:beforeAutospacing="1" w:after="100" w:afterAutospacing="1"/>
      </w:pPr>
      <w:r>
        <w:t>Market Research and Validation</w:t>
      </w:r>
    </w:p>
    <w:p w:rsidR="004720D9" w:rsidRDefault="0004067A">
      <w:pPr>
        <w:pStyle w:val="Heading3"/>
      </w:pPr>
      <w:bookmarkStart w:id="8" w:name="market-size-and-segmentation"/>
      <w:r>
        <w:t>Market Size and Segmentation</w:t>
      </w:r>
    </w:p>
    <w:p w:rsidR="000C087C" w:rsidRDefault="000C087C" w:rsidP="000C087C">
      <w:pPr>
        <w:pStyle w:val="FirstParagraph"/>
      </w:pPr>
      <w:r>
        <w:t>The UK “eating out” market remains large and growing. Lumina Intelligence projects the UK eating-out market will reach £102.8 billion in 2026 (≈+1.8% YOY). Despite cost pressures, consumers continue to dine out; a Barclays report notes restaurant spending growth (up 6.7% in April 2025) as of 16-month highs. The ethnic food segment is expanding: the UK ethnic food market grew from ~£1.9bn (2018) to £3.12bn (2024), with projections doubling by 2032, driven by multiculturalism and gourmet trends. Asian cuisines (including Indian) dominate roughly 45% of that market share.</w:t>
      </w:r>
    </w:p>
    <w:p w:rsidR="000C087C" w:rsidRDefault="000C087C" w:rsidP="000C087C">
      <w:pPr>
        <w:pStyle w:val="BodyText"/>
      </w:pPr>
      <w:r>
        <w:t>Locally, Leicester’s vibrant tourist economy supports hospitality demand. In 2024, 32.04 million visits were made to Leicester &amp; Leicestershire, generating £2.558 </w:t>
      </w:r>
      <w:proofErr w:type="spellStart"/>
      <w:r>
        <w:t>bn</w:t>
      </w:r>
      <w:proofErr w:type="spellEnd"/>
      <w:r>
        <w:t xml:space="preserve"> (a 6.75% increase). The city is celebrated for South Asian culture (largest UK Diwali outside India), ensuring steady interest in Indian dining. Census data shows Leicester is a net-gainer of migrants (42% born outside UK, top country India), reinforcing the cultural affinity for Indian cuisine</w:t>
      </w:r>
      <w:r>
        <w:t>.</w:t>
      </w:r>
    </w:p>
    <w:p w:rsidR="000C087C" w:rsidRDefault="000C087C" w:rsidP="000C087C">
      <w:pPr>
        <w:pStyle w:val="Heading3"/>
      </w:pPr>
      <w:r>
        <w:lastRenderedPageBreak/>
        <w:t>Target Customer Segments</w:t>
      </w:r>
    </w:p>
    <w:p w:rsidR="000C087C" w:rsidRDefault="000C087C" w:rsidP="000C087C">
      <w:pPr>
        <w:pStyle w:val="BodyText"/>
      </w:pPr>
      <w:r>
        <w:t>We segment the target market as follows (Table 1). Key segments include the local British South Asian community (Gujarati, Punjabi, etc.), who value authentic regional dishes; health-conscious diners seeking vegetarian/vegan options; young professionals and students who enjoy diverse ethnic foods; families looking for group dining; and tourists (domestic and diaspora) exploring local cuisine. Each segment’s scale is significant: for example, Leicester’s Asian ethnic population is large and its student body (~60,000 across two universities) adds a dynamic, adventurous-eating cohort.</w:t>
      </w:r>
    </w:p>
    <w:tbl>
      <w:tblPr>
        <w:tblStyle w:val="Table"/>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
      <w:tblGrid>
        <w:gridCol w:w="2907"/>
        <w:gridCol w:w="5399"/>
        <w:gridCol w:w="2484"/>
      </w:tblGrid>
      <w:tr w:rsidR="000C087C" w:rsidTr="000C087C">
        <w:trPr>
          <w:cnfStyle w:val="100000000000" w:firstRow="1" w:lastRow="0" w:firstColumn="0" w:lastColumn="0" w:oddVBand="0" w:evenVBand="0" w:oddHBand="0" w:evenHBand="0" w:firstRowFirstColumn="0" w:firstRowLastColumn="0" w:lastRowFirstColumn="0" w:lastRowLastColumn="0"/>
          <w:tblHeader/>
        </w:trPr>
        <w:tc>
          <w:tcPr>
            <w:tcW w:w="0" w:type="auto"/>
            <w:tcBorders>
              <w:bottom w:val="none" w:sz="0" w:space="0" w:color="auto"/>
            </w:tcBorders>
          </w:tcPr>
          <w:p w:rsidR="000C087C" w:rsidRDefault="000C087C" w:rsidP="00451FE0">
            <w:pPr>
              <w:pStyle w:val="Compact"/>
            </w:pPr>
            <w:r>
              <w:rPr>
                <w:b/>
                <w:bCs/>
              </w:rPr>
              <w:t>Segment</w:t>
            </w:r>
          </w:p>
        </w:tc>
        <w:tc>
          <w:tcPr>
            <w:tcW w:w="0" w:type="auto"/>
            <w:tcBorders>
              <w:bottom w:val="none" w:sz="0" w:space="0" w:color="auto"/>
            </w:tcBorders>
          </w:tcPr>
          <w:p w:rsidR="000C087C" w:rsidRDefault="000C087C" w:rsidP="00451FE0">
            <w:pPr>
              <w:pStyle w:val="Compact"/>
            </w:pPr>
            <w:r>
              <w:rPr>
                <w:b/>
                <w:bCs/>
              </w:rPr>
              <w:t>Characteristics</w:t>
            </w:r>
          </w:p>
        </w:tc>
        <w:tc>
          <w:tcPr>
            <w:tcW w:w="0" w:type="auto"/>
            <w:tcBorders>
              <w:bottom w:val="none" w:sz="0" w:space="0" w:color="auto"/>
            </w:tcBorders>
          </w:tcPr>
          <w:p w:rsidR="000C087C" w:rsidRDefault="000C087C" w:rsidP="00451FE0">
            <w:pPr>
              <w:pStyle w:val="Compact"/>
            </w:pPr>
            <w:r>
              <w:rPr>
                <w:b/>
                <w:bCs/>
              </w:rPr>
              <w:t>Notes</w:t>
            </w:r>
          </w:p>
        </w:tc>
      </w:tr>
      <w:tr w:rsidR="000C087C" w:rsidTr="000C087C">
        <w:tc>
          <w:tcPr>
            <w:tcW w:w="0" w:type="auto"/>
          </w:tcPr>
          <w:p w:rsidR="000C087C" w:rsidRDefault="000C087C" w:rsidP="00451FE0">
            <w:pPr>
              <w:pStyle w:val="Compact"/>
            </w:pPr>
            <w:r>
              <w:rPr>
                <w:b/>
                <w:bCs/>
              </w:rPr>
              <w:t>South Asian diaspora (Gujarati/Punjabi families)</w:t>
            </w:r>
          </w:p>
        </w:tc>
        <w:tc>
          <w:tcPr>
            <w:tcW w:w="0" w:type="auto"/>
          </w:tcPr>
          <w:p w:rsidR="000C087C" w:rsidRDefault="000C087C" w:rsidP="00451FE0">
            <w:pPr>
              <w:pStyle w:val="Compact"/>
            </w:pPr>
            <w:r>
              <w:t>Established communities (59% ethnic minority). Cultural preference for authentic home-style Indian food (vegetarian and meat dishes), often halal.</w:t>
            </w:r>
          </w:p>
        </w:tc>
        <w:tc>
          <w:tcPr>
            <w:tcW w:w="0" w:type="auto"/>
          </w:tcPr>
          <w:p w:rsidR="000C087C" w:rsidRDefault="000C087C" w:rsidP="00451FE0">
            <w:pPr>
              <w:pStyle w:val="Compact"/>
            </w:pPr>
            <w:r>
              <w:t>Large, reliable demand base.</w:t>
            </w:r>
          </w:p>
        </w:tc>
      </w:tr>
      <w:tr w:rsidR="000C087C" w:rsidTr="000C087C">
        <w:tc>
          <w:tcPr>
            <w:tcW w:w="0" w:type="auto"/>
          </w:tcPr>
          <w:p w:rsidR="000C087C" w:rsidRDefault="000C087C" w:rsidP="00451FE0">
            <w:pPr>
              <w:pStyle w:val="Compact"/>
            </w:pPr>
            <w:r>
              <w:rPr>
                <w:b/>
                <w:bCs/>
              </w:rPr>
              <w:t>Vegetarian/Vegan diners</w:t>
            </w:r>
          </w:p>
        </w:tc>
        <w:tc>
          <w:tcPr>
            <w:tcW w:w="0" w:type="auto"/>
          </w:tcPr>
          <w:p w:rsidR="000C087C" w:rsidRDefault="000C087C" w:rsidP="00451FE0">
            <w:pPr>
              <w:pStyle w:val="Compact"/>
            </w:pPr>
            <w:r>
              <w:t>Includes Hindus, vegans/health-conscious customers. Leicester hosts many vegetarian venues (e.g. Bobby’s on Golden Mile).</w:t>
            </w:r>
          </w:p>
        </w:tc>
        <w:tc>
          <w:tcPr>
            <w:tcW w:w="0" w:type="auto"/>
          </w:tcPr>
          <w:p w:rsidR="000C087C" w:rsidRDefault="000C087C" w:rsidP="00451FE0">
            <w:pPr>
              <w:pStyle w:val="Compact"/>
            </w:pPr>
            <w:r>
              <w:t>Niche but important (Herb’s success).</w:t>
            </w:r>
          </w:p>
        </w:tc>
      </w:tr>
      <w:tr w:rsidR="000C087C" w:rsidTr="000C087C">
        <w:tc>
          <w:tcPr>
            <w:tcW w:w="0" w:type="auto"/>
          </w:tcPr>
          <w:p w:rsidR="000C087C" w:rsidRDefault="000C087C" w:rsidP="00451FE0">
            <w:pPr>
              <w:pStyle w:val="Compact"/>
            </w:pPr>
            <w:r>
              <w:rPr>
                <w:b/>
                <w:bCs/>
              </w:rPr>
              <w:t>Students &amp; Young Professionals</w:t>
            </w:r>
          </w:p>
        </w:tc>
        <w:tc>
          <w:tcPr>
            <w:tcW w:w="0" w:type="auto"/>
          </w:tcPr>
          <w:p w:rsidR="000C087C" w:rsidRDefault="000C087C" w:rsidP="00451FE0">
            <w:pPr>
              <w:pStyle w:val="Compact"/>
            </w:pPr>
            <w:r>
              <w:t>Leicester’s 2 universities (~60k students), many from diverse backgrounds. Trendy, value-conscious, may favor innovative or street-food style dining (e.g. My Delhi’s concept).</w:t>
            </w:r>
          </w:p>
        </w:tc>
        <w:tc>
          <w:tcPr>
            <w:tcW w:w="0" w:type="auto"/>
          </w:tcPr>
          <w:p w:rsidR="000C087C" w:rsidRDefault="000C087C" w:rsidP="00451FE0">
            <w:pPr>
              <w:pStyle w:val="Compact"/>
            </w:pPr>
            <w:r>
              <w:t>Growing segment; high engagement via social media.</w:t>
            </w:r>
          </w:p>
        </w:tc>
      </w:tr>
      <w:tr w:rsidR="000C087C" w:rsidTr="000C087C">
        <w:tc>
          <w:tcPr>
            <w:tcW w:w="0" w:type="auto"/>
          </w:tcPr>
          <w:p w:rsidR="000C087C" w:rsidRDefault="000C087C" w:rsidP="00451FE0">
            <w:pPr>
              <w:pStyle w:val="Compact"/>
            </w:pPr>
            <w:r>
              <w:rPr>
                <w:b/>
                <w:bCs/>
              </w:rPr>
              <w:t>Local families and middle-income locals</w:t>
            </w:r>
          </w:p>
        </w:tc>
        <w:tc>
          <w:tcPr>
            <w:tcW w:w="0" w:type="auto"/>
          </w:tcPr>
          <w:p w:rsidR="000C087C" w:rsidRDefault="000C087C" w:rsidP="00451FE0">
            <w:pPr>
              <w:pStyle w:val="Compact"/>
            </w:pPr>
            <w:r>
              <w:t>Urban professionals and families, multi-generational diners. Seek comfortable dining for occasions/outings.</w:t>
            </w:r>
          </w:p>
        </w:tc>
        <w:tc>
          <w:tcPr>
            <w:tcW w:w="0" w:type="auto"/>
          </w:tcPr>
          <w:p w:rsidR="000C087C" w:rsidRDefault="000C087C" w:rsidP="00451FE0">
            <w:pPr>
              <w:pStyle w:val="Compact"/>
            </w:pPr>
            <w:r>
              <w:t>Stable year-round demand.</w:t>
            </w:r>
          </w:p>
        </w:tc>
      </w:tr>
      <w:tr w:rsidR="000C087C" w:rsidTr="000C087C">
        <w:tc>
          <w:tcPr>
            <w:tcW w:w="0" w:type="auto"/>
          </w:tcPr>
          <w:p w:rsidR="000C087C" w:rsidRDefault="000C087C" w:rsidP="00451FE0">
            <w:pPr>
              <w:pStyle w:val="Compact"/>
            </w:pPr>
            <w:r>
              <w:rPr>
                <w:b/>
                <w:bCs/>
              </w:rPr>
              <w:t>Tourists and visitors</w:t>
            </w:r>
          </w:p>
        </w:tc>
        <w:tc>
          <w:tcPr>
            <w:tcW w:w="0" w:type="auto"/>
          </w:tcPr>
          <w:p w:rsidR="000C087C" w:rsidRDefault="000C087C" w:rsidP="00451FE0">
            <w:pPr>
              <w:pStyle w:val="Compact"/>
            </w:pPr>
            <w:r>
              <w:t xml:space="preserve">~10.33m city visits/year. Incl. domestic tourists and British Asian tourists. Look for “local </w:t>
            </w:r>
            <w:proofErr w:type="spellStart"/>
            <w:r>
              <w:t>flavour</w:t>
            </w:r>
            <w:proofErr w:type="spellEnd"/>
            <w:r>
              <w:t>” experiences.</w:t>
            </w:r>
          </w:p>
        </w:tc>
        <w:tc>
          <w:tcPr>
            <w:tcW w:w="0" w:type="auto"/>
          </w:tcPr>
          <w:p w:rsidR="000C087C" w:rsidRDefault="000C087C" w:rsidP="00451FE0">
            <w:pPr>
              <w:pStyle w:val="Compact"/>
            </w:pPr>
            <w:r>
              <w:t>Seasonal peaks (festivals, holidays) boost sales potential.</w:t>
            </w:r>
          </w:p>
        </w:tc>
      </w:tr>
      <w:tr w:rsidR="000C087C" w:rsidTr="000C087C">
        <w:tc>
          <w:tcPr>
            <w:tcW w:w="0" w:type="auto"/>
          </w:tcPr>
          <w:p w:rsidR="000C087C" w:rsidRDefault="000C087C" w:rsidP="00451FE0">
            <w:pPr>
              <w:pStyle w:val="Compact"/>
            </w:pPr>
            <w:r>
              <w:rPr>
                <w:b/>
                <w:bCs/>
              </w:rPr>
              <w:t>Business clientele</w:t>
            </w:r>
          </w:p>
        </w:tc>
        <w:tc>
          <w:tcPr>
            <w:tcW w:w="0" w:type="auto"/>
          </w:tcPr>
          <w:p w:rsidR="000C087C" w:rsidRDefault="000C087C" w:rsidP="00451FE0">
            <w:pPr>
              <w:pStyle w:val="Compact"/>
            </w:pPr>
            <w:r>
              <w:t>Corporate lunches, entertaining clients; Leicester’s business and conference activities.</w:t>
            </w:r>
          </w:p>
        </w:tc>
        <w:tc>
          <w:tcPr>
            <w:tcW w:w="0" w:type="auto"/>
          </w:tcPr>
          <w:p w:rsidR="000C087C" w:rsidRDefault="000C087C" w:rsidP="00451FE0">
            <w:pPr>
              <w:pStyle w:val="Compact"/>
            </w:pPr>
            <w:r>
              <w:t>Smaller segment, good for weekday mid-day trade.</w:t>
            </w:r>
          </w:p>
        </w:tc>
      </w:tr>
    </w:tbl>
    <w:p w:rsidR="000C087C" w:rsidRPr="000C087C" w:rsidRDefault="000C087C" w:rsidP="000C087C">
      <w:pPr>
        <w:pStyle w:val="BodyText"/>
      </w:pPr>
    </w:p>
    <w:p w:rsidR="0004067A" w:rsidRDefault="0004067A">
      <w:pPr>
        <w:pStyle w:val="Heading3"/>
      </w:pPr>
      <w:bookmarkStart w:id="9" w:name="competitors-and-benchmarking"/>
      <w:bookmarkEnd w:id="8"/>
    </w:p>
    <w:p w:rsidR="000C087C" w:rsidRPr="000C087C" w:rsidRDefault="000C087C" w:rsidP="000C087C">
      <w:pPr>
        <w:pStyle w:val="BodyText"/>
      </w:pPr>
    </w:p>
    <w:p w:rsidR="000C087C" w:rsidRDefault="000C087C" w:rsidP="0004067A">
      <w:pPr>
        <w:pStyle w:val="Heading3"/>
      </w:pPr>
    </w:p>
    <w:p w:rsidR="000C087C" w:rsidRDefault="000C087C" w:rsidP="0004067A">
      <w:pPr>
        <w:pStyle w:val="Heading3"/>
      </w:pPr>
    </w:p>
    <w:p w:rsidR="000C087C" w:rsidRDefault="000C087C" w:rsidP="0004067A">
      <w:pPr>
        <w:pStyle w:val="Heading3"/>
      </w:pPr>
    </w:p>
    <w:p w:rsidR="000C087C" w:rsidRDefault="000C087C" w:rsidP="0004067A">
      <w:pPr>
        <w:pStyle w:val="Heading3"/>
      </w:pPr>
    </w:p>
    <w:p w:rsidR="000C087C" w:rsidRDefault="000C087C" w:rsidP="0004067A">
      <w:pPr>
        <w:pStyle w:val="Heading3"/>
      </w:pPr>
    </w:p>
    <w:p w:rsidR="0004067A" w:rsidRDefault="0004067A" w:rsidP="0004067A">
      <w:pPr>
        <w:pStyle w:val="Heading3"/>
      </w:pPr>
    </w:p>
    <w:p w:rsidR="000C087C" w:rsidRDefault="000C087C" w:rsidP="000C087C">
      <w:pPr>
        <w:pStyle w:val="BodyText"/>
      </w:pPr>
    </w:p>
    <w:p w:rsidR="000C087C" w:rsidRDefault="000C087C" w:rsidP="000C087C">
      <w:pPr>
        <w:pStyle w:val="BodyText"/>
      </w:pPr>
    </w:p>
    <w:p w:rsidR="000C087C" w:rsidRPr="000C087C" w:rsidRDefault="000C087C" w:rsidP="000C087C">
      <w:pPr>
        <w:pStyle w:val="Heading2"/>
      </w:pPr>
      <w:r>
        <w:lastRenderedPageBreak/>
        <w:t>Competitors and Benchmarking</w:t>
      </w:r>
    </w:p>
    <w:p w:rsidR="000C087C" w:rsidRDefault="000C087C" w:rsidP="000C087C">
      <w:pPr>
        <w:pStyle w:val="FirstParagraph"/>
      </w:pPr>
      <w:r>
        <w:t xml:space="preserve">Leicester’s Indian restaurant market is competitive and diverse. We profiled key competitors to benchmark </w:t>
      </w:r>
      <w:r>
        <w:rPr>
          <w:i/>
          <w:iCs/>
        </w:rPr>
        <w:t>Taste of India</w:t>
      </w:r>
      <w:r>
        <w:t xml:space="preserve"> (Table 2). For example, </w:t>
      </w:r>
      <w:r>
        <w:rPr>
          <w:b/>
          <w:bCs/>
        </w:rPr>
        <w:t>Chutney Ivy</w:t>
      </w:r>
      <w:r>
        <w:t xml:space="preserve"> (city </w:t>
      </w:r>
      <w:proofErr w:type="spellStart"/>
      <w:r>
        <w:t>centre</w:t>
      </w:r>
      <w:proofErr w:type="spellEnd"/>
      <w:r>
        <w:t xml:space="preserve">) is an “upscale, contemporary Indian restaurant” with premium pricing. </w:t>
      </w:r>
      <w:proofErr w:type="spellStart"/>
      <w:r>
        <w:rPr>
          <w:b/>
          <w:bCs/>
        </w:rPr>
        <w:t>Kayal</w:t>
      </w:r>
      <w:proofErr w:type="spellEnd"/>
      <w:r>
        <w:t xml:space="preserve"> specializes in Keralan cuisine (seafood/vegetarian), while </w:t>
      </w:r>
      <w:r>
        <w:rPr>
          <w:b/>
          <w:bCs/>
        </w:rPr>
        <w:t xml:space="preserve">Spice </w:t>
      </w:r>
      <w:proofErr w:type="spellStart"/>
      <w:r>
        <w:rPr>
          <w:b/>
          <w:bCs/>
        </w:rPr>
        <w:t>Bazzar</w:t>
      </w:r>
      <w:proofErr w:type="spellEnd"/>
      <w:r>
        <w:t xml:space="preserve"> is a popular suburban </w:t>
      </w:r>
      <w:proofErr w:type="spellStart"/>
      <w:r>
        <w:t>curryhouse</w:t>
      </w:r>
      <w:proofErr w:type="spellEnd"/>
      <w:r>
        <w:t xml:space="preserve">. </w:t>
      </w:r>
      <w:r>
        <w:rPr>
          <w:b/>
          <w:bCs/>
        </w:rPr>
        <w:t>Herb</w:t>
      </w:r>
      <w:r>
        <w:t xml:space="preserve"> is an exclusively vegetarian South-Indian restaurant (Granby St) attracting health-conscious diners. </w:t>
      </w:r>
      <w:proofErr w:type="spellStart"/>
      <w:r>
        <w:rPr>
          <w:b/>
          <w:bCs/>
        </w:rPr>
        <w:t>Tamatanga</w:t>
      </w:r>
      <w:proofErr w:type="spellEnd"/>
      <w:r>
        <w:t xml:space="preserve"> (</w:t>
      </w:r>
      <w:proofErr w:type="spellStart"/>
      <w:r>
        <w:t>Highcross</w:t>
      </w:r>
      <w:proofErr w:type="spellEnd"/>
      <w:r>
        <w:t xml:space="preserve"> Centre) is a mid-market chain appealing to families. This spread shows the market ranges from budget to fine-dining. </w:t>
      </w:r>
      <w:r>
        <w:rPr>
          <w:i/>
          <w:iCs/>
        </w:rPr>
        <w:t>Taste of India</w:t>
      </w:r>
      <w:r>
        <w:t xml:space="preserve"> will position as mid to upper-mid, offering authentic flavors with moderate pricing.</w:t>
      </w:r>
    </w:p>
    <w:p w:rsidR="000C087C" w:rsidRPr="00B9022A" w:rsidRDefault="000C087C" w:rsidP="000C087C">
      <w:pPr>
        <w:pStyle w:val="BodyText"/>
      </w:pPr>
    </w:p>
    <w:tbl>
      <w:tblPr>
        <w:tblStyle w:val="Table"/>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
      <w:tblGrid>
        <w:gridCol w:w="1618"/>
        <w:gridCol w:w="2412"/>
        <w:gridCol w:w="4105"/>
        <w:gridCol w:w="2655"/>
      </w:tblGrid>
      <w:tr w:rsidR="000C087C" w:rsidTr="000C087C">
        <w:trPr>
          <w:cnfStyle w:val="100000000000" w:firstRow="1" w:lastRow="0" w:firstColumn="0" w:lastColumn="0" w:oddVBand="0" w:evenVBand="0" w:oddHBand="0" w:evenHBand="0" w:firstRowFirstColumn="0" w:firstRowLastColumn="0" w:lastRowFirstColumn="0" w:lastRowLastColumn="0"/>
          <w:tblHeader/>
        </w:trPr>
        <w:tc>
          <w:tcPr>
            <w:tcW w:w="0" w:type="auto"/>
            <w:tcBorders>
              <w:bottom w:val="none" w:sz="0" w:space="0" w:color="auto"/>
            </w:tcBorders>
          </w:tcPr>
          <w:p w:rsidR="000C087C" w:rsidRDefault="000C087C" w:rsidP="00451FE0">
            <w:pPr>
              <w:pStyle w:val="Compact"/>
            </w:pPr>
            <w:r>
              <w:rPr>
                <w:b/>
                <w:bCs/>
              </w:rPr>
              <w:t>Competitor</w:t>
            </w:r>
          </w:p>
        </w:tc>
        <w:tc>
          <w:tcPr>
            <w:tcW w:w="0" w:type="auto"/>
            <w:tcBorders>
              <w:bottom w:val="none" w:sz="0" w:space="0" w:color="auto"/>
            </w:tcBorders>
          </w:tcPr>
          <w:p w:rsidR="000C087C" w:rsidRDefault="000C087C" w:rsidP="00451FE0">
            <w:pPr>
              <w:pStyle w:val="Compact"/>
            </w:pPr>
            <w:r>
              <w:rPr>
                <w:b/>
                <w:bCs/>
              </w:rPr>
              <w:t>Location</w:t>
            </w:r>
          </w:p>
        </w:tc>
        <w:tc>
          <w:tcPr>
            <w:tcW w:w="0" w:type="auto"/>
            <w:tcBorders>
              <w:bottom w:val="none" w:sz="0" w:space="0" w:color="auto"/>
            </w:tcBorders>
          </w:tcPr>
          <w:p w:rsidR="000C087C" w:rsidRDefault="000C087C" w:rsidP="00451FE0">
            <w:pPr>
              <w:pStyle w:val="Compact"/>
            </w:pPr>
            <w:r>
              <w:rPr>
                <w:b/>
                <w:bCs/>
              </w:rPr>
              <w:t>Concept/Focus</w:t>
            </w:r>
          </w:p>
        </w:tc>
        <w:tc>
          <w:tcPr>
            <w:tcW w:w="0" w:type="auto"/>
            <w:tcBorders>
              <w:bottom w:val="none" w:sz="0" w:space="0" w:color="auto"/>
            </w:tcBorders>
          </w:tcPr>
          <w:p w:rsidR="000C087C" w:rsidRDefault="000C087C" w:rsidP="00451FE0">
            <w:pPr>
              <w:pStyle w:val="Compact"/>
            </w:pPr>
            <w:r>
              <w:rPr>
                <w:b/>
                <w:bCs/>
              </w:rPr>
              <w:t>Price Range (per main course)</w:t>
            </w:r>
          </w:p>
        </w:tc>
      </w:tr>
      <w:tr w:rsidR="000C087C" w:rsidTr="000C087C">
        <w:tc>
          <w:tcPr>
            <w:tcW w:w="0" w:type="auto"/>
          </w:tcPr>
          <w:p w:rsidR="000C087C" w:rsidRDefault="000C087C" w:rsidP="00451FE0">
            <w:pPr>
              <w:pStyle w:val="Compact"/>
            </w:pPr>
            <w:r>
              <w:rPr>
                <w:b/>
                <w:bCs/>
              </w:rPr>
              <w:t>Chutney Ivy</w:t>
            </w:r>
          </w:p>
        </w:tc>
        <w:tc>
          <w:tcPr>
            <w:tcW w:w="0" w:type="auto"/>
          </w:tcPr>
          <w:p w:rsidR="000C087C" w:rsidRDefault="000C087C" w:rsidP="00451FE0">
            <w:pPr>
              <w:pStyle w:val="Compact"/>
            </w:pPr>
            <w:r>
              <w:t>City Centre</w:t>
            </w:r>
          </w:p>
        </w:tc>
        <w:tc>
          <w:tcPr>
            <w:tcW w:w="0" w:type="auto"/>
          </w:tcPr>
          <w:p w:rsidR="000C087C" w:rsidRDefault="000C087C" w:rsidP="00451FE0">
            <w:pPr>
              <w:pStyle w:val="Compact"/>
            </w:pPr>
            <w:r>
              <w:t>Contemporary fine-dining North Indian cuisine</w:t>
            </w:r>
          </w:p>
        </w:tc>
        <w:tc>
          <w:tcPr>
            <w:tcW w:w="0" w:type="auto"/>
          </w:tcPr>
          <w:p w:rsidR="000C087C" w:rsidRDefault="000C087C" w:rsidP="00451FE0">
            <w:pPr>
              <w:pStyle w:val="Compact"/>
            </w:pPr>
            <w:r>
              <w:t>£25–35</w:t>
            </w:r>
          </w:p>
        </w:tc>
      </w:tr>
      <w:tr w:rsidR="000C087C" w:rsidTr="000C087C">
        <w:tc>
          <w:tcPr>
            <w:tcW w:w="0" w:type="auto"/>
          </w:tcPr>
          <w:p w:rsidR="000C087C" w:rsidRDefault="000C087C" w:rsidP="00451FE0">
            <w:pPr>
              <w:pStyle w:val="Compact"/>
            </w:pPr>
            <w:proofErr w:type="spellStart"/>
            <w:r>
              <w:rPr>
                <w:b/>
                <w:bCs/>
              </w:rPr>
              <w:t>Kayal</w:t>
            </w:r>
            <w:proofErr w:type="spellEnd"/>
          </w:p>
        </w:tc>
        <w:tc>
          <w:tcPr>
            <w:tcW w:w="0" w:type="auto"/>
          </w:tcPr>
          <w:p w:rsidR="000C087C" w:rsidRDefault="000C087C" w:rsidP="00451FE0">
            <w:pPr>
              <w:pStyle w:val="Compact"/>
            </w:pPr>
            <w:r>
              <w:t>Granby St (Golden Mile)</w:t>
            </w:r>
          </w:p>
        </w:tc>
        <w:tc>
          <w:tcPr>
            <w:tcW w:w="0" w:type="auto"/>
          </w:tcPr>
          <w:p w:rsidR="000C087C" w:rsidRDefault="000C087C" w:rsidP="00451FE0">
            <w:pPr>
              <w:pStyle w:val="Compact"/>
            </w:pPr>
            <w:r>
              <w:t>Keralan seafood &amp; vegetarian specialties</w:t>
            </w:r>
          </w:p>
        </w:tc>
        <w:tc>
          <w:tcPr>
            <w:tcW w:w="0" w:type="auto"/>
          </w:tcPr>
          <w:p w:rsidR="000C087C" w:rsidRDefault="000C087C" w:rsidP="00451FE0">
            <w:pPr>
              <w:pStyle w:val="Compact"/>
            </w:pPr>
            <w:r>
              <w:t>£12–20</w:t>
            </w:r>
          </w:p>
        </w:tc>
      </w:tr>
      <w:tr w:rsidR="000C087C" w:rsidTr="000C087C">
        <w:tc>
          <w:tcPr>
            <w:tcW w:w="0" w:type="auto"/>
          </w:tcPr>
          <w:p w:rsidR="000C087C" w:rsidRDefault="000C087C" w:rsidP="00451FE0">
            <w:pPr>
              <w:pStyle w:val="Compact"/>
            </w:pPr>
            <w:r>
              <w:rPr>
                <w:b/>
                <w:bCs/>
              </w:rPr>
              <w:t>Herb</w:t>
            </w:r>
          </w:p>
        </w:tc>
        <w:tc>
          <w:tcPr>
            <w:tcW w:w="0" w:type="auto"/>
          </w:tcPr>
          <w:p w:rsidR="000C087C" w:rsidRDefault="000C087C" w:rsidP="00451FE0">
            <w:pPr>
              <w:pStyle w:val="Compact"/>
            </w:pPr>
            <w:r>
              <w:t>Granby St</w:t>
            </w:r>
          </w:p>
        </w:tc>
        <w:tc>
          <w:tcPr>
            <w:tcW w:w="0" w:type="auto"/>
          </w:tcPr>
          <w:p w:rsidR="000C087C" w:rsidRDefault="000C087C" w:rsidP="00451FE0">
            <w:pPr>
              <w:pStyle w:val="Compact"/>
            </w:pPr>
            <w:r>
              <w:t>Vegetarian/Kerala cuisine (veg/vegan focus)</w:t>
            </w:r>
          </w:p>
        </w:tc>
        <w:tc>
          <w:tcPr>
            <w:tcW w:w="0" w:type="auto"/>
          </w:tcPr>
          <w:p w:rsidR="000C087C" w:rsidRDefault="000C087C" w:rsidP="00451FE0">
            <w:pPr>
              <w:pStyle w:val="Compact"/>
            </w:pPr>
            <w:r>
              <w:t>£10–15</w:t>
            </w:r>
          </w:p>
        </w:tc>
      </w:tr>
      <w:tr w:rsidR="000C087C" w:rsidTr="000C087C">
        <w:tc>
          <w:tcPr>
            <w:tcW w:w="0" w:type="auto"/>
          </w:tcPr>
          <w:p w:rsidR="000C087C" w:rsidRDefault="000C087C" w:rsidP="00451FE0">
            <w:pPr>
              <w:pStyle w:val="Compact"/>
            </w:pPr>
            <w:r>
              <w:rPr>
                <w:b/>
                <w:bCs/>
              </w:rPr>
              <w:t xml:space="preserve">Spice </w:t>
            </w:r>
            <w:proofErr w:type="spellStart"/>
            <w:r>
              <w:rPr>
                <w:b/>
                <w:bCs/>
              </w:rPr>
              <w:t>Bazzar</w:t>
            </w:r>
            <w:proofErr w:type="spellEnd"/>
          </w:p>
        </w:tc>
        <w:tc>
          <w:tcPr>
            <w:tcW w:w="0" w:type="auto"/>
          </w:tcPr>
          <w:p w:rsidR="000C087C" w:rsidRDefault="000C087C" w:rsidP="00451FE0">
            <w:pPr>
              <w:pStyle w:val="Compact"/>
            </w:pPr>
            <w:r>
              <w:t>St. Matthews (suburbs)</w:t>
            </w:r>
          </w:p>
        </w:tc>
        <w:tc>
          <w:tcPr>
            <w:tcW w:w="0" w:type="auto"/>
          </w:tcPr>
          <w:p w:rsidR="000C087C" w:rsidRDefault="000C087C" w:rsidP="00451FE0">
            <w:pPr>
              <w:pStyle w:val="Compact"/>
            </w:pPr>
            <w:r>
              <w:t xml:space="preserve">Traditional </w:t>
            </w:r>
            <w:proofErr w:type="spellStart"/>
            <w:r>
              <w:t>curryhouse</w:t>
            </w:r>
            <w:proofErr w:type="spellEnd"/>
            <w:r>
              <w:t xml:space="preserve"> (all-purpose Indian menu)</w:t>
            </w:r>
          </w:p>
        </w:tc>
        <w:tc>
          <w:tcPr>
            <w:tcW w:w="0" w:type="auto"/>
          </w:tcPr>
          <w:p w:rsidR="000C087C" w:rsidRDefault="000C087C" w:rsidP="00451FE0">
            <w:pPr>
              <w:pStyle w:val="Compact"/>
            </w:pPr>
            <w:r>
              <w:t>£5–12</w:t>
            </w:r>
          </w:p>
        </w:tc>
      </w:tr>
      <w:tr w:rsidR="000C087C" w:rsidTr="000C087C">
        <w:tc>
          <w:tcPr>
            <w:tcW w:w="0" w:type="auto"/>
          </w:tcPr>
          <w:p w:rsidR="000C087C" w:rsidRDefault="000C087C" w:rsidP="00451FE0">
            <w:pPr>
              <w:pStyle w:val="Compact"/>
            </w:pPr>
            <w:proofErr w:type="spellStart"/>
            <w:r>
              <w:rPr>
                <w:b/>
                <w:bCs/>
              </w:rPr>
              <w:t>Tamatanga</w:t>
            </w:r>
            <w:proofErr w:type="spellEnd"/>
          </w:p>
        </w:tc>
        <w:tc>
          <w:tcPr>
            <w:tcW w:w="0" w:type="auto"/>
          </w:tcPr>
          <w:p w:rsidR="000C087C" w:rsidRDefault="000C087C" w:rsidP="00451FE0">
            <w:pPr>
              <w:pStyle w:val="Compact"/>
            </w:pPr>
            <w:proofErr w:type="spellStart"/>
            <w:r>
              <w:t>Highcross</w:t>
            </w:r>
            <w:proofErr w:type="spellEnd"/>
            <w:r>
              <w:t xml:space="preserve"> Shopping Centre</w:t>
            </w:r>
          </w:p>
        </w:tc>
        <w:tc>
          <w:tcPr>
            <w:tcW w:w="0" w:type="auto"/>
          </w:tcPr>
          <w:p w:rsidR="000C087C" w:rsidRDefault="000C087C" w:rsidP="00451FE0">
            <w:pPr>
              <w:pStyle w:val="Compact"/>
            </w:pPr>
            <w:r>
              <w:t>Modern Indian chain (casual dining)</w:t>
            </w:r>
          </w:p>
        </w:tc>
        <w:tc>
          <w:tcPr>
            <w:tcW w:w="0" w:type="auto"/>
          </w:tcPr>
          <w:p w:rsidR="000C087C" w:rsidRDefault="000C087C" w:rsidP="00451FE0">
            <w:pPr>
              <w:pStyle w:val="Compact"/>
            </w:pPr>
            <w:r>
              <w:t>£10–18</w:t>
            </w:r>
          </w:p>
        </w:tc>
      </w:tr>
    </w:tbl>
    <w:p w:rsidR="000C087C" w:rsidRDefault="000C087C" w:rsidP="000C087C">
      <w:pPr>
        <w:pStyle w:val="BodyText"/>
      </w:pPr>
      <w:r>
        <w:rPr>
          <w:i/>
          <w:iCs/>
        </w:rPr>
        <w:t xml:space="preserve">Table 2: Local competitors’ positioning (sources: </w:t>
      </w:r>
      <w:proofErr w:type="spellStart"/>
      <w:r>
        <w:rPr>
          <w:i/>
          <w:iCs/>
        </w:rPr>
        <w:t>VisitLeicester</w:t>
      </w:r>
      <w:proofErr w:type="spellEnd"/>
      <w:r>
        <w:rPr>
          <w:i/>
          <w:iCs/>
        </w:rPr>
        <w:t xml:space="preserve"> descriptions, websites).</w:t>
      </w:r>
    </w:p>
    <w:p w:rsidR="000C087C" w:rsidRDefault="000C087C" w:rsidP="000C087C">
      <w:pPr>
        <w:pStyle w:val="BodyText"/>
      </w:pPr>
      <w:r>
        <w:t>From this benchmarking, we note that none of these combines broad regional cuisine with a mid-market price point: high-end eateries are expensive, while casual spots often lack authenticity. Our pricing will be competitive. For instance, while Chutney Ivy’s main courses average ~£30, we will target £15–20 for main dishes to capture a wider audience. Typical prices might be:</w:t>
      </w:r>
    </w:p>
    <w:tbl>
      <w:tblPr>
        <w:tblStyle w:val="Table"/>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
      <w:tblGrid>
        <w:gridCol w:w="2377"/>
        <w:gridCol w:w="3030"/>
        <w:gridCol w:w="1403"/>
        <w:gridCol w:w="2657"/>
      </w:tblGrid>
      <w:tr w:rsidR="000C087C" w:rsidTr="000C087C">
        <w:trPr>
          <w:cnfStyle w:val="100000000000" w:firstRow="1" w:lastRow="0" w:firstColumn="0" w:lastColumn="0" w:oddVBand="0" w:evenVBand="0" w:oddHBand="0" w:evenHBand="0" w:firstRowFirstColumn="0" w:firstRowLastColumn="0" w:lastRowFirstColumn="0" w:lastRowLastColumn="0"/>
          <w:tblHeader/>
        </w:trPr>
        <w:tc>
          <w:tcPr>
            <w:tcW w:w="0" w:type="auto"/>
            <w:tcBorders>
              <w:bottom w:val="none" w:sz="0" w:space="0" w:color="auto"/>
            </w:tcBorders>
          </w:tcPr>
          <w:p w:rsidR="000C087C" w:rsidRDefault="000C087C" w:rsidP="00451FE0">
            <w:pPr>
              <w:pStyle w:val="Compact"/>
            </w:pPr>
            <w:r>
              <w:rPr>
                <w:b/>
                <w:bCs/>
              </w:rPr>
              <w:t>Item</w:t>
            </w:r>
          </w:p>
        </w:tc>
        <w:tc>
          <w:tcPr>
            <w:tcW w:w="0" w:type="auto"/>
            <w:tcBorders>
              <w:bottom w:val="none" w:sz="0" w:space="0" w:color="auto"/>
            </w:tcBorders>
          </w:tcPr>
          <w:p w:rsidR="000C087C" w:rsidRDefault="000C087C" w:rsidP="00451FE0">
            <w:pPr>
              <w:pStyle w:val="Compact"/>
            </w:pPr>
            <w:r>
              <w:rPr>
                <w:b/>
                <w:bCs/>
              </w:rPr>
              <w:t>Chutney Ivy (fine-dining)</w:t>
            </w:r>
          </w:p>
        </w:tc>
        <w:tc>
          <w:tcPr>
            <w:tcW w:w="0" w:type="auto"/>
            <w:tcBorders>
              <w:bottom w:val="none" w:sz="0" w:space="0" w:color="auto"/>
            </w:tcBorders>
          </w:tcPr>
          <w:p w:rsidR="000C087C" w:rsidRDefault="000C087C" w:rsidP="00451FE0">
            <w:pPr>
              <w:pStyle w:val="Compact"/>
            </w:pPr>
            <w:r>
              <w:rPr>
                <w:b/>
                <w:bCs/>
              </w:rPr>
              <w:t>Herb (veg)</w:t>
            </w:r>
          </w:p>
        </w:tc>
        <w:tc>
          <w:tcPr>
            <w:tcW w:w="0" w:type="auto"/>
            <w:tcBorders>
              <w:bottom w:val="none" w:sz="0" w:space="0" w:color="auto"/>
            </w:tcBorders>
          </w:tcPr>
          <w:p w:rsidR="000C087C" w:rsidRDefault="000C087C" w:rsidP="00451FE0">
            <w:pPr>
              <w:pStyle w:val="Compact"/>
            </w:pPr>
            <w:r>
              <w:rPr>
                <w:b/>
                <w:bCs/>
              </w:rPr>
              <w:t>Taste of India (target)</w:t>
            </w:r>
          </w:p>
        </w:tc>
      </w:tr>
      <w:tr w:rsidR="000C087C" w:rsidTr="000C087C">
        <w:tc>
          <w:tcPr>
            <w:tcW w:w="0" w:type="auto"/>
          </w:tcPr>
          <w:p w:rsidR="000C087C" w:rsidRDefault="000C087C" w:rsidP="00451FE0">
            <w:pPr>
              <w:pStyle w:val="Compact"/>
            </w:pPr>
            <w:r>
              <w:t>Main curry dish</w:t>
            </w:r>
          </w:p>
        </w:tc>
        <w:tc>
          <w:tcPr>
            <w:tcW w:w="0" w:type="auto"/>
          </w:tcPr>
          <w:p w:rsidR="000C087C" w:rsidRDefault="000C087C" w:rsidP="00451FE0">
            <w:pPr>
              <w:pStyle w:val="Compact"/>
            </w:pPr>
            <w:r>
              <w:t>£25–30</w:t>
            </w:r>
          </w:p>
        </w:tc>
        <w:tc>
          <w:tcPr>
            <w:tcW w:w="0" w:type="auto"/>
          </w:tcPr>
          <w:p w:rsidR="000C087C" w:rsidRDefault="000C087C" w:rsidP="00451FE0">
            <w:pPr>
              <w:pStyle w:val="Compact"/>
            </w:pPr>
            <w:r>
              <w:t>£10–15</w:t>
            </w:r>
          </w:p>
        </w:tc>
        <w:tc>
          <w:tcPr>
            <w:tcW w:w="0" w:type="auto"/>
          </w:tcPr>
          <w:p w:rsidR="000C087C" w:rsidRDefault="000C087C" w:rsidP="00451FE0">
            <w:pPr>
              <w:pStyle w:val="Compact"/>
            </w:pPr>
            <w:r>
              <w:t>£15–20</w:t>
            </w:r>
          </w:p>
        </w:tc>
      </w:tr>
      <w:tr w:rsidR="000C087C" w:rsidTr="000C087C">
        <w:tc>
          <w:tcPr>
            <w:tcW w:w="0" w:type="auto"/>
          </w:tcPr>
          <w:p w:rsidR="000C087C" w:rsidRDefault="000C087C" w:rsidP="00451FE0">
            <w:pPr>
              <w:pStyle w:val="Compact"/>
            </w:pPr>
            <w:r>
              <w:t>Rice or Bread</w:t>
            </w:r>
          </w:p>
        </w:tc>
        <w:tc>
          <w:tcPr>
            <w:tcW w:w="0" w:type="auto"/>
          </w:tcPr>
          <w:p w:rsidR="000C087C" w:rsidRDefault="000C087C" w:rsidP="00451FE0">
            <w:pPr>
              <w:pStyle w:val="Compact"/>
            </w:pPr>
            <w:r>
              <w:t>£3–5</w:t>
            </w:r>
          </w:p>
        </w:tc>
        <w:tc>
          <w:tcPr>
            <w:tcW w:w="0" w:type="auto"/>
          </w:tcPr>
          <w:p w:rsidR="000C087C" w:rsidRDefault="000C087C" w:rsidP="00451FE0">
            <w:pPr>
              <w:pStyle w:val="Compact"/>
            </w:pPr>
            <w:r>
              <w:t>£2–4</w:t>
            </w:r>
          </w:p>
        </w:tc>
        <w:tc>
          <w:tcPr>
            <w:tcW w:w="0" w:type="auto"/>
          </w:tcPr>
          <w:p w:rsidR="000C087C" w:rsidRDefault="000C087C" w:rsidP="00451FE0">
            <w:pPr>
              <w:pStyle w:val="Compact"/>
            </w:pPr>
            <w:r>
              <w:t>£3–4</w:t>
            </w:r>
          </w:p>
        </w:tc>
      </w:tr>
      <w:tr w:rsidR="000C087C" w:rsidTr="000C087C">
        <w:tc>
          <w:tcPr>
            <w:tcW w:w="0" w:type="auto"/>
          </w:tcPr>
          <w:p w:rsidR="000C087C" w:rsidRDefault="000C087C" w:rsidP="00451FE0">
            <w:pPr>
              <w:pStyle w:val="Compact"/>
            </w:pPr>
            <w:r>
              <w:t>Complete meal for 2</w:t>
            </w:r>
          </w:p>
        </w:tc>
        <w:tc>
          <w:tcPr>
            <w:tcW w:w="0" w:type="auto"/>
          </w:tcPr>
          <w:p w:rsidR="000C087C" w:rsidRDefault="000C087C" w:rsidP="00451FE0">
            <w:pPr>
              <w:pStyle w:val="Compact"/>
            </w:pPr>
            <w:r>
              <w:t>~£60–£70</w:t>
            </w:r>
          </w:p>
        </w:tc>
        <w:tc>
          <w:tcPr>
            <w:tcW w:w="0" w:type="auto"/>
          </w:tcPr>
          <w:p w:rsidR="000C087C" w:rsidRDefault="000C087C" w:rsidP="00451FE0">
            <w:pPr>
              <w:pStyle w:val="Compact"/>
            </w:pPr>
            <w:r>
              <w:t>~£25–30</w:t>
            </w:r>
          </w:p>
        </w:tc>
        <w:tc>
          <w:tcPr>
            <w:tcW w:w="0" w:type="auto"/>
          </w:tcPr>
          <w:p w:rsidR="000C087C" w:rsidRDefault="000C087C" w:rsidP="00451FE0">
            <w:pPr>
              <w:pStyle w:val="Compact"/>
            </w:pPr>
            <w:r>
              <w:t>~£40–£50</w:t>
            </w:r>
          </w:p>
        </w:tc>
      </w:tr>
    </w:tbl>
    <w:p w:rsidR="004720D9" w:rsidRDefault="000C087C">
      <w:pPr>
        <w:pStyle w:val="BodyText"/>
      </w:pPr>
      <w:r>
        <w:rPr>
          <w:i/>
          <w:iCs/>
        </w:rPr>
        <w:t>Table 3: Price benchmarking.</w:t>
      </w:r>
    </w:p>
    <w:p w:rsidR="00885DDE" w:rsidRDefault="00885DDE">
      <w:pPr>
        <w:pStyle w:val="Heading3"/>
      </w:pPr>
      <w:bookmarkStart w:id="10" w:name="value-proposition-pricing-and-channels"/>
      <w:bookmarkEnd w:id="9"/>
    </w:p>
    <w:p w:rsidR="000C087C" w:rsidRDefault="000C087C" w:rsidP="000C087C">
      <w:pPr>
        <w:pStyle w:val="Heading3"/>
      </w:pPr>
      <w:r>
        <w:t>Supplier Analysis</w:t>
      </w:r>
    </w:p>
    <w:p w:rsidR="000C087C" w:rsidRDefault="000C087C" w:rsidP="000C087C">
      <w:pPr>
        <w:pStyle w:val="FirstParagraph"/>
      </w:pPr>
      <w:r>
        <w:t xml:space="preserve">To ensure consistent supply of quality ingredients, we identify potential suppliers (Table 4). Major foodservice wholesalers (e.g. </w:t>
      </w:r>
      <w:proofErr w:type="spellStart"/>
      <w:r>
        <w:t>Bidfood</w:t>
      </w:r>
      <w:proofErr w:type="spellEnd"/>
      <w:r>
        <w:t xml:space="preserve">, Brakes, Booker) can provide staples, fresh produce and proteins. Specialized ethnic food distributors (such as </w:t>
      </w:r>
      <w:proofErr w:type="spellStart"/>
      <w:r>
        <w:rPr>
          <w:i/>
          <w:iCs/>
        </w:rPr>
        <w:t>DesiJunction</w:t>
      </w:r>
      <w:proofErr w:type="spellEnd"/>
      <w:r>
        <w:t xml:space="preserve"> or </w:t>
      </w:r>
      <w:r>
        <w:rPr>
          <w:i/>
          <w:iCs/>
        </w:rPr>
        <w:t>Infinity Foods</w:t>
      </w:r>
      <w:r>
        <w:t>) offer authentic spices, rice, lentils and ready-made sauces. Local outlets (Leicester Market butchers for halal meats; regional farmers for vegetables) will be used where feasible to support freshness and sustainability. Equipment and utensils will be sourced from established catering suppliers. This diversified supply chain (national + local + ethnic specialists) mitigates single-source risks and ensures cost-competitive procurement.</w:t>
      </w:r>
    </w:p>
    <w:tbl>
      <w:tblPr>
        <w:tblStyle w:val="Table"/>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
      <w:tblGrid>
        <w:gridCol w:w="4308"/>
        <w:gridCol w:w="2516"/>
        <w:gridCol w:w="3966"/>
      </w:tblGrid>
      <w:tr w:rsidR="000C087C" w:rsidTr="000C087C">
        <w:trPr>
          <w:cnfStyle w:val="100000000000" w:firstRow="1" w:lastRow="0" w:firstColumn="0" w:lastColumn="0" w:oddVBand="0" w:evenVBand="0" w:oddHBand="0" w:evenHBand="0" w:firstRowFirstColumn="0" w:firstRowLastColumn="0" w:lastRowFirstColumn="0" w:lastRowLastColumn="0"/>
          <w:tblHeader/>
        </w:trPr>
        <w:tc>
          <w:tcPr>
            <w:tcW w:w="0" w:type="auto"/>
            <w:tcBorders>
              <w:bottom w:val="none" w:sz="0" w:space="0" w:color="auto"/>
            </w:tcBorders>
          </w:tcPr>
          <w:p w:rsidR="000C087C" w:rsidRDefault="000C087C" w:rsidP="00451FE0">
            <w:pPr>
              <w:pStyle w:val="Compact"/>
            </w:pPr>
            <w:r>
              <w:rPr>
                <w:b/>
                <w:bCs/>
              </w:rPr>
              <w:lastRenderedPageBreak/>
              <w:t>Supplier</w:t>
            </w:r>
          </w:p>
        </w:tc>
        <w:tc>
          <w:tcPr>
            <w:tcW w:w="0" w:type="auto"/>
            <w:tcBorders>
              <w:bottom w:val="none" w:sz="0" w:space="0" w:color="auto"/>
            </w:tcBorders>
          </w:tcPr>
          <w:p w:rsidR="000C087C" w:rsidRDefault="000C087C" w:rsidP="00451FE0">
            <w:pPr>
              <w:pStyle w:val="Compact"/>
            </w:pPr>
            <w:r>
              <w:rPr>
                <w:b/>
                <w:bCs/>
              </w:rPr>
              <w:t>Category</w:t>
            </w:r>
          </w:p>
        </w:tc>
        <w:tc>
          <w:tcPr>
            <w:tcW w:w="0" w:type="auto"/>
            <w:tcBorders>
              <w:bottom w:val="none" w:sz="0" w:space="0" w:color="auto"/>
            </w:tcBorders>
          </w:tcPr>
          <w:p w:rsidR="000C087C" w:rsidRDefault="000C087C" w:rsidP="00451FE0">
            <w:pPr>
              <w:pStyle w:val="Compact"/>
            </w:pPr>
            <w:r>
              <w:rPr>
                <w:b/>
                <w:bCs/>
              </w:rPr>
              <w:t>Notes</w:t>
            </w:r>
          </w:p>
        </w:tc>
      </w:tr>
      <w:tr w:rsidR="000C087C" w:rsidTr="000C087C">
        <w:tc>
          <w:tcPr>
            <w:tcW w:w="0" w:type="auto"/>
          </w:tcPr>
          <w:p w:rsidR="000C087C" w:rsidRDefault="000C087C" w:rsidP="00451FE0">
            <w:pPr>
              <w:pStyle w:val="Compact"/>
            </w:pPr>
            <w:proofErr w:type="spellStart"/>
            <w:r>
              <w:t>Bidfood</w:t>
            </w:r>
            <w:proofErr w:type="spellEnd"/>
            <w:r>
              <w:t>, Brakes, Booker</w:t>
            </w:r>
          </w:p>
        </w:tc>
        <w:tc>
          <w:tcPr>
            <w:tcW w:w="0" w:type="auto"/>
          </w:tcPr>
          <w:p w:rsidR="000C087C" w:rsidRDefault="000C087C" w:rsidP="00451FE0">
            <w:pPr>
              <w:pStyle w:val="Compact"/>
            </w:pPr>
            <w:r>
              <w:t>Wholesale foodservice</w:t>
            </w:r>
          </w:p>
        </w:tc>
        <w:tc>
          <w:tcPr>
            <w:tcW w:w="0" w:type="auto"/>
          </w:tcPr>
          <w:p w:rsidR="000C087C" w:rsidRDefault="000C087C" w:rsidP="00451FE0">
            <w:pPr>
              <w:pStyle w:val="Compact"/>
            </w:pPr>
            <w:r>
              <w:t>Large range (fresh, frozen, dry goods)</w:t>
            </w:r>
          </w:p>
        </w:tc>
      </w:tr>
      <w:tr w:rsidR="000C087C" w:rsidTr="000C087C">
        <w:tc>
          <w:tcPr>
            <w:tcW w:w="0" w:type="auto"/>
          </w:tcPr>
          <w:p w:rsidR="000C087C" w:rsidRDefault="000C087C" w:rsidP="00451FE0">
            <w:pPr>
              <w:pStyle w:val="Compact"/>
            </w:pPr>
            <w:proofErr w:type="spellStart"/>
            <w:r>
              <w:t>DesiJunction</w:t>
            </w:r>
            <w:proofErr w:type="spellEnd"/>
            <w:r>
              <w:t>, Taj Spices</w:t>
            </w:r>
          </w:p>
        </w:tc>
        <w:tc>
          <w:tcPr>
            <w:tcW w:w="0" w:type="auto"/>
          </w:tcPr>
          <w:p w:rsidR="000C087C" w:rsidRDefault="000C087C" w:rsidP="00451FE0">
            <w:pPr>
              <w:pStyle w:val="Compact"/>
            </w:pPr>
            <w:r>
              <w:t>Ethnic food distributors</w:t>
            </w:r>
          </w:p>
        </w:tc>
        <w:tc>
          <w:tcPr>
            <w:tcW w:w="0" w:type="auto"/>
          </w:tcPr>
          <w:p w:rsidR="000C087C" w:rsidRDefault="000C087C" w:rsidP="00451FE0">
            <w:pPr>
              <w:pStyle w:val="Compact"/>
            </w:pPr>
            <w:r>
              <w:t>Indian spices, flours, snacks</w:t>
            </w:r>
          </w:p>
        </w:tc>
      </w:tr>
      <w:tr w:rsidR="000C087C" w:rsidTr="000C087C">
        <w:tc>
          <w:tcPr>
            <w:tcW w:w="0" w:type="auto"/>
          </w:tcPr>
          <w:p w:rsidR="000C087C" w:rsidRDefault="000C087C" w:rsidP="00451FE0">
            <w:pPr>
              <w:pStyle w:val="Compact"/>
            </w:pPr>
            <w:r>
              <w:t>Local Butchers (e.g. Leicester Market)</w:t>
            </w:r>
          </w:p>
        </w:tc>
        <w:tc>
          <w:tcPr>
            <w:tcW w:w="0" w:type="auto"/>
          </w:tcPr>
          <w:p w:rsidR="000C087C" w:rsidRDefault="000C087C" w:rsidP="00451FE0">
            <w:pPr>
              <w:pStyle w:val="Compact"/>
            </w:pPr>
            <w:r>
              <w:t>Meat (including halal)</w:t>
            </w:r>
          </w:p>
        </w:tc>
        <w:tc>
          <w:tcPr>
            <w:tcW w:w="0" w:type="auto"/>
          </w:tcPr>
          <w:p w:rsidR="000C087C" w:rsidRDefault="000C087C" w:rsidP="00451FE0">
            <w:pPr>
              <w:pStyle w:val="Compact"/>
            </w:pPr>
            <w:r>
              <w:t>Fresh meats; build community ties</w:t>
            </w:r>
          </w:p>
        </w:tc>
      </w:tr>
      <w:tr w:rsidR="000C087C" w:rsidTr="000C087C">
        <w:tc>
          <w:tcPr>
            <w:tcW w:w="0" w:type="auto"/>
          </w:tcPr>
          <w:p w:rsidR="000C087C" w:rsidRDefault="000C087C" w:rsidP="00451FE0">
            <w:pPr>
              <w:pStyle w:val="Compact"/>
            </w:pPr>
            <w:r>
              <w:t>Regional Farmers Markets</w:t>
            </w:r>
          </w:p>
        </w:tc>
        <w:tc>
          <w:tcPr>
            <w:tcW w:w="0" w:type="auto"/>
          </w:tcPr>
          <w:p w:rsidR="000C087C" w:rsidRDefault="000C087C" w:rsidP="00451FE0">
            <w:pPr>
              <w:pStyle w:val="Compact"/>
            </w:pPr>
            <w:r>
              <w:t>Produce</w:t>
            </w:r>
          </w:p>
        </w:tc>
        <w:tc>
          <w:tcPr>
            <w:tcW w:w="0" w:type="auto"/>
          </w:tcPr>
          <w:p w:rsidR="000C087C" w:rsidRDefault="000C087C" w:rsidP="00451FE0">
            <w:pPr>
              <w:pStyle w:val="Compact"/>
            </w:pPr>
            <w:r>
              <w:t>Seasonal vegetables (sustainability)</w:t>
            </w:r>
          </w:p>
        </w:tc>
      </w:tr>
      <w:tr w:rsidR="000C087C" w:rsidTr="000C087C">
        <w:tc>
          <w:tcPr>
            <w:tcW w:w="0" w:type="auto"/>
          </w:tcPr>
          <w:p w:rsidR="000C087C" w:rsidRDefault="000C087C" w:rsidP="00451FE0">
            <w:pPr>
              <w:pStyle w:val="Compact"/>
            </w:pPr>
            <w:r>
              <w:t>Restaurant Equipment Ltd.</w:t>
            </w:r>
          </w:p>
        </w:tc>
        <w:tc>
          <w:tcPr>
            <w:tcW w:w="0" w:type="auto"/>
          </w:tcPr>
          <w:p w:rsidR="000C087C" w:rsidRDefault="000C087C" w:rsidP="00451FE0">
            <w:pPr>
              <w:pStyle w:val="Compact"/>
            </w:pPr>
            <w:r>
              <w:t>Kitchen equipment</w:t>
            </w:r>
          </w:p>
        </w:tc>
        <w:tc>
          <w:tcPr>
            <w:tcW w:w="0" w:type="auto"/>
          </w:tcPr>
          <w:p w:rsidR="000C087C" w:rsidRDefault="000C087C" w:rsidP="00451FE0">
            <w:pPr>
              <w:pStyle w:val="Compact"/>
            </w:pPr>
            <w:r>
              <w:t>Utensils, pots, serving ware</w:t>
            </w:r>
          </w:p>
        </w:tc>
      </w:tr>
      <w:tr w:rsidR="000C087C" w:rsidTr="000C087C">
        <w:tc>
          <w:tcPr>
            <w:tcW w:w="0" w:type="auto"/>
          </w:tcPr>
          <w:p w:rsidR="000C087C" w:rsidRDefault="000C087C" w:rsidP="00451FE0">
            <w:pPr>
              <w:pStyle w:val="Compact"/>
            </w:pPr>
            <w:r>
              <w:t>Major Drink Suppliers (Coca-Cola, Britvic)</w:t>
            </w:r>
          </w:p>
        </w:tc>
        <w:tc>
          <w:tcPr>
            <w:tcW w:w="0" w:type="auto"/>
          </w:tcPr>
          <w:p w:rsidR="000C087C" w:rsidRDefault="000C087C" w:rsidP="00451FE0">
            <w:pPr>
              <w:pStyle w:val="Compact"/>
            </w:pPr>
            <w:r>
              <w:t>Beverages</w:t>
            </w:r>
          </w:p>
        </w:tc>
        <w:tc>
          <w:tcPr>
            <w:tcW w:w="0" w:type="auto"/>
          </w:tcPr>
          <w:p w:rsidR="000C087C" w:rsidRDefault="000C087C" w:rsidP="00451FE0">
            <w:pPr>
              <w:pStyle w:val="Compact"/>
            </w:pPr>
            <w:r>
              <w:t>Soft drinks, water, tea, coffee</w:t>
            </w:r>
          </w:p>
        </w:tc>
      </w:tr>
    </w:tbl>
    <w:p w:rsidR="000C087C" w:rsidRPr="000C087C" w:rsidRDefault="000C087C" w:rsidP="000C087C">
      <w:pPr>
        <w:pStyle w:val="BodyText"/>
      </w:pPr>
      <w:r>
        <w:rPr>
          <w:i/>
          <w:iCs/>
        </w:rPr>
        <w:t>Table 4: Potential suppliers and categories</w:t>
      </w:r>
    </w:p>
    <w:p w:rsidR="00885DDE" w:rsidRDefault="00885DDE">
      <w:pPr>
        <w:pStyle w:val="Heading3"/>
      </w:pPr>
    </w:p>
    <w:p w:rsidR="000C087C" w:rsidRDefault="000C087C" w:rsidP="000C087C">
      <w:pPr>
        <w:pStyle w:val="Heading2"/>
      </w:pPr>
      <w:r>
        <w:t>Risks and Mitigation</w:t>
      </w:r>
    </w:p>
    <w:p w:rsidR="000C087C" w:rsidRDefault="000C087C" w:rsidP="000C087C">
      <w:pPr>
        <w:pStyle w:val="FirstParagraph"/>
      </w:pPr>
      <w:r>
        <w:rPr>
          <w:b/>
          <w:bCs/>
        </w:rPr>
        <w:t>Project Delivery Risks:</w:t>
      </w:r>
      <w:r>
        <w:t xml:space="preserve"> Relying on secondary data carries the risk of information gaps or outdated figures. This is mitigated by using multiple sources (e.g., ONS, industry reports, academic papers) to cross-verify key data. Access to paid databases (Mintel, </w:t>
      </w:r>
      <w:proofErr w:type="spellStart"/>
      <w:r>
        <w:t>Euromonitor</w:t>
      </w:r>
      <w:proofErr w:type="spellEnd"/>
      <w:r>
        <w:t>) might be limited; as a fallback, we will use free databases (ONS, council data, media articles). Time management is a risk – the project timeline is tight. We address this by clear task scheduling (see Timeline) and allowing buffer periods.</w:t>
      </w:r>
    </w:p>
    <w:p w:rsidR="000C087C" w:rsidRDefault="000C087C" w:rsidP="000C087C">
      <w:pPr>
        <w:pStyle w:val="BodyText"/>
      </w:pPr>
      <w:r>
        <w:rPr>
          <w:b/>
          <w:bCs/>
        </w:rPr>
        <w:t>Business Risks:</w:t>
      </w:r>
      <w:r>
        <w:t xml:space="preserve"> The restaurant industry is inherently risky. Key risks include:</w:t>
      </w:r>
    </w:p>
    <w:p w:rsidR="000C087C" w:rsidRDefault="000C087C" w:rsidP="000C087C">
      <w:pPr>
        <w:pStyle w:val="Compact"/>
        <w:numPr>
          <w:ilvl w:val="0"/>
          <w:numId w:val="2"/>
        </w:numPr>
      </w:pPr>
      <w:r>
        <w:rPr>
          <w:b/>
          <w:bCs/>
        </w:rPr>
        <w:t>Competitive Risk:</w:t>
      </w:r>
      <w:r>
        <w:t xml:space="preserve"> Fierce competition may limit market share. </w:t>
      </w:r>
      <w:r>
        <w:rPr>
          <w:i/>
          <w:iCs/>
        </w:rPr>
        <w:t>Mitigation:</w:t>
      </w:r>
      <w:r>
        <w:t xml:space="preserve"> Differentiate by unique concept, quality, and targeted marketing. Continually monitor competitor actions (menu changes, pricing).</w:t>
      </w:r>
    </w:p>
    <w:p w:rsidR="000C087C" w:rsidRDefault="000C087C" w:rsidP="000C087C">
      <w:pPr>
        <w:pStyle w:val="Compact"/>
        <w:numPr>
          <w:ilvl w:val="0"/>
          <w:numId w:val="2"/>
        </w:numPr>
      </w:pPr>
      <w:r>
        <w:rPr>
          <w:b/>
          <w:bCs/>
        </w:rPr>
        <w:t>Demand Risk:</w:t>
      </w:r>
      <w:r>
        <w:t xml:space="preserve"> Consumer tastes can shift, and macro-economic downturns can reduce dining out. </w:t>
      </w:r>
      <w:r>
        <w:rPr>
          <w:i/>
          <w:iCs/>
        </w:rPr>
        <w:t>Mitigation:</w:t>
      </w:r>
      <w:r>
        <w:t xml:space="preserve"> The diverse menu appeals broadly; we will adopt flexible pricing and promotions (happy hours, special menus) to retain customers. Ongoing trend monitoring (e.g. healthful eating, online ordering) allows adaptation.</w:t>
      </w:r>
    </w:p>
    <w:p w:rsidR="000C087C" w:rsidRDefault="000C087C" w:rsidP="000C087C">
      <w:pPr>
        <w:pStyle w:val="Compact"/>
        <w:numPr>
          <w:ilvl w:val="0"/>
          <w:numId w:val="2"/>
        </w:numPr>
      </w:pPr>
      <w:r>
        <w:rPr>
          <w:b/>
          <w:bCs/>
        </w:rPr>
        <w:t>Operational Risk:</w:t>
      </w:r>
      <w:r>
        <w:t xml:space="preserve"> Staffing shortages or turnover can disrupt service. </w:t>
      </w:r>
      <w:r>
        <w:rPr>
          <w:i/>
          <w:iCs/>
        </w:rPr>
        <w:t>Mitigation:</w:t>
      </w:r>
      <w:r>
        <w:t xml:space="preserve"> Plan robust recruitment and training, offer competitive wages and career development (many restaurants cite </w:t>
      </w:r>
      <w:proofErr w:type="spellStart"/>
      <w:r>
        <w:t>labour</w:t>
      </w:r>
      <w:proofErr w:type="spellEnd"/>
      <w:r>
        <w:t xml:space="preserve"> costs as key challenge). Engage with local hospitality colleges.</w:t>
      </w:r>
    </w:p>
    <w:p w:rsidR="000C087C" w:rsidRDefault="000C087C" w:rsidP="000C087C">
      <w:pPr>
        <w:pStyle w:val="Compact"/>
        <w:numPr>
          <w:ilvl w:val="0"/>
          <w:numId w:val="2"/>
        </w:numPr>
      </w:pPr>
      <w:r>
        <w:rPr>
          <w:b/>
          <w:bCs/>
        </w:rPr>
        <w:t>Supply Chain Risk:</w:t>
      </w:r>
      <w:r>
        <w:t xml:space="preserve"> Price volatility in spices, meats, or energy can squeeze margins. </w:t>
      </w:r>
      <w:r>
        <w:rPr>
          <w:i/>
          <w:iCs/>
        </w:rPr>
        <w:t>Mitigation:</w:t>
      </w:r>
      <w:r>
        <w:t xml:space="preserve"> Establish multiple suppliers (Table 4), secure some bulk contracts, and adjust menus seasonally to use in-cost ingredients. Hedge energy costs where possible (e.g. fixed-rate gas/electric).</w:t>
      </w:r>
    </w:p>
    <w:p w:rsidR="000C087C" w:rsidRDefault="000C087C" w:rsidP="000C087C">
      <w:pPr>
        <w:pStyle w:val="Compact"/>
        <w:numPr>
          <w:ilvl w:val="0"/>
          <w:numId w:val="2"/>
        </w:numPr>
      </w:pPr>
      <w:r>
        <w:rPr>
          <w:b/>
          <w:bCs/>
        </w:rPr>
        <w:t>Regulatory Risk:</w:t>
      </w:r>
      <w:r>
        <w:t xml:space="preserve"> Health &amp; safety regulations and license requirements (food hygiene ratings, alcohol license) require compliance. </w:t>
      </w:r>
      <w:r>
        <w:rPr>
          <w:i/>
          <w:iCs/>
        </w:rPr>
        <w:t>Mitigation:</w:t>
      </w:r>
      <w:r>
        <w:t xml:space="preserve"> Early consultation with regulators and hiring experienced management to ensure all standards are met.</w:t>
      </w:r>
    </w:p>
    <w:p w:rsidR="000C087C" w:rsidRDefault="000C087C" w:rsidP="000C087C">
      <w:pPr>
        <w:pStyle w:val="Compact"/>
        <w:numPr>
          <w:ilvl w:val="0"/>
          <w:numId w:val="2"/>
        </w:numPr>
      </w:pPr>
      <w:r>
        <w:rPr>
          <w:b/>
          <w:bCs/>
        </w:rPr>
        <w:t>Financial Risk:</w:t>
      </w:r>
      <w:r>
        <w:t xml:space="preserve"> Underestimating startup costs (fit-out, equipment) or overestimating revenue can threaten viability. </w:t>
      </w:r>
      <w:r>
        <w:rPr>
          <w:i/>
          <w:iCs/>
        </w:rPr>
        <w:t>Mitigation:</w:t>
      </w:r>
      <w:r>
        <w:t xml:space="preserve"> Build conservative financial models; include contingency buffer (10–20%). Seek professional accounting advice. Explore grants or small-business loans (e.g. Leicester City Council grants exist for SMEs) to bolster capital.</w:t>
      </w:r>
    </w:p>
    <w:p w:rsidR="000C087C" w:rsidRDefault="000C087C" w:rsidP="000C087C">
      <w:pPr>
        <w:pStyle w:val="BodyText"/>
      </w:pPr>
      <w:r>
        <w:lastRenderedPageBreak/>
        <w:t>Each risk will be actively managed. For example, to mitigate competitive/demand risk, we will regularly survey secondary data (e.g. social media sentiment, reviews) and adjust offerings. The plan’s diversified approach (dine-in, take-away, events) spreads risk</w:t>
      </w:r>
    </w:p>
    <w:p w:rsidR="000C087C" w:rsidRPr="000C087C" w:rsidRDefault="000C087C" w:rsidP="000C087C">
      <w:pPr>
        <w:pStyle w:val="BodyText"/>
      </w:pPr>
    </w:p>
    <w:p w:rsidR="004720D9" w:rsidRDefault="0004067A">
      <w:pPr>
        <w:pStyle w:val="Heading3"/>
      </w:pPr>
      <w:r>
        <w:t>Value Proposition, Pricing, and Channels</w:t>
      </w:r>
    </w:p>
    <w:p w:rsidR="004720D9" w:rsidRDefault="0004067A">
      <w:pPr>
        <w:pStyle w:val="FirstParagraph"/>
      </w:pPr>
      <w:r>
        <w:t xml:space="preserve">Taste of India’s </w:t>
      </w:r>
      <w:r>
        <w:rPr>
          <w:b/>
          <w:bCs/>
        </w:rPr>
        <w:t>value proposition</w:t>
      </w:r>
      <w:r>
        <w:t xml:space="preserve"> is authentic regional recipes prepared with high-quality ingredients, delivered in a modern, vibrant setting. Unlike generic curry houses, we will highlight regional specials (e.g. Bengali fish, Kerala prawn roast, Delhi street snacks). Pricing will match market norms: mains £10–£15, combo platters £15–£20, alcoholic drinks £5–£8. Delivering value includes generous portions and spice customization (catering to the 23.5% halal/</w:t>
      </w:r>
      <w:proofErr w:type="spellStart"/>
      <w:r>
        <w:t>muslim</w:t>
      </w:r>
      <w:proofErr w:type="spellEnd"/>
      <w:r>
        <w:t xml:space="preserve"> community and vegetarian diners).</w:t>
      </w:r>
    </w:p>
    <w:p w:rsidR="004720D9" w:rsidRDefault="0004067A">
      <w:pPr>
        <w:pStyle w:val="BodyText"/>
      </w:pPr>
      <w:r>
        <w:rPr>
          <w:b/>
          <w:bCs/>
        </w:rPr>
        <w:t>Sales channels:</w:t>
      </w:r>
      <w:r>
        <w:t xml:space="preserve"> In addition to dine-in, the business will use major delivery apps (</w:t>
      </w:r>
      <w:proofErr w:type="spellStart"/>
      <w:r>
        <w:t>Deliveroo</w:t>
      </w:r>
      <w:proofErr w:type="spellEnd"/>
      <w:r>
        <w:t xml:space="preserve">, </w:t>
      </w:r>
      <w:proofErr w:type="spellStart"/>
      <w:r>
        <w:t>UberEats</w:t>
      </w:r>
      <w:proofErr w:type="spellEnd"/>
      <w:r>
        <w:t>, Just Eat) to reach broader customers—a vital strategy as post-pandemic UK food delivery surged. Takeaway and phone orders will be offered via our website. Marketing channels will include social media (Instagram, local food bloggers), email newsletters, and local press. Partnerships with university and office campuses will provide catering opportunities. We assume no major regulatory barriers beyond usual food licensing and halal certification.</w:t>
      </w:r>
    </w:p>
    <w:p w:rsidR="004720D9" w:rsidRDefault="0004067A">
      <w:pPr>
        <w:pStyle w:val="Heading3"/>
      </w:pPr>
      <w:bookmarkStart w:id="11" w:name="customer-personas"/>
      <w:bookmarkEnd w:id="10"/>
      <w:r>
        <w:t>Customer Personas</w:t>
      </w:r>
    </w:p>
    <w:p w:rsidR="004720D9" w:rsidRDefault="0004067A">
      <w:pPr>
        <w:pStyle w:val="Compact"/>
        <w:numPr>
          <w:ilvl w:val="0"/>
          <w:numId w:val="3"/>
        </w:numPr>
      </w:pPr>
      <w:r>
        <w:rPr>
          <w:b/>
          <w:bCs/>
        </w:rPr>
        <w:t>“Ravi”</w:t>
      </w:r>
      <w:r>
        <w:t xml:space="preserve"> – 35, IT engineer of South Asian heritage. Regularly dines out on weekends with family; values authentic </w:t>
      </w:r>
      <w:proofErr w:type="spellStart"/>
      <w:r>
        <w:t>flavour</w:t>
      </w:r>
      <w:proofErr w:type="spellEnd"/>
      <w:r>
        <w:t xml:space="preserve"> and halal. Interested in premium regional dishes from his heritage. Likely to follow the brand on social media.</w:t>
      </w:r>
    </w:p>
    <w:p w:rsidR="004720D9" w:rsidRDefault="0004067A">
      <w:pPr>
        <w:pStyle w:val="Compact"/>
        <w:numPr>
          <w:ilvl w:val="0"/>
          <w:numId w:val="3"/>
        </w:numPr>
      </w:pPr>
      <w:r>
        <w:rPr>
          <w:b/>
          <w:bCs/>
        </w:rPr>
        <w:t>“Alex”</w:t>
      </w:r>
      <w:r>
        <w:t xml:space="preserve"> – 28, creative professional, adventurous eater. Enjoys trying new cuisines and stories behind food. Likely vegetarian-friendly, orders in via delivery apps on weeknights.</w:t>
      </w:r>
    </w:p>
    <w:p w:rsidR="004720D9" w:rsidRDefault="0004067A">
      <w:pPr>
        <w:pStyle w:val="Compact"/>
        <w:numPr>
          <w:ilvl w:val="0"/>
          <w:numId w:val="3"/>
        </w:numPr>
      </w:pPr>
      <w:r>
        <w:rPr>
          <w:b/>
          <w:bCs/>
        </w:rPr>
        <w:t>“Fatima”</w:t>
      </w:r>
      <w:r>
        <w:t xml:space="preserve"> – 40, homemaker, visits restaurants with extended family. Prefers comfortable atmosphere and menu variety. Prioritizes quality and service, especially Halal and kid-friendly options.</w:t>
      </w:r>
    </w:p>
    <w:p w:rsidR="004720D9" w:rsidRDefault="0004067A">
      <w:pPr>
        <w:pStyle w:val="Compact"/>
        <w:numPr>
          <w:ilvl w:val="0"/>
          <w:numId w:val="3"/>
        </w:numPr>
      </w:pPr>
      <w:r>
        <w:rPr>
          <w:b/>
          <w:bCs/>
        </w:rPr>
        <w:t>“</w:t>
      </w:r>
      <w:proofErr w:type="spellStart"/>
      <w:r>
        <w:rPr>
          <w:b/>
          <w:bCs/>
        </w:rPr>
        <w:t>Uni</w:t>
      </w:r>
      <w:proofErr w:type="spellEnd"/>
      <w:r>
        <w:rPr>
          <w:b/>
          <w:bCs/>
        </w:rPr>
        <w:t xml:space="preserve"> Student”</w:t>
      </w:r>
      <w:r>
        <w:t xml:space="preserve"> – 20, Leicester University student, limited budget. Looks for lunchtime deals and shareable street-food style items. Heavily influenced by online reviews and promotions.</w:t>
      </w:r>
    </w:p>
    <w:p w:rsidR="004720D9" w:rsidRDefault="0004067A">
      <w:pPr>
        <w:pStyle w:val="FirstParagraph"/>
      </w:pPr>
      <w:r>
        <w:t>These personas guide menu, service style, and marketing choices.</w:t>
      </w:r>
    </w:p>
    <w:p w:rsidR="000C087C" w:rsidRDefault="000C087C">
      <w:pPr>
        <w:pStyle w:val="Heading2"/>
      </w:pPr>
      <w:bookmarkStart w:id="12" w:name="risks-and-mitigation"/>
      <w:bookmarkEnd w:id="7"/>
      <w:bookmarkEnd w:id="11"/>
    </w:p>
    <w:p w:rsidR="000C087C" w:rsidRDefault="000C087C">
      <w:pPr>
        <w:pStyle w:val="FirstParagraph"/>
        <w:rPr>
          <w:rFonts w:asciiTheme="majorHAnsi" w:eastAsiaTheme="majorEastAsia" w:hAnsiTheme="majorHAnsi" w:cstheme="majorBidi"/>
          <w:color w:val="0F4761" w:themeColor="accent1" w:themeShade="BF"/>
          <w:sz w:val="32"/>
          <w:szCs w:val="32"/>
        </w:rPr>
      </w:pPr>
    </w:p>
    <w:p w:rsidR="000C087C" w:rsidRDefault="000C087C">
      <w:pPr>
        <w:pStyle w:val="FirstParagraph"/>
        <w:rPr>
          <w:rFonts w:asciiTheme="majorHAnsi" w:eastAsiaTheme="majorEastAsia" w:hAnsiTheme="majorHAnsi" w:cstheme="majorBidi"/>
          <w:color w:val="0F4761" w:themeColor="accent1" w:themeShade="BF"/>
          <w:sz w:val="32"/>
          <w:szCs w:val="32"/>
        </w:rPr>
      </w:pPr>
    </w:p>
    <w:p w:rsidR="004720D9" w:rsidRDefault="004720D9">
      <w:pPr>
        <w:pStyle w:val="Heading2"/>
      </w:pPr>
      <w:bookmarkStart w:id="13" w:name="timeline-and-gantt-chart"/>
      <w:bookmarkEnd w:id="12"/>
    </w:p>
    <w:p w:rsidR="000C087C" w:rsidRDefault="000C087C" w:rsidP="000C087C">
      <w:pPr>
        <w:pStyle w:val="BodyText"/>
      </w:pPr>
    </w:p>
    <w:p w:rsidR="000C087C" w:rsidRDefault="000C087C" w:rsidP="000C087C">
      <w:pPr>
        <w:pStyle w:val="BodyText"/>
      </w:pPr>
    </w:p>
    <w:p w:rsidR="000C087C" w:rsidRDefault="000C087C" w:rsidP="000C087C">
      <w:pPr>
        <w:pStyle w:val="BodyText"/>
      </w:pPr>
    </w:p>
    <w:p w:rsidR="000C087C" w:rsidRDefault="000C087C" w:rsidP="000C087C">
      <w:pPr>
        <w:pStyle w:val="BodyText"/>
      </w:pPr>
    </w:p>
    <w:p w:rsidR="000C087C" w:rsidRPr="000C087C" w:rsidRDefault="000C087C" w:rsidP="000C087C">
      <w:pPr>
        <w:pStyle w:val="BodyText"/>
      </w:pPr>
    </w:p>
    <w:p w:rsidR="0004067A" w:rsidRDefault="0004067A">
      <w:pPr>
        <w:pStyle w:val="FirstParagraph"/>
      </w:pPr>
    </w:p>
    <w:p w:rsidR="0004067A" w:rsidRDefault="0004067A" w:rsidP="0004067A">
      <w:pPr>
        <w:pStyle w:val="Heading2"/>
      </w:pPr>
      <w:r>
        <w:lastRenderedPageBreak/>
        <w:t>Timeline and Gantt Chart</w:t>
      </w:r>
    </w:p>
    <w:p w:rsidR="004720D9" w:rsidRDefault="0004067A">
      <w:pPr>
        <w:pStyle w:val="FirstParagraph"/>
      </w:pPr>
      <w:r>
        <w:t>The business plan spans ~8 months to opening: initial planning and financing in months 1–2; site acquisition, design and fit-out in months 2–4; licenses and Halal certification by month 4; hiring and training staff by month 5; marketing build-up (social media, press) from month 3; soft launch/pilot in month 6; official opening in month 7; and operations/scale-up in months 7–12.</w:t>
      </w:r>
    </w:p>
    <w:tbl>
      <w:tblPr>
        <w:tblW w:w="1028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8"/>
        <w:gridCol w:w="647"/>
        <w:gridCol w:w="647"/>
        <w:gridCol w:w="647"/>
        <w:gridCol w:w="648"/>
        <w:gridCol w:w="648"/>
        <w:gridCol w:w="648"/>
        <w:gridCol w:w="648"/>
        <w:gridCol w:w="648"/>
        <w:gridCol w:w="648"/>
        <w:gridCol w:w="648"/>
        <w:gridCol w:w="648"/>
        <w:gridCol w:w="648"/>
      </w:tblGrid>
      <w:tr w:rsidR="00215F76" w:rsidTr="00215F76">
        <w:trPr>
          <w:trHeight w:val="285"/>
          <w:tblHeader/>
          <w:jc w:val="center"/>
        </w:trPr>
        <w:tc>
          <w:tcPr>
            <w:tcW w:w="2508" w:type="dxa"/>
            <w:tcBorders>
              <w:top w:val="single" w:sz="1" w:space="0" w:color="CCCCCC"/>
              <w:left w:val="single" w:sz="1" w:space="0" w:color="CCCCCC"/>
              <w:bottom w:val="single" w:sz="1" w:space="0" w:color="CCCCCC"/>
              <w:right w:val="single" w:sz="1" w:space="0" w:color="CCCCCC"/>
            </w:tcBorders>
            <w:shd w:val="clear" w:color="auto" w:fill="2C3E50"/>
            <w:tcMar>
              <w:top w:w="60" w:type="dxa"/>
              <w:left w:w="100" w:type="dxa"/>
              <w:bottom w:w="60" w:type="dxa"/>
              <w:right w:w="60" w:type="dxa"/>
            </w:tcMar>
          </w:tcPr>
          <w:p w:rsidR="00215F76" w:rsidRDefault="00215F76" w:rsidP="00FC1EA7">
            <w:bookmarkStart w:id="14" w:name="funding-and-revenue-options"/>
            <w:bookmarkEnd w:id="13"/>
            <w:r>
              <w:rPr>
                <w:rFonts w:ascii="Arial" w:eastAsia="Arial" w:hAnsi="Arial" w:cs="Arial"/>
                <w:b/>
                <w:bCs/>
                <w:color w:val="FFFFFF"/>
                <w:sz w:val="18"/>
                <w:szCs w:val="18"/>
              </w:rPr>
              <w:t>Task / Milestone</w:t>
            </w:r>
          </w:p>
        </w:tc>
        <w:tc>
          <w:tcPr>
            <w:tcW w:w="647" w:type="dxa"/>
            <w:tcBorders>
              <w:top w:val="single" w:sz="1" w:space="0" w:color="CCCCCC"/>
              <w:left w:val="single" w:sz="1" w:space="0" w:color="CCCCCC"/>
              <w:bottom w:val="single" w:sz="1" w:space="0" w:color="CCCCCC"/>
              <w:right w:val="single" w:sz="1" w:space="0" w:color="CCCCCC"/>
            </w:tcBorders>
            <w:shd w:val="clear" w:color="auto" w:fill="2C3E50"/>
            <w:tcMar>
              <w:top w:w="60" w:type="dxa"/>
              <w:left w:w="40" w:type="dxa"/>
              <w:bottom w:w="60" w:type="dxa"/>
              <w:right w:w="40" w:type="dxa"/>
            </w:tcMar>
          </w:tcPr>
          <w:p w:rsidR="00215F76" w:rsidRDefault="00215F76" w:rsidP="00FC1EA7">
            <w:pPr>
              <w:jc w:val="center"/>
            </w:pPr>
            <w:r>
              <w:rPr>
                <w:rFonts w:ascii="Arial" w:eastAsia="Arial" w:hAnsi="Arial" w:cs="Arial"/>
                <w:b/>
                <w:bCs/>
                <w:color w:val="FFFFFF"/>
                <w:sz w:val="16"/>
                <w:szCs w:val="16"/>
              </w:rPr>
              <w:t>M1</w:t>
            </w:r>
          </w:p>
        </w:tc>
        <w:tc>
          <w:tcPr>
            <w:tcW w:w="647" w:type="dxa"/>
            <w:tcBorders>
              <w:top w:val="single" w:sz="1" w:space="0" w:color="CCCCCC"/>
              <w:left w:val="single" w:sz="1" w:space="0" w:color="CCCCCC"/>
              <w:bottom w:val="single" w:sz="1" w:space="0" w:color="CCCCCC"/>
              <w:right w:val="single" w:sz="1" w:space="0" w:color="CCCCCC"/>
            </w:tcBorders>
            <w:shd w:val="clear" w:color="auto" w:fill="2C3E50"/>
            <w:tcMar>
              <w:top w:w="60" w:type="dxa"/>
              <w:left w:w="40" w:type="dxa"/>
              <w:bottom w:w="60" w:type="dxa"/>
              <w:right w:w="40" w:type="dxa"/>
            </w:tcMar>
          </w:tcPr>
          <w:p w:rsidR="00215F76" w:rsidRDefault="00215F76" w:rsidP="00FC1EA7">
            <w:pPr>
              <w:jc w:val="center"/>
            </w:pPr>
            <w:r>
              <w:rPr>
                <w:rFonts w:ascii="Arial" w:eastAsia="Arial" w:hAnsi="Arial" w:cs="Arial"/>
                <w:b/>
                <w:bCs/>
                <w:color w:val="FFFFFF"/>
                <w:sz w:val="16"/>
                <w:szCs w:val="16"/>
              </w:rPr>
              <w:t>M2</w:t>
            </w:r>
          </w:p>
        </w:tc>
        <w:tc>
          <w:tcPr>
            <w:tcW w:w="647" w:type="dxa"/>
            <w:tcBorders>
              <w:top w:val="single" w:sz="1" w:space="0" w:color="CCCCCC"/>
              <w:left w:val="single" w:sz="1" w:space="0" w:color="CCCCCC"/>
              <w:bottom w:val="single" w:sz="1" w:space="0" w:color="CCCCCC"/>
              <w:right w:val="single" w:sz="1" w:space="0" w:color="CCCCCC"/>
            </w:tcBorders>
            <w:shd w:val="clear" w:color="auto" w:fill="2C3E50"/>
            <w:tcMar>
              <w:top w:w="60" w:type="dxa"/>
              <w:left w:w="40" w:type="dxa"/>
              <w:bottom w:w="60" w:type="dxa"/>
              <w:right w:w="40" w:type="dxa"/>
            </w:tcMar>
          </w:tcPr>
          <w:p w:rsidR="00215F76" w:rsidRDefault="00215F76" w:rsidP="00FC1EA7">
            <w:pPr>
              <w:jc w:val="center"/>
            </w:pPr>
            <w:r>
              <w:rPr>
                <w:rFonts w:ascii="Arial" w:eastAsia="Arial" w:hAnsi="Arial" w:cs="Arial"/>
                <w:b/>
                <w:bCs/>
                <w:color w:val="FFFFFF"/>
                <w:sz w:val="16"/>
                <w:szCs w:val="16"/>
              </w:rPr>
              <w:t>M3</w:t>
            </w:r>
          </w:p>
        </w:tc>
        <w:tc>
          <w:tcPr>
            <w:tcW w:w="648" w:type="dxa"/>
            <w:tcBorders>
              <w:top w:val="single" w:sz="1" w:space="0" w:color="CCCCCC"/>
              <w:left w:val="single" w:sz="1" w:space="0" w:color="CCCCCC"/>
              <w:bottom w:val="single" w:sz="1" w:space="0" w:color="CCCCCC"/>
              <w:right w:val="single" w:sz="1" w:space="0" w:color="CCCCCC"/>
            </w:tcBorders>
            <w:shd w:val="clear" w:color="auto" w:fill="2C3E50"/>
            <w:tcMar>
              <w:top w:w="60" w:type="dxa"/>
              <w:left w:w="40" w:type="dxa"/>
              <w:bottom w:w="60" w:type="dxa"/>
              <w:right w:w="40" w:type="dxa"/>
            </w:tcMar>
          </w:tcPr>
          <w:p w:rsidR="00215F76" w:rsidRDefault="00215F76" w:rsidP="00FC1EA7">
            <w:pPr>
              <w:jc w:val="center"/>
            </w:pPr>
            <w:r>
              <w:rPr>
                <w:rFonts w:ascii="Arial" w:eastAsia="Arial" w:hAnsi="Arial" w:cs="Arial"/>
                <w:b/>
                <w:bCs/>
                <w:color w:val="FFFFFF"/>
                <w:sz w:val="16"/>
                <w:szCs w:val="16"/>
              </w:rPr>
              <w:t>M4</w:t>
            </w:r>
          </w:p>
        </w:tc>
        <w:tc>
          <w:tcPr>
            <w:tcW w:w="648" w:type="dxa"/>
            <w:tcBorders>
              <w:top w:val="single" w:sz="1" w:space="0" w:color="CCCCCC"/>
              <w:left w:val="single" w:sz="1" w:space="0" w:color="CCCCCC"/>
              <w:bottom w:val="single" w:sz="1" w:space="0" w:color="CCCCCC"/>
              <w:right w:val="single" w:sz="1" w:space="0" w:color="CCCCCC"/>
            </w:tcBorders>
            <w:shd w:val="clear" w:color="auto" w:fill="2C3E50"/>
            <w:tcMar>
              <w:top w:w="60" w:type="dxa"/>
              <w:left w:w="40" w:type="dxa"/>
              <w:bottom w:w="60" w:type="dxa"/>
              <w:right w:w="40" w:type="dxa"/>
            </w:tcMar>
          </w:tcPr>
          <w:p w:rsidR="00215F76" w:rsidRDefault="00215F76" w:rsidP="00FC1EA7">
            <w:pPr>
              <w:jc w:val="center"/>
            </w:pPr>
            <w:r>
              <w:rPr>
                <w:rFonts w:ascii="Arial" w:eastAsia="Arial" w:hAnsi="Arial" w:cs="Arial"/>
                <w:b/>
                <w:bCs/>
                <w:color w:val="FFFFFF"/>
                <w:sz w:val="16"/>
                <w:szCs w:val="16"/>
              </w:rPr>
              <w:t>M5</w:t>
            </w:r>
          </w:p>
        </w:tc>
        <w:tc>
          <w:tcPr>
            <w:tcW w:w="648" w:type="dxa"/>
            <w:tcBorders>
              <w:top w:val="single" w:sz="1" w:space="0" w:color="CCCCCC"/>
              <w:left w:val="single" w:sz="1" w:space="0" w:color="CCCCCC"/>
              <w:bottom w:val="single" w:sz="1" w:space="0" w:color="CCCCCC"/>
              <w:right w:val="single" w:sz="1" w:space="0" w:color="CCCCCC"/>
            </w:tcBorders>
            <w:shd w:val="clear" w:color="auto" w:fill="2C3E50"/>
            <w:tcMar>
              <w:top w:w="60" w:type="dxa"/>
              <w:left w:w="40" w:type="dxa"/>
              <w:bottom w:w="60" w:type="dxa"/>
              <w:right w:w="40" w:type="dxa"/>
            </w:tcMar>
          </w:tcPr>
          <w:p w:rsidR="00215F76" w:rsidRDefault="00215F76" w:rsidP="00FC1EA7">
            <w:pPr>
              <w:jc w:val="center"/>
            </w:pPr>
            <w:r>
              <w:rPr>
                <w:rFonts w:ascii="Arial" w:eastAsia="Arial" w:hAnsi="Arial" w:cs="Arial"/>
                <w:b/>
                <w:bCs/>
                <w:color w:val="FFFFFF"/>
                <w:sz w:val="16"/>
                <w:szCs w:val="16"/>
              </w:rPr>
              <w:t>M6</w:t>
            </w:r>
          </w:p>
        </w:tc>
        <w:tc>
          <w:tcPr>
            <w:tcW w:w="648" w:type="dxa"/>
            <w:tcBorders>
              <w:top w:val="single" w:sz="1" w:space="0" w:color="CCCCCC"/>
              <w:left w:val="single" w:sz="1" w:space="0" w:color="CCCCCC"/>
              <w:bottom w:val="single" w:sz="1" w:space="0" w:color="CCCCCC"/>
              <w:right w:val="single" w:sz="1" w:space="0" w:color="CCCCCC"/>
            </w:tcBorders>
            <w:shd w:val="clear" w:color="auto" w:fill="2C3E50"/>
            <w:tcMar>
              <w:top w:w="60" w:type="dxa"/>
              <w:left w:w="40" w:type="dxa"/>
              <w:bottom w:w="60" w:type="dxa"/>
              <w:right w:w="40" w:type="dxa"/>
            </w:tcMar>
          </w:tcPr>
          <w:p w:rsidR="00215F76" w:rsidRDefault="00215F76" w:rsidP="00FC1EA7">
            <w:pPr>
              <w:jc w:val="center"/>
            </w:pPr>
            <w:r>
              <w:rPr>
                <w:rFonts w:ascii="Arial" w:eastAsia="Arial" w:hAnsi="Arial" w:cs="Arial"/>
                <w:b/>
                <w:bCs/>
                <w:color w:val="FFFFFF"/>
                <w:sz w:val="16"/>
                <w:szCs w:val="16"/>
              </w:rPr>
              <w:t>M7</w:t>
            </w:r>
          </w:p>
        </w:tc>
        <w:tc>
          <w:tcPr>
            <w:tcW w:w="648" w:type="dxa"/>
            <w:tcBorders>
              <w:top w:val="single" w:sz="1" w:space="0" w:color="CCCCCC"/>
              <w:left w:val="single" w:sz="1" w:space="0" w:color="CCCCCC"/>
              <w:bottom w:val="single" w:sz="1" w:space="0" w:color="CCCCCC"/>
              <w:right w:val="single" w:sz="1" w:space="0" w:color="CCCCCC"/>
            </w:tcBorders>
            <w:shd w:val="clear" w:color="auto" w:fill="2C3E50"/>
            <w:tcMar>
              <w:top w:w="60" w:type="dxa"/>
              <w:left w:w="40" w:type="dxa"/>
              <w:bottom w:w="60" w:type="dxa"/>
              <w:right w:w="40" w:type="dxa"/>
            </w:tcMar>
          </w:tcPr>
          <w:p w:rsidR="00215F76" w:rsidRDefault="00215F76" w:rsidP="00FC1EA7">
            <w:pPr>
              <w:jc w:val="center"/>
            </w:pPr>
            <w:r>
              <w:rPr>
                <w:rFonts w:ascii="Arial" w:eastAsia="Arial" w:hAnsi="Arial" w:cs="Arial"/>
                <w:b/>
                <w:bCs/>
                <w:color w:val="FFFFFF"/>
                <w:sz w:val="16"/>
                <w:szCs w:val="16"/>
              </w:rPr>
              <w:t>M8</w:t>
            </w:r>
          </w:p>
        </w:tc>
        <w:tc>
          <w:tcPr>
            <w:tcW w:w="648" w:type="dxa"/>
            <w:tcBorders>
              <w:top w:val="single" w:sz="1" w:space="0" w:color="CCCCCC"/>
              <w:left w:val="single" w:sz="1" w:space="0" w:color="CCCCCC"/>
              <w:bottom w:val="single" w:sz="1" w:space="0" w:color="CCCCCC"/>
              <w:right w:val="single" w:sz="1" w:space="0" w:color="CCCCCC"/>
            </w:tcBorders>
            <w:shd w:val="clear" w:color="auto" w:fill="2C3E50"/>
            <w:tcMar>
              <w:top w:w="60" w:type="dxa"/>
              <w:left w:w="40" w:type="dxa"/>
              <w:bottom w:w="60" w:type="dxa"/>
              <w:right w:w="40" w:type="dxa"/>
            </w:tcMar>
          </w:tcPr>
          <w:p w:rsidR="00215F76" w:rsidRDefault="00215F76" w:rsidP="00FC1EA7">
            <w:pPr>
              <w:jc w:val="center"/>
            </w:pPr>
            <w:r>
              <w:rPr>
                <w:rFonts w:ascii="Arial" w:eastAsia="Arial" w:hAnsi="Arial" w:cs="Arial"/>
                <w:b/>
                <w:bCs/>
                <w:color w:val="FFFFFF"/>
                <w:sz w:val="16"/>
                <w:szCs w:val="16"/>
              </w:rPr>
              <w:t>M9</w:t>
            </w:r>
          </w:p>
        </w:tc>
        <w:tc>
          <w:tcPr>
            <w:tcW w:w="648" w:type="dxa"/>
            <w:tcBorders>
              <w:top w:val="single" w:sz="1" w:space="0" w:color="CCCCCC"/>
              <w:left w:val="single" w:sz="1" w:space="0" w:color="CCCCCC"/>
              <w:bottom w:val="single" w:sz="1" w:space="0" w:color="CCCCCC"/>
              <w:right w:val="single" w:sz="1" w:space="0" w:color="CCCCCC"/>
            </w:tcBorders>
            <w:shd w:val="clear" w:color="auto" w:fill="2C3E50"/>
            <w:tcMar>
              <w:top w:w="60" w:type="dxa"/>
              <w:left w:w="40" w:type="dxa"/>
              <w:bottom w:w="60" w:type="dxa"/>
              <w:right w:w="40" w:type="dxa"/>
            </w:tcMar>
          </w:tcPr>
          <w:p w:rsidR="00215F76" w:rsidRDefault="00215F76" w:rsidP="00FC1EA7">
            <w:pPr>
              <w:jc w:val="center"/>
            </w:pPr>
            <w:r>
              <w:rPr>
                <w:rFonts w:ascii="Arial" w:eastAsia="Arial" w:hAnsi="Arial" w:cs="Arial"/>
                <w:b/>
                <w:bCs/>
                <w:color w:val="FFFFFF"/>
                <w:sz w:val="16"/>
                <w:szCs w:val="16"/>
              </w:rPr>
              <w:t>M10</w:t>
            </w:r>
          </w:p>
        </w:tc>
        <w:tc>
          <w:tcPr>
            <w:tcW w:w="648" w:type="dxa"/>
            <w:tcBorders>
              <w:top w:val="single" w:sz="1" w:space="0" w:color="CCCCCC"/>
              <w:left w:val="single" w:sz="1" w:space="0" w:color="CCCCCC"/>
              <w:bottom w:val="single" w:sz="1" w:space="0" w:color="CCCCCC"/>
              <w:right w:val="single" w:sz="1" w:space="0" w:color="CCCCCC"/>
            </w:tcBorders>
            <w:shd w:val="clear" w:color="auto" w:fill="2C3E50"/>
            <w:tcMar>
              <w:top w:w="60" w:type="dxa"/>
              <w:left w:w="40" w:type="dxa"/>
              <w:bottom w:w="60" w:type="dxa"/>
              <w:right w:w="40" w:type="dxa"/>
            </w:tcMar>
          </w:tcPr>
          <w:p w:rsidR="00215F76" w:rsidRDefault="00215F76" w:rsidP="00FC1EA7">
            <w:pPr>
              <w:jc w:val="center"/>
            </w:pPr>
            <w:r>
              <w:rPr>
                <w:rFonts w:ascii="Arial" w:eastAsia="Arial" w:hAnsi="Arial" w:cs="Arial"/>
                <w:b/>
                <w:bCs/>
                <w:color w:val="FFFFFF"/>
                <w:sz w:val="16"/>
                <w:szCs w:val="16"/>
              </w:rPr>
              <w:t>M11</w:t>
            </w:r>
          </w:p>
        </w:tc>
        <w:tc>
          <w:tcPr>
            <w:tcW w:w="648" w:type="dxa"/>
            <w:tcBorders>
              <w:top w:val="single" w:sz="1" w:space="0" w:color="CCCCCC"/>
              <w:left w:val="single" w:sz="1" w:space="0" w:color="CCCCCC"/>
              <w:bottom w:val="single" w:sz="1" w:space="0" w:color="CCCCCC"/>
              <w:right w:val="single" w:sz="1" w:space="0" w:color="CCCCCC"/>
            </w:tcBorders>
            <w:shd w:val="clear" w:color="auto" w:fill="2C3E50"/>
            <w:tcMar>
              <w:top w:w="60" w:type="dxa"/>
              <w:left w:w="40" w:type="dxa"/>
              <w:bottom w:w="60" w:type="dxa"/>
              <w:right w:w="40" w:type="dxa"/>
            </w:tcMar>
          </w:tcPr>
          <w:p w:rsidR="00215F76" w:rsidRDefault="00215F76" w:rsidP="00FC1EA7">
            <w:pPr>
              <w:jc w:val="center"/>
            </w:pPr>
            <w:r>
              <w:rPr>
                <w:rFonts w:ascii="Arial" w:eastAsia="Arial" w:hAnsi="Arial" w:cs="Arial"/>
                <w:b/>
                <w:bCs/>
                <w:color w:val="FFFFFF"/>
                <w:sz w:val="16"/>
                <w:szCs w:val="16"/>
              </w:rPr>
              <w:t>M12</w:t>
            </w:r>
          </w:p>
        </w:tc>
      </w:tr>
      <w:tr w:rsidR="00215F76" w:rsidTr="00215F76">
        <w:trPr>
          <w:trHeight w:val="335"/>
          <w:jc w:val="center"/>
        </w:trPr>
        <w:tc>
          <w:tcPr>
            <w:tcW w:w="2508" w:type="dxa"/>
            <w:tcBorders>
              <w:top w:val="single" w:sz="1" w:space="0" w:color="CCCCCC"/>
              <w:left w:val="single" w:sz="1" w:space="0" w:color="CCCCCC"/>
              <w:bottom w:val="single" w:sz="1" w:space="0" w:color="CCCCCC"/>
              <w:right w:val="single" w:sz="1" w:space="0" w:color="CCCCCC"/>
            </w:tcBorders>
            <w:shd w:val="clear" w:color="auto" w:fill="F5F5F5"/>
            <w:tcMar>
              <w:top w:w="60" w:type="dxa"/>
              <w:left w:w="100" w:type="dxa"/>
              <w:bottom w:w="60" w:type="dxa"/>
              <w:right w:w="60" w:type="dxa"/>
            </w:tcMar>
          </w:tcPr>
          <w:p w:rsidR="00215F76" w:rsidRDefault="00215F76" w:rsidP="00FC1EA7">
            <w:r>
              <w:rPr>
                <w:rFonts w:ascii="Arial" w:eastAsia="Arial" w:hAnsi="Arial" w:cs="Arial"/>
                <w:sz w:val="18"/>
                <w:szCs w:val="18"/>
              </w:rPr>
              <w:t>Premises &amp; Fit-Out</w:t>
            </w:r>
          </w:p>
        </w:tc>
        <w:tc>
          <w:tcPr>
            <w:tcW w:w="647"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7"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7"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r>
      <w:tr w:rsidR="00215F76" w:rsidTr="00215F76">
        <w:trPr>
          <w:trHeight w:val="335"/>
          <w:jc w:val="center"/>
        </w:trPr>
        <w:tc>
          <w:tcPr>
            <w:tcW w:w="250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60" w:type="dxa"/>
            </w:tcMar>
          </w:tcPr>
          <w:p w:rsidR="00215F76" w:rsidRDefault="00215F76" w:rsidP="00FC1EA7">
            <w:r>
              <w:rPr>
                <w:rFonts w:ascii="Arial" w:eastAsia="Arial" w:hAnsi="Arial" w:cs="Arial"/>
                <w:sz w:val="18"/>
                <w:szCs w:val="18"/>
              </w:rPr>
              <w:t>Licensing</w:t>
            </w:r>
          </w:p>
        </w:tc>
        <w:tc>
          <w:tcPr>
            <w:tcW w:w="647"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7"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7"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r>
      <w:tr w:rsidR="00215F76" w:rsidTr="00215F76">
        <w:trPr>
          <w:trHeight w:val="335"/>
          <w:jc w:val="center"/>
        </w:trPr>
        <w:tc>
          <w:tcPr>
            <w:tcW w:w="2508" w:type="dxa"/>
            <w:tcBorders>
              <w:top w:val="single" w:sz="1" w:space="0" w:color="CCCCCC"/>
              <w:left w:val="single" w:sz="1" w:space="0" w:color="CCCCCC"/>
              <w:bottom w:val="single" w:sz="1" w:space="0" w:color="CCCCCC"/>
              <w:right w:val="single" w:sz="1" w:space="0" w:color="CCCCCC"/>
            </w:tcBorders>
            <w:shd w:val="clear" w:color="auto" w:fill="F5F5F5"/>
            <w:tcMar>
              <w:top w:w="60" w:type="dxa"/>
              <w:left w:w="100" w:type="dxa"/>
              <w:bottom w:w="60" w:type="dxa"/>
              <w:right w:w="60" w:type="dxa"/>
            </w:tcMar>
          </w:tcPr>
          <w:p w:rsidR="00215F76" w:rsidRDefault="00215F76" w:rsidP="00FC1EA7">
            <w:r>
              <w:rPr>
                <w:rFonts w:ascii="Arial" w:eastAsia="Arial" w:hAnsi="Arial" w:cs="Arial"/>
                <w:sz w:val="18"/>
                <w:szCs w:val="18"/>
              </w:rPr>
              <w:t>Staff Recruitment</w:t>
            </w:r>
          </w:p>
        </w:tc>
        <w:tc>
          <w:tcPr>
            <w:tcW w:w="647"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7"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7"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r>
      <w:tr w:rsidR="00215F76" w:rsidTr="00215F76">
        <w:trPr>
          <w:trHeight w:val="327"/>
          <w:jc w:val="center"/>
        </w:trPr>
        <w:tc>
          <w:tcPr>
            <w:tcW w:w="250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60" w:type="dxa"/>
            </w:tcMar>
          </w:tcPr>
          <w:p w:rsidR="00215F76" w:rsidRDefault="00215F76" w:rsidP="00FC1EA7">
            <w:r>
              <w:rPr>
                <w:rFonts w:ascii="Arial" w:eastAsia="Arial" w:hAnsi="Arial" w:cs="Arial"/>
                <w:sz w:val="18"/>
                <w:szCs w:val="18"/>
              </w:rPr>
              <w:t>Menu Development</w:t>
            </w:r>
          </w:p>
        </w:tc>
        <w:tc>
          <w:tcPr>
            <w:tcW w:w="647"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7"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7"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r>
      <w:tr w:rsidR="00215F76" w:rsidTr="00215F76">
        <w:trPr>
          <w:trHeight w:val="335"/>
          <w:jc w:val="center"/>
        </w:trPr>
        <w:tc>
          <w:tcPr>
            <w:tcW w:w="2508" w:type="dxa"/>
            <w:tcBorders>
              <w:top w:val="single" w:sz="1" w:space="0" w:color="CCCCCC"/>
              <w:left w:val="single" w:sz="1" w:space="0" w:color="CCCCCC"/>
              <w:bottom w:val="single" w:sz="1" w:space="0" w:color="CCCCCC"/>
              <w:right w:val="single" w:sz="1" w:space="0" w:color="CCCCCC"/>
            </w:tcBorders>
            <w:shd w:val="clear" w:color="auto" w:fill="F5F5F5"/>
            <w:tcMar>
              <w:top w:w="60" w:type="dxa"/>
              <w:left w:w="100" w:type="dxa"/>
              <w:bottom w:w="60" w:type="dxa"/>
              <w:right w:w="60" w:type="dxa"/>
            </w:tcMar>
          </w:tcPr>
          <w:p w:rsidR="00215F76" w:rsidRDefault="00215F76" w:rsidP="00FC1EA7">
            <w:r>
              <w:rPr>
                <w:rFonts w:ascii="Arial" w:eastAsia="Arial" w:hAnsi="Arial" w:cs="Arial"/>
                <w:sz w:val="18"/>
                <w:szCs w:val="18"/>
              </w:rPr>
              <w:t>Branding &amp; Digital</w:t>
            </w:r>
          </w:p>
        </w:tc>
        <w:tc>
          <w:tcPr>
            <w:tcW w:w="647"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7"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7"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r>
      <w:tr w:rsidR="00215F76" w:rsidTr="00215F76">
        <w:trPr>
          <w:trHeight w:val="335"/>
          <w:jc w:val="center"/>
        </w:trPr>
        <w:tc>
          <w:tcPr>
            <w:tcW w:w="250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60" w:type="dxa"/>
            </w:tcMar>
          </w:tcPr>
          <w:p w:rsidR="00215F76" w:rsidRDefault="00215F76" w:rsidP="00FC1EA7">
            <w:r>
              <w:rPr>
                <w:rFonts w:ascii="Arial" w:eastAsia="Arial" w:hAnsi="Arial" w:cs="Arial"/>
                <w:sz w:val="18"/>
                <w:szCs w:val="18"/>
              </w:rPr>
              <w:t>Soft Launch</w:t>
            </w:r>
          </w:p>
        </w:tc>
        <w:tc>
          <w:tcPr>
            <w:tcW w:w="647"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7"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7"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r>
      <w:tr w:rsidR="00215F76" w:rsidTr="00215F76">
        <w:trPr>
          <w:trHeight w:val="335"/>
          <w:jc w:val="center"/>
        </w:trPr>
        <w:tc>
          <w:tcPr>
            <w:tcW w:w="2508" w:type="dxa"/>
            <w:tcBorders>
              <w:top w:val="single" w:sz="1" w:space="0" w:color="CCCCCC"/>
              <w:left w:val="single" w:sz="1" w:space="0" w:color="CCCCCC"/>
              <w:bottom w:val="single" w:sz="1" w:space="0" w:color="CCCCCC"/>
              <w:right w:val="single" w:sz="1" w:space="0" w:color="CCCCCC"/>
            </w:tcBorders>
            <w:shd w:val="clear" w:color="auto" w:fill="F5F5F5"/>
            <w:tcMar>
              <w:top w:w="60" w:type="dxa"/>
              <w:left w:w="100" w:type="dxa"/>
              <w:bottom w:w="60" w:type="dxa"/>
              <w:right w:w="60" w:type="dxa"/>
            </w:tcMar>
          </w:tcPr>
          <w:p w:rsidR="00215F76" w:rsidRDefault="00215F76" w:rsidP="00FC1EA7">
            <w:r>
              <w:rPr>
                <w:rFonts w:ascii="Arial" w:eastAsia="Arial" w:hAnsi="Arial" w:cs="Arial"/>
                <w:sz w:val="18"/>
                <w:szCs w:val="18"/>
              </w:rPr>
              <w:t>Full Public Launch</w:t>
            </w:r>
          </w:p>
        </w:tc>
        <w:tc>
          <w:tcPr>
            <w:tcW w:w="647"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7"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7"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r>
      <w:tr w:rsidR="00215F76" w:rsidTr="00215F76">
        <w:trPr>
          <w:trHeight w:val="335"/>
          <w:jc w:val="center"/>
        </w:trPr>
        <w:tc>
          <w:tcPr>
            <w:tcW w:w="250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60" w:type="dxa"/>
            </w:tcMar>
          </w:tcPr>
          <w:p w:rsidR="00215F76" w:rsidRDefault="00215F76" w:rsidP="00FC1EA7">
            <w:r>
              <w:rPr>
                <w:rFonts w:ascii="Arial" w:eastAsia="Arial" w:hAnsi="Arial" w:cs="Arial"/>
                <w:sz w:val="18"/>
                <w:szCs w:val="18"/>
              </w:rPr>
              <w:t>Marketing Campaigns</w:t>
            </w:r>
          </w:p>
        </w:tc>
        <w:tc>
          <w:tcPr>
            <w:tcW w:w="647"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7"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7"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r>
      <w:tr w:rsidR="00215F76" w:rsidTr="00215F76">
        <w:trPr>
          <w:trHeight w:val="335"/>
          <w:jc w:val="center"/>
        </w:trPr>
        <w:tc>
          <w:tcPr>
            <w:tcW w:w="2508" w:type="dxa"/>
            <w:tcBorders>
              <w:top w:val="single" w:sz="1" w:space="0" w:color="CCCCCC"/>
              <w:left w:val="single" w:sz="1" w:space="0" w:color="CCCCCC"/>
              <w:bottom w:val="single" w:sz="1" w:space="0" w:color="CCCCCC"/>
              <w:right w:val="single" w:sz="1" w:space="0" w:color="CCCCCC"/>
            </w:tcBorders>
            <w:shd w:val="clear" w:color="auto" w:fill="F5F5F5"/>
            <w:tcMar>
              <w:top w:w="60" w:type="dxa"/>
              <w:left w:w="100" w:type="dxa"/>
              <w:bottom w:w="60" w:type="dxa"/>
              <w:right w:w="60" w:type="dxa"/>
            </w:tcMar>
          </w:tcPr>
          <w:p w:rsidR="00215F76" w:rsidRDefault="00215F76" w:rsidP="00FC1EA7">
            <w:r>
              <w:rPr>
                <w:rFonts w:ascii="Arial" w:eastAsia="Arial" w:hAnsi="Arial" w:cs="Arial"/>
                <w:sz w:val="18"/>
                <w:szCs w:val="18"/>
              </w:rPr>
              <w:t>Catering / Events</w:t>
            </w:r>
          </w:p>
        </w:tc>
        <w:tc>
          <w:tcPr>
            <w:tcW w:w="647"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7"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7"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5F5F5"/>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r>
      <w:tr w:rsidR="00215F76" w:rsidTr="00215F76">
        <w:trPr>
          <w:trHeight w:val="335"/>
          <w:jc w:val="center"/>
        </w:trPr>
        <w:tc>
          <w:tcPr>
            <w:tcW w:w="250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60" w:type="dxa"/>
            </w:tcMar>
          </w:tcPr>
          <w:p w:rsidR="00215F76" w:rsidRDefault="00215F76" w:rsidP="00FC1EA7">
            <w:r>
              <w:rPr>
                <w:rFonts w:ascii="Arial" w:eastAsia="Arial" w:hAnsi="Arial" w:cs="Arial"/>
                <w:sz w:val="18"/>
                <w:szCs w:val="18"/>
              </w:rPr>
              <w:t>Growth Planning</w:t>
            </w:r>
          </w:p>
        </w:tc>
        <w:tc>
          <w:tcPr>
            <w:tcW w:w="647"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7"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7"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FFFFFF"/>
            <w:tcMar>
              <w:top w:w="60" w:type="dxa"/>
              <w:left w:w="40" w:type="dxa"/>
              <w:bottom w:w="60" w:type="dxa"/>
              <w:right w:w="40" w:type="dxa"/>
            </w:tcMar>
          </w:tcPr>
          <w:p w:rsidR="00215F76" w:rsidRDefault="00215F76" w:rsidP="00FC1EA7">
            <w:pPr>
              <w:jc w:val="center"/>
            </w:pP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c>
          <w:tcPr>
            <w:tcW w:w="648" w:type="dxa"/>
            <w:tcBorders>
              <w:top w:val="single" w:sz="1" w:space="0" w:color="CCCCCC"/>
              <w:left w:val="single" w:sz="1" w:space="0" w:color="CCCCCC"/>
              <w:bottom w:val="single" w:sz="1" w:space="0" w:color="CCCCCC"/>
              <w:right w:val="single" w:sz="1" w:space="0" w:color="CCCCCC"/>
            </w:tcBorders>
            <w:shd w:val="clear" w:color="auto" w:fill="C0392B"/>
            <w:tcMar>
              <w:top w:w="60" w:type="dxa"/>
              <w:left w:w="40" w:type="dxa"/>
              <w:bottom w:w="60" w:type="dxa"/>
              <w:right w:w="40" w:type="dxa"/>
            </w:tcMar>
          </w:tcPr>
          <w:p w:rsidR="00215F76" w:rsidRDefault="00215F76" w:rsidP="00FC1EA7">
            <w:pPr>
              <w:jc w:val="center"/>
            </w:pPr>
            <w:r>
              <w:rPr>
                <w:rFonts w:ascii="Arial" w:eastAsia="Arial" w:hAnsi="Arial" w:cs="Arial"/>
                <w:color w:val="FFFFFF"/>
                <w:sz w:val="18"/>
                <w:szCs w:val="18"/>
              </w:rPr>
              <w:t>■</w:t>
            </w:r>
          </w:p>
        </w:tc>
      </w:tr>
    </w:tbl>
    <w:p w:rsidR="00215F76" w:rsidRDefault="00215F76">
      <w:pPr>
        <w:pStyle w:val="Heading2"/>
      </w:pPr>
    </w:p>
    <w:p w:rsidR="00215F76" w:rsidRDefault="00215F76" w:rsidP="00215F76">
      <w:pPr>
        <w:pStyle w:val="BodyText"/>
      </w:pPr>
      <w:bookmarkStart w:id="15" w:name="_GoBack"/>
      <w:bookmarkEnd w:id="15"/>
    </w:p>
    <w:p w:rsidR="00215F76" w:rsidRDefault="00215F76" w:rsidP="00215F76">
      <w:pPr>
        <w:pStyle w:val="BodyText"/>
      </w:pPr>
    </w:p>
    <w:p w:rsidR="004720D9" w:rsidRDefault="004720D9">
      <w:pPr>
        <w:pStyle w:val="FirstParagraph"/>
        <w:rPr>
          <w:color w:val="FF0000"/>
        </w:rPr>
      </w:pPr>
      <w:bookmarkStart w:id="16" w:name="data-collection-instruments-and-kpis"/>
      <w:bookmarkEnd w:id="14"/>
    </w:p>
    <w:p w:rsidR="0079310C" w:rsidRPr="0079310C" w:rsidRDefault="0079310C" w:rsidP="0079310C">
      <w:pPr>
        <w:pStyle w:val="BodyText"/>
      </w:pPr>
    </w:p>
    <w:p w:rsidR="00215F76" w:rsidRDefault="0004067A" w:rsidP="0004067A">
      <w:pPr>
        <w:pStyle w:val="BodyText"/>
      </w:pPr>
      <w:r>
        <w:rPr>
          <w:b/>
          <w:bCs/>
        </w:rPr>
        <w:t>Key Performance Indicators (KPIs):</w:t>
      </w:r>
      <w:r>
        <w:t xml:space="preserve"> To track success, we will monitor both financial and customer metrics. Important KPIs include </w:t>
      </w:r>
      <w:r>
        <w:rPr>
          <w:b/>
          <w:bCs/>
        </w:rPr>
        <w:t>sales revenue</w:t>
      </w:r>
      <w:r>
        <w:t xml:space="preserve"> (daily/weekly turnover) and </w:t>
      </w:r>
      <w:r>
        <w:rPr>
          <w:b/>
          <w:bCs/>
        </w:rPr>
        <w:t>average spend per customer</w:t>
      </w:r>
      <w:r>
        <w:t xml:space="preserve"> (related to break-even calculation), </w:t>
      </w:r>
      <w:r>
        <w:rPr>
          <w:b/>
          <w:bCs/>
        </w:rPr>
        <w:t>food cost percentage</w:t>
      </w:r>
      <w:r>
        <w:t xml:space="preserve"> (COGS/sales), </w:t>
      </w:r>
      <w:r>
        <w:rPr>
          <w:b/>
          <w:bCs/>
        </w:rPr>
        <w:t>labor cost ratio</w:t>
      </w:r>
      <w:r>
        <w:t xml:space="preserve">, and </w:t>
      </w:r>
      <w:r>
        <w:rPr>
          <w:b/>
          <w:bCs/>
        </w:rPr>
        <w:t>profit margin</w:t>
      </w:r>
      <w:r>
        <w:t xml:space="preserve">. Customer-related KPIs include </w:t>
      </w:r>
      <w:r>
        <w:rPr>
          <w:b/>
          <w:bCs/>
        </w:rPr>
        <w:t>covers per day</w:t>
      </w:r>
      <w:r>
        <w:t xml:space="preserve">, </w:t>
      </w:r>
      <w:r>
        <w:rPr>
          <w:b/>
          <w:bCs/>
        </w:rPr>
        <w:t>table turnover rate</w:t>
      </w:r>
      <w:r>
        <w:t xml:space="preserve">, and </w:t>
      </w:r>
      <w:r>
        <w:rPr>
          <w:b/>
          <w:bCs/>
        </w:rPr>
        <w:t>customer satisfaction ratings</w:t>
      </w:r>
      <w:r>
        <w:t xml:space="preserve"> (via feedback surveys or online reviews). Social media metrics (followers, engagement) will be tracked against targets. Regular KPI reviews will inform pricing adjustments, cost control, and promotional tactics.</w:t>
      </w:r>
      <w:bookmarkStart w:id="17" w:name="key-sources-used"/>
      <w:bookmarkEnd w:id="16"/>
    </w:p>
    <w:p w:rsidR="0004067A" w:rsidRDefault="0004067A" w:rsidP="0004067A">
      <w:pPr>
        <w:pStyle w:val="BodyText"/>
      </w:pPr>
    </w:p>
    <w:p w:rsidR="004720D9" w:rsidRDefault="0004067A">
      <w:pPr>
        <w:pStyle w:val="Heading2"/>
      </w:pPr>
      <w:r>
        <w:lastRenderedPageBreak/>
        <w:t>Key Sources Used</w:t>
      </w:r>
    </w:p>
    <w:p w:rsidR="004720D9" w:rsidRDefault="0004067A" w:rsidP="00B9446A">
      <w:pPr>
        <w:pStyle w:val="Compact"/>
        <w:numPr>
          <w:ilvl w:val="0"/>
          <w:numId w:val="7"/>
        </w:numPr>
      </w:pPr>
      <w:r w:rsidRPr="00215F76">
        <w:rPr>
          <w:b/>
          <w:bCs/>
        </w:rPr>
        <w:t>ONS Census 2021 (Leicester)</w:t>
      </w:r>
      <w:r>
        <w:t xml:space="preserve"> – Ethnic and religious </w:t>
      </w:r>
      <w:proofErr w:type="spellStart"/>
      <w:r>
        <w:t>demographics</w:t>
      </w:r>
      <w:r w:rsidRPr="00215F76">
        <w:rPr>
          <w:b/>
          <w:bCs/>
        </w:rPr>
        <w:t>UKHospitality</w:t>
      </w:r>
      <w:proofErr w:type="spellEnd"/>
      <w:r w:rsidRPr="00215F76">
        <w:rPr>
          <w:b/>
          <w:bCs/>
        </w:rPr>
        <w:t xml:space="preserve"> (2023)</w:t>
      </w:r>
      <w:r>
        <w:t xml:space="preserve"> – UK hospitality economic stats and trends</w:t>
      </w:r>
    </w:p>
    <w:p w:rsidR="004720D9" w:rsidRDefault="0004067A">
      <w:pPr>
        <w:pStyle w:val="Compact"/>
        <w:numPr>
          <w:ilvl w:val="0"/>
          <w:numId w:val="7"/>
        </w:numPr>
      </w:pPr>
      <w:r>
        <w:rPr>
          <w:b/>
          <w:bCs/>
        </w:rPr>
        <w:t>The Independent / Census reports</w:t>
      </w:r>
      <w:r>
        <w:t xml:space="preserve"> – Leicester ethnic composition and market context</w:t>
      </w:r>
    </w:p>
    <w:p w:rsidR="00215F76" w:rsidRDefault="0004067A" w:rsidP="00F60A24">
      <w:pPr>
        <w:pStyle w:val="Compact"/>
        <w:numPr>
          <w:ilvl w:val="0"/>
          <w:numId w:val="7"/>
        </w:numPr>
      </w:pPr>
      <w:proofErr w:type="spellStart"/>
      <w:r w:rsidRPr="00215F76">
        <w:rPr>
          <w:b/>
          <w:bCs/>
        </w:rPr>
        <w:t>Qualtrics</w:t>
      </w:r>
      <w:proofErr w:type="spellEnd"/>
      <w:r w:rsidRPr="00215F76">
        <w:rPr>
          <w:b/>
          <w:bCs/>
        </w:rPr>
        <w:t xml:space="preserve"> (2023)</w:t>
      </w:r>
      <w:r>
        <w:t xml:space="preserve"> – Primary vs secondary market research methodology</w:t>
      </w:r>
    </w:p>
    <w:p w:rsidR="004720D9" w:rsidRDefault="0004067A" w:rsidP="00F60A24">
      <w:pPr>
        <w:pStyle w:val="Compact"/>
        <w:numPr>
          <w:ilvl w:val="0"/>
          <w:numId w:val="7"/>
        </w:numPr>
      </w:pPr>
      <w:proofErr w:type="spellStart"/>
      <w:r w:rsidRPr="00215F76">
        <w:rPr>
          <w:b/>
          <w:bCs/>
        </w:rPr>
        <w:t>RestoHub</w:t>
      </w:r>
      <w:proofErr w:type="spellEnd"/>
      <w:r w:rsidRPr="00215F76">
        <w:rPr>
          <w:b/>
          <w:bCs/>
        </w:rPr>
        <w:t xml:space="preserve"> (2024)</w:t>
      </w:r>
      <w:r>
        <w:t xml:space="preserve"> – Restaurant-targeted market research techniques (surveys, focus groups)</w:t>
      </w:r>
    </w:p>
    <w:p w:rsidR="004720D9" w:rsidRDefault="0004067A">
      <w:pPr>
        <w:pStyle w:val="Compact"/>
        <w:numPr>
          <w:ilvl w:val="0"/>
          <w:numId w:val="7"/>
        </w:numPr>
      </w:pPr>
      <w:r>
        <w:rPr>
          <w:b/>
          <w:bCs/>
        </w:rPr>
        <w:t>Spice Bazzar Leicester</w:t>
      </w:r>
      <w:r>
        <w:t xml:space="preserve"> – Competitor example (fine-dining Indian restaurant)</w:t>
      </w:r>
    </w:p>
    <w:p w:rsidR="004720D9" w:rsidRDefault="0004067A">
      <w:pPr>
        <w:pStyle w:val="Compact"/>
        <w:numPr>
          <w:ilvl w:val="0"/>
          <w:numId w:val="7"/>
        </w:numPr>
      </w:pPr>
      <w:r>
        <w:rPr>
          <w:b/>
          <w:bCs/>
        </w:rPr>
        <w:t>Visit Leicester / Kayal</w:t>
      </w:r>
      <w:r>
        <w:t xml:space="preserve"> – Competitor example (Kerala cuisine emphasis)</w:t>
      </w:r>
    </w:p>
    <w:p w:rsidR="004720D9" w:rsidRDefault="0004067A">
      <w:pPr>
        <w:pStyle w:val="Compact"/>
        <w:numPr>
          <w:ilvl w:val="0"/>
          <w:numId w:val="7"/>
        </w:numPr>
      </w:pPr>
      <w:r>
        <w:rPr>
          <w:b/>
          <w:bCs/>
        </w:rPr>
        <w:t>Visit Leicester / My Delhi</w:t>
      </w:r>
      <w:r>
        <w:t xml:space="preserve"> – Competitor example (Delhi street food)</w:t>
      </w:r>
    </w:p>
    <w:p w:rsidR="004720D9" w:rsidRDefault="0004067A">
      <w:pPr>
        <w:pStyle w:val="Compact"/>
        <w:numPr>
          <w:ilvl w:val="0"/>
          <w:numId w:val="7"/>
        </w:numPr>
      </w:pPr>
      <w:r>
        <w:rPr>
          <w:b/>
          <w:bCs/>
        </w:rPr>
        <w:t>CurryCulture / Financial Times</w:t>
      </w:r>
      <w:r>
        <w:t xml:space="preserve"> – UK Indian restaurant industry data (size £4.5bn, ~12,000 outlets)</w:t>
      </w:r>
    </w:p>
    <w:p w:rsidR="004720D9" w:rsidRDefault="0004067A">
      <w:pPr>
        <w:pStyle w:val="Compact"/>
        <w:numPr>
          <w:ilvl w:val="0"/>
          <w:numId w:val="7"/>
        </w:numPr>
      </w:pPr>
      <w:r>
        <w:rPr>
          <w:b/>
          <w:bCs/>
        </w:rPr>
        <w:t>NetSuite (Oracle)</w:t>
      </w:r>
      <w:r>
        <w:t xml:space="preserve"> – Key restaurant KPIs and metrics definitions</w:t>
      </w:r>
    </w:p>
    <w:bookmarkEnd w:id="0"/>
    <w:bookmarkEnd w:id="1"/>
    <w:bookmarkEnd w:id="17"/>
    <w:p w:rsidR="004720D9" w:rsidRDefault="00A978D7">
      <w:r>
        <w:pict>
          <v:rect id="_x0000_i1025" style="width:0;height:1.5pt" o:hralign="center" o:hrstd="t" o:hr="t"/>
        </w:pict>
      </w:r>
      <w:bookmarkStart w:id="18" w:name="citations"/>
      <w:bookmarkEnd w:id="18"/>
    </w:p>
    <w:sectPr w:rsidR="004720D9" w:rsidSect="0004067A">
      <w:footnotePr>
        <w:numRestart w:val="eachSect"/>
      </w:footnotePr>
      <w:pgSz w:w="12240" w:h="15840"/>
      <w:pgMar w:top="720" w:right="720" w:bottom="720" w:left="720" w:header="720" w:footer="720" w:gutter="0"/>
      <w:cols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A990"/>
    <w:multiLevelType w:val="multilevel"/>
    <w:tmpl w:val="2602A606"/>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DABCE91A"/>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
    <w:abstractNumId w:val="0"/>
  </w:num>
  <w:num w:numId="2">
    <w:abstractNumId w:val="1"/>
  </w:num>
  <w:num w:numId="3">
    <w:abstractNumId w:val="1"/>
  </w:num>
  <w:num w:numId="4">
    <w:abstractNumId w:val="1"/>
  </w:num>
  <w:num w:numId="5">
    <w:abstractNumId w:val="1"/>
  </w:num>
  <w:num w:numId="6">
    <w:abstractNumId w:val="1"/>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20D9"/>
    <w:rsid w:val="0004067A"/>
    <w:rsid w:val="00095678"/>
    <w:rsid w:val="000C087C"/>
    <w:rsid w:val="00215F76"/>
    <w:rsid w:val="002E6C0B"/>
    <w:rsid w:val="004720D9"/>
    <w:rsid w:val="0079310C"/>
    <w:rsid w:val="00885DDE"/>
    <w:rsid w:val="00A978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45A36"/>
  <w15:docId w15:val="{0F225A6E-17FD-4FE4-B8F1-CA11F3D0B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 w:eastAsia="en-US" w:bidi="ar-SA"/>
      </w:rPr>
    </w:rPrDefault>
    <w:pPrDefault>
      <w:pPr>
        <w:spacing w:after="200"/>
      </w:pPr>
    </w:pPrDefault>
  </w:docDefaults>
  <w:latentStyles w:defLockedState="0" w:defUIPriority="0" w:defSemiHidden="0" w:defUnhideWhenUsed="0" w:defQFormat="0" w:count="37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10</Pages>
  <Words>2953</Words>
  <Characters>16833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DHRUV</dc:creator>
  <cp:keywords/>
  <cp:lastModifiedBy>DHRUV</cp:lastModifiedBy>
  <cp:revision>3</cp:revision>
  <dcterms:created xsi:type="dcterms:W3CDTF">2026-06-10T22:54:00Z</dcterms:created>
  <dcterms:modified xsi:type="dcterms:W3CDTF">2026-06-10T23:02:00Z</dcterms:modified>
  <dc:language>en</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enerator">
    <vt:lpwstr>ChatGPT Deep Research</vt:lpwstr>
  </property>
</Properties>
</file>