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16836F" w14:textId="7E66B192" w:rsid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 xml:space="preserve">Ana Tanase </w:t>
      </w:r>
    </w:p>
    <w:p w14:paraId="41B81ACE" w14:textId="581D5CBC" w:rsid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color w:val="000000"/>
          <w:sz w:val="22"/>
          <w:szCs w:val="22"/>
        </w:rPr>
        <w:t>Student number 1917778</w:t>
      </w:r>
    </w:p>
    <w:p w14:paraId="5E6AD970" w14:textId="66DF6AF1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b/>
          <w:bCs/>
          <w:color w:val="000000"/>
          <w:sz w:val="22"/>
          <w:szCs w:val="22"/>
        </w:rPr>
      </w:pPr>
      <w:r w:rsidRPr="00701B8C">
        <w:rPr>
          <w:rFonts w:ascii="Arial" w:hAnsi="Arial" w:cs="Arial"/>
          <w:b/>
          <w:bCs/>
          <w:color w:val="000000"/>
          <w:sz w:val="22"/>
          <w:szCs w:val="22"/>
        </w:rPr>
        <w:t>References:</w:t>
      </w:r>
    </w:p>
    <w:p w14:paraId="41CA0955" w14:textId="291D26EB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Bloom, S.L. and Farragher, B.J. (2013)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Restoring Sanctuary: a new operating system for trauma-informed systems of care</w:t>
      </w:r>
      <w:r w:rsidRPr="00701B8C">
        <w:rPr>
          <w:rFonts w:ascii="Arial" w:hAnsi="Arial" w:cs="Arial"/>
          <w:color w:val="000000"/>
          <w:sz w:val="22"/>
          <w:szCs w:val="22"/>
        </w:rPr>
        <w:t>. University Press.</w:t>
      </w:r>
    </w:p>
    <w:p w14:paraId="7ED4D126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 xml:space="preserve">Bowlby, J. (1969) 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Attachment and loss</w:t>
      </w:r>
      <w:r w:rsidRPr="00701B8C">
        <w:rPr>
          <w:rFonts w:ascii="Arial" w:hAnsi="Arial" w:cs="Arial"/>
          <w:color w:val="000000"/>
          <w:sz w:val="22"/>
          <w:szCs w:val="22"/>
        </w:rPr>
        <w:t>. Basic Books.</w:t>
      </w:r>
    </w:p>
    <w:p w14:paraId="4568A5C0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Centre for Mental Health (2020) </w:t>
      </w:r>
      <w:r w:rsidRPr="00701B8C">
        <w:rPr>
          <w:rFonts w:ascii="Arial" w:hAnsi="Arial" w:cs="Arial"/>
          <w:i/>
          <w:iCs/>
          <w:sz w:val="22"/>
          <w:szCs w:val="22"/>
        </w:rPr>
        <w:t>Trauma, challenging behaviour and restrictive interventions in schools</w:t>
      </w:r>
      <w:r w:rsidRPr="00701B8C">
        <w:rPr>
          <w:rFonts w:ascii="Arial" w:hAnsi="Arial" w:cs="Arial"/>
          <w:sz w:val="22"/>
          <w:szCs w:val="22"/>
        </w:rPr>
        <w:t xml:space="preserve">. Briefing 54. Available at: </w:t>
      </w:r>
      <w:r w:rsidRPr="00701B8C">
        <w:rPr>
          <w:rFonts w:ascii="Arial" w:eastAsiaTheme="majorEastAsia" w:hAnsi="Arial" w:cs="Arial"/>
          <w:sz w:val="22"/>
          <w:szCs w:val="22"/>
        </w:rPr>
        <w:t>https://www.centreformentalhealth.org.uk/wp-content/uploads/2020/01/Briefing_54_traumainformed-schools_0.pdf</w:t>
      </w:r>
      <w:r w:rsidRPr="00701B8C">
        <w:rPr>
          <w:rFonts w:ascii="Arial" w:hAnsi="Arial" w:cs="Arial"/>
          <w:sz w:val="22"/>
          <w:szCs w:val="22"/>
        </w:rPr>
        <w:t xml:space="preserve"> (Accessed: 27 October 2025).</w:t>
      </w:r>
    </w:p>
    <w:p w14:paraId="5AAB95D5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 xml:space="preserve">Cruz, D., Lichten, M., Berg, K. and George, P. (2022) ‘Developmental trauma: Conceptual framework, associated risks and comorbidities, and evaluation and treatment’, 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Frontiers in Psychiatry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13(1), pp.1–14. Available at: </w:t>
      </w:r>
      <w:r w:rsidRPr="00701B8C">
        <w:rPr>
          <w:rFonts w:ascii="Arial" w:hAnsi="Arial" w:cs="Arial"/>
          <w:sz w:val="22"/>
          <w:szCs w:val="22"/>
        </w:rPr>
        <w:t>https://doi.org/10.3389/fpsyt.2022.800687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039FF97A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Cushing, T., Robertson, S.A., Julia, Marshall, N., Mark James Carey, Duschinsky, R. and Meiser-Stedman, R. (2023) ‘The relationship between attachment and posttraumatic stress in children and adolescents: A meta-analytic review’,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Development and Psychopathology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36(3), pp.1–15. Available at: </w:t>
      </w:r>
      <w:r w:rsidRPr="00701B8C">
        <w:rPr>
          <w:rFonts w:ascii="Arial" w:hAnsi="Arial" w:cs="Arial"/>
          <w:sz w:val="22"/>
          <w:szCs w:val="22"/>
        </w:rPr>
        <w:t>https://doi.org/10.1017/s0954579423000299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2B3282C8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Davis, R.S., Halligan, S.L., Meiser-Stedman, R., Elliott, E., Ward, G. and Hiller, R.M. (2022) ’A Longitudinal Investigation of the Relationship Between Trauma-Related Cognitive Processes and Internalising and Externalising Psychopathology in Young People in Out-of-Home Care’,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Research on Child and Adolescent Psychopathology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51. Available at: </w:t>
      </w:r>
      <w:r w:rsidRPr="00701B8C">
        <w:rPr>
          <w:rFonts w:ascii="Arial" w:hAnsi="Arial" w:cs="Arial"/>
          <w:sz w:val="22"/>
          <w:szCs w:val="22"/>
        </w:rPr>
        <w:t>https://doi.org/10.1007/s10802-022-01005-0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4BCFF4BE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Style w:val="url"/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>De Haan, A., Meiser-Stedman, R., Landolt, M. A., Kuhn, I., Black, M. J., Klaus, K., Patel, S.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>D., Fisher, D. J., Haag, C., Ukoumunne, O. C., Jones, B. G., Flaiyah, A. M., Catani,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>C., Dawson, K., Bryant, R. A., De Roos, C., Ertl, V., Foa, E. B., Ford, J. D., and Dalgleish, T.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>(2023) ‘Efficacy and moderators of efficacy of cognitive behavioural therapies with a trauma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 xml:space="preserve">focus in children and adolescents: an individual participant data meta-analysis of </w:t>
      </w:r>
      <w:r w:rsidRPr="00701B8C">
        <w:rPr>
          <w:rFonts w:ascii="Arial" w:hAnsi="Arial" w:cs="Arial"/>
          <w:sz w:val="22"/>
          <w:szCs w:val="22"/>
        </w:rPr>
        <w:lastRenderedPageBreak/>
        <w:t>randomised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 xml:space="preserve">trials ‘, </w:t>
      </w:r>
      <w:r w:rsidRPr="00701B8C">
        <w:rPr>
          <w:rFonts w:ascii="Arial" w:hAnsi="Arial" w:cs="Arial"/>
          <w:i/>
          <w:iCs/>
          <w:sz w:val="22"/>
          <w:szCs w:val="22"/>
        </w:rPr>
        <w:t>The Lancet Child &amp; Adolescent Health</w:t>
      </w:r>
      <w:r w:rsidRPr="00701B8C">
        <w:rPr>
          <w:rFonts w:ascii="Arial" w:hAnsi="Arial" w:cs="Arial"/>
          <w:sz w:val="22"/>
          <w:szCs w:val="22"/>
        </w:rPr>
        <w:t xml:space="preserve">, </w:t>
      </w:r>
      <w:r w:rsidRPr="00701B8C">
        <w:rPr>
          <w:rFonts w:ascii="Arial" w:hAnsi="Arial" w:cs="Arial"/>
          <w:i/>
          <w:iCs/>
          <w:sz w:val="22"/>
          <w:szCs w:val="22"/>
        </w:rPr>
        <w:t>8</w:t>
      </w:r>
      <w:r w:rsidRPr="00701B8C">
        <w:rPr>
          <w:rFonts w:ascii="Arial" w:hAnsi="Arial" w:cs="Arial"/>
          <w:sz w:val="22"/>
          <w:szCs w:val="22"/>
        </w:rPr>
        <w:t>(1), 28–39. Available at: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eastAsiaTheme="majorEastAsia" w:hAnsi="Arial" w:cs="Arial"/>
          <w:sz w:val="22"/>
          <w:szCs w:val="22"/>
        </w:rPr>
        <w:t>https://doi.org/10.1016/s2352-4642(23)00253-5</w:t>
      </w:r>
      <w:r w:rsidRPr="00701B8C">
        <w:rPr>
          <w:rStyle w:val="url"/>
          <w:rFonts w:ascii="Arial" w:eastAsiaTheme="majorEastAsia" w:hAnsi="Arial" w:cs="Arial"/>
          <w:sz w:val="22"/>
          <w:szCs w:val="22"/>
        </w:rPr>
        <w:t xml:space="preserve"> .</w:t>
      </w:r>
    </w:p>
    <w:p w14:paraId="03ECFECF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Gaffney, H., Jolliffe, D. and White, H. (2022)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Trauma-Specific Therapies Toolkit technical report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https://youthendowmentfund.org.uk/wp-content/uploads/2022/07/Trauma-Specific-Therapies_Technical-Report_Final_July-2022.pdf</w:t>
      </w:r>
      <w:r w:rsidRPr="00701B8C">
        <w:rPr>
          <w:rFonts w:ascii="Arial" w:hAnsi="Arial" w:cs="Arial"/>
          <w:sz w:val="22"/>
          <w:szCs w:val="22"/>
        </w:rPr>
        <w:t xml:space="preserve"> </w:t>
      </w:r>
      <w:r w:rsidRPr="00701B8C">
        <w:rPr>
          <w:rFonts w:ascii="Arial" w:hAnsi="Arial" w:cs="Arial"/>
          <w:color w:val="000000"/>
          <w:sz w:val="22"/>
          <w:szCs w:val="22"/>
        </w:rPr>
        <w:t>(Accessed 28 October 2025).</w:t>
      </w:r>
    </w:p>
    <w:p w14:paraId="35F80040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Galvin, E., Morris, H., Mousa, A., O’Donnell, R., Halfpenny, N. and Skouteris, H. (2021) ‘Implementation of The Sanctuary Model in residential out-of-home care: Enablers, barriers, successes and challenges’,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Children and Youth Services Review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121, p.105901. Available at: </w:t>
      </w:r>
      <w:r w:rsidRPr="00701B8C">
        <w:rPr>
          <w:rFonts w:ascii="Arial" w:hAnsi="Arial" w:cs="Arial"/>
          <w:sz w:val="22"/>
          <w:szCs w:val="22"/>
        </w:rPr>
        <w:t>https://doi.org/10.1016/j.childyouth.2020.105901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062E61CF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Hickle, K. (2021) </w:t>
      </w:r>
      <w:r w:rsidRPr="00701B8C">
        <w:rPr>
          <w:rFonts w:ascii="Arial" w:hAnsi="Arial" w:cs="Arial"/>
          <w:i/>
          <w:iCs/>
          <w:sz w:val="22"/>
          <w:szCs w:val="22"/>
        </w:rPr>
        <w:t>A brief introduction to trauma-informed practice</w:t>
      </w:r>
      <w:r w:rsidRPr="00701B8C">
        <w:rPr>
          <w:rFonts w:ascii="Arial" w:hAnsi="Arial" w:cs="Arial"/>
          <w:sz w:val="22"/>
          <w:szCs w:val="22"/>
        </w:rPr>
        <w:t>. Available at:</w:t>
      </w:r>
      <w:r w:rsidRPr="00701B8C">
        <w:rPr>
          <w:rFonts w:ascii="Arial" w:hAnsi="Arial" w:cs="Arial"/>
          <w:sz w:val="22"/>
          <w:szCs w:val="22"/>
        </w:rPr>
        <w:t xml:space="preserve"> </w:t>
      </w:r>
      <w:r w:rsidRPr="00701B8C">
        <w:rPr>
          <w:rFonts w:ascii="Arial" w:eastAsiaTheme="majorEastAsia" w:hAnsi="Arial" w:cs="Arial"/>
          <w:sz w:val="22"/>
          <w:szCs w:val="22"/>
        </w:rPr>
        <w:t>https://theinnovateproject.co.uk/wp-content/uploads/2025/07/A-brief-introduction-to-Trauma-Informed-Practice-Kristine-Langhoff.pdf</w:t>
      </w:r>
      <w:r w:rsidRPr="00701B8C">
        <w:rPr>
          <w:rStyle w:val="url"/>
          <w:rFonts w:ascii="Arial" w:eastAsiaTheme="majorEastAsia" w:hAnsi="Arial" w:cs="Arial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>(Accessed: 27 October 2025).</w:t>
      </w:r>
    </w:p>
    <w:p w14:paraId="3C6AEB69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Holden, M.J. and Sellers, D. (2019) ‘AN EVIDENCE-BASED PROGRAM MODEL FOR FACILITATING THERAPEUTIC RESPONSES TO PAIN-BASED BEHAVIOR IN RESIDENTIAL CARE’,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International Journal of Child, Youth and Family Studies</w:t>
      </w:r>
      <w:r w:rsidRPr="00701B8C">
        <w:rPr>
          <w:rFonts w:ascii="Arial" w:hAnsi="Arial" w:cs="Arial"/>
          <w:color w:val="000000"/>
          <w:sz w:val="22"/>
          <w:szCs w:val="22"/>
        </w:rPr>
        <w:t>, 10(2-3), pp.63–80. Available at: https://doi.org/10.18357/ijcyfs102-3201918853 .</w:t>
      </w:r>
    </w:p>
    <w:p w14:paraId="6CD5F13C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Hughes, D.A. (2013) </w:t>
      </w:r>
      <w:r w:rsidRPr="00701B8C">
        <w:rPr>
          <w:rFonts w:ascii="Arial" w:hAnsi="Arial" w:cs="Arial"/>
          <w:i/>
          <w:iCs/>
          <w:sz w:val="22"/>
          <w:szCs w:val="22"/>
        </w:rPr>
        <w:t>Attachment-Focused Family Therapy Workbook</w:t>
      </w:r>
      <w:r w:rsidRPr="00701B8C">
        <w:rPr>
          <w:rFonts w:ascii="Arial" w:hAnsi="Arial" w:cs="Arial"/>
          <w:sz w:val="22"/>
          <w:szCs w:val="22"/>
        </w:rPr>
        <w:t>. W.W. Norton and Company.</w:t>
      </w:r>
    </w:p>
    <w:p w14:paraId="66947FAF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Hughes, D.A., Golding, K.S. and Hudson, J. (2019) </w:t>
      </w:r>
      <w:r w:rsidRPr="00701B8C">
        <w:rPr>
          <w:rFonts w:ascii="Arial" w:hAnsi="Arial" w:cs="Arial"/>
          <w:i/>
          <w:iCs/>
          <w:sz w:val="22"/>
          <w:szCs w:val="22"/>
        </w:rPr>
        <w:t>Healing Relational Trauma with Attachment-Focused Interventions: Dyadic Developmental Psychotherapy with Children and Families</w:t>
      </w:r>
      <w:r w:rsidRPr="00701B8C">
        <w:rPr>
          <w:rFonts w:ascii="Arial" w:hAnsi="Arial" w:cs="Arial"/>
          <w:sz w:val="22"/>
          <w:szCs w:val="22"/>
        </w:rPr>
        <w:t>. W.W. Norton and Company.</w:t>
      </w:r>
    </w:p>
    <w:p w14:paraId="69F34433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Izzo, C.V., Smith, E.G., Sellers, D.E., Holden, M.J. and Nunno, M.A. (2019) ‘</w:t>
      </w:r>
      <w:r w:rsidRPr="00701B8C">
        <w:rPr>
          <w:rFonts w:ascii="Arial" w:hAnsi="Arial" w:cs="Arial"/>
          <w:sz w:val="22"/>
          <w:szCs w:val="22"/>
        </w:rPr>
        <w:t xml:space="preserve">Improving relationship quality in group care settings: The impact of implementing the CARE model’, 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Children and Youth Services Review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p.104623. Available at: </w:t>
      </w:r>
      <w:r w:rsidRPr="00701B8C">
        <w:rPr>
          <w:rFonts w:ascii="Arial" w:hAnsi="Arial" w:cs="Arial"/>
          <w:sz w:val="22"/>
          <w:szCs w:val="22"/>
        </w:rPr>
        <w:t>https://doi.org/10.1016/j.childyouth.2019.104623</w:t>
      </w:r>
      <w:r w:rsidRPr="00701B8C">
        <w:rPr>
          <w:rFonts w:ascii="Arial" w:hAnsi="Arial" w:cs="Arial"/>
          <w:color w:val="000000"/>
          <w:sz w:val="22"/>
          <w:szCs w:val="22"/>
        </w:rPr>
        <w:t>.</w:t>
      </w:r>
    </w:p>
    <w:p w14:paraId="348C3A62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Jones, N., Harding, H. and Wilcox, S. (2025) </w:t>
      </w:r>
      <w:r w:rsidRPr="00701B8C">
        <w:rPr>
          <w:rFonts w:ascii="Arial" w:hAnsi="Arial" w:cs="Arial"/>
          <w:i/>
          <w:iCs/>
          <w:sz w:val="22"/>
          <w:szCs w:val="22"/>
        </w:rPr>
        <w:t>Dyadic Developmental Practice and Intellectual Disabilities: Integrating Attachment, PACE and Trauma-informed Care</w:t>
      </w:r>
      <w:r w:rsidRPr="00701B8C">
        <w:rPr>
          <w:rFonts w:ascii="Arial" w:hAnsi="Arial" w:cs="Arial"/>
          <w:sz w:val="22"/>
          <w:szCs w:val="22"/>
        </w:rPr>
        <w:t xml:space="preserve">. Pavilion Publishing and Media Ltd. </w:t>
      </w:r>
    </w:p>
    <w:p w14:paraId="02A8A3FD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McGuire, R., Meiser</w:t>
      </w:r>
      <w:r w:rsidRPr="00701B8C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Stedman, R., Smith, P., Schmidt, D., Bjornstad, G., Bosworth, R., Clarke, T., Coombes, J., Geijer Simpson, E., Hudson, K., Oliveira, P., Macleod, J., </w:t>
      </w:r>
      <w:r w:rsidRPr="00701B8C">
        <w:rPr>
          <w:rFonts w:ascii="Arial" w:hAnsi="Arial" w:cs="Arial"/>
          <w:color w:val="000000"/>
          <w:sz w:val="22"/>
          <w:szCs w:val="22"/>
        </w:rPr>
        <w:lastRenderedPageBreak/>
        <w:t>McGovern, R., Stallard, P., Wood, K. and Hiller, R.M. (2024) ‘Access to best</w:t>
      </w:r>
      <w:r w:rsidRPr="00701B8C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701B8C">
        <w:rPr>
          <w:rFonts w:ascii="Arial" w:hAnsi="Arial" w:cs="Arial"/>
          <w:color w:val="000000"/>
          <w:sz w:val="22"/>
          <w:szCs w:val="22"/>
        </w:rPr>
        <w:t>evidenced mental health support for care</w:t>
      </w:r>
      <w:r w:rsidRPr="00701B8C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701B8C">
        <w:rPr>
          <w:rFonts w:ascii="Arial" w:hAnsi="Arial" w:cs="Arial"/>
          <w:color w:val="000000"/>
          <w:sz w:val="22"/>
          <w:szCs w:val="22"/>
        </w:rPr>
        <w:t>experienced young people: Learnings from the implementation of cognitive therapy for PTSD’,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British Journal of Clinical Psychology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https://doi.org/10.1111/bjc.12471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1AA7C0FB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McLaughlin, K.A., Colich, N.L., Rodman, A.M. and Weissman, D.G. (2020) ‘Mechanisms linking childhood trauma exposure and psychopathology: a transdiagnostic model of risk and resilience’,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BMC Medicine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18(1), pp.1–11. Available at: </w:t>
      </w:r>
      <w:r w:rsidRPr="00701B8C">
        <w:rPr>
          <w:rFonts w:ascii="Arial" w:hAnsi="Arial" w:cs="Arial"/>
          <w:sz w:val="22"/>
          <w:szCs w:val="22"/>
        </w:rPr>
        <w:t>https://doi.org/10.1186/s12916-020-01561-6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30A32D23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Memarzia, J., Lofthouse, K., Dalgleish, T., Boyle, A., McKinnon, A., Dixon, C., Smith, P. and Meiser-Stedman, R. (2024) ‘Predictive models of post-traumatic stress disorder, complex post-traumatic stress disorder, depression, and anxiety in children and adolescents following a single-event trauma’,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Psychological Medicine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54(12), pp.1–10. Available at: </w:t>
      </w:r>
      <w:r w:rsidRPr="00701B8C">
        <w:rPr>
          <w:rFonts w:ascii="Arial" w:hAnsi="Arial" w:cs="Arial"/>
          <w:sz w:val="22"/>
          <w:szCs w:val="22"/>
        </w:rPr>
        <w:t>https://doi.org/10.1017/s0033291724001648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7F075AEC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Mulholland, M. and O’Toole, C. (2021) ‘When It Matters most: a trauma-informed, Outdoor Learning Programme to Support Children’s Wellbeing during COVID-19 and beyond’,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Irish Educational Studies</w:t>
      </w:r>
      <w:r w:rsidRPr="00701B8C">
        <w:rPr>
          <w:rFonts w:ascii="Arial" w:hAnsi="Arial" w:cs="Arial"/>
          <w:color w:val="000000"/>
          <w:sz w:val="22"/>
          <w:szCs w:val="22"/>
        </w:rPr>
        <w:t>, 40(2), pp.1–12. Available at: https://doi.org/10.1080/03323315.2021.1915843 .</w:t>
      </w:r>
    </w:p>
    <w:p w14:paraId="58380D50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Northern Ireland Assembly (2025) </w:t>
      </w:r>
      <w:r w:rsidRPr="00701B8C">
        <w:rPr>
          <w:rFonts w:ascii="Arial" w:hAnsi="Arial" w:cs="Arial"/>
          <w:i/>
          <w:iCs/>
          <w:sz w:val="22"/>
          <w:szCs w:val="22"/>
        </w:rPr>
        <w:t>Trauma-informed Approaches</w:t>
      </w:r>
      <w:r w:rsidRPr="00701B8C">
        <w:rPr>
          <w:rFonts w:ascii="Arial" w:hAnsi="Arial" w:cs="Arial"/>
          <w:sz w:val="22"/>
          <w:szCs w:val="22"/>
        </w:rPr>
        <w:t xml:space="preserve">. Available at: </w:t>
      </w:r>
      <w:r w:rsidRPr="00701B8C">
        <w:rPr>
          <w:rFonts w:ascii="Arial" w:eastAsiaTheme="majorEastAsia" w:hAnsi="Arial" w:cs="Arial"/>
          <w:sz w:val="22"/>
          <w:szCs w:val="22"/>
        </w:rPr>
        <w:t>https://www.niassembly.gov.uk/globalassets/documents/raise/publications/2022-2027/2025/executive_office/5125.pdf</w:t>
      </w:r>
      <w:r w:rsidRPr="00701B8C">
        <w:rPr>
          <w:rFonts w:ascii="Arial" w:hAnsi="Arial" w:cs="Arial"/>
          <w:sz w:val="22"/>
          <w:szCs w:val="22"/>
        </w:rPr>
        <w:t xml:space="preserve"> (Accessed: 22 October 2025).</w:t>
      </w:r>
    </w:p>
    <w:p w14:paraId="7963A062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Porges, S.W. (2022) ‘Polyvagal Theory: a Science of Safety’,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Frontiers in Integrative Neuroscience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16(871227). Available at: </w:t>
      </w:r>
      <w:r w:rsidRPr="00701B8C">
        <w:rPr>
          <w:rFonts w:ascii="Arial" w:hAnsi="Arial" w:cs="Arial"/>
          <w:sz w:val="22"/>
          <w:szCs w:val="22"/>
        </w:rPr>
        <w:t>https://doi.org/10.3389/fnint.2022.871227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7E0CC622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Saunders, K.R.K., McGuinness, E., Barnett, P., Foye, U., Sears, J., Carlisle, S., Allman, F., Tzouvara, V., Schlief, M., San, V., Stuart, R., Griffiths, J., Appleton, R., McCrone, P., Rachel Rowan Olive, Nyikavaranda, P., Jeynes, T., T. K, Mitchell, L. and Simpson, A. (2023) ‘Scoping Review of Trauma Informed Approaches in acute, crisis, emergency, and Residential Mental Health Care’,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BMC Psychiatry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23(1). Available at: </w:t>
      </w:r>
      <w:r w:rsidRPr="00701B8C">
        <w:rPr>
          <w:rFonts w:ascii="Arial" w:hAnsi="Arial" w:cs="Arial"/>
          <w:sz w:val="22"/>
          <w:szCs w:val="22"/>
        </w:rPr>
        <w:t>https://doi.org/10.1186/s12888-023-05016-z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4B1A1457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Scheeringa, M.S. (2020) ‘Reexamination of diathesis stress and neurotoxic stress theories: A qualitative review of pre</w:t>
      </w:r>
      <w:r w:rsidRPr="00701B8C">
        <w:rPr>
          <w:rFonts w:ascii="Cambria Math" w:hAnsi="Cambria Math" w:cs="Cambria Math"/>
          <w:color w:val="000000"/>
          <w:sz w:val="22"/>
          <w:szCs w:val="22"/>
        </w:rPr>
        <w:t>‐</w:t>
      </w:r>
      <w:r w:rsidRPr="00701B8C">
        <w:rPr>
          <w:rFonts w:ascii="Arial" w:hAnsi="Arial" w:cs="Arial"/>
          <w:color w:val="000000"/>
          <w:sz w:val="22"/>
          <w:szCs w:val="22"/>
        </w:rPr>
        <w:t>trauma neurobiology in relation to posttraumatic stress symptoms’,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International Journal of Methods in Psychiatric Research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https://doi.org/10.1002/mpr.1864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.</w:t>
      </w:r>
    </w:p>
    <w:p w14:paraId="428B2F89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lastRenderedPageBreak/>
        <w:t xml:space="preserve">Substance Abuse and Mental Health Services Administration (2014) 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SAMHSA’s Concept of Trauma and Guidance for a Trauma-Informed Approach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https://www.health.ny.gov/health_care/medicaid/program/medicaid_health_homes/docs/samhsa_trauma_concept_paper.pdf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(Accessed 22 October 2025).</w:t>
      </w:r>
    </w:p>
    <w:p w14:paraId="70AB841E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Sussex Health and Care 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(2025) Available at: </w:t>
      </w:r>
      <w:r w:rsidRPr="00701B8C">
        <w:rPr>
          <w:rFonts w:ascii="Arial" w:hAnsi="Arial" w:cs="Arial"/>
          <w:sz w:val="22"/>
          <w:szCs w:val="22"/>
        </w:rPr>
        <w:t>https://www.sussex.ics.nhs.uk/wp-content/uploads/sites/9/2025/07/Sussex-Trauma-Informed-Framework-2025-Final.pdf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>(Accessed: 27 October 2025).</w:t>
      </w:r>
    </w:p>
    <w:p w14:paraId="7EF85B92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Sweeney, A., Filson, B., Kennedy, A., Collinson, L. and Gillard, S. (2018) ‘A Paradigm shift: Relationships in trauma-informed Mental Health Services’,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BJPsych Advances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, 24(5), pp.319–333. Available at: </w:t>
      </w:r>
      <w:r w:rsidRPr="00701B8C">
        <w:rPr>
          <w:rFonts w:ascii="Arial" w:hAnsi="Arial" w:cs="Arial"/>
          <w:sz w:val="22"/>
          <w:szCs w:val="22"/>
        </w:rPr>
        <w:t>https://doi.org/10.1192/bja.2018.29</w:t>
      </w:r>
      <w:r w:rsidRPr="00701B8C">
        <w:rPr>
          <w:rFonts w:ascii="Arial" w:hAnsi="Arial" w:cs="Arial"/>
          <w:color w:val="000000"/>
          <w:sz w:val="22"/>
          <w:szCs w:val="22"/>
        </w:rPr>
        <w:t>.</w:t>
      </w:r>
    </w:p>
    <w:p w14:paraId="18DDE6CE" w14:textId="27F62604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UK Trauma Council (2023)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A review of the evidence: Understanding educational experiences of children and young people who are seeking refuge and asylum - UK Trauma Council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https://uktraumacouncil.org/resource/refuge-and-asylum-literature-review</w:t>
      </w:r>
      <w:r>
        <w:rPr>
          <w:rFonts w:ascii="Arial" w:hAnsi="Arial" w:cs="Arial"/>
          <w:sz w:val="22"/>
          <w:szCs w:val="22"/>
        </w:rPr>
        <w:t xml:space="preserve"> </w:t>
      </w:r>
      <w:r w:rsidRPr="00701B8C">
        <w:rPr>
          <w:rFonts w:ascii="Arial" w:hAnsi="Arial" w:cs="Arial"/>
          <w:color w:val="000000"/>
          <w:sz w:val="22"/>
          <w:szCs w:val="22"/>
        </w:rPr>
        <w:t>(Accessed 27 October 2025).</w:t>
      </w:r>
    </w:p>
    <w:p w14:paraId="13EC1C91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sz w:val="22"/>
          <w:szCs w:val="22"/>
        </w:rPr>
        <w:t xml:space="preserve">Wilkinson, J. 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(2020) 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Research in Practice Developing and leading trauma-informed practice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https://tce.researchinpractice.org.uk/wp-content/uploads/2020/02/Developing-and-leading-trauma-informed-practice.pdf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</w:t>
      </w:r>
      <w:r w:rsidRPr="00701B8C">
        <w:rPr>
          <w:rFonts w:ascii="Arial" w:hAnsi="Arial" w:cs="Arial"/>
          <w:sz w:val="22"/>
          <w:szCs w:val="22"/>
        </w:rPr>
        <w:t>(Accessed: 27 October 2025)</w:t>
      </w:r>
      <w:r w:rsidRPr="00701B8C">
        <w:rPr>
          <w:rFonts w:ascii="Arial" w:hAnsi="Arial" w:cs="Arial"/>
          <w:color w:val="000000"/>
          <w:sz w:val="22"/>
          <w:szCs w:val="22"/>
        </w:rPr>
        <w:t>.</w:t>
      </w:r>
    </w:p>
    <w:p w14:paraId="6410B533" w14:textId="77777777" w:rsidR="00701B8C" w:rsidRPr="00701B8C" w:rsidRDefault="00701B8C" w:rsidP="00701B8C">
      <w:pPr>
        <w:pStyle w:val="NormalWeb"/>
        <w:spacing w:before="240" w:beforeAutospacing="0" w:after="240" w:afterAutospacing="0" w:line="360" w:lineRule="auto"/>
        <w:ind w:left="360"/>
        <w:jc w:val="both"/>
        <w:rPr>
          <w:rFonts w:ascii="Arial" w:hAnsi="Arial" w:cs="Arial"/>
          <w:color w:val="000000"/>
          <w:sz w:val="22"/>
          <w:szCs w:val="22"/>
        </w:rPr>
      </w:pPr>
      <w:r w:rsidRPr="00701B8C">
        <w:rPr>
          <w:rFonts w:ascii="Arial" w:hAnsi="Arial" w:cs="Arial"/>
          <w:color w:val="000000"/>
          <w:sz w:val="22"/>
          <w:szCs w:val="22"/>
        </w:rPr>
        <w:t>World Health Organisation (2025) </w:t>
      </w:r>
      <w:r w:rsidRPr="00701B8C">
        <w:rPr>
          <w:rFonts w:ascii="Arial" w:hAnsi="Arial" w:cs="Arial"/>
          <w:i/>
          <w:iCs/>
          <w:color w:val="000000"/>
          <w:sz w:val="22"/>
          <w:szCs w:val="22"/>
        </w:rPr>
        <w:t>ICD-11 for Mortality and Morbidity Statistics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. Available at: </w:t>
      </w:r>
      <w:r w:rsidRPr="00701B8C">
        <w:rPr>
          <w:rFonts w:ascii="Arial" w:hAnsi="Arial" w:cs="Arial"/>
          <w:sz w:val="22"/>
          <w:szCs w:val="22"/>
        </w:rPr>
        <w:t>https://icd.who.int/browse/2025-01/mms/en#2070699808</w:t>
      </w:r>
      <w:r w:rsidRPr="00701B8C">
        <w:rPr>
          <w:rFonts w:ascii="Arial" w:hAnsi="Arial" w:cs="Arial"/>
          <w:color w:val="000000"/>
          <w:sz w:val="22"/>
          <w:szCs w:val="22"/>
        </w:rPr>
        <w:t xml:space="preserve"> (Accessed 16 October 2025).</w:t>
      </w:r>
    </w:p>
    <w:p w14:paraId="3B883B30" w14:textId="77777777" w:rsidR="00B363EC" w:rsidRDefault="00B363EC"/>
    <w:sectPr w:rsidR="00B363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9A2A11"/>
    <w:multiLevelType w:val="hybridMultilevel"/>
    <w:tmpl w:val="F9F82F2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55440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sLQwsjSxMDEzMLc0MLNU0lEKTi0uzszPAykwrAUAo5th+ywAAAA="/>
  </w:docVars>
  <w:rsids>
    <w:rsidRoot w:val="00701B8C"/>
    <w:rsid w:val="00225D74"/>
    <w:rsid w:val="002C25BA"/>
    <w:rsid w:val="00701B8C"/>
    <w:rsid w:val="008C2B98"/>
    <w:rsid w:val="00B363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022D1B"/>
  <w15:chartTrackingRefBased/>
  <w15:docId w15:val="{31268B44-DD7B-4EAB-92FB-984821E4866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01B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01B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01B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01B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01B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01B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01B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01B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01B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1B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01B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01B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01B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01B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01B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01B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01B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01B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01B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01B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01B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01B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01B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01B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01B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01B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01B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01B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01B8C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701B8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01B8C"/>
    <w:rPr>
      <w:color w:val="467886" w:themeColor="hyperlink"/>
      <w:u w:val="single"/>
    </w:rPr>
  </w:style>
  <w:style w:type="character" w:customStyle="1" w:styleId="url">
    <w:name w:val="url"/>
    <w:basedOn w:val="DefaultParagraphFont"/>
    <w:rsid w:val="00701B8C"/>
  </w:style>
  <w:style w:type="character" w:styleId="UnresolvedMention">
    <w:name w:val="Unresolved Mention"/>
    <w:basedOn w:val="DefaultParagraphFont"/>
    <w:uiPriority w:val="99"/>
    <w:semiHidden/>
    <w:unhideWhenUsed/>
    <w:rsid w:val="00701B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1191</Words>
  <Characters>6794</Characters>
  <Application>Microsoft Office Word</Application>
  <DocSecurity>0</DocSecurity>
  <Lines>56</Lines>
  <Paragraphs>15</Paragraphs>
  <ScaleCrop>false</ScaleCrop>
  <Company/>
  <LinksUpToDate>false</LinksUpToDate>
  <CharactersWithSpaces>7970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Tanase</dc:creator>
  <cp:keywords/>
  <dc:description/>
  <cp:lastModifiedBy>Ana Tanase</cp:lastModifiedBy>
  <cp:revision>1</cp:revision>
  <dcterms:created xsi:type="dcterms:W3CDTF">2025-12-10T08:38:00Z</dcterms:created>
  <dcterms:modified xsi:type="dcterms:W3CDTF">2025-12-10T08:44:00Z</dcterms:modified>
</cp:coreProperties>
</file>