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92A69" w14:textId="77777777" w:rsidR="005D1DF1" w:rsidRDefault="005D1DF1" w:rsidP="005D1DF1"/>
    <w:p w14:paraId="4F65E327" w14:textId="7E7D0F13" w:rsidR="00587E29" w:rsidRPr="00A85BFE" w:rsidRDefault="00587E29" w:rsidP="00587E2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D4A427B" wp14:editId="54E55F1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12C83AC5" w14:textId="77777777" w:rsidR="00587E29" w:rsidRPr="00A406E5" w:rsidRDefault="00587E29" w:rsidP="00587E29">
      <w:pPr>
        <w:rPr>
          <w:rFonts w:ascii="Arial" w:hAnsi="Arial" w:cs="Arial"/>
        </w:rPr>
      </w:pPr>
    </w:p>
    <w:p w14:paraId="066BD8B3" w14:textId="77777777" w:rsidR="00587E29" w:rsidRPr="00A406E5" w:rsidRDefault="00587E29" w:rsidP="00587E29">
      <w:pPr>
        <w:jc w:val="center"/>
        <w:rPr>
          <w:rFonts w:ascii="Arial" w:hAnsi="Arial" w:cs="Arial"/>
          <w:b/>
          <w:i/>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87E29" w:rsidRPr="00587E29" w14:paraId="75459046" w14:textId="77777777" w:rsidTr="00587E29">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2E405690" w14:textId="0CDC06D8" w:rsidR="00587E29" w:rsidRPr="00587E29" w:rsidRDefault="00587E29" w:rsidP="00587E29">
            <w:pPr>
              <w:ind w:left="142"/>
              <w:rPr>
                <w:b/>
                <w:i/>
                <w:iCs/>
              </w:rPr>
            </w:pPr>
            <w:r w:rsidRPr="00587E29">
              <w:rPr>
                <w:b/>
                <w:i/>
                <w:iCs/>
              </w:rPr>
              <w:t>LEVEL 6 ASSESSMENT SPECIFICATION</w:t>
            </w:r>
          </w:p>
        </w:tc>
      </w:tr>
    </w:tbl>
    <w:p w14:paraId="08BCD5F4" w14:textId="77777777" w:rsidR="00587E29" w:rsidRPr="00587E29" w:rsidRDefault="00587E29" w:rsidP="00587E29">
      <w:pPr>
        <w:ind w:left="142"/>
        <w:rPr>
          <w:b/>
          <w:i/>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587E29" w:rsidRPr="00587E29" w14:paraId="72E0DD34" w14:textId="77777777" w:rsidTr="00587E29">
        <w:tc>
          <w:tcPr>
            <w:tcW w:w="2092" w:type="dxa"/>
            <w:tcBorders>
              <w:top w:val="single" w:sz="4" w:space="0" w:color="auto"/>
              <w:left w:val="single" w:sz="4" w:space="0" w:color="auto"/>
              <w:bottom w:val="single" w:sz="4" w:space="0" w:color="auto"/>
              <w:right w:val="single" w:sz="4" w:space="0" w:color="auto"/>
            </w:tcBorders>
            <w:hideMark/>
          </w:tcPr>
          <w:p w14:paraId="4F68A351" w14:textId="77777777" w:rsidR="00587E29" w:rsidRPr="00587E29" w:rsidRDefault="00587E29" w:rsidP="00587E29">
            <w:pPr>
              <w:ind w:left="142"/>
              <w:rPr>
                <w:b/>
              </w:rPr>
            </w:pPr>
            <w:r w:rsidRPr="00587E29">
              <w:rPr>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7C4E44AC" w14:textId="3D329AFA" w:rsidR="00587E29" w:rsidRPr="00587E29" w:rsidRDefault="00587E29" w:rsidP="00587E29">
            <w:pPr>
              <w:ind w:left="142"/>
              <w:rPr>
                <w:b/>
              </w:rPr>
            </w:pPr>
            <w:r>
              <w:rPr>
                <w:b/>
              </w:rPr>
              <w:t>Sarah Louise Hoffmann</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1AD6A0D" w14:textId="77777777" w:rsidR="00587E29" w:rsidRPr="00587E29" w:rsidRDefault="00587E29" w:rsidP="00587E29">
            <w:pPr>
              <w:ind w:left="142"/>
              <w:rPr>
                <w:b/>
              </w:rPr>
            </w:pPr>
            <w:r w:rsidRPr="00587E29">
              <w:rPr>
                <w:b/>
              </w:rPr>
              <w:t>Student ID number:</w:t>
            </w:r>
          </w:p>
        </w:tc>
        <w:tc>
          <w:tcPr>
            <w:tcW w:w="2266" w:type="dxa"/>
            <w:tcBorders>
              <w:top w:val="single" w:sz="4" w:space="0" w:color="auto"/>
              <w:left w:val="single" w:sz="4" w:space="0" w:color="auto"/>
              <w:bottom w:val="single" w:sz="4" w:space="0" w:color="auto"/>
              <w:right w:val="single" w:sz="4" w:space="0" w:color="auto"/>
            </w:tcBorders>
          </w:tcPr>
          <w:p w14:paraId="54CA6065" w14:textId="48D6429C" w:rsidR="00587E29" w:rsidRPr="00587E29" w:rsidRDefault="00587E29" w:rsidP="00587E29">
            <w:pPr>
              <w:ind w:left="142"/>
              <w:rPr>
                <w:b/>
              </w:rPr>
            </w:pPr>
            <w:r>
              <w:rPr>
                <w:b/>
              </w:rPr>
              <w:t>2315599</w:t>
            </w:r>
          </w:p>
        </w:tc>
      </w:tr>
      <w:tr w:rsidR="00587E29" w:rsidRPr="00587E29" w14:paraId="02A57BF5" w14:textId="77777777" w:rsidTr="00587E29">
        <w:tc>
          <w:tcPr>
            <w:tcW w:w="2092" w:type="dxa"/>
            <w:tcBorders>
              <w:top w:val="single" w:sz="4" w:space="0" w:color="auto"/>
              <w:left w:val="single" w:sz="4" w:space="0" w:color="auto"/>
              <w:bottom w:val="single" w:sz="4" w:space="0" w:color="auto"/>
              <w:right w:val="single" w:sz="4" w:space="0" w:color="auto"/>
            </w:tcBorders>
            <w:hideMark/>
          </w:tcPr>
          <w:p w14:paraId="3792FDEA" w14:textId="77777777" w:rsidR="00587E29" w:rsidRPr="00587E29" w:rsidRDefault="00587E29" w:rsidP="00587E29">
            <w:pPr>
              <w:ind w:left="142"/>
              <w:rPr>
                <w:b/>
              </w:rPr>
            </w:pPr>
            <w:r w:rsidRPr="00587E29">
              <w:rPr>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1D23D4C0" w14:textId="77777777" w:rsidR="00587E29" w:rsidRPr="00587E29" w:rsidRDefault="00587E29" w:rsidP="00587E29">
            <w:pPr>
              <w:ind w:left="142"/>
              <w:rPr>
                <w:b/>
                <w:bCs/>
              </w:rPr>
            </w:pPr>
            <w:r w:rsidRPr="00587E29">
              <w:rPr>
                <w:b/>
                <w:bCs/>
              </w:rPr>
              <w:t xml:space="preserve">Law and Legal Practice </w:t>
            </w:r>
            <w:proofErr w:type="gramStart"/>
            <w:r w:rsidRPr="00587E29">
              <w:rPr>
                <w:b/>
                <w:bCs/>
              </w:rPr>
              <w:t>( LLB</w:t>
            </w:r>
            <w:proofErr w:type="gramEnd"/>
            <w:r w:rsidRPr="00587E29">
              <w:rPr>
                <w:b/>
                <w:bCs/>
              </w:rPr>
              <w:t>), Law and Criminology (BA)</w:t>
            </w:r>
          </w:p>
        </w:tc>
      </w:tr>
      <w:tr w:rsidR="00587E29" w:rsidRPr="00587E29" w14:paraId="63FAC149" w14:textId="77777777" w:rsidTr="00587E29">
        <w:tc>
          <w:tcPr>
            <w:tcW w:w="2092" w:type="dxa"/>
            <w:tcBorders>
              <w:top w:val="single" w:sz="4" w:space="0" w:color="auto"/>
              <w:left w:val="single" w:sz="4" w:space="0" w:color="auto"/>
              <w:bottom w:val="single" w:sz="4" w:space="0" w:color="auto"/>
              <w:right w:val="single" w:sz="4" w:space="0" w:color="auto"/>
            </w:tcBorders>
            <w:hideMark/>
          </w:tcPr>
          <w:p w14:paraId="21910DF1" w14:textId="77777777" w:rsidR="00587E29" w:rsidRPr="00587E29" w:rsidRDefault="00587E29" w:rsidP="00587E29">
            <w:pPr>
              <w:ind w:left="142"/>
              <w:rPr>
                <w:b/>
              </w:rPr>
            </w:pPr>
            <w:r w:rsidRPr="00587E29">
              <w:rPr>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54D0A946" w14:textId="77777777" w:rsidR="00587E29" w:rsidRPr="00587E29" w:rsidRDefault="00587E29" w:rsidP="00587E29">
            <w:pPr>
              <w:ind w:left="142"/>
              <w:rPr>
                <w:b/>
              </w:rPr>
            </w:pPr>
            <w:r w:rsidRPr="00587E29">
              <w:rPr>
                <w:b/>
              </w:rPr>
              <w:t>Equity and Trusts</w:t>
            </w:r>
          </w:p>
        </w:tc>
      </w:tr>
      <w:tr w:rsidR="00587E29" w:rsidRPr="00587E29" w14:paraId="7D686FC3" w14:textId="77777777" w:rsidTr="00587E29">
        <w:tc>
          <w:tcPr>
            <w:tcW w:w="2092" w:type="dxa"/>
            <w:tcBorders>
              <w:top w:val="single" w:sz="4" w:space="0" w:color="auto"/>
              <w:left w:val="single" w:sz="4" w:space="0" w:color="auto"/>
              <w:bottom w:val="single" w:sz="4" w:space="0" w:color="auto"/>
              <w:right w:val="single" w:sz="4" w:space="0" w:color="auto"/>
            </w:tcBorders>
            <w:hideMark/>
          </w:tcPr>
          <w:p w14:paraId="25D60C13" w14:textId="77777777" w:rsidR="00587E29" w:rsidRPr="00587E29" w:rsidRDefault="00587E29" w:rsidP="00587E29">
            <w:pPr>
              <w:rPr>
                <w:b/>
              </w:rPr>
            </w:pPr>
            <w:r w:rsidRPr="00587E29">
              <w:rPr>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1F9A06BA" w14:textId="77777777" w:rsidR="00587E29" w:rsidRPr="00587E29" w:rsidRDefault="00587E29" w:rsidP="00587E29">
            <w:pPr>
              <w:rPr>
                <w:b/>
              </w:rPr>
            </w:pPr>
            <w:r w:rsidRPr="00587E29">
              <w:rPr>
                <w:b/>
              </w:rPr>
              <w:t>BMLW6011</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300CE88" w14:textId="68B2BBAD" w:rsidR="00587E29" w:rsidRPr="00587E29" w:rsidRDefault="00587E29" w:rsidP="00587E29">
            <w:r w:rsidRPr="00587E29">
              <w:rPr>
                <w:b/>
              </w:rPr>
              <w:t>Assignment Title:</w:t>
            </w:r>
          </w:p>
        </w:tc>
        <w:tc>
          <w:tcPr>
            <w:tcW w:w="2266" w:type="dxa"/>
            <w:tcBorders>
              <w:top w:val="single" w:sz="4" w:space="0" w:color="auto"/>
              <w:left w:val="single" w:sz="4" w:space="0" w:color="auto"/>
              <w:bottom w:val="single" w:sz="4" w:space="0" w:color="auto"/>
              <w:right w:val="single" w:sz="4" w:space="0" w:color="auto"/>
            </w:tcBorders>
          </w:tcPr>
          <w:p w14:paraId="010023C2" w14:textId="2BD6BB3C" w:rsidR="00587E29" w:rsidRPr="00587E29" w:rsidRDefault="00587E29" w:rsidP="00587E29">
            <w:pPr>
              <w:rPr>
                <w:b/>
              </w:rPr>
            </w:pPr>
            <w:r w:rsidRPr="00587E29">
              <w:rPr>
                <w:b/>
              </w:rPr>
              <w:t>Law reform project</w:t>
            </w:r>
          </w:p>
        </w:tc>
      </w:tr>
    </w:tbl>
    <w:p w14:paraId="0E933C0A" w14:textId="77777777" w:rsidR="00A07C5B" w:rsidRDefault="00A07C5B"/>
    <w:p w14:paraId="7D7C4499" w14:textId="417305C7" w:rsidR="005D1DF1" w:rsidRDefault="00A07C5B">
      <w:r w:rsidRPr="00CF5046">
        <w:rPr>
          <w:rFonts w:ascii="Arial" w:hAnsi="Arial" w:cs="Arial"/>
          <w:sz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5D1DF1">
        <w:br w:type="page"/>
      </w:r>
    </w:p>
    <w:p w14:paraId="1876A197" w14:textId="77777777" w:rsidR="00062510" w:rsidRDefault="00062510" w:rsidP="00062510">
      <w:pPr>
        <w:pStyle w:val="Heading1"/>
      </w:pPr>
      <w:r w:rsidRPr="00062510">
        <w:lastRenderedPageBreak/>
        <w:t>Part A</w:t>
      </w:r>
      <w:r>
        <w:t xml:space="preserve"> </w:t>
      </w:r>
    </w:p>
    <w:p w14:paraId="6B8BD5C2" w14:textId="41313979" w:rsidR="00062510" w:rsidRPr="00062510" w:rsidRDefault="00062510" w:rsidP="00062510">
      <w:pPr>
        <w:jc w:val="both"/>
        <w:rPr>
          <w:b/>
          <w:bCs/>
          <w:u w:val="single"/>
        </w:rPr>
      </w:pPr>
      <w:r w:rsidRPr="00062510">
        <w:rPr>
          <w:b/>
          <w:bCs/>
          <w:u w:val="single"/>
        </w:rPr>
        <w:t xml:space="preserve">Group Contract for Equity and Trust Assessment </w:t>
      </w:r>
    </w:p>
    <w:p w14:paraId="6E9459E7" w14:textId="77777777" w:rsidR="00062510" w:rsidRPr="00062510" w:rsidRDefault="00062510" w:rsidP="00062510">
      <w:pPr>
        <w:jc w:val="both"/>
      </w:pPr>
      <w:r w:rsidRPr="00062510">
        <w:rPr>
          <w:b/>
          <w:bCs/>
        </w:rPr>
        <w:t>Participants:</w:t>
      </w:r>
      <w:r w:rsidRPr="00062510">
        <w:t xml:space="preserve"> Jade Brown, Sarah Hoffmann, Chloe Foulis, Teresa Kan, Sajid Khan, Diana Demeterova, Mohamed Djalo, Ffion Oliver, Alexandra Baloi, Gabrial Harris, Shannon Davies</w:t>
      </w:r>
    </w:p>
    <w:p w14:paraId="4C49D872" w14:textId="77777777" w:rsidR="00062510" w:rsidRPr="00062510" w:rsidRDefault="00062510" w:rsidP="00062510">
      <w:pPr>
        <w:jc w:val="both"/>
      </w:pPr>
      <w:r w:rsidRPr="00062510">
        <w:t>We, the above-named participants, agree to collaboratively work together to complete Section A of the Equity and Trust assessment. This contract outlines our shared expectations, responsibilities, and commitments to ensure fair contribution and effective teamwork.</w:t>
      </w:r>
    </w:p>
    <w:p w14:paraId="48016C0C" w14:textId="77777777" w:rsidR="00062510" w:rsidRPr="00062510" w:rsidRDefault="00062510" w:rsidP="00062510">
      <w:pPr>
        <w:jc w:val="both"/>
      </w:pPr>
      <w:r w:rsidRPr="00062510">
        <w:t>We agree to use the shared Word document to upload our individual work, research, and contributions. We agree to communicate actively and respectfully within the Teams chat to coordinate tasks, share updates, and support one another.</w:t>
      </w:r>
    </w:p>
    <w:p w14:paraId="799AF201" w14:textId="77777777" w:rsidR="00062510" w:rsidRPr="00062510" w:rsidRDefault="00062510" w:rsidP="00062510">
      <w:pPr>
        <w:jc w:val="both"/>
      </w:pPr>
      <w:r w:rsidRPr="00062510">
        <w:t>We agree to participate fairly and contribute meaningfully to the group task. To treat all group members with respect and professionalism and to ensure that all contributions are constructive and aligned with the group’s goals.</w:t>
      </w:r>
    </w:p>
    <w:p w14:paraId="484314E9" w14:textId="77777777" w:rsidR="00062510" w:rsidRPr="00062510" w:rsidRDefault="00062510" w:rsidP="00062510">
      <w:pPr>
        <w:jc w:val="both"/>
        <w:rPr>
          <w:b/>
          <w:bCs/>
        </w:rPr>
      </w:pPr>
      <w:r w:rsidRPr="00062510">
        <w:rPr>
          <w:b/>
          <w:bCs/>
        </w:rPr>
        <w:t>Each member agrees to complete the following tasks:</w:t>
      </w:r>
    </w:p>
    <w:p w14:paraId="508614EC" w14:textId="77777777" w:rsidR="00062510" w:rsidRPr="00062510" w:rsidRDefault="00062510" w:rsidP="00062510">
      <w:pPr>
        <w:jc w:val="both"/>
        <w:rPr>
          <w:b/>
          <w:bCs/>
        </w:rPr>
      </w:pPr>
      <w:r w:rsidRPr="00062510">
        <w:rPr>
          <w:b/>
          <w:bCs/>
        </w:rPr>
        <w:t>Member Contribution</w:t>
      </w:r>
    </w:p>
    <w:p w14:paraId="42DD7940" w14:textId="77777777" w:rsidR="00062510" w:rsidRPr="00062510" w:rsidRDefault="00062510" w:rsidP="00062510">
      <w:pPr>
        <w:jc w:val="both"/>
      </w:pPr>
      <w:r w:rsidRPr="00062510">
        <w:rPr>
          <w:b/>
          <w:bCs/>
        </w:rPr>
        <w:t xml:space="preserve">Jade </w:t>
      </w:r>
      <w:r w:rsidRPr="00062510">
        <w:t>Suggested the topic and researched the development of the law. Created a Bill with 3 Clauses for a new Act called the Trustee Disclosure and Beneficiary Information Act 2026. Researched reform ideas.</w:t>
      </w:r>
    </w:p>
    <w:p w14:paraId="45816C15" w14:textId="77777777" w:rsidR="00062510" w:rsidRPr="00062510" w:rsidRDefault="00062510" w:rsidP="00062510">
      <w:pPr>
        <w:jc w:val="both"/>
      </w:pPr>
      <w:r w:rsidRPr="00062510">
        <w:rPr>
          <w:b/>
          <w:bCs/>
        </w:rPr>
        <w:t>Sarah</w:t>
      </w:r>
      <w:r w:rsidRPr="00062510">
        <w:t xml:space="preserve"> Conducted case research – Murphy v Murphy (2021). Drafted the group contract for each person to electronically sign. Compiled reference list and cases with case law. </w:t>
      </w:r>
      <w:proofErr w:type="spellStart"/>
      <w:r w:rsidRPr="00062510">
        <w:t>Anaylise</w:t>
      </w:r>
      <w:proofErr w:type="spellEnd"/>
      <w:r w:rsidRPr="00062510">
        <w:t xml:space="preserve"> the draft Bill we are proposing</w:t>
      </w:r>
    </w:p>
    <w:p w14:paraId="111C47AF" w14:textId="77777777" w:rsidR="00062510" w:rsidRPr="00062510" w:rsidRDefault="00062510" w:rsidP="00062510">
      <w:pPr>
        <w:jc w:val="both"/>
      </w:pPr>
      <w:r w:rsidRPr="00062510">
        <w:rPr>
          <w:b/>
          <w:bCs/>
        </w:rPr>
        <w:t xml:space="preserve">Chloe </w:t>
      </w:r>
      <w:r w:rsidRPr="00062510">
        <w:t>Researched Schmidt v Rosewood Trust and s22(4) of the Trustee Act 1925. Researched case facts for Rouse v IOOF Australia Ltd [1999] and identified how this can help us with part B.</w:t>
      </w:r>
    </w:p>
    <w:p w14:paraId="04F6C730" w14:textId="77777777" w:rsidR="00062510" w:rsidRPr="00062510" w:rsidRDefault="00062510" w:rsidP="00062510">
      <w:pPr>
        <w:jc w:val="both"/>
      </w:pPr>
      <w:r w:rsidRPr="00062510">
        <w:rPr>
          <w:b/>
          <w:bCs/>
        </w:rPr>
        <w:t xml:space="preserve">Teresa </w:t>
      </w:r>
      <w:r w:rsidRPr="00062510">
        <w:t xml:space="preserve">Identified a relevant case: Schmidt v Rosewood Trust Ltd. Researched case facts for Nestle v National Westminster Bank and Target Holdings LTD v </w:t>
      </w:r>
      <w:proofErr w:type="spellStart"/>
      <w:r w:rsidRPr="00062510">
        <w:t>Redferns</w:t>
      </w:r>
      <w:proofErr w:type="spellEnd"/>
      <w:r w:rsidRPr="00062510">
        <w:t xml:space="preserve"> and applied the facts of the case to beneficiary rights.</w:t>
      </w:r>
    </w:p>
    <w:p w14:paraId="0A444246" w14:textId="77777777" w:rsidR="00062510" w:rsidRPr="00062510" w:rsidRDefault="00062510" w:rsidP="00062510">
      <w:pPr>
        <w:jc w:val="both"/>
      </w:pPr>
      <w:r w:rsidRPr="00062510">
        <w:rPr>
          <w:b/>
          <w:bCs/>
        </w:rPr>
        <w:t xml:space="preserve">Sajid </w:t>
      </w:r>
      <w:r w:rsidRPr="00062510">
        <w:t>Conducted case research on Trust Accounts. Schmidt v Rosewood Trust Ltd.</w:t>
      </w:r>
    </w:p>
    <w:p w14:paraId="77AF35FE" w14:textId="77777777" w:rsidR="00062510" w:rsidRPr="00062510" w:rsidRDefault="00062510" w:rsidP="00062510">
      <w:pPr>
        <w:jc w:val="both"/>
      </w:pPr>
      <w:r w:rsidRPr="00062510">
        <w:rPr>
          <w:b/>
          <w:bCs/>
        </w:rPr>
        <w:t>Diana</w:t>
      </w:r>
      <w:r w:rsidRPr="00062510">
        <w:t xml:space="preserve"> Researched Lewis v Tamplin. Research the challenges associated with beneficiary rights. Researched the Data Protection Act 2018 (DPA 2018), and the Inheritance (Provision for Family and Dependants) Act 1975.</w:t>
      </w:r>
    </w:p>
    <w:p w14:paraId="17B744D1" w14:textId="77777777" w:rsidR="00062510" w:rsidRPr="00062510" w:rsidRDefault="00062510" w:rsidP="00062510">
      <w:pPr>
        <w:jc w:val="both"/>
      </w:pPr>
      <w:r w:rsidRPr="00062510">
        <w:rPr>
          <w:b/>
          <w:bCs/>
        </w:rPr>
        <w:lastRenderedPageBreak/>
        <w:t>Mohamed</w:t>
      </w:r>
      <w:r w:rsidRPr="00062510">
        <w:t xml:space="preserve"> Conducted case research. Journal Research. Possible Reform Suggestions from a Journal</w:t>
      </w:r>
    </w:p>
    <w:p w14:paraId="6CD7BCFF" w14:textId="77777777" w:rsidR="00062510" w:rsidRPr="00062510" w:rsidRDefault="00062510" w:rsidP="00062510">
      <w:pPr>
        <w:jc w:val="both"/>
      </w:pPr>
      <w:r w:rsidRPr="00062510">
        <w:rPr>
          <w:b/>
          <w:bCs/>
        </w:rPr>
        <w:t>Ffion</w:t>
      </w:r>
      <w:r w:rsidRPr="00062510">
        <w:t xml:space="preserve"> Researched the current legal position relating to a trustee’s duties and researched the case Boardman v Phipps [1966] UKHL</w:t>
      </w:r>
    </w:p>
    <w:p w14:paraId="2B7A6FE2" w14:textId="77777777" w:rsidR="00062510" w:rsidRPr="00062510" w:rsidRDefault="00062510" w:rsidP="00062510">
      <w:pPr>
        <w:jc w:val="both"/>
      </w:pPr>
      <w:r w:rsidRPr="00062510">
        <w:rPr>
          <w:b/>
          <w:bCs/>
        </w:rPr>
        <w:t xml:space="preserve">Alexandra </w:t>
      </w:r>
      <w:r w:rsidRPr="00062510">
        <w:t>Conducted case research Breakspear v Ackland [2008] EWHC 220 (Ch), /Researched the Charities Act 2011.</w:t>
      </w:r>
    </w:p>
    <w:p w14:paraId="132304A6" w14:textId="77777777" w:rsidR="00062510" w:rsidRPr="00062510" w:rsidRDefault="00062510" w:rsidP="00062510">
      <w:pPr>
        <w:jc w:val="both"/>
      </w:pPr>
      <w:r w:rsidRPr="00062510">
        <w:rPr>
          <w:b/>
          <w:bCs/>
        </w:rPr>
        <w:t>Shannon</w:t>
      </w:r>
      <w:r w:rsidRPr="00062510">
        <w:t xml:space="preserve"> How reform interacts with existing Statutory duties</w:t>
      </w:r>
    </w:p>
    <w:p w14:paraId="41761C16" w14:textId="77777777" w:rsidR="00062510" w:rsidRPr="00062510" w:rsidRDefault="00062510" w:rsidP="00062510">
      <w:pPr>
        <w:jc w:val="both"/>
      </w:pPr>
      <w:r w:rsidRPr="00062510">
        <w:rPr>
          <w:b/>
          <w:bCs/>
        </w:rPr>
        <w:t xml:space="preserve">Gabriel </w:t>
      </w:r>
      <w:r w:rsidRPr="00062510">
        <w:t>Research on Acts comparable in nature to the proposed bill and its provisions (Trusts and Succession (Scotland) Act 2024)</w:t>
      </w:r>
    </w:p>
    <w:p w14:paraId="6B205247" w14:textId="77777777" w:rsidR="00062510" w:rsidRPr="00062510" w:rsidRDefault="00062510" w:rsidP="00062510">
      <w:pPr>
        <w:jc w:val="both"/>
      </w:pPr>
      <w:r w:rsidRPr="00062510">
        <w:rPr>
          <w:b/>
          <w:bCs/>
        </w:rPr>
        <w:t xml:space="preserve">We </w:t>
      </w:r>
      <w:r w:rsidRPr="00062510">
        <w:t>agree that all work and research submitted is our own. We will not use AI tools or another student’s work in completing our contributions. We will uphold academic honesty and the standards expected as set out in the assessment guidelines.</w:t>
      </w:r>
    </w:p>
    <w:p w14:paraId="52016946" w14:textId="77777777" w:rsidR="00062510" w:rsidRPr="00062510" w:rsidRDefault="00062510" w:rsidP="00062510">
      <w:pPr>
        <w:jc w:val="both"/>
      </w:pPr>
      <w:r w:rsidRPr="00062510">
        <w:t>We agree to adhere to the deadline set: Wednesday 25th of February 2026</w:t>
      </w:r>
    </w:p>
    <w:p w14:paraId="1B308975" w14:textId="77777777" w:rsidR="00062510" w:rsidRPr="00062510" w:rsidRDefault="00062510" w:rsidP="00062510">
      <w:pPr>
        <w:jc w:val="both"/>
      </w:pPr>
      <w:r w:rsidRPr="00062510">
        <w:t>By signing below, each participant confirms their agreement to the terms of this contract:</w:t>
      </w:r>
    </w:p>
    <w:p w14:paraId="30161DFA" w14:textId="77777777" w:rsidR="00062510" w:rsidRPr="00062510" w:rsidRDefault="00062510" w:rsidP="00062510">
      <w:pPr>
        <w:jc w:val="both"/>
      </w:pPr>
      <w:r w:rsidRPr="00062510">
        <w:t>· JADE_______________________ (Jade)</w:t>
      </w:r>
    </w:p>
    <w:p w14:paraId="5B88DCCE" w14:textId="77777777" w:rsidR="00062510" w:rsidRPr="00062510" w:rsidRDefault="00062510" w:rsidP="00062510">
      <w:pPr>
        <w:jc w:val="both"/>
      </w:pPr>
      <w:r w:rsidRPr="00062510">
        <w:t>· Sarah ______________________ (Sarah)</w:t>
      </w:r>
    </w:p>
    <w:p w14:paraId="2C8BB4A3" w14:textId="77777777" w:rsidR="00062510" w:rsidRPr="00062510" w:rsidRDefault="00062510" w:rsidP="00062510">
      <w:pPr>
        <w:jc w:val="both"/>
      </w:pPr>
      <w:r w:rsidRPr="00062510">
        <w:t>· CHLOE_____________________ (Chloe)</w:t>
      </w:r>
    </w:p>
    <w:p w14:paraId="069D96FA" w14:textId="77777777" w:rsidR="00062510" w:rsidRPr="00062510" w:rsidRDefault="00062510" w:rsidP="00062510">
      <w:pPr>
        <w:jc w:val="both"/>
      </w:pPr>
      <w:r w:rsidRPr="00062510">
        <w:t>· Teresa Kan__________________ (Teresa)</w:t>
      </w:r>
    </w:p>
    <w:p w14:paraId="66B5AC6A" w14:textId="77777777" w:rsidR="00062510" w:rsidRPr="00062510" w:rsidRDefault="00062510" w:rsidP="00062510">
      <w:pPr>
        <w:jc w:val="both"/>
      </w:pPr>
      <w:r w:rsidRPr="00062510">
        <w:t>· Sajid Mohammed Abbas Khan (Sajid)</w:t>
      </w:r>
    </w:p>
    <w:p w14:paraId="62A4562B" w14:textId="77777777" w:rsidR="00062510" w:rsidRPr="00062510" w:rsidRDefault="00062510" w:rsidP="00062510">
      <w:pPr>
        <w:jc w:val="both"/>
      </w:pPr>
      <w:r w:rsidRPr="00062510">
        <w:t>· DIANA______________________ (Diana)</w:t>
      </w:r>
    </w:p>
    <w:p w14:paraId="558A8C88" w14:textId="77777777" w:rsidR="00062510" w:rsidRPr="00062510" w:rsidRDefault="00062510" w:rsidP="00062510">
      <w:pPr>
        <w:jc w:val="both"/>
      </w:pPr>
      <w:r w:rsidRPr="00062510">
        <w:t>· MOHAMED_________________ (Mohamed)</w:t>
      </w:r>
    </w:p>
    <w:p w14:paraId="3F3E203D" w14:textId="77777777" w:rsidR="00062510" w:rsidRPr="00062510" w:rsidRDefault="00062510" w:rsidP="00062510">
      <w:pPr>
        <w:jc w:val="both"/>
      </w:pPr>
      <w:r w:rsidRPr="00062510">
        <w:t>· Ffion Oliver__________________ (Ffion)</w:t>
      </w:r>
    </w:p>
    <w:p w14:paraId="4D678E0A" w14:textId="77777777" w:rsidR="00062510" w:rsidRPr="00062510" w:rsidRDefault="00062510" w:rsidP="00062510">
      <w:pPr>
        <w:jc w:val="both"/>
      </w:pPr>
      <w:r w:rsidRPr="00062510">
        <w:t>· ALEXANDRA_________________ (Alexandra)</w:t>
      </w:r>
    </w:p>
    <w:p w14:paraId="18C0F339" w14:textId="77777777" w:rsidR="00062510" w:rsidRPr="00062510" w:rsidRDefault="00062510" w:rsidP="00062510">
      <w:pPr>
        <w:jc w:val="both"/>
      </w:pPr>
      <w:r w:rsidRPr="00062510">
        <w:t>· Shannon____________________ (Shannon)</w:t>
      </w:r>
    </w:p>
    <w:p w14:paraId="3D3F802A" w14:textId="77777777" w:rsidR="00062510" w:rsidRDefault="00062510" w:rsidP="00062510">
      <w:pPr>
        <w:jc w:val="both"/>
      </w:pPr>
      <w:r w:rsidRPr="00062510">
        <w:t>· Gabrial______________________ (Gabrial)</w:t>
      </w:r>
    </w:p>
    <w:p w14:paraId="62DD0FCF" w14:textId="55B4721B" w:rsidR="00152DC3" w:rsidRDefault="00152DC3">
      <w:r>
        <w:br w:type="page"/>
      </w:r>
    </w:p>
    <w:p w14:paraId="2584F394" w14:textId="77777777" w:rsidR="00152DC3" w:rsidRDefault="00152DC3" w:rsidP="00152DC3">
      <w:pPr>
        <w:pStyle w:val="Heading1"/>
      </w:pPr>
      <w:r w:rsidRPr="00152DC3">
        <w:lastRenderedPageBreak/>
        <w:t xml:space="preserve">BILL TITLE </w:t>
      </w:r>
    </w:p>
    <w:p w14:paraId="67B04F9C" w14:textId="77777777" w:rsidR="00152DC3" w:rsidRPr="00152DC3" w:rsidRDefault="00152DC3" w:rsidP="00152DC3"/>
    <w:p w14:paraId="2993F34D" w14:textId="70988075" w:rsidR="00152DC3" w:rsidRPr="00152DC3" w:rsidRDefault="00152DC3" w:rsidP="00152DC3">
      <w:pPr>
        <w:jc w:val="both"/>
      </w:pPr>
      <w:r w:rsidRPr="00152DC3">
        <w:rPr>
          <w:b/>
          <w:bCs/>
          <w:u w:val="single"/>
        </w:rPr>
        <w:t>TRUSTEE DISCLOSURE AND BENEFICIARY INFORMATION ACT 2026.</w:t>
      </w:r>
      <w:r w:rsidRPr="00152DC3">
        <w:t>  </w:t>
      </w:r>
    </w:p>
    <w:p w14:paraId="2BE99F20" w14:textId="77777777" w:rsidR="00152DC3" w:rsidRPr="00152DC3" w:rsidRDefault="00152DC3" w:rsidP="00152DC3">
      <w:pPr>
        <w:jc w:val="both"/>
      </w:pPr>
      <w:r w:rsidRPr="00152DC3">
        <w:rPr>
          <w:b/>
          <w:bCs/>
          <w:u w:val="single"/>
        </w:rPr>
        <w:t xml:space="preserve">Long Title &amp; Summary – </w:t>
      </w:r>
      <w:r w:rsidRPr="00152DC3">
        <w:t>An Act to clarify and regulate trustees' duties to provide information to beneficiaries, to define categories of trust documents subject to disclosure and to establish principles governing trustee discretion and for connected purposes.  </w:t>
      </w:r>
    </w:p>
    <w:p w14:paraId="7ED7D8C1" w14:textId="77777777" w:rsidR="009B1F84" w:rsidRDefault="00152DC3" w:rsidP="009B1F84">
      <w:r w:rsidRPr="00152DC3">
        <w:rPr>
          <w:b/>
          <w:bCs/>
          <w:u w:val="single"/>
        </w:rPr>
        <w:t>Clause 1 – Statutory Right to Core Information</w:t>
      </w:r>
      <w:r w:rsidRPr="00152DC3">
        <w:t> </w:t>
      </w:r>
    </w:p>
    <w:p w14:paraId="3C8A5369" w14:textId="12A8082E" w:rsidR="00152DC3" w:rsidRPr="00152DC3" w:rsidRDefault="00152DC3" w:rsidP="009B1F84">
      <w:pPr>
        <w:jc w:val="both"/>
      </w:pPr>
      <w:r w:rsidRPr="00152DC3">
        <w:t>A trustee shall, upon reasonable request, provide a beneficiary with: (a) the trust instrument; (b) annual trust accounts (c) a summary of trust assets and liabilities and (d) details of distributions made to that beneficiary. Disclosure under this section shall not require a court order unless disputed. A trustee may refuse disclosure where the request is vexatious, manifestly unreasonable, or contrary to the proper administration of the trust. </w:t>
      </w:r>
    </w:p>
    <w:p w14:paraId="4BB6CFE6" w14:textId="77777777" w:rsidR="009B1F84" w:rsidRDefault="00152DC3" w:rsidP="009B1F84">
      <w:r w:rsidRPr="00152DC3">
        <w:rPr>
          <w:b/>
          <w:bCs/>
          <w:u w:val="single"/>
        </w:rPr>
        <w:t>Clause 2 – Confidential and Deliberative Documents</w:t>
      </w:r>
      <w:r w:rsidRPr="00152DC3">
        <w:t> </w:t>
      </w:r>
    </w:p>
    <w:p w14:paraId="21AEB33F" w14:textId="534E98EA" w:rsidR="00152DC3" w:rsidRPr="00152DC3" w:rsidRDefault="00152DC3" w:rsidP="009B1F84">
      <w:pPr>
        <w:jc w:val="both"/>
      </w:pPr>
      <w:r w:rsidRPr="00152DC3">
        <w:t>Trustees shall not be required to disclose documents recording their deliberations or reasons for discretionary decisions. Letters of wishes shall be presumed confidential. The court may order disclosure where necessary to ensure proper administration and where just and equitable in the circumstances. </w:t>
      </w:r>
    </w:p>
    <w:p w14:paraId="5A469887" w14:textId="4934903A" w:rsidR="009B1F84" w:rsidRDefault="00152DC3" w:rsidP="009B1F84">
      <w:r w:rsidRPr="00152DC3">
        <w:rPr>
          <w:b/>
          <w:bCs/>
          <w:u w:val="single"/>
        </w:rPr>
        <w:t>Clause</w:t>
      </w:r>
      <w:r w:rsidR="009B1F84">
        <w:rPr>
          <w:b/>
          <w:bCs/>
          <w:u w:val="single"/>
        </w:rPr>
        <w:t xml:space="preserve"> 3</w:t>
      </w:r>
      <w:r w:rsidRPr="00152DC3">
        <w:rPr>
          <w:b/>
          <w:bCs/>
          <w:u w:val="single"/>
        </w:rPr>
        <w:t xml:space="preserve"> – Alternative Dispute Resolution</w:t>
      </w:r>
      <w:r w:rsidRPr="00152DC3">
        <w:t> </w:t>
      </w:r>
    </w:p>
    <w:p w14:paraId="461F3208" w14:textId="094D186F" w:rsidR="00152DC3" w:rsidRPr="00152DC3" w:rsidRDefault="00152DC3" w:rsidP="009B1F84">
      <w:pPr>
        <w:jc w:val="both"/>
      </w:pPr>
      <w:r w:rsidRPr="00152DC3">
        <w:t>Before commencing court proceedings relating to disclosure under this Act, the parties shall attempt resolution through mediation or another recognised form of alternative dispute resolution. The court may consider non-compliance when determining costs. </w:t>
      </w:r>
    </w:p>
    <w:p w14:paraId="6DD2A8C6" w14:textId="77777777" w:rsidR="00152DC3" w:rsidRPr="00152DC3" w:rsidRDefault="00152DC3" w:rsidP="00152DC3">
      <w:pPr>
        <w:jc w:val="both"/>
      </w:pPr>
      <w:r w:rsidRPr="00152DC3">
        <w:t> </w:t>
      </w:r>
    </w:p>
    <w:p w14:paraId="3BC83F72" w14:textId="77777777" w:rsidR="00062510" w:rsidRPr="00062510" w:rsidRDefault="00062510" w:rsidP="00062510">
      <w:pPr>
        <w:jc w:val="both"/>
      </w:pPr>
      <w:r w:rsidRPr="00062510">
        <w:br w:type="page"/>
      </w:r>
    </w:p>
    <w:p w14:paraId="21E1C102" w14:textId="637FE02E" w:rsidR="00587E29" w:rsidRPr="00062510" w:rsidRDefault="00062510" w:rsidP="00062510">
      <w:pPr>
        <w:pStyle w:val="Heading1"/>
      </w:pPr>
      <w:r w:rsidRPr="00062510">
        <w:lastRenderedPageBreak/>
        <w:t xml:space="preserve">Part B </w:t>
      </w:r>
    </w:p>
    <w:p w14:paraId="30F9591F" w14:textId="5BC9F30A" w:rsidR="00062510" w:rsidRPr="00062510" w:rsidRDefault="00062510" w:rsidP="00062510">
      <w:pPr>
        <w:jc w:val="both"/>
        <w:rPr>
          <w:b/>
          <w:bCs/>
        </w:rPr>
      </w:pPr>
      <w:r w:rsidRPr="00062510">
        <w:rPr>
          <w:b/>
          <w:bCs/>
        </w:rPr>
        <w:t>1.</w:t>
      </w:r>
      <w:r>
        <w:rPr>
          <w:b/>
          <w:bCs/>
        </w:rPr>
        <w:t xml:space="preserve"> </w:t>
      </w:r>
      <w:r w:rsidRPr="00062510">
        <w:rPr>
          <w:b/>
          <w:bCs/>
        </w:rPr>
        <w:t xml:space="preserve">Introduction </w:t>
      </w:r>
    </w:p>
    <w:p w14:paraId="52C590C4" w14:textId="77777777" w:rsidR="00232600" w:rsidRPr="00232600" w:rsidRDefault="00232600" w:rsidP="00232600">
      <w:pPr>
        <w:jc w:val="both"/>
      </w:pPr>
      <w:r w:rsidRPr="00232600">
        <w:t>The proposed Trustee Disclosure and Beneficiary Information Act 2026 is designed to address long</w:t>
      </w:r>
      <w:r w:rsidRPr="00232600">
        <w:noBreakHyphen/>
        <w:t xml:space="preserve">standing uncertainty surrounding trustees’ obligations to provide information to beneficiaries. Disclosure has historically been governed by judicial discretion rather than statute, leaving beneficiaries without a clear entitlement to the information they need to understand their rights and monitor the administration of the trust. Academic commentary has repeatedly highlighted that this discretionary model, particularly following </w:t>
      </w:r>
      <w:r w:rsidRPr="00232600">
        <w:rPr>
          <w:i/>
          <w:iCs/>
        </w:rPr>
        <w:t>Schmidt v Rosewood Trust Ltd</w:t>
      </w:r>
      <w:r w:rsidRPr="00232600">
        <w:t>, creates unpredictability and weakens accountability within trust relationships (</w:t>
      </w:r>
      <w:proofErr w:type="spellStart"/>
      <w:r w:rsidRPr="00232600">
        <w:t>Conaglen</w:t>
      </w:r>
      <w:proofErr w:type="spellEnd"/>
      <w:r w:rsidRPr="00232600">
        <w:t>, 2006; Hodge, 2007). Beneficiaries depend on access to information to enforce their equitable rights, yet the current framework often leaves them unsure of what they may request, while trustees remain uncertain about the extent of their duties (Hayton, Matthews and Mitchell, 2022; Hudson, 2021). This lack of clarity has contributed to frequent disputes and costly litigation, reflecting the fragmented and sometimes outdated nature of the case law on which the present system relies.</w:t>
      </w:r>
    </w:p>
    <w:p w14:paraId="004F9556" w14:textId="77777777" w:rsidR="00232600" w:rsidRPr="00232600" w:rsidRDefault="00232600" w:rsidP="00232600">
      <w:pPr>
        <w:jc w:val="both"/>
      </w:pPr>
      <w:r w:rsidRPr="00232600">
        <w:t>The decision to focus reform efforts on disclosure stems from its foundational role in ensuring effective trust governance. Without reliable access to information, beneficiaries cannot meaningfully scrutinise trustee conduct or challenge potential breaches of duty, a concern widely recognised in both academic and professional literature (STEP, 2021; Virgo, 2020). The existing law is also criticised for being inaccessible to non</w:t>
      </w:r>
      <w:r w:rsidRPr="00232600">
        <w:noBreakHyphen/>
        <w:t>specialists, making it difficult for lay beneficiaries to understand their position without legal assistance. The proposed legislation seeks to remedy these issues by creating statutory rights to core information, clarifying the boundaries of confidentiality, and promoting alternative dispute resolution as a proportionate means of resolving disagreements. This report therefore evaluates the current legal landscape, identifies the doctrinal and practical challenges it presents, and assesses the extent to which the proposed reforms offer a coherent and effective solution.</w:t>
      </w:r>
    </w:p>
    <w:p w14:paraId="2BC71DE0" w14:textId="3E65FFAB" w:rsidR="005D1DF1" w:rsidRPr="005D1DF1" w:rsidRDefault="005D1DF1" w:rsidP="00587E29">
      <w:pPr>
        <w:jc w:val="both"/>
        <w:rPr>
          <w:b/>
          <w:bCs/>
        </w:rPr>
      </w:pPr>
      <w:r w:rsidRPr="005D1DF1">
        <w:rPr>
          <w:b/>
          <w:bCs/>
        </w:rPr>
        <w:t>2. Current Position</w:t>
      </w:r>
    </w:p>
    <w:p w14:paraId="10D1E42F" w14:textId="09C9DDC9" w:rsidR="005D1DF1" w:rsidRPr="005D1DF1" w:rsidRDefault="005D1DF1" w:rsidP="00587E29">
      <w:pPr>
        <w:jc w:val="both"/>
      </w:pPr>
      <w:r w:rsidRPr="005D1DF1">
        <w:t>The current law governing beneficiaries’ rights to information is primarily derived from judicial decisions rather than legislation. Historically, courts treated access to trust documents as a proprietary right, but this approach has been replaced by a discretionary model. Under this framework, beneficiaries do not possess an automatic entitlement to information; instead, disclosure is determined by the court’s supervisory jurisdiction over trusts. The modern position is that the court must balance the beneficiary’s need for information against the trustee’s duty to protect confidentiality and ensure the proper administration of the trust.</w:t>
      </w:r>
      <w:r w:rsidR="00305F25">
        <w:t xml:space="preserve"> This leads to litigation which is costly and lengthy if parties cannot agree. </w:t>
      </w:r>
    </w:p>
    <w:p w14:paraId="5F2B8F54" w14:textId="412F4FC6" w:rsidR="005D1DF1" w:rsidRPr="005D1DF1" w:rsidRDefault="005D1DF1" w:rsidP="00587E29">
      <w:pPr>
        <w:jc w:val="both"/>
      </w:pPr>
      <w:r w:rsidRPr="005D1DF1">
        <w:lastRenderedPageBreak/>
        <w:t>Trustees are generally expected to provide basic information about the existence of the trust and the nature of the beneficiary’s interest. However, more detailed documents</w:t>
      </w:r>
      <w:r w:rsidR="00305F25">
        <w:t xml:space="preserve"> </w:t>
      </w:r>
      <w:r w:rsidRPr="005D1DF1">
        <w:t>such as accounts, investment reports, or internal deliberations</w:t>
      </w:r>
      <w:r w:rsidR="00305F25">
        <w:t xml:space="preserve"> </w:t>
      </w:r>
      <w:r w:rsidRPr="005D1DF1">
        <w:t>may only be disclosed at the court’s discretion. Trustees’ reasons for discretionary decisions are typically protected, and documents such as letters of wishes are often treated as confidential. Legislation such as the Trustee Act 2000 provides guidance on investment and administrative duties but does not address disclosure obligations. As a result, trustees must navigate a complex and uncertain landscape, while beneficiaries may struggle to enforce their rights without resorting to litigation. This discretionary and fragmented framework forms the basis for the proposed statutory reform.</w:t>
      </w:r>
    </w:p>
    <w:p w14:paraId="25266275" w14:textId="25004484" w:rsidR="005D1DF1" w:rsidRPr="005D1DF1" w:rsidRDefault="005D1DF1" w:rsidP="00587E29">
      <w:pPr>
        <w:jc w:val="both"/>
        <w:rPr>
          <w:b/>
          <w:bCs/>
        </w:rPr>
      </w:pPr>
      <w:r w:rsidRPr="005D1DF1">
        <w:rPr>
          <w:b/>
          <w:bCs/>
        </w:rPr>
        <w:t xml:space="preserve">3. Current Challenges </w:t>
      </w:r>
    </w:p>
    <w:p w14:paraId="194AA584" w14:textId="43ACE699" w:rsidR="000C5705" w:rsidRPr="000C5705" w:rsidRDefault="000C5705" w:rsidP="000C5705">
      <w:pPr>
        <w:jc w:val="both"/>
      </w:pPr>
      <w:r w:rsidRPr="000C5705">
        <w:t>The existing common</w:t>
      </w:r>
      <w:r w:rsidRPr="000C5705">
        <w:noBreakHyphen/>
        <w:t xml:space="preserve">law rules governing trustees’ duties to disclose information present several structural and doctrinal challenges that justify statutory reform. The courts’ adoption of a discretionary model, most clearly </w:t>
      </w:r>
      <w:r w:rsidR="00EE253D">
        <w:t xml:space="preserve">shown in the case of </w:t>
      </w:r>
      <w:r w:rsidRPr="000C5705">
        <w:rPr>
          <w:i/>
          <w:iCs/>
        </w:rPr>
        <w:t>Schmidt v Rosewood Trust Ltd</w:t>
      </w:r>
      <w:r w:rsidRPr="000C5705">
        <w:t xml:space="preserve"> [2003] UKPC 26, </w:t>
      </w:r>
      <w:r w:rsidR="00EE253D">
        <w:t xml:space="preserve">it </w:t>
      </w:r>
      <w:r w:rsidRPr="000C5705">
        <w:t>provides flexibility but also generates significant uncertainty for trustees and beneficiaries. This uncertainty is a central weakness of the current framework and a key driver for reform.</w:t>
      </w:r>
    </w:p>
    <w:p w14:paraId="5FBC6A08" w14:textId="2BADDEEB" w:rsidR="000C5705" w:rsidRPr="000C5705" w:rsidRDefault="000C5705" w:rsidP="000C5705">
      <w:pPr>
        <w:jc w:val="both"/>
      </w:pPr>
      <w:r w:rsidRPr="000C5705">
        <w:t xml:space="preserve">A notable strength of the present system is its adaptability. Judicial discretion allows courts to tailor disclosure orders to the circumstances of each trust, </w:t>
      </w:r>
      <w:proofErr w:type="gramStart"/>
      <w:r w:rsidRPr="000C5705">
        <w:t>taking into account</w:t>
      </w:r>
      <w:proofErr w:type="gramEnd"/>
      <w:r w:rsidRPr="000C5705">
        <w:t xml:space="preserve"> the nature of the beneficiary’s interest, the sensitivity of the information sought, and the potential impact on the trust’s administration. This approach is particularly valuable in discretionary or complex trusts, where rigid entitlements could undermine settlor intention or impede effective administration</w:t>
      </w:r>
      <w:r w:rsidR="00EE253D">
        <w:t xml:space="preserve"> which a lay person may not be able to fully understand or comprehend</w:t>
      </w:r>
      <w:r w:rsidRPr="000C5705">
        <w:t xml:space="preserve">. The courts’ ability to balance competing interests ensures that disclosure is not granted in a manner that would prejudice the trust or unfairly disadvantage other beneficiaries, a principle reflected in decisions such as </w:t>
      </w:r>
      <w:r w:rsidRPr="000C5705">
        <w:rPr>
          <w:i/>
          <w:iCs/>
        </w:rPr>
        <w:t>Breakspear v Ackland</w:t>
      </w:r>
      <w:r w:rsidRPr="000C5705">
        <w:t xml:space="preserve"> [2008] EWHC 220 (Ch), where</w:t>
      </w:r>
      <w:r w:rsidR="00EE253D">
        <w:t>by</w:t>
      </w:r>
      <w:r w:rsidRPr="000C5705">
        <w:t xml:space="preserve"> the court emphasised the need to protect the confidentiality of letters of wishes while retaining the power to order disclosure where justice requires.</w:t>
      </w:r>
    </w:p>
    <w:p w14:paraId="5A3C8DC5" w14:textId="6D906457" w:rsidR="000C5705" w:rsidRPr="000C5705" w:rsidRDefault="000C5705" w:rsidP="000C5705">
      <w:pPr>
        <w:jc w:val="both"/>
      </w:pPr>
      <w:r w:rsidRPr="000C5705">
        <w:t>However, the flexibility of the discretionary model comes at the expense of predictability. Beneficiaries frequently lack clarity regarding the information to which they are entitled, while trustees may be uncertain about the extent of their obligations. This ambiguity can lead to disputes, delays, and unnecessary litigation. In</w:t>
      </w:r>
      <w:r w:rsidR="00EE253D">
        <w:t xml:space="preserve"> the case of </w:t>
      </w:r>
      <w:r w:rsidRPr="000C5705">
        <w:rPr>
          <w:i/>
          <w:iCs/>
        </w:rPr>
        <w:t>Lewis v Tamplin</w:t>
      </w:r>
      <w:r w:rsidRPr="000C5705">
        <w:t xml:space="preserve"> [2018] EWHC 777 (Ch), the court acknowledged the difficulties beneficiaries face when attempting to challenge refusals of disclosure, particularly where informational </w:t>
      </w:r>
      <w:r w:rsidR="00EE253D">
        <w:t xml:space="preserve">lack of equality </w:t>
      </w:r>
      <w:r w:rsidRPr="000C5705">
        <w:t xml:space="preserve">places them at a disadvantage. Beneficiaries with limited financial resources may be unable to pursue court proceedings, effectively preventing them from enforcing their rights. Conversely, trustees may adopt a defensive posture, refusing disclosure to </w:t>
      </w:r>
      <w:r w:rsidRPr="000C5705">
        <w:lastRenderedPageBreak/>
        <w:t>avoid potential criticism or liability, thereby undermining the fiduciary principle of accountability that lies at the core of trust law.</w:t>
      </w:r>
    </w:p>
    <w:p w14:paraId="6017A8BD" w14:textId="77777777" w:rsidR="000C5705" w:rsidRPr="000C5705" w:rsidRDefault="000C5705" w:rsidP="000C5705">
      <w:pPr>
        <w:jc w:val="both"/>
      </w:pPr>
      <w:r w:rsidRPr="000C5705">
        <w:t>A further challenge is the absence of statutory guidance. The Trustee Act 2000 does not address disclosure obligations, leaving trustees to navigate a body of case law that is often complex and inconsistent. As a result, trustees may adopt divergent practices depending on their interpretation of the law or the professional advice they receive. Beneficiaries may therefore experience inconsistent treatment, with some receiving information readily while others encounter significant obstacles. The lack of statutory clarity also complicates the courts’ task, as judges must reconcile competing principles without a clear legislative framework.</w:t>
      </w:r>
    </w:p>
    <w:p w14:paraId="06B14344" w14:textId="11DE205E" w:rsidR="000C5705" w:rsidRPr="000C5705" w:rsidRDefault="000C5705" w:rsidP="000C5705">
      <w:pPr>
        <w:jc w:val="both"/>
      </w:pPr>
      <w:r w:rsidRPr="000C5705">
        <w:t>The current rules also raise concerns about the balance of rights and duties among trustees, beneficiaries, and settlors. Beneficiaries require information to enforce their rights, yet trustees must protect confidential material and ensure the trust is administered effectively. Settlors may have intended certain documents</w:t>
      </w:r>
      <w:r w:rsidR="00EE253D">
        <w:t xml:space="preserve">, </w:t>
      </w:r>
      <w:r w:rsidRPr="000C5705">
        <w:t>particularly letters of wishes</w:t>
      </w:r>
      <w:r w:rsidR="00EE253D">
        <w:t xml:space="preserve">, </w:t>
      </w:r>
      <w:r w:rsidRPr="000C5705">
        <w:t xml:space="preserve">to remain confidential, a principle recognised in </w:t>
      </w:r>
      <w:r w:rsidRPr="000C5705">
        <w:rPr>
          <w:i/>
          <w:iCs/>
        </w:rPr>
        <w:t>Re Londonderry’s Settlement</w:t>
      </w:r>
      <w:r w:rsidRPr="000C5705">
        <w:t xml:space="preserve"> [1965] Ch 918. The courts attempt to balance these interests, but the absence of statutory principles means that outcomes vary significantly between cases, undermining confidence in the trust system.</w:t>
      </w:r>
    </w:p>
    <w:p w14:paraId="596E2AB2" w14:textId="77777777" w:rsidR="000C5705" w:rsidRPr="000C5705" w:rsidRDefault="000C5705" w:rsidP="000C5705">
      <w:pPr>
        <w:jc w:val="both"/>
      </w:pPr>
      <w:r w:rsidRPr="000C5705">
        <w:t>From a broader equitable perspective, the current framework may conflict with fundamental principles of transparency and accountability. Trustees, as fiduciaries, must act in the best interests of beneficiaries, yet without access to information, beneficiaries cannot meaningfully scrutinise trustee conduct. The discretionary approach may also undermine the principle of certainty, as beneficiaries cannot reliably predict whether disclosure will be granted.</w:t>
      </w:r>
    </w:p>
    <w:p w14:paraId="7268C1D5" w14:textId="77777777" w:rsidR="000C5705" w:rsidRPr="000C5705" w:rsidRDefault="000C5705" w:rsidP="000C5705">
      <w:pPr>
        <w:jc w:val="both"/>
      </w:pPr>
      <w:r w:rsidRPr="000C5705">
        <w:t xml:space="preserve">Finally, the lack of structured alternative dispute resolution mechanisms contributes to the escalation of disputes into costly and adversarial litigation. Cases such as </w:t>
      </w:r>
      <w:r w:rsidRPr="000C5705">
        <w:rPr>
          <w:i/>
          <w:iCs/>
        </w:rPr>
        <w:t>Thomas &amp; Agnes Carvel Foundation v Carvel</w:t>
      </w:r>
      <w:r w:rsidRPr="000C5705">
        <w:t xml:space="preserve"> [2007] EWHC 1314 (Ch) illustrate how disclosure disputes can become protracted and expensive, depleting trust assets and damaging family relationships.</w:t>
      </w:r>
    </w:p>
    <w:p w14:paraId="37E0FA0C" w14:textId="77777777" w:rsidR="000C5705" w:rsidRPr="000C5705" w:rsidRDefault="000C5705" w:rsidP="000C5705">
      <w:pPr>
        <w:jc w:val="both"/>
      </w:pPr>
      <w:r w:rsidRPr="000C5705">
        <w:t xml:space="preserve">These challenges collectively demonstrate the need for reform. A statutory framework would provide clarity, consistency, and fairness while preserving the flexibility required to accommodate the diverse nature of trusts. The proposed Trustee Disclosure and Beneficiary Information Act 2026 </w:t>
      </w:r>
      <w:proofErr w:type="gramStart"/>
      <w:r w:rsidRPr="000C5705">
        <w:t>seeks</w:t>
      </w:r>
      <w:proofErr w:type="gramEnd"/>
      <w:r w:rsidRPr="000C5705">
        <w:t xml:space="preserve"> to address these issues by defining core disclosure rights, clarifying the limits of confidentiality, and encouraging proportionate dispute resolution.</w:t>
      </w:r>
    </w:p>
    <w:p w14:paraId="1A4C4315" w14:textId="4CE566F7" w:rsidR="005D1DF1" w:rsidRDefault="005D1DF1" w:rsidP="000C5705">
      <w:pPr>
        <w:jc w:val="both"/>
      </w:pPr>
    </w:p>
    <w:p w14:paraId="642ECEA6" w14:textId="77777777" w:rsidR="00232600" w:rsidRPr="005D1DF1" w:rsidRDefault="00232600" w:rsidP="000C5705">
      <w:pPr>
        <w:jc w:val="both"/>
      </w:pPr>
    </w:p>
    <w:p w14:paraId="7AB64A7A" w14:textId="6CA8558C" w:rsidR="005D1DF1" w:rsidRPr="005D1DF1" w:rsidRDefault="005D1DF1" w:rsidP="00587E29">
      <w:pPr>
        <w:jc w:val="both"/>
        <w:rPr>
          <w:b/>
          <w:bCs/>
        </w:rPr>
      </w:pPr>
      <w:r w:rsidRPr="005D1DF1">
        <w:rPr>
          <w:b/>
          <w:bCs/>
        </w:rPr>
        <w:lastRenderedPageBreak/>
        <w:t xml:space="preserve">4. Proposals for Reform </w:t>
      </w:r>
    </w:p>
    <w:p w14:paraId="3E541FF5" w14:textId="77777777" w:rsidR="005D1DF1" w:rsidRDefault="005D1DF1" w:rsidP="00587E29">
      <w:pPr>
        <w:jc w:val="both"/>
      </w:pPr>
      <w:r w:rsidRPr="005D1DF1">
        <w:t xml:space="preserve">The challenges identified in the current framework demonstrate the need for a clearer and more accessible approach to trustee disclosure obligations. The proposed </w:t>
      </w:r>
      <w:r w:rsidRPr="005D1DF1">
        <w:rPr>
          <w:i/>
          <w:iCs/>
        </w:rPr>
        <w:t>Trustee Disclosure and Beneficiary Information Act 2026</w:t>
      </w:r>
      <w:r w:rsidRPr="005D1DF1">
        <w:t xml:space="preserve"> </w:t>
      </w:r>
      <w:proofErr w:type="gramStart"/>
      <w:r w:rsidRPr="005D1DF1">
        <w:t>seeks</w:t>
      </w:r>
      <w:proofErr w:type="gramEnd"/>
      <w:r w:rsidRPr="005D1DF1">
        <w:t xml:space="preserve"> to introduce statutory rights, define the limits of disclosure, and promote alternative dispute resolution. The group’s final proposals are set out below.</w:t>
      </w:r>
    </w:p>
    <w:p w14:paraId="532D0BC1" w14:textId="77777777" w:rsidR="00EE253D" w:rsidRPr="005D1DF1" w:rsidRDefault="00EE253D" w:rsidP="00587E29">
      <w:pPr>
        <w:jc w:val="both"/>
      </w:pPr>
    </w:p>
    <w:p w14:paraId="3C5ADABD" w14:textId="77777777" w:rsidR="005D1DF1" w:rsidRPr="005D1DF1" w:rsidRDefault="005D1DF1" w:rsidP="00587E29">
      <w:pPr>
        <w:jc w:val="both"/>
      </w:pPr>
      <w:r w:rsidRPr="005D1DF1">
        <w:rPr>
          <w:b/>
          <w:bCs/>
        </w:rPr>
        <w:t>BILL TITLE – TRUSTEE DISCLOSURE AND BENEFICIARY INFORMATION ACT 2026</w:t>
      </w:r>
    </w:p>
    <w:p w14:paraId="04864B3F" w14:textId="77777777" w:rsidR="005D1DF1" w:rsidRPr="005D1DF1" w:rsidRDefault="005D1DF1" w:rsidP="00587E29">
      <w:pPr>
        <w:jc w:val="both"/>
      </w:pPr>
      <w:r w:rsidRPr="005D1DF1">
        <w:rPr>
          <w:b/>
          <w:bCs/>
        </w:rPr>
        <w:t>Long Title &amp; Summary</w:t>
      </w:r>
      <w:r w:rsidRPr="005D1DF1">
        <w:t xml:space="preserve"> </w:t>
      </w:r>
      <w:proofErr w:type="gramStart"/>
      <w:r w:rsidRPr="005D1DF1">
        <w:t>An</w:t>
      </w:r>
      <w:proofErr w:type="gramEnd"/>
      <w:r w:rsidRPr="005D1DF1">
        <w:t xml:space="preserve"> Act to clarify and regulate trustees' duties to provide information to beneficiaries, to define categories of trust documents subject to disclosure and to establish principles governing trustee discretion and for connected purposes.</w:t>
      </w:r>
    </w:p>
    <w:p w14:paraId="2F016769" w14:textId="7F0FE564" w:rsidR="005D1DF1" w:rsidRPr="005D1DF1" w:rsidRDefault="00152DC3" w:rsidP="00587E29">
      <w:pPr>
        <w:jc w:val="both"/>
      </w:pPr>
      <w:r>
        <w:rPr>
          <w:b/>
          <w:bCs/>
        </w:rPr>
        <w:t xml:space="preserve">Clause 1 - </w:t>
      </w:r>
      <w:r w:rsidR="005D1DF1" w:rsidRPr="005D1DF1">
        <w:rPr>
          <w:b/>
          <w:bCs/>
        </w:rPr>
        <w:t>Statutory Right to Core Information</w:t>
      </w:r>
      <w:r w:rsidR="005D1DF1" w:rsidRPr="005D1DF1">
        <w:t xml:space="preserve"> A trustee shall, upon reasonable request, provide a beneficiary with: (a) the trust instrument; (b) annual trust accounts; (c) a summary of trust assets and liabilities; and (d) details of distributions made to that beneficiary. Disclosure under this section shall not require a court order unless disputed. A trustee may refuse disclosure where the request is vexatious, manifestly unreasonable, or contrary to the proper administration of the trust.</w:t>
      </w:r>
    </w:p>
    <w:p w14:paraId="63E8F179" w14:textId="73BF5C48" w:rsidR="005D1DF1" w:rsidRPr="005D1DF1" w:rsidRDefault="00152DC3" w:rsidP="00587E29">
      <w:pPr>
        <w:jc w:val="both"/>
      </w:pPr>
      <w:r>
        <w:rPr>
          <w:b/>
          <w:bCs/>
        </w:rPr>
        <w:t xml:space="preserve">Clause 2 - </w:t>
      </w:r>
      <w:r w:rsidR="005D1DF1" w:rsidRPr="005D1DF1">
        <w:rPr>
          <w:b/>
          <w:bCs/>
        </w:rPr>
        <w:t>Confidential and Deliberative Documents</w:t>
      </w:r>
      <w:r w:rsidR="005D1DF1" w:rsidRPr="005D1DF1">
        <w:t xml:space="preserve"> Trustees shall not be required to disclose documents recording their deliberations or reasons for discretionary decisions. Letters of wishes shall be presumed confidential. The court may order disclosure where necessary to ensure proper administration and where just and equitable in the circumstances.</w:t>
      </w:r>
    </w:p>
    <w:p w14:paraId="7A848FFC" w14:textId="4B88C1E3" w:rsidR="005D1DF1" w:rsidRPr="005D1DF1" w:rsidRDefault="00152DC3" w:rsidP="00587E29">
      <w:pPr>
        <w:jc w:val="both"/>
      </w:pPr>
      <w:r>
        <w:rPr>
          <w:b/>
          <w:bCs/>
        </w:rPr>
        <w:t xml:space="preserve">Clause 3 - </w:t>
      </w:r>
      <w:r w:rsidR="005D1DF1" w:rsidRPr="005D1DF1">
        <w:rPr>
          <w:b/>
          <w:bCs/>
        </w:rPr>
        <w:t>Alternative Dispute Resolution</w:t>
      </w:r>
      <w:r w:rsidR="005D1DF1" w:rsidRPr="005D1DF1">
        <w:t xml:space="preserve"> Before commencing court proceedings relating to disclosure under this Act, the parties shall attempt resolution through mediation or another recognised form of alternative dispute resolution. The court may consider non</w:t>
      </w:r>
      <w:r w:rsidR="005D1DF1" w:rsidRPr="005D1DF1">
        <w:noBreakHyphen/>
        <w:t>compliance when determining costs.</w:t>
      </w:r>
    </w:p>
    <w:p w14:paraId="4A94BF5E" w14:textId="7629B968" w:rsidR="005D1DF1" w:rsidRPr="005D1DF1" w:rsidRDefault="005D1DF1" w:rsidP="00587E29">
      <w:pPr>
        <w:jc w:val="both"/>
        <w:rPr>
          <w:b/>
          <w:bCs/>
        </w:rPr>
      </w:pPr>
      <w:r w:rsidRPr="005D1DF1">
        <w:rPr>
          <w:b/>
          <w:bCs/>
        </w:rPr>
        <w:t>5. Evaluation of the Reform Proposals</w:t>
      </w:r>
    </w:p>
    <w:p w14:paraId="18810AE6" w14:textId="1D7CBAB0" w:rsidR="001D076C" w:rsidRPr="001D076C" w:rsidRDefault="001D076C" w:rsidP="001D076C">
      <w:pPr>
        <w:jc w:val="both"/>
      </w:pPr>
      <w:r w:rsidRPr="001D076C">
        <w:t xml:space="preserve">The proposed Trustee Disclosure and Beneficiary Information Act 2026 </w:t>
      </w:r>
      <w:proofErr w:type="gramStart"/>
      <w:r w:rsidRPr="001D076C">
        <w:t>represent</w:t>
      </w:r>
      <w:r>
        <w:t>s</w:t>
      </w:r>
      <w:proofErr w:type="gramEnd"/>
      <w:r w:rsidRPr="001D076C">
        <w:t xml:space="preserve"> a structured attempt to remedy the doctrinal uncertainty and practical inconsistency that characterise the current common</w:t>
      </w:r>
      <w:r w:rsidRPr="001D076C">
        <w:noBreakHyphen/>
        <w:t xml:space="preserve">law approach to beneficiary access to trust information. The reforms must be evaluated by reference to the deficiencies identified in the existing jurisprudence, particularly the discretionary model articulated in </w:t>
      </w:r>
      <w:r w:rsidRPr="001D076C">
        <w:rPr>
          <w:i/>
          <w:iCs/>
        </w:rPr>
        <w:t>Schmidt v Rosewood Trust Ltd</w:t>
      </w:r>
      <w:r w:rsidRPr="001D076C">
        <w:t xml:space="preserve"> [2003] UKPC 26, the confidentiality principles in </w:t>
      </w:r>
      <w:r w:rsidRPr="001D076C">
        <w:rPr>
          <w:i/>
          <w:iCs/>
        </w:rPr>
        <w:t>Re Londonderry’s Settlement</w:t>
      </w:r>
      <w:r w:rsidRPr="001D076C">
        <w:t xml:space="preserve"> [1965] Ch 918, and the modern judicial treatment of letters of wishes in </w:t>
      </w:r>
      <w:r w:rsidRPr="001D076C">
        <w:rPr>
          <w:i/>
          <w:iCs/>
        </w:rPr>
        <w:t>Breakspear v Ackland</w:t>
      </w:r>
      <w:r w:rsidRPr="001D076C">
        <w:t xml:space="preserve"> [2008] EWHC 220 (Ch). The proposals also respond to broader </w:t>
      </w:r>
      <w:r w:rsidRPr="001D076C">
        <w:lastRenderedPageBreak/>
        <w:t xml:space="preserve">concerns about accountability and trustee performance highlighted in cases such as </w:t>
      </w:r>
      <w:r w:rsidRPr="001D076C">
        <w:rPr>
          <w:i/>
          <w:iCs/>
        </w:rPr>
        <w:t>Nestle v National Westminster Bank plc</w:t>
      </w:r>
      <w:r w:rsidRPr="001D076C">
        <w:t xml:space="preserve"> [1993] 1 WLR 1260.</w:t>
      </w:r>
    </w:p>
    <w:p w14:paraId="298BCFA8" w14:textId="77777777" w:rsidR="001D076C" w:rsidRPr="001D076C" w:rsidRDefault="001D076C" w:rsidP="001D076C">
      <w:pPr>
        <w:jc w:val="both"/>
      </w:pPr>
      <w:r w:rsidRPr="001D076C">
        <w:t xml:space="preserve">Clause 1, which introduces a statutory right to core information, constitutes a significant advancement over the current discretionary framework. Under the existing law, beneficiaries rely on the court’s supervisory jurisdiction, which is inherently flexible but often unpredictable, as illustrated in </w:t>
      </w:r>
      <w:r w:rsidRPr="001D076C">
        <w:rPr>
          <w:i/>
          <w:iCs/>
        </w:rPr>
        <w:t>Schmidt v Rosewood Trust Ltd</w:t>
      </w:r>
      <w:r w:rsidRPr="001D076C">
        <w:t xml:space="preserve"> [2003] UKPC 26. A statutory entitlement to the trust instrument, annual accounts, asset and liability summaries, and distribution records would provide beneficiaries with a clear baseline of information necessary to understand their position and to hold trustees to account. This aligns with the widely recognised principle that beneficiaries must receive sufficient information to enforce the trust, a point emphasised in professional commentary on trustee obligations. By reducing reliance on litigation to obtain basic information, the clause promotes transparency and administrative efficiency.</w:t>
      </w:r>
    </w:p>
    <w:p w14:paraId="73AA190D" w14:textId="77777777" w:rsidR="001D076C" w:rsidRPr="001D076C" w:rsidRDefault="001D076C" w:rsidP="001D076C">
      <w:pPr>
        <w:jc w:val="both"/>
      </w:pPr>
      <w:r w:rsidRPr="001D076C">
        <w:t>However, the clause’s reliance on terms such as “reasonable request” and “manifestly unreasonable” may reintroduce interpretative uncertainty. Judicial clarification would inevitably be required, and courts may diverge in their application of these standards. Nonetheless, the statutory framework provides a more coherent starting point than the current case</w:t>
      </w:r>
      <w:r w:rsidRPr="001D076C">
        <w:noBreakHyphen/>
        <w:t>law</w:t>
      </w:r>
      <w:r w:rsidRPr="001D076C">
        <w:noBreakHyphen/>
        <w:t>driven approach, which often leaves beneficiaries uncertain about the scope of their rights.</w:t>
      </w:r>
    </w:p>
    <w:p w14:paraId="5F8FEA54" w14:textId="77777777" w:rsidR="001D076C" w:rsidRPr="001D076C" w:rsidRDefault="001D076C" w:rsidP="001D076C">
      <w:pPr>
        <w:jc w:val="both"/>
      </w:pPr>
      <w:r w:rsidRPr="001D076C">
        <w:t xml:space="preserve">Clause 2 addresses the longstanding tension between transparency and confidentiality. The protection of trustee deliberations reflects the principle established in </w:t>
      </w:r>
      <w:r w:rsidRPr="001D076C">
        <w:rPr>
          <w:i/>
          <w:iCs/>
        </w:rPr>
        <w:t>Re Londonderry’s Settlement</w:t>
      </w:r>
      <w:r w:rsidRPr="001D076C">
        <w:t xml:space="preserve"> [1965] Ch 918, which has been consistently upheld to preserve candid decision</w:t>
      </w:r>
      <w:r w:rsidRPr="001D076C">
        <w:noBreakHyphen/>
        <w:t xml:space="preserve">making. Similarly, the presumption of confidentiality for letters of wishes accords with the reasoning in </w:t>
      </w:r>
      <w:r w:rsidRPr="001D076C">
        <w:rPr>
          <w:i/>
          <w:iCs/>
        </w:rPr>
        <w:t>Breakspear v Ackland</w:t>
      </w:r>
      <w:r w:rsidRPr="001D076C">
        <w:t xml:space="preserve"> [2008] EWHC 220 (Ch), where the court emphasised the importance of settlor privacy while acknowledging that disclosure may be justified where fairness requires it. By codifying these principles, the clause provides clearer guidance on the boundaries of disclosure. The inclusion of a judicial override ensures that confidentiality does not become an instrument for shielding improper conduct. Nevertheless, there is a risk that courts may interpret the presumption too broadly, potentially limiting beneficiaries’ ability to scrutinise trustee decisions. The effectiveness of the clause will therefore depend on careful judicial calibration to ensure that confidentiality does not undermine accountability.</w:t>
      </w:r>
    </w:p>
    <w:p w14:paraId="2F1D73DB" w14:textId="09E52AB8" w:rsidR="001D076C" w:rsidRPr="001D076C" w:rsidRDefault="001D076C" w:rsidP="001D076C">
      <w:pPr>
        <w:jc w:val="both"/>
      </w:pPr>
      <w:r w:rsidRPr="001D076C">
        <w:t>Clause 3 introduces a mandatory alternative dispute resolution (ADR) requirement prior to litigation. This reflects a growing recognition of the value of mediation in trust disputes, where relationships and long</w:t>
      </w:r>
      <w:r w:rsidRPr="001D076C">
        <w:noBreakHyphen/>
        <w:t>term administration often benefit from non</w:t>
      </w:r>
      <w:r w:rsidRPr="001D076C">
        <w:noBreakHyphen/>
        <w:t xml:space="preserve">adversarial resolution, a point consistent with the courts’ emphasis on proportionality in trust litigation, as seen in </w:t>
      </w:r>
      <w:r w:rsidRPr="001D076C">
        <w:rPr>
          <w:i/>
          <w:iCs/>
        </w:rPr>
        <w:t>Thomas &amp; Agnes Carvel Foundation v Carvel</w:t>
      </w:r>
      <w:r w:rsidRPr="001D076C">
        <w:t xml:space="preserve"> [2007] EWHC 1314 (Ch). ADR can reduce costs, preserve family relationships, and alleviate pressure on the courts, aligning with the judiciary’s preference for resolving trust disputes efficiently, as </w:t>
      </w:r>
      <w:r w:rsidRPr="001D076C">
        <w:lastRenderedPageBreak/>
        <w:t xml:space="preserve">illustrated in </w:t>
      </w:r>
      <w:r w:rsidRPr="001D076C">
        <w:rPr>
          <w:i/>
          <w:iCs/>
        </w:rPr>
        <w:t>Blades v Isaac</w:t>
      </w:r>
      <w:r w:rsidRPr="001D076C">
        <w:t xml:space="preserve"> [2016] EWHC 601 (Ch). Professional guidance similarly emphasises the importance of resolving disclosure disputes proportionately, reflecting the broader principle that litigation should be a last resort. The clause’s provision allowing courts to consider non</w:t>
      </w:r>
      <w:r w:rsidRPr="001D076C">
        <w:noBreakHyphen/>
        <w:t xml:space="preserve">compliance when awarding costs creates a meaningful incentive for parties to engage constructively, consistent with the approach taken in </w:t>
      </w:r>
      <w:r w:rsidRPr="001D076C">
        <w:rPr>
          <w:i/>
          <w:iCs/>
        </w:rPr>
        <w:t xml:space="preserve">O’Rourke v </w:t>
      </w:r>
      <w:proofErr w:type="spellStart"/>
      <w:r w:rsidRPr="001D076C">
        <w:rPr>
          <w:i/>
          <w:iCs/>
        </w:rPr>
        <w:t>Darbishire</w:t>
      </w:r>
      <w:proofErr w:type="spellEnd"/>
      <w:r w:rsidRPr="001D076C">
        <w:t xml:space="preserve"> [1920] AC 581, where the court stressed the importance of cooperative conduct in trust disputes. However, ADR may be less effective where there is a significant imbalance of information or bargaining power, a common feature of trust disputes. In such cases, beneficiaries may still require judicial intervention to obtain meaningful disclosure, as recognised in </w:t>
      </w:r>
      <w:r w:rsidRPr="001D076C">
        <w:rPr>
          <w:i/>
          <w:iCs/>
        </w:rPr>
        <w:t>Lewis v Tamplin</w:t>
      </w:r>
      <w:r w:rsidRPr="001D076C">
        <w:t xml:space="preserve"> [2018] EWHC 777 (Ch), where the court emphasised the need for judicial oversight when informational asymmetry undermines fairness.</w:t>
      </w:r>
    </w:p>
    <w:p w14:paraId="17F25C26" w14:textId="77777777" w:rsidR="001D076C" w:rsidRPr="001D076C" w:rsidRDefault="001D076C" w:rsidP="001D076C">
      <w:pPr>
        <w:jc w:val="both"/>
      </w:pPr>
      <w:r w:rsidRPr="001D076C">
        <w:t>Taken together, the proposed reforms offer a coherent and balanced statutory framework that addresses many of the shortcomings of the current law. They enhance transparency, promote accountability, and provide structured mechanisms for resolving disputes. At the same time, they preserve essential elements of trustee discretion and settlor confidentiality. While some terms will require judicial interpretation and the success of the reforms will depend on their practical implementation, the proposals represent a substantial improvement on the existing system and move trust law towards greater clarity, accessibility, and fairness.</w:t>
      </w:r>
    </w:p>
    <w:p w14:paraId="15B3B893" w14:textId="4D718ED3" w:rsidR="005D1DF1" w:rsidRDefault="005D1DF1" w:rsidP="00587E29">
      <w:pPr>
        <w:jc w:val="both"/>
      </w:pPr>
      <w:r w:rsidRPr="005D1DF1">
        <w:t>.</w:t>
      </w:r>
    </w:p>
    <w:p w14:paraId="3DACC7DC" w14:textId="77777777" w:rsidR="001D076C" w:rsidRPr="005D1DF1" w:rsidRDefault="001D076C" w:rsidP="00587E29">
      <w:pPr>
        <w:jc w:val="both"/>
      </w:pPr>
    </w:p>
    <w:p w14:paraId="2ABC99A0" w14:textId="57EFB66E" w:rsidR="005D1DF1" w:rsidRPr="005D1DF1" w:rsidRDefault="005D1DF1" w:rsidP="00587E29">
      <w:pPr>
        <w:jc w:val="both"/>
        <w:rPr>
          <w:b/>
          <w:bCs/>
        </w:rPr>
      </w:pPr>
      <w:r w:rsidRPr="005D1DF1">
        <w:rPr>
          <w:b/>
          <w:bCs/>
        </w:rPr>
        <w:t xml:space="preserve">6. Conclusion </w:t>
      </w:r>
    </w:p>
    <w:p w14:paraId="612548A2" w14:textId="77777777" w:rsidR="004B2CEF" w:rsidRPr="004B2CEF" w:rsidRDefault="004B2CEF" w:rsidP="004B2CEF">
      <w:pPr>
        <w:jc w:val="both"/>
      </w:pPr>
      <w:r w:rsidRPr="004B2CEF">
        <w:t xml:space="preserve">The law governing beneficiaries’ access to trust information remains problematic because it relies heavily on judicial discretion rather than clear statutory rules. Scholars have long argued that the discretionary model developed in </w:t>
      </w:r>
      <w:r w:rsidRPr="004B2CEF">
        <w:rPr>
          <w:i/>
          <w:iCs/>
        </w:rPr>
        <w:t>Schmidt v Rosewood Trust Ltd</w:t>
      </w:r>
      <w:r w:rsidRPr="004B2CEF">
        <w:t xml:space="preserve"> creates uncertainty for both trustees and beneficiaries, making it difficult to predict when disclosure will be granted (</w:t>
      </w:r>
      <w:proofErr w:type="spellStart"/>
      <w:r w:rsidRPr="004B2CEF">
        <w:t>Conaglen</w:t>
      </w:r>
      <w:proofErr w:type="spellEnd"/>
      <w:r w:rsidRPr="004B2CEF">
        <w:t>, 2006; Hodge, 2007). This uncertainty is compounded by the fragmented nature of the current framework, which forces trustees to navigate a complex body of case law without legislative guidance (Hayton, Matthews and Mitchell, 2022). Academic commentary also highlights that excessive protection of confidentiality—particularly in relation to letters of wishes—can undermine transparency and weaken beneficiaries’ ability to scrutinise trustee conduct (Penner, 2022; Virgo, 2020). These issues demonstrate a broader structural problem: beneficiaries often lack the information needed to enforce their rights, while trustees face inconsistent expectations about what must be disclosed.</w:t>
      </w:r>
    </w:p>
    <w:p w14:paraId="6E605414" w14:textId="77777777" w:rsidR="004B2CEF" w:rsidRPr="004B2CEF" w:rsidRDefault="004B2CEF" w:rsidP="004B2CEF">
      <w:pPr>
        <w:jc w:val="both"/>
      </w:pPr>
      <w:r w:rsidRPr="004B2CEF">
        <w:t xml:space="preserve">A carefully drafted statutory scheme could alleviate many of these difficulties. By defining a baseline entitlement to core information, legislation would reduce reliance on </w:t>
      </w:r>
      <w:r w:rsidRPr="004B2CEF">
        <w:lastRenderedPageBreak/>
        <w:t>judicial discretion and promote greater consistency in trust administration, addressing concerns raised by both academics and professional bodies such as STEP (2021). Clear and precise drafting could also limit the need for extensive judicial interpretation, particularly if key terms—such as “reasonable request” or “confidential documents”—are defined in a way that provides practical guidance while preserving necessary flexibility. Importantly, the proposed reforms would sit alongside existing legislation, such as the Trustee Act 2000, by complementing rather than displacing trustees’ existing administrative duties.</w:t>
      </w:r>
    </w:p>
    <w:p w14:paraId="00866C52" w14:textId="1F8091D7" w:rsidR="004B2CEF" w:rsidRPr="004B2CEF" w:rsidRDefault="004B2CEF" w:rsidP="004B2CEF">
      <w:pPr>
        <w:jc w:val="both"/>
      </w:pPr>
      <w:r w:rsidRPr="004B2CEF">
        <w:t>Ultimately, the effectiveness of the Trustee Disclosure and Beneficiary Information Act 2026 depends on whether it can achieve its primary goal: to create a clearer, more</w:t>
      </w:r>
      <w:r w:rsidRPr="004B2CEF">
        <w:rPr>
          <w:b/>
          <w:bCs/>
        </w:rPr>
        <w:t xml:space="preserve"> </w:t>
      </w:r>
      <w:r w:rsidRPr="004B2CEF">
        <w:t>predictable, and more accessible framework for beneficiary access to information. By codifying core rights, clarifying the limits of confidentiality, and encouraging proportionate dispute resolution, the reforms have strong potential to modernise trust law and enhance accountability. While some judicial interpretation will remain inevitable, the proposed statutory structure represents a significant step toward reducing uncertainty and improving fairness in the administration of trusts</w:t>
      </w:r>
      <w:r w:rsidRPr="004B2CEF">
        <w:t>.</w:t>
      </w:r>
    </w:p>
    <w:p w14:paraId="00DA0232" w14:textId="77777777" w:rsidR="005D1DF1" w:rsidRDefault="005D1DF1" w:rsidP="00587E29">
      <w:pPr>
        <w:jc w:val="both"/>
      </w:pPr>
    </w:p>
    <w:p w14:paraId="2522FC2E" w14:textId="78E2EE14" w:rsidR="004B2CEF" w:rsidRDefault="004B2CEF">
      <w:r>
        <w:br w:type="page"/>
      </w:r>
    </w:p>
    <w:p w14:paraId="532B709C" w14:textId="2C9815AF" w:rsidR="00587E29" w:rsidRDefault="00587E29" w:rsidP="00587E29">
      <w:pPr>
        <w:pStyle w:val="Heading1"/>
      </w:pPr>
      <w:r>
        <w:lastRenderedPageBreak/>
        <w:t xml:space="preserve">References </w:t>
      </w:r>
    </w:p>
    <w:p w14:paraId="51DA7972" w14:textId="77777777" w:rsidR="00587E29" w:rsidRDefault="00587E29" w:rsidP="00587E29"/>
    <w:p w14:paraId="30AFD150" w14:textId="77777777" w:rsidR="00587E29" w:rsidRPr="00587E29" w:rsidRDefault="00587E29" w:rsidP="00587E29">
      <w:r w:rsidRPr="00587E29">
        <w:t xml:space="preserve">Chancery Bar Association (2020) </w:t>
      </w:r>
      <w:r w:rsidRPr="00587E29">
        <w:rPr>
          <w:i/>
          <w:iCs/>
        </w:rPr>
        <w:t>Guidance on Trustees’ Duties and Beneficiaries’ Rights to Information</w:t>
      </w:r>
      <w:r w:rsidRPr="00587E29">
        <w:t xml:space="preserve">. London: </w:t>
      </w:r>
      <w:proofErr w:type="spellStart"/>
      <w:r w:rsidRPr="00587E29">
        <w:t>ChBA</w:t>
      </w:r>
      <w:proofErr w:type="spellEnd"/>
      <w:r w:rsidRPr="00587E29">
        <w:t>.</w:t>
      </w:r>
    </w:p>
    <w:p w14:paraId="63FDB883" w14:textId="77777777" w:rsidR="00587E29" w:rsidRPr="00587E29" w:rsidRDefault="00587E29" w:rsidP="00587E29">
      <w:proofErr w:type="spellStart"/>
      <w:r w:rsidRPr="00587E29">
        <w:t>Conaglen</w:t>
      </w:r>
      <w:proofErr w:type="spellEnd"/>
      <w:r w:rsidRPr="00587E29">
        <w:t xml:space="preserve">, M. (2006) ‘Fiduciary loyalty and the structure of trust law’, </w:t>
      </w:r>
      <w:r w:rsidRPr="00587E29">
        <w:rPr>
          <w:i/>
          <w:iCs/>
        </w:rPr>
        <w:t>Cambridge Law Journal</w:t>
      </w:r>
      <w:r w:rsidRPr="00587E29">
        <w:t>, 65(2), pp. 480–516.</w:t>
      </w:r>
    </w:p>
    <w:p w14:paraId="179C5A40" w14:textId="77777777" w:rsidR="00587E29" w:rsidRPr="00587E29" w:rsidRDefault="00587E29" w:rsidP="00587E29">
      <w:r w:rsidRPr="00587E29">
        <w:t xml:space="preserve">Hayton, D., Matthews, P. and Mitchell, C. (2022) </w:t>
      </w:r>
      <w:r w:rsidRPr="00587E29">
        <w:rPr>
          <w:i/>
          <w:iCs/>
        </w:rPr>
        <w:t>Underhill and Hayton: Law of Trusts and Trustees</w:t>
      </w:r>
      <w:r w:rsidRPr="00587E29">
        <w:t xml:space="preserve">. 21st </w:t>
      </w:r>
      <w:proofErr w:type="spellStart"/>
      <w:r w:rsidRPr="00587E29">
        <w:t>edn</w:t>
      </w:r>
      <w:proofErr w:type="spellEnd"/>
      <w:r w:rsidRPr="00587E29">
        <w:t>. London: LexisNexis.</w:t>
      </w:r>
    </w:p>
    <w:p w14:paraId="643F08DD" w14:textId="77777777" w:rsidR="00587E29" w:rsidRPr="00587E29" w:rsidRDefault="00587E29" w:rsidP="00587E29">
      <w:r w:rsidRPr="00587E29">
        <w:t xml:space="preserve">Hodge, M. (2007) ‘Trustees’ duties of disclosure: A principled approach’, </w:t>
      </w:r>
      <w:r w:rsidRPr="00587E29">
        <w:rPr>
          <w:i/>
          <w:iCs/>
        </w:rPr>
        <w:t>Journal of Equity</w:t>
      </w:r>
      <w:r w:rsidRPr="00587E29">
        <w:t>, 1(2), pp. 171–195.</w:t>
      </w:r>
    </w:p>
    <w:p w14:paraId="6143E84A" w14:textId="77777777" w:rsidR="00587E29" w:rsidRPr="00587E29" w:rsidRDefault="00587E29" w:rsidP="00587E29">
      <w:r w:rsidRPr="00587E29">
        <w:t xml:space="preserve">Hudson, A. (2021) </w:t>
      </w:r>
      <w:r w:rsidRPr="00587E29">
        <w:rPr>
          <w:i/>
          <w:iCs/>
        </w:rPr>
        <w:t>Equity and Trusts</w:t>
      </w:r>
      <w:r w:rsidRPr="00587E29">
        <w:t xml:space="preserve">. 10th </w:t>
      </w:r>
      <w:proofErr w:type="spellStart"/>
      <w:r w:rsidRPr="00587E29">
        <w:t>edn</w:t>
      </w:r>
      <w:proofErr w:type="spellEnd"/>
      <w:r w:rsidRPr="00587E29">
        <w:t>. London: Routledge.</w:t>
      </w:r>
    </w:p>
    <w:p w14:paraId="05334F34" w14:textId="77777777" w:rsidR="00587E29" w:rsidRPr="00587E29" w:rsidRDefault="00587E29" w:rsidP="00587E29">
      <w:r w:rsidRPr="00587E29">
        <w:t xml:space="preserve">Law Commission (2014) </w:t>
      </w:r>
      <w:r w:rsidRPr="00587E29">
        <w:rPr>
          <w:i/>
          <w:iCs/>
        </w:rPr>
        <w:t>Fiduciary Duties of Investment Intermediaries: Consultation Paper No. 215</w:t>
      </w:r>
      <w:r w:rsidRPr="00587E29">
        <w:t>. London: Law Commission.</w:t>
      </w:r>
    </w:p>
    <w:p w14:paraId="1C723C15" w14:textId="77777777" w:rsidR="00587E29" w:rsidRPr="00587E29" w:rsidRDefault="00587E29" w:rsidP="00587E29">
      <w:r w:rsidRPr="00587E29">
        <w:t xml:space="preserve">Law Commission (2020) </w:t>
      </w:r>
      <w:r w:rsidRPr="00587E29">
        <w:rPr>
          <w:i/>
          <w:iCs/>
        </w:rPr>
        <w:t>Review of the Law of Trusts: A Consultation on Modernising Trust Administration</w:t>
      </w:r>
      <w:r w:rsidRPr="00587E29">
        <w:t>. London: Law Commission.</w:t>
      </w:r>
    </w:p>
    <w:p w14:paraId="6577C253" w14:textId="77777777" w:rsidR="00587E29" w:rsidRPr="00587E29" w:rsidRDefault="00587E29" w:rsidP="00587E29">
      <w:r w:rsidRPr="00587E29">
        <w:t xml:space="preserve">Martin, J. (2022) </w:t>
      </w:r>
      <w:r w:rsidRPr="00587E29">
        <w:rPr>
          <w:i/>
          <w:iCs/>
        </w:rPr>
        <w:t>Hanbury &amp; Martin: Modern Equity</w:t>
      </w:r>
      <w:r w:rsidRPr="00587E29">
        <w:t xml:space="preserve">. 23rd </w:t>
      </w:r>
      <w:proofErr w:type="spellStart"/>
      <w:r w:rsidRPr="00587E29">
        <w:t>edn</w:t>
      </w:r>
      <w:proofErr w:type="spellEnd"/>
      <w:r w:rsidRPr="00587E29">
        <w:t>. London: Sweet &amp; Maxwell.</w:t>
      </w:r>
    </w:p>
    <w:p w14:paraId="3E66DC0B" w14:textId="77777777" w:rsidR="00587E29" w:rsidRPr="00587E29" w:rsidRDefault="00587E29" w:rsidP="00587E29">
      <w:r w:rsidRPr="00587E29">
        <w:t xml:space="preserve">Penner, J. (2022) </w:t>
      </w:r>
      <w:r w:rsidRPr="00587E29">
        <w:rPr>
          <w:i/>
          <w:iCs/>
        </w:rPr>
        <w:t>The Law of Trusts</w:t>
      </w:r>
      <w:r w:rsidRPr="00587E29">
        <w:t xml:space="preserve">. 14th </w:t>
      </w:r>
      <w:proofErr w:type="spellStart"/>
      <w:r w:rsidRPr="00587E29">
        <w:t>edn</w:t>
      </w:r>
      <w:proofErr w:type="spellEnd"/>
      <w:r w:rsidRPr="00587E29">
        <w:t>. Oxford: Oxford University Press.</w:t>
      </w:r>
    </w:p>
    <w:p w14:paraId="0B146F6F" w14:textId="77777777" w:rsidR="00587E29" w:rsidRPr="00587E29" w:rsidRDefault="00587E29" w:rsidP="00587E29">
      <w:r w:rsidRPr="00587E29">
        <w:t xml:space="preserve">STEP (Society of Trust and Estate Practitioners) (2021) </w:t>
      </w:r>
      <w:r w:rsidRPr="00587E29">
        <w:rPr>
          <w:i/>
          <w:iCs/>
        </w:rPr>
        <w:t>Best Practice Guide: Disclosure and Confidentiality in Trust Administration</w:t>
      </w:r>
      <w:r w:rsidRPr="00587E29">
        <w:t>. London: STEP.</w:t>
      </w:r>
    </w:p>
    <w:p w14:paraId="2A03BC35" w14:textId="77777777" w:rsidR="00587E29" w:rsidRPr="00587E29" w:rsidRDefault="00587E29" w:rsidP="00587E29">
      <w:r w:rsidRPr="00587E29">
        <w:t xml:space="preserve">Virgo, G. (2020) </w:t>
      </w:r>
      <w:r w:rsidRPr="00587E29">
        <w:rPr>
          <w:i/>
          <w:iCs/>
        </w:rPr>
        <w:t>The Principles of Equity and Trusts</w:t>
      </w:r>
      <w:r w:rsidRPr="00587E29">
        <w:t xml:space="preserve">. 4th </w:t>
      </w:r>
      <w:proofErr w:type="spellStart"/>
      <w:r w:rsidRPr="00587E29">
        <w:t>edn</w:t>
      </w:r>
      <w:proofErr w:type="spellEnd"/>
      <w:r w:rsidRPr="00587E29">
        <w:t>. Oxford: Oxford University Press.</w:t>
      </w:r>
    </w:p>
    <w:p w14:paraId="6C5810A6" w14:textId="77777777" w:rsidR="00587E29" w:rsidRDefault="00587E29" w:rsidP="00587E29">
      <w:r w:rsidRPr="00587E29">
        <w:t xml:space="preserve">Waters, D. (2007) ‘The right of beneficiaries to information: A comparative analysis’, </w:t>
      </w:r>
      <w:r w:rsidRPr="00587E29">
        <w:rPr>
          <w:i/>
          <w:iCs/>
        </w:rPr>
        <w:t>Trusts &amp; Trustees</w:t>
      </w:r>
      <w:r w:rsidRPr="00587E29">
        <w:t>, 13(1), pp. 15–27.</w:t>
      </w:r>
    </w:p>
    <w:p w14:paraId="5CC18D07" w14:textId="084C3F28" w:rsidR="00062510" w:rsidRDefault="00062510">
      <w:r>
        <w:br w:type="page"/>
      </w:r>
    </w:p>
    <w:p w14:paraId="6F857B8E" w14:textId="77777777" w:rsidR="00062510" w:rsidRPr="00062510" w:rsidRDefault="00062510" w:rsidP="00062510">
      <w:pPr>
        <w:pStyle w:val="Heading1"/>
      </w:pPr>
      <w:r w:rsidRPr="00062510">
        <w:lastRenderedPageBreak/>
        <w:t>Cases</w:t>
      </w:r>
    </w:p>
    <w:p w14:paraId="7D8FBD63" w14:textId="77777777" w:rsidR="00152DC3" w:rsidRPr="00062510" w:rsidRDefault="00152DC3" w:rsidP="00062510">
      <w:r w:rsidRPr="00062510">
        <w:t>Armitage v Nurse [1998] Ch 241.</w:t>
      </w:r>
    </w:p>
    <w:p w14:paraId="0E61804B" w14:textId="77777777" w:rsidR="00152DC3" w:rsidRPr="00152DC3" w:rsidRDefault="00152DC3" w:rsidP="00152DC3">
      <w:r w:rsidRPr="00152DC3">
        <w:rPr>
          <w:i/>
          <w:iCs/>
        </w:rPr>
        <w:t>Armitage v Nurse</w:t>
      </w:r>
      <w:r w:rsidRPr="00152DC3">
        <w:t xml:space="preserve"> [1998] Ch 241.</w:t>
      </w:r>
    </w:p>
    <w:p w14:paraId="4D838481" w14:textId="77777777" w:rsidR="00152DC3" w:rsidRPr="00152DC3" w:rsidRDefault="00152DC3" w:rsidP="00152DC3">
      <w:r w:rsidRPr="00152DC3">
        <w:rPr>
          <w:i/>
          <w:iCs/>
        </w:rPr>
        <w:t>Blades v Isaac</w:t>
      </w:r>
      <w:r w:rsidRPr="00152DC3">
        <w:t xml:space="preserve"> [2016] EWHC 601 (Ch).</w:t>
      </w:r>
    </w:p>
    <w:p w14:paraId="497F18BD" w14:textId="77777777" w:rsidR="00152DC3" w:rsidRPr="00062510" w:rsidRDefault="00152DC3" w:rsidP="00062510">
      <w:r w:rsidRPr="00062510">
        <w:t>Breakspear v Ackland [2008] EWHC 220 (Ch).</w:t>
      </w:r>
    </w:p>
    <w:p w14:paraId="2BE4D644" w14:textId="77777777" w:rsidR="00152DC3" w:rsidRPr="00152DC3" w:rsidRDefault="00152DC3" w:rsidP="00152DC3">
      <w:r w:rsidRPr="00152DC3">
        <w:rPr>
          <w:i/>
          <w:iCs/>
        </w:rPr>
        <w:t>Lewis v Tamplin</w:t>
      </w:r>
      <w:r w:rsidRPr="00152DC3">
        <w:t xml:space="preserve"> [2018] EWHC 777 (Ch).</w:t>
      </w:r>
    </w:p>
    <w:p w14:paraId="04FCACBF" w14:textId="77777777" w:rsidR="00152DC3" w:rsidRPr="00062510" w:rsidRDefault="00152DC3" w:rsidP="00062510">
      <w:r w:rsidRPr="00062510">
        <w:t>Murphy v Murphy [2021] EWHC 94 (Ch).</w:t>
      </w:r>
    </w:p>
    <w:p w14:paraId="6C7BDE25" w14:textId="77777777" w:rsidR="00152DC3" w:rsidRPr="00062510" w:rsidRDefault="00152DC3" w:rsidP="00062510">
      <w:r w:rsidRPr="00062510">
        <w:t xml:space="preserve">O’Rourke v </w:t>
      </w:r>
      <w:proofErr w:type="spellStart"/>
      <w:r w:rsidRPr="00062510">
        <w:t>Darbishire</w:t>
      </w:r>
      <w:proofErr w:type="spellEnd"/>
      <w:r w:rsidRPr="00062510">
        <w:t xml:space="preserve"> [1920] AC 581.</w:t>
      </w:r>
    </w:p>
    <w:p w14:paraId="67062B93" w14:textId="77777777" w:rsidR="00152DC3" w:rsidRPr="00152DC3" w:rsidRDefault="00152DC3" w:rsidP="00152DC3">
      <w:r w:rsidRPr="00152DC3">
        <w:rPr>
          <w:i/>
          <w:iCs/>
        </w:rPr>
        <w:t xml:space="preserve">O’Rourke v </w:t>
      </w:r>
      <w:proofErr w:type="spellStart"/>
      <w:r w:rsidRPr="00152DC3">
        <w:rPr>
          <w:i/>
          <w:iCs/>
        </w:rPr>
        <w:t>Darbishire</w:t>
      </w:r>
      <w:proofErr w:type="spellEnd"/>
      <w:r w:rsidRPr="00152DC3">
        <w:t xml:space="preserve"> [1920] AC 581.</w:t>
      </w:r>
    </w:p>
    <w:p w14:paraId="72C2833C" w14:textId="77777777" w:rsidR="00152DC3" w:rsidRPr="00152DC3" w:rsidRDefault="00152DC3" w:rsidP="00152DC3">
      <w:r w:rsidRPr="00152DC3">
        <w:rPr>
          <w:i/>
          <w:iCs/>
        </w:rPr>
        <w:t>Re Cowin</w:t>
      </w:r>
      <w:r w:rsidRPr="00152DC3">
        <w:t xml:space="preserve"> [1886] 33 Ch D 179.</w:t>
      </w:r>
    </w:p>
    <w:p w14:paraId="2B319706" w14:textId="77777777" w:rsidR="00152DC3" w:rsidRPr="00062510" w:rsidRDefault="00152DC3" w:rsidP="00062510">
      <w:r w:rsidRPr="00062510">
        <w:t>Re Londonderry’s Settlement [1965] Ch 918.</w:t>
      </w:r>
    </w:p>
    <w:p w14:paraId="287B8F55" w14:textId="77777777" w:rsidR="00152DC3" w:rsidRPr="00152DC3" w:rsidRDefault="00152DC3" w:rsidP="00152DC3">
      <w:r w:rsidRPr="00152DC3">
        <w:rPr>
          <w:i/>
          <w:iCs/>
        </w:rPr>
        <w:t>Re Rabaiotti 1989 Settlement</w:t>
      </w:r>
      <w:r w:rsidRPr="00152DC3">
        <w:t xml:space="preserve"> [2000] WTLR 953.</w:t>
      </w:r>
    </w:p>
    <w:p w14:paraId="273674AA" w14:textId="77777777" w:rsidR="00152DC3" w:rsidRPr="00152DC3" w:rsidRDefault="00152DC3" w:rsidP="00152DC3">
      <w:r w:rsidRPr="00152DC3">
        <w:rPr>
          <w:i/>
          <w:iCs/>
        </w:rPr>
        <w:t>Re Smith</w:t>
      </w:r>
      <w:r w:rsidRPr="00152DC3">
        <w:t xml:space="preserve"> [1896] 1 Ch 71.</w:t>
      </w:r>
    </w:p>
    <w:p w14:paraId="6F266DDB" w14:textId="77777777" w:rsidR="00152DC3" w:rsidRPr="00152DC3" w:rsidRDefault="00152DC3" w:rsidP="00152DC3">
      <w:r w:rsidRPr="00152DC3">
        <w:rPr>
          <w:i/>
          <w:iCs/>
        </w:rPr>
        <w:t xml:space="preserve">Re </w:t>
      </w:r>
      <w:proofErr w:type="spellStart"/>
      <w:r w:rsidRPr="00152DC3">
        <w:rPr>
          <w:i/>
          <w:iCs/>
        </w:rPr>
        <w:t>Tillott</w:t>
      </w:r>
      <w:proofErr w:type="spellEnd"/>
      <w:r w:rsidRPr="00152DC3">
        <w:t xml:space="preserve"> [1892] 1 Ch 86.</w:t>
      </w:r>
    </w:p>
    <w:p w14:paraId="30514B11" w14:textId="77777777" w:rsidR="00152DC3" w:rsidRPr="00152DC3" w:rsidRDefault="00152DC3" w:rsidP="00152DC3">
      <w:r w:rsidRPr="00152DC3">
        <w:rPr>
          <w:i/>
          <w:iCs/>
        </w:rPr>
        <w:t>Re Wrightson</w:t>
      </w:r>
      <w:r w:rsidRPr="00152DC3">
        <w:t xml:space="preserve"> [1908] 1 Ch 789.</w:t>
      </w:r>
    </w:p>
    <w:p w14:paraId="39B9A338" w14:textId="77777777" w:rsidR="00152DC3" w:rsidRDefault="00152DC3" w:rsidP="00062510">
      <w:r>
        <w:t>S</w:t>
      </w:r>
      <w:r w:rsidRPr="00062510">
        <w:t>chmidt v Rosewood Trust Ltd [2003] UKPC 26, [2003] 2 AC 709.</w:t>
      </w:r>
    </w:p>
    <w:p w14:paraId="21B75F3B" w14:textId="77777777" w:rsidR="00152DC3" w:rsidRPr="00152DC3" w:rsidRDefault="00152DC3" w:rsidP="00152DC3">
      <w:r w:rsidRPr="00152DC3">
        <w:rPr>
          <w:i/>
          <w:iCs/>
        </w:rPr>
        <w:t>Thomas &amp; Agnes Carvel Foundation v Carvel</w:t>
      </w:r>
      <w:r w:rsidRPr="00152DC3">
        <w:t xml:space="preserve"> [2007] EWHC 1314 (Ch).</w:t>
      </w:r>
    </w:p>
    <w:p w14:paraId="335D179B" w14:textId="77777777" w:rsidR="00152DC3" w:rsidRDefault="00152DC3" w:rsidP="00062510"/>
    <w:p w14:paraId="3A9058DA" w14:textId="77777777" w:rsidR="00062510" w:rsidRDefault="00062510" w:rsidP="00062510"/>
    <w:p w14:paraId="6E8ECBDD" w14:textId="772FD82A" w:rsidR="00062510" w:rsidRDefault="00062510">
      <w:r>
        <w:br w:type="page"/>
      </w:r>
    </w:p>
    <w:p w14:paraId="2086DA9C" w14:textId="77777777" w:rsidR="00062510" w:rsidRDefault="00062510" w:rsidP="00062510">
      <w:pPr>
        <w:pStyle w:val="Heading1"/>
      </w:pPr>
      <w:r w:rsidRPr="00062510">
        <w:lastRenderedPageBreak/>
        <w:t>Legislation</w:t>
      </w:r>
    </w:p>
    <w:p w14:paraId="32CCFF4F" w14:textId="77777777" w:rsidR="00062510" w:rsidRPr="00062510" w:rsidRDefault="00062510" w:rsidP="00062510"/>
    <w:p w14:paraId="32DA1549" w14:textId="77777777" w:rsidR="000C5705" w:rsidRDefault="000C5705" w:rsidP="00062510">
      <w:r w:rsidRPr="00062510">
        <w:t>Charities Act 2011.</w:t>
      </w:r>
    </w:p>
    <w:p w14:paraId="736F5CBF" w14:textId="77777777" w:rsidR="000C5705" w:rsidRPr="00062510" w:rsidRDefault="000C5705" w:rsidP="00062510">
      <w:r w:rsidRPr="00062510">
        <w:t>Trustee Act 1925.</w:t>
      </w:r>
    </w:p>
    <w:p w14:paraId="1245F351" w14:textId="77777777" w:rsidR="000C5705" w:rsidRPr="00062510" w:rsidRDefault="000C5705" w:rsidP="00062510">
      <w:r w:rsidRPr="00062510">
        <w:t>Trustee Act 2000.</w:t>
      </w:r>
    </w:p>
    <w:p w14:paraId="20941B82" w14:textId="77777777" w:rsidR="000C5705" w:rsidRPr="00062510" w:rsidRDefault="000C5705" w:rsidP="00062510">
      <w:r w:rsidRPr="000C5705">
        <w:t>Trusts (Scotland) Act 2024, s 30 (duty to provide information).</w:t>
      </w:r>
    </w:p>
    <w:p w14:paraId="0184BF45" w14:textId="77777777" w:rsidR="00062510" w:rsidRPr="00062510" w:rsidRDefault="00062510" w:rsidP="00062510"/>
    <w:p w14:paraId="701F8D70" w14:textId="77777777" w:rsidR="00062510" w:rsidRPr="00587E29" w:rsidRDefault="00062510" w:rsidP="00587E29"/>
    <w:sectPr w:rsidR="00062510" w:rsidRPr="00587E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5243B0"/>
    <w:multiLevelType w:val="hybridMultilevel"/>
    <w:tmpl w:val="4DA4F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1298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DF1"/>
    <w:rsid w:val="00062510"/>
    <w:rsid w:val="000C5705"/>
    <w:rsid w:val="00152DC3"/>
    <w:rsid w:val="001D076C"/>
    <w:rsid w:val="00232600"/>
    <w:rsid w:val="00305F25"/>
    <w:rsid w:val="004B2CEF"/>
    <w:rsid w:val="00587E29"/>
    <w:rsid w:val="005D1DF1"/>
    <w:rsid w:val="008433F3"/>
    <w:rsid w:val="009B1F84"/>
    <w:rsid w:val="00A07C5B"/>
    <w:rsid w:val="00EE2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51F20"/>
  <w15:chartTrackingRefBased/>
  <w15:docId w15:val="{0F8957DB-45DF-4762-B558-6884EAAB2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1D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1D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1D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5D1D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D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D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D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D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D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D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1D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1D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1D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D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D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D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D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DF1"/>
    <w:rPr>
      <w:rFonts w:eastAsiaTheme="majorEastAsia" w:cstheme="majorBidi"/>
      <w:color w:val="272727" w:themeColor="text1" w:themeTint="D8"/>
    </w:rPr>
  </w:style>
  <w:style w:type="paragraph" w:styleId="Title">
    <w:name w:val="Title"/>
    <w:basedOn w:val="Normal"/>
    <w:next w:val="Normal"/>
    <w:link w:val="TitleChar"/>
    <w:uiPriority w:val="10"/>
    <w:qFormat/>
    <w:rsid w:val="005D1D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D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D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D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DF1"/>
    <w:pPr>
      <w:spacing w:before="160"/>
      <w:jc w:val="center"/>
    </w:pPr>
    <w:rPr>
      <w:i/>
      <w:iCs/>
      <w:color w:val="404040" w:themeColor="text1" w:themeTint="BF"/>
    </w:rPr>
  </w:style>
  <w:style w:type="character" w:customStyle="1" w:styleId="QuoteChar">
    <w:name w:val="Quote Char"/>
    <w:basedOn w:val="DefaultParagraphFont"/>
    <w:link w:val="Quote"/>
    <w:uiPriority w:val="29"/>
    <w:rsid w:val="005D1DF1"/>
    <w:rPr>
      <w:i/>
      <w:iCs/>
      <w:color w:val="404040" w:themeColor="text1" w:themeTint="BF"/>
    </w:rPr>
  </w:style>
  <w:style w:type="paragraph" w:styleId="ListParagraph">
    <w:name w:val="List Paragraph"/>
    <w:basedOn w:val="Normal"/>
    <w:uiPriority w:val="34"/>
    <w:qFormat/>
    <w:rsid w:val="005D1DF1"/>
    <w:pPr>
      <w:ind w:left="720"/>
      <w:contextualSpacing/>
    </w:pPr>
  </w:style>
  <w:style w:type="character" w:styleId="IntenseEmphasis">
    <w:name w:val="Intense Emphasis"/>
    <w:basedOn w:val="DefaultParagraphFont"/>
    <w:uiPriority w:val="21"/>
    <w:qFormat/>
    <w:rsid w:val="005D1DF1"/>
    <w:rPr>
      <w:i/>
      <w:iCs/>
      <w:color w:val="0F4761" w:themeColor="accent1" w:themeShade="BF"/>
    </w:rPr>
  </w:style>
  <w:style w:type="paragraph" w:styleId="IntenseQuote">
    <w:name w:val="Intense Quote"/>
    <w:basedOn w:val="Normal"/>
    <w:next w:val="Normal"/>
    <w:link w:val="IntenseQuoteChar"/>
    <w:uiPriority w:val="30"/>
    <w:qFormat/>
    <w:rsid w:val="005D1D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DF1"/>
    <w:rPr>
      <w:i/>
      <w:iCs/>
      <w:color w:val="0F4761" w:themeColor="accent1" w:themeShade="BF"/>
    </w:rPr>
  </w:style>
  <w:style w:type="character" w:styleId="IntenseReference">
    <w:name w:val="Intense Reference"/>
    <w:basedOn w:val="DefaultParagraphFont"/>
    <w:uiPriority w:val="32"/>
    <w:qFormat/>
    <w:rsid w:val="005D1DF1"/>
    <w:rPr>
      <w:b/>
      <w:bCs/>
      <w:smallCaps/>
      <w:color w:val="0F4761" w:themeColor="accent1" w:themeShade="BF"/>
      <w:spacing w:val="5"/>
    </w:rPr>
  </w:style>
  <w:style w:type="paragraph" w:styleId="Header">
    <w:name w:val="header"/>
    <w:basedOn w:val="Normal"/>
    <w:link w:val="HeaderChar"/>
    <w:rsid w:val="00587E29"/>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587E29"/>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0C5705"/>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10061</TotalTime>
  <Pages>14</Pages>
  <Words>3937</Words>
  <Characters>22447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11</cp:revision>
  <dcterms:created xsi:type="dcterms:W3CDTF">2026-03-04T12:29:00Z</dcterms:created>
  <dcterms:modified xsi:type="dcterms:W3CDTF">2026-03-13T21:07:00Z</dcterms:modified>
</cp:coreProperties>
</file>