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page" w:tblpXSpec="center" w:tblpY="3414"/>
        <w:tblW w:w="0" w:type="auto"/>
        <w:tblLook w:val="04A0" w:firstRow="1" w:lastRow="0" w:firstColumn="1" w:lastColumn="0" w:noHBand="0" w:noVBand="1"/>
      </w:tblPr>
      <w:tblGrid>
        <w:gridCol w:w="2230"/>
        <w:gridCol w:w="4466"/>
      </w:tblGrid>
      <w:tr w:rsidR="006376FA" w14:paraId="158E98A8" w14:textId="77777777" w:rsidTr="00E879CF">
        <w:trPr>
          <w:trHeight w:val="499"/>
        </w:trPr>
        <w:tc>
          <w:tcPr>
            <w:tcW w:w="2230" w:type="dxa"/>
          </w:tcPr>
          <w:p w14:paraId="11F283F0" w14:textId="77777777" w:rsidR="006376FA" w:rsidRPr="00D26A22" w:rsidRDefault="006376FA" w:rsidP="00E879CF">
            <w:pPr>
              <w:spacing w:after="120" w:line="360" w:lineRule="atLeast"/>
              <w:jc w:val="center"/>
              <w:rPr>
                <w:rFonts w:cstheme="minorHAnsi"/>
                <w:b/>
                <w:color w:val="000000" w:themeColor="text1"/>
                <w:spacing w:val="10"/>
              </w:rPr>
            </w:pPr>
            <w:r w:rsidRPr="00D26A22">
              <w:rPr>
                <w:rFonts w:cstheme="minorHAnsi"/>
                <w:b/>
                <w:color w:val="000000" w:themeColor="text1"/>
                <w:spacing w:val="10"/>
              </w:rPr>
              <w:t>Student Name</w:t>
            </w:r>
          </w:p>
        </w:tc>
        <w:tc>
          <w:tcPr>
            <w:tcW w:w="4466" w:type="dxa"/>
          </w:tcPr>
          <w:p w14:paraId="1FBC4ACF" w14:textId="10679D78" w:rsidR="006376FA" w:rsidRPr="00D26A22" w:rsidRDefault="00342E45" w:rsidP="00E879CF">
            <w:pPr>
              <w:spacing w:after="120" w:line="360" w:lineRule="atLeast"/>
              <w:jc w:val="center"/>
              <w:rPr>
                <w:rFonts w:cstheme="minorHAnsi"/>
                <w:b/>
                <w:color w:val="000000" w:themeColor="text1"/>
                <w:spacing w:val="10"/>
              </w:rPr>
            </w:pPr>
            <w:r>
              <w:rPr>
                <w:rFonts w:cstheme="minorHAnsi"/>
                <w:b/>
                <w:color w:val="000000" w:themeColor="text1"/>
                <w:spacing w:val="10"/>
              </w:rPr>
              <w:t>Sadman Hossain</w:t>
            </w:r>
          </w:p>
        </w:tc>
      </w:tr>
      <w:tr w:rsidR="006376FA" w:rsidRPr="00D26A22" w14:paraId="6A57F381" w14:textId="77777777" w:rsidTr="00E879CF">
        <w:trPr>
          <w:trHeight w:val="538"/>
        </w:trPr>
        <w:tc>
          <w:tcPr>
            <w:tcW w:w="2230" w:type="dxa"/>
          </w:tcPr>
          <w:p w14:paraId="1A831404" w14:textId="77777777" w:rsidR="006376FA" w:rsidRPr="00D26A22" w:rsidRDefault="006376FA" w:rsidP="00E879CF">
            <w:pPr>
              <w:spacing w:after="120" w:line="360" w:lineRule="atLeast"/>
              <w:jc w:val="center"/>
              <w:rPr>
                <w:rFonts w:cstheme="minorHAnsi"/>
                <w:b/>
                <w:color w:val="000000" w:themeColor="text1"/>
                <w:spacing w:val="10"/>
              </w:rPr>
            </w:pPr>
            <w:r w:rsidRPr="00D26A22">
              <w:rPr>
                <w:rFonts w:cstheme="minorHAnsi"/>
                <w:b/>
                <w:color w:val="000000" w:themeColor="text1"/>
                <w:spacing w:val="10"/>
              </w:rPr>
              <w:t>Student ID Number</w:t>
            </w:r>
          </w:p>
        </w:tc>
        <w:tc>
          <w:tcPr>
            <w:tcW w:w="4466" w:type="dxa"/>
          </w:tcPr>
          <w:p w14:paraId="31A38CA9" w14:textId="4BF82A15" w:rsidR="006376FA" w:rsidRPr="00D26A22" w:rsidRDefault="00342E45" w:rsidP="00E879CF">
            <w:pPr>
              <w:spacing w:after="120" w:line="360" w:lineRule="atLeast"/>
              <w:jc w:val="center"/>
              <w:rPr>
                <w:rFonts w:cstheme="minorHAnsi"/>
                <w:b/>
                <w:color w:val="000000" w:themeColor="text1"/>
                <w:spacing w:val="10"/>
              </w:rPr>
            </w:pPr>
            <w:r>
              <w:rPr>
                <w:rFonts w:cstheme="minorHAnsi"/>
                <w:b/>
                <w:color w:val="000000" w:themeColor="text1"/>
                <w:spacing w:val="10"/>
              </w:rPr>
              <w:t>2505391</w:t>
            </w:r>
          </w:p>
        </w:tc>
      </w:tr>
      <w:tr w:rsidR="006376FA" w:rsidRPr="00D26A22" w14:paraId="611D6EF8" w14:textId="77777777" w:rsidTr="00E879CF">
        <w:trPr>
          <w:trHeight w:val="888"/>
        </w:trPr>
        <w:tc>
          <w:tcPr>
            <w:tcW w:w="2230" w:type="dxa"/>
          </w:tcPr>
          <w:p w14:paraId="4B2579F9" w14:textId="77777777" w:rsidR="006376FA" w:rsidRPr="00D26A22" w:rsidRDefault="006376FA" w:rsidP="00E879CF">
            <w:pPr>
              <w:spacing w:after="120" w:line="360" w:lineRule="atLeast"/>
              <w:jc w:val="center"/>
              <w:rPr>
                <w:rFonts w:cstheme="minorHAnsi"/>
                <w:b/>
                <w:color w:val="000000" w:themeColor="text1"/>
                <w:spacing w:val="10"/>
              </w:rPr>
            </w:pPr>
            <w:r w:rsidRPr="00D26A22">
              <w:rPr>
                <w:rFonts w:cstheme="minorHAnsi"/>
                <w:b/>
                <w:color w:val="000000" w:themeColor="text1"/>
                <w:spacing w:val="10"/>
              </w:rPr>
              <w:t>Module Title</w:t>
            </w:r>
          </w:p>
        </w:tc>
        <w:tc>
          <w:tcPr>
            <w:tcW w:w="4466" w:type="dxa"/>
          </w:tcPr>
          <w:p w14:paraId="77C524B0" w14:textId="77777777" w:rsidR="006376FA" w:rsidRPr="00D26A22" w:rsidRDefault="00D03204" w:rsidP="00E879CF">
            <w:pPr>
              <w:spacing w:after="120" w:line="360" w:lineRule="atLeast"/>
              <w:jc w:val="center"/>
              <w:rPr>
                <w:rFonts w:cstheme="minorHAnsi"/>
                <w:b/>
                <w:color w:val="000000" w:themeColor="text1"/>
                <w:spacing w:val="10"/>
              </w:rPr>
            </w:pPr>
            <w:r w:rsidRPr="00D03204">
              <w:rPr>
                <w:rFonts w:cstheme="minorHAnsi"/>
                <w:b/>
                <w:color w:val="000000" w:themeColor="text1"/>
                <w:spacing w:val="10"/>
              </w:rPr>
              <w:t>Financial Management</w:t>
            </w:r>
          </w:p>
        </w:tc>
      </w:tr>
      <w:tr w:rsidR="006376FA" w:rsidRPr="00D26A22" w14:paraId="2123D619" w14:textId="77777777" w:rsidTr="00E879CF">
        <w:trPr>
          <w:trHeight w:val="499"/>
        </w:trPr>
        <w:tc>
          <w:tcPr>
            <w:tcW w:w="2230" w:type="dxa"/>
          </w:tcPr>
          <w:p w14:paraId="413703D3" w14:textId="77777777" w:rsidR="006376FA" w:rsidRPr="00D26A22" w:rsidRDefault="006376FA" w:rsidP="00E879CF">
            <w:pPr>
              <w:spacing w:after="120" w:line="360" w:lineRule="atLeast"/>
              <w:jc w:val="center"/>
              <w:rPr>
                <w:rFonts w:cstheme="minorHAnsi"/>
                <w:b/>
                <w:color w:val="000000" w:themeColor="text1"/>
                <w:spacing w:val="10"/>
              </w:rPr>
            </w:pPr>
            <w:r w:rsidRPr="00D26A22">
              <w:rPr>
                <w:rFonts w:cstheme="minorHAnsi"/>
                <w:b/>
                <w:color w:val="000000" w:themeColor="text1"/>
                <w:spacing w:val="10"/>
              </w:rPr>
              <w:t>Module Code</w:t>
            </w:r>
          </w:p>
        </w:tc>
        <w:tc>
          <w:tcPr>
            <w:tcW w:w="4466" w:type="dxa"/>
          </w:tcPr>
          <w:p w14:paraId="769A866C" w14:textId="77777777" w:rsidR="006376FA" w:rsidRPr="00035FEB" w:rsidRDefault="00D03204" w:rsidP="00E879CF">
            <w:pPr>
              <w:spacing w:after="120" w:line="360" w:lineRule="atLeast"/>
              <w:jc w:val="center"/>
              <w:rPr>
                <w:rFonts w:cstheme="minorHAnsi"/>
                <w:b/>
                <w:color w:val="000000" w:themeColor="text1"/>
                <w:spacing w:val="10"/>
                <w:lang w:val="en-GB"/>
              </w:rPr>
            </w:pPr>
            <w:r w:rsidRPr="00D03204">
              <w:rPr>
                <w:rFonts w:cstheme="minorHAnsi"/>
                <w:b/>
                <w:color w:val="000000" w:themeColor="text1"/>
                <w:spacing w:val="10"/>
              </w:rPr>
              <w:t>LCMB7002</w:t>
            </w:r>
          </w:p>
        </w:tc>
      </w:tr>
      <w:tr w:rsidR="006376FA" w:rsidRPr="00D26A22" w14:paraId="6F3FC4CE" w14:textId="77777777" w:rsidTr="00E879CF">
        <w:trPr>
          <w:trHeight w:val="499"/>
        </w:trPr>
        <w:tc>
          <w:tcPr>
            <w:tcW w:w="2230" w:type="dxa"/>
          </w:tcPr>
          <w:p w14:paraId="76D9301B" w14:textId="77777777" w:rsidR="006376FA" w:rsidRPr="00D26A22" w:rsidRDefault="006376FA" w:rsidP="00E879CF">
            <w:pPr>
              <w:spacing w:after="120" w:line="360" w:lineRule="atLeast"/>
              <w:jc w:val="center"/>
              <w:rPr>
                <w:rFonts w:cstheme="minorHAnsi"/>
                <w:b/>
                <w:color w:val="000000" w:themeColor="text1"/>
                <w:spacing w:val="10"/>
              </w:rPr>
            </w:pPr>
            <w:r w:rsidRPr="00D26A22">
              <w:rPr>
                <w:rFonts w:cstheme="minorHAnsi"/>
                <w:b/>
                <w:color w:val="000000" w:themeColor="text1"/>
                <w:spacing w:val="10"/>
              </w:rPr>
              <w:t>Lecturer’s Name</w:t>
            </w:r>
          </w:p>
        </w:tc>
        <w:tc>
          <w:tcPr>
            <w:tcW w:w="4466" w:type="dxa"/>
          </w:tcPr>
          <w:p w14:paraId="05177067" w14:textId="77777777" w:rsidR="006376FA" w:rsidRPr="00D26A22" w:rsidRDefault="00D03204" w:rsidP="00E879CF">
            <w:pPr>
              <w:spacing w:after="120" w:line="360" w:lineRule="atLeast"/>
              <w:jc w:val="center"/>
              <w:rPr>
                <w:rFonts w:cstheme="minorHAnsi"/>
                <w:b/>
                <w:color w:val="000000" w:themeColor="text1"/>
                <w:spacing w:val="10"/>
              </w:rPr>
            </w:pPr>
            <w:r w:rsidRPr="00D03204">
              <w:rPr>
                <w:rFonts w:cstheme="minorHAnsi"/>
                <w:b/>
                <w:color w:val="000000" w:themeColor="text1"/>
                <w:spacing w:val="10"/>
              </w:rPr>
              <w:t>Patrick Yeboah (Birmingham)</w:t>
            </w:r>
          </w:p>
        </w:tc>
      </w:tr>
      <w:tr w:rsidR="006376FA" w:rsidRPr="00D26A22" w14:paraId="01E91BC6" w14:textId="77777777" w:rsidTr="00E879CF">
        <w:trPr>
          <w:trHeight w:val="1296"/>
        </w:trPr>
        <w:tc>
          <w:tcPr>
            <w:tcW w:w="2230" w:type="dxa"/>
          </w:tcPr>
          <w:p w14:paraId="7C6E052C" w14:textId="77777777" w:rsidR="006376FA" w:rsidRPr="00D26A22" w:rsidRDefault="006376FA" w:rsidP="00E879CF">
            <w:pPr>
              <w:spacing w:after="120" w:line="360" w:lineRule="atLeast"/>
              <w:jc w:val="center"/>
              <w:rPr>
                <w:rFonts w:cstheme="minorHAnsi"/>
                <w:b/>
                <w:color w:val="000000" w:themeColor="text1"/>
                <w:spacing w:val="10"/>
              </w:rPr>
            </w:pPr>
            <w:r w:rsidRPr="00D26A22">
              <w:rPr>
                <w:rFonts w:cstheme="minorHAnsi"/>
                <w:b/>
                <w:color w:val="000000" w:themeColor="text1"/>
                <w:spacing w:val="10"/>
              </w:rPr>
              <w:t>Assignment Title</w:t>
            </w:r>
          </w:p>
        </w:tc>
        <w:tc>
          <w:tcPr>
            <w:tcW w:w="4466" w:type="dxa"/>
          </w:tcPr>
          <w:p w14:paraId="23C97062" w14:textId="77777777" w:rsidR="006376FA" w:rsidRPr="00D26A22" w:rsidRDefault="00D03204" w:rsidP="00064F53">
            <w:pPr>
              <w:spacing w:line="360" w:lineRule="auto"/>
              <w:jc w:val="center"/>
              <w:rPr>
                <w:rFonts w:cstheme="minorHAnsi"/>
                <w:b/>
                <w:color w:val="000000" w:themeColor="text1"/>
                <w:spacing w:val="10"/>
              </w:rPr>
            </w:pPr>
            <w:r w:rsidRPr="00D03204">
              <w:rPr>
                <w:rFonts w:cstheme="minorHAnsi"/>
                <w:b/>
                <w:color w:val="000000" w:themeColor="text1"/>
                <w:spacing w:val="10"/>
              </w:rPr>
              <w:t>Assessment component: Financial performance and management</w:t>
            </w:r>
          </w:p>
        </w:tc>
      </w:tr>
      <w:tr w:rsidR="006376FA" w:rsidRPr="00D26A22" w14:paraId="1EB2A984" w14:textId="77777777" w:rsidTr="00E879CF">
        <w:trPr>
          <w:trHeight w:val="499"/>
        </w:trPr>
        <w:tc>
          <w:tcPr>
            <w:tcW w:w="2230" w:type="dxa"/>
          </w:tcPr>
          <w:p w14:paraId="66DB28EF" w14:textId="77777777" w:rsidR="006376FA" w:rsidRPr="00D26A22" w:rsidRDefault="006376FA" w:rsidP="00E879CF">
            <w:pPr>
              <w:spacing w:after="120" w:line="360" w:lineRule="atLeast"/>
              <w:jc w:val="center"/>
              <w:rPr>
                <w:rFonts w:cstheme="minorHAnsi"/>
                <w:b/>
                <w:color w:val="000000" w:themeColor="text1"/>
                <w:spacing w:val="10"/>
              </w:rPr>
            </w:pPr>
            <w:r w:rsidRPr="00D26A22">
              <w:rPr>
                <w:rFonts w:cstheme="minorHAnsi"/>
                <w:b/>
                <w:color w:val="000000" w:themeColor="text1"/>
                <w:spacing w:val="10"/>
              </w:rPr>
              <w:t>Word Count (Actual)</w:t>
            </w:r>
          </w:p>
        </w:tc>
        <w:tc>
          <w:tcPr>
            <w:tcW w:w="4466" w:type="dxa"/>
          </w:tcPr>
          <w:p w14:paraId="00BE46E7" w14:textId="77777777" w:rsidR="006376FA" w:rsidRPr="00D26A22" w:rsidRDefault="00D03204" w:rsidP="00E879CF">
            <w:pPr>
              <w:spacing w:after="120" w:line="360" w:lineRule="atLeast"/>
              <w:jc w:val="center"/>
              <w:rPr>
                <w:rFonts w:cstheme="minorHAnsi"/>
                <w:b/>
                <w:color w:val="000000" w:themeColor="text1"/>
                <w:spacing w:val="10"/>
              </w:rPr>
            </w:pPr>
            <w:r>
              <w:rPr>
                <w:rFonts w:cstheme="minorHAnsi"/>
                <w:b/>
                <w:color w:val="000000" w:themeColor="text1"/>
                <w:spacing w:val="10"/>
              </w:rPr>
              <w:t>54</w:t>
            </w:r>
            <w:r w:rsidR="0082668A">
              <w:rPr>
                <w:rFonts w:cstheme="minorHAnsi"/>
                <w:b/>
                <w:color w:val="000000" w:themeColor="text1"/>
                <w:spacing w:val="10"/>
              </w:rPr>
              <w:t>90</w:t>
            </w:r>
          </w:p>
        </w:tc>
      </w:tr>
      <w:tr w:rsidR="006376FA" w:rsidRPr="00D26A22" w14:paraId="501EA18D" w14:textId="77777777" w:rsidTr="00E879CF">
        <w:trPr>
          <w:trHeight w:val="538"/>
        </w:trPr>
        <w:tc>
          <w:tcPr>
            <w:tcW w:w="2230" w:type="dxa"/>
          </w:tcPr>
          <w:p w14:paraId="471DFD21" w14:textId="77777777" w:rsidR="006376FA" w:rsidRPr="00D26A22" w:rsidRDefault="006376FA" w:rsidP="00E879CF">
            <w:pPr>
              <w:spacing w:after="120" w:line="360" w:lineRule="atLeast"/>
              <w:jc w:val="center"/>
              <w:rPr>
                <w:rFonts w:cstheme="minorHAnsi"/>
                <w:b/>
                <w:color w:val="000000" w:themeColor="text1"/>
                <w:spacing w:val="10"/>
              </w:rPr>
            </w:pPr>
            <w:r w:rsidRPr="00D26A22">
              <w:rPr>
                <w:rFonts w:cstheme="minorHAnsi"/>
                <w:b/>
                <w:color w:val="000000" w:themeColor="text1"/>
                <w:spacing w:val="10"/>
              </w:rPr>
              <w:t>Submission Date</w:t>
            </w:r>
          </w:p>
        </w:tc>
        <w:tc>
          <w:tcPr>
            <w:tcW w:w="4466" w:type="dxa"/>
          </w:tcPr>
          <w:p w14:paraId="6484A79A" w14:textId="77777777" w:rsidR="006376FA" w:rsidRPr="00D26A22" w:rsidRDefault="006376FA" w:rsidP="00E879CF">
            <w:pPr>
              <w:spacing w:after="120" w:line="360" w:lineRule="atLeast"/>
              <w:jc w:val="center"/>
              <w:rPr>
                <w:rFonts w:cstheme="minorHAnsi"/>
                <w:b/>
                <w:color w:val="000000" w:themeColor="text1"/>
                <w:spacing w:val="10"/>
              </w:rPr>
            </w:pPr>
          </w:p>
        </w:tc>
      </w:tr>
    </w:tbl>
    <w:p w14:paraId="4228798F" w14:textId="77777777" w:rsidR="00005668" w:rsidRDefault="00005668" w:rsidP="00005668">
      <w:pPr>
        <w:jc w:val="center"/>
        <w:rPr>
          <w:rFonts w:ascii="Arial" w:hAnsi="Arial" w:cs="Arial"/>
          <w:b/>
          <w:bCs/>
          <w:sz w:val="32"/>
          <w:szCs w:val="32"/>
        </w:rPr>
      </w:pPr>
    </w:p>
    <w:p w14:paraId="25CC4CE6" w14:textId="77777777" w:rsidR="00005668" w:rsidRDefault="00005668" w:rsidP="00005668">
      <w:pPr>
        <w:jc w:val="center"/>
        <w:rPr>
          <w:rFonts w:ascii="Arial" w:hAnsi="Arial" w:cs="Arial"/>
          <w:b/>
          <w:bCs/>
          <w:sz w:val="32"/>
          <w:szCs w:val="32"/>
        </w:rPr>
      </w:pPr>
    </w:p>
    <w:p w14:paraId="29AEE740" w14:textId="77777777" w:rsidR="00005668" w:rsidRDefault="00005668" w:rsidP="00005668">
      <w:pPr>
        <w:jc w:val="center"/>
        <w:rPr>
          <w:rFonts w:ascii="Arial" w:hAnsi="Arial" w:cs="Arial"/>
          <w:b/>
          <w:bCs/>
          <w:sz w:val="32"/>
          <w:szCs w:val="32"/>
        </w:rPr>
      </w:pPr>
    </w:p>
    <w:p w14:paraId="35EA57F8" w14:textId="77777777" w:rsidR="00005668" w:rsidRDefault="00005668" w:rsidP="00005668">
      <w:pPr>
        <w:jc w:val="center"/>
        <w:rPr>
          <w:rFonts w:ascii="Arial" w:hAnsi="Arial" w:cs="Arial"/>
          <w:b/>
          <w:bCs/>
          <w:sz w:val="32"/>
          <w:szCs w:val="32"/>
        </w:rPr>
      </w:pPr>
    </w:p>
    <w:p w14:paraId="7A3D9723" w14:textId="77777777" w:rsidR="00005668" w:rsidRDefault="00005668" w:rsidP="00005668">
      <w:pPr>
        <w:jc w:val="center"/>
        <w:rPr>
          <w:rFonts w:ascii="Arial" w:hAnsi="Arial" w:cs="Arial"/>
          <w:b/>
          <w:bCs/>
          <w:sz w:val="32"/>
          <w:szCs w:val="32"/>
        </w:rPr>
      </w:pPr>
    </w:p>
    <w:p w14:paraId="27DC15F3" w14:textId="77777777" w:rsidR="00005668" w:rsidRDefault="00005668" w:rsidP="00005668">
      <w:pPr>
        <w:jc w:val="center"/>
        <w:rPr>
          <w:rFonts w:ascii="Arial" w:hAnsi="Arial" w:cs="Arial"/>
          <w:b/>
          <w:bCs/>
          <w:sz w:val="32"/>
          <w:szCs w:val="32"/>
        </w:rPr>
      </w:pPr>
    </w:p>
    <w:p w14:paraId="4142C50C" w14:textId="77777777" w:rsidR="00005668" w:rsidRDefault="00005668" w:rsidP="00005668">
      <w:pPr>
        <w:jc w:val="center"/>
        <w:rPr>
          <w:rFonts w:ascii="Arial" w:hAnsi="Arial" w:cs="Arial"/>
          <w:b/>
          <w:bCs/>
          <w:sz w:val="32"/>
          <w:szCs w:val="32"/>
        </w:rPr>
      </w:pPr>
    </w:p>
    <w:p w14:paraId="398E38EC" w14:textId="77777777" w:rsidR="00005668" w:rsidRDefault="00005668" w:rsidP="00005668">
      <w:pPr>
        <w:jc w:val="center"/>
        <w:rPr>
          <w:rFonts w:ascii="Arial" w:hAnsi="Arial" w:cs="Arial"/>
          <w:b/>
          <w:bCs/>
          <w:sz w:val="32"/>
          <w:szCs w:val="32"/>
        </w:rPr>
      </w:pPr>
    </w:p>
    <w:p w14:paraId="202A8E3A" w14:textId="77777777" w:rsidR="00005668" w:rsidRDefault="00005668" w:rsidP="00005668">
      <w:pPr>
        <w:jc w:val="center"/>
        <w:rPr>
          <w:rFonts w:ascii="Arial" w:hAnsi="Arial" w:cs="Arial"/>
          <w:b/>
          <w:bCs/>
          <w:sz w:val="32"/>
          <w:szCs w:val="32"/>
        </w:rPr>
      </w:pPr>
    </w:p>
    <w:p w14:paraId="1B9F0E68" w14:textId="77777777" w:rsidR="00005668" w:rsidRDefault="00005668" w:rsidP="00005668">
      <w:pPr>
        <w:jc w:val="center"/>
        <w:rPr>
          <w:rFonts w:ascii="Arial" w:hAnsi="Arial" w:cs="Arial"/>
          <w:b/>
          <w:bCs/>
          <w:sz w:val="32"/>
          <w:szCs w:val="32"/>
        </w:rPr>
      </w:pPr>
    </w:p>
    <w:p w14:paraId="3FF85C43" w14:textId="77777777" w:rsidR="00005668" w:rsidRPr="00DE4952" w:rsidRDefault="00005668">
      <w:pPr>
        <w:rPr>
          <w:rFonts w:ascii="Arial" w:hAnsi="Arial" w:cs="Arial"/>
          <w:b/>
          <w:bCs/>
          <w:sz w:val="32"/>
          <w:szCs w:val="32"/>
        </w:rPr>
      </w:pPr>
      <w:r w:rsidRPr="00005668">
        <w:rPr>
          <w:b/>
          <w:bCs/>
        </w:rPr>
        <w:br w:type="page"/>
      </w:r>
    </w:p>
    <w:p w14:paraId="35F83DD3" w14:textId="77777777" w:rsidR="000A5C03" w:rsidRDefault="000A5C03">
      <w:pPr>
        <w:rPr>
          <w:b/>
          <w:bCs/>
        </w:rPr>
      </w:pPr>
    </w:p>
    <w:sdt>
      <w:sdtPr>
        <w:rPr>
          <w:rFonts w:asciiTheme="minorHAnsi" w:eastAsiaTheme="minorHAnsi" w:hAnsiTheme="minorHAnsi" w:cstheme="minorBidi"/>
          <w:color w:val="auto"/>
          <w:kern w:val="2"/>
          <w:sz w:val="24"/>
          <w:szCs w:val="24"/>
          <w14:ligatures w14:val="standardContextual"/>
        </w:rPr>
        <w:id w:val="-189762194"/>
        <w:docPartObj>
          <w:docPartGallery w:val="Table of Contents"/>
          <w:docPartUnique/>
        </w:docPartObj>
      </w:sdtPr>
      <w:sdtEndPr>
        <w:rPr>
          <w:b/>
          <w:bCs/>
          <w:noProof/>
        </w:rPr>
      </w:sdtEndPr>
      <w:sdtContent>
        <w:p w14:paraId="0F688612" w14:textId="77777777" w:rsidR="000A5C03" w:rsidRDefault="000A5C03">
          <w:pPr>
            <w:pStyle w:val="TOCHeading"/>
          </w:pPr>
          <w:r>
            <w:t>Table of Contents</w:t>
          </w:r>
        </w:p>
        <w:p w14:paraId="37EC1FC8" w14:textId="77777777" w:rsidR="00A2186F" w:rsidRDefault="000A5C03">
          <w:pPr>
            <w:pStyle w:val="TOC1"/>
            <w:tabs>
              <w:tab w:val="right" w:leader="dot" w:pos="9350"/>
            </w:tabs>
            <w:rPr>
              <w:rFonts w:eastAsiaTheme="minorEastAsia"/>
              <w:noProof/>
            </w:rPr>
          </w:pPr>
          <w:r w:rsidRPr="00DE4952">
            <w:rPr>
              <w:rFonts w:ascii="Arial" w:hAnsi="Arial" w:cs="Arial"/>
            </w:rPr>
            <w:fldChar w:fldCharType="begin"/>
          </w:r>
          <w:r w:rsidRPr="00DE4952">
            <w:rPr>
              <w:rFonts w:ascii="Arial" w:hAnsi="Arial" w:cs="Arial"/>
            </w:rPr>
            <w:instrText xml:space="preserve"> TOC \o "1-3" \h \z \u </w:instrText>
          </w:r>
          <w:r w:rsidRPr="00DE4952">
            <w:rPr>
              <w:rFonts w:ascii="Arial" w:hAnsi="Arial" w:cs="Arial"/>
            </w:rPr>
            <w:fldChar w:fldCharType="separate"/>
          </w:r>
          <w:hyperlink w:anchor="_Toc214577529" w:history="1">
            <w:r w:rsidR="00A2186F" w:rsidRPr="00A2186F">
              <w:rPr>
                <w:rStyle w:val="Hyperlink"/>
                <w:rFonts w:ascii="Arial" w:hAnsi="Arial" w:cs="Arial"/>
                <w:noProof/>
              </w:rPr>
              <w:t>Introduction</w:t>
            </w:r>
            <w:r w:rsidR="00A2186F">
              <w:rPr>
                <w:noProof/>
                <w:webHidden/>
              </w:rPr>
              <w:tab/>
            </w:r>
            <w:r w:rsidR="00A2186F">
              <w:rPr>
                <w:noProof/>
                <w:webHidden/>
              </w:rPr>
              <w:fldChar w:fldCharType="begin"/>
            </w:r>
            <w:r w:rsidR="00A2186F">
              <w:rPr>
                <w:noProof/>
                <w:webHidden/>
              </w:rPr>
              <w:instrText xml:space="preserve"> PAGEREF _Toc214577529 \h </w:instrText>
            </w:r>
            <w:r w:rsidR="00A2186F">
              <w:rPr>
                <w:noProof/>
                <w:webHidden/>
              </w:rPr>
            </w:r>
            <w:r w:rsidR="00A2186F">
              <w:rPr>
                <w:noProof/>
                <w:webHidden/>
              </w:rPr>
              <w:fldChar w:fldCharType="separate"/>
            </w:r>
            <w:r w:rsidR="00A2186F">
              <w:rPr>
                <w:noProof/>
                <w:webHidden/>
              </w:rPr>
              <w:t>3</w:t>
            </w:r>
            <w:r w:rsidR="00A2186F">
              <w:rPr>
                <w:noProof/>
                <w:webHidden/>
              </w:rPr>
              <w:fldChar w:fldCharType="end"/>
            </w:r>
          </w:hyperlink>
        </w:p>
        <w:p w14:paraId="788BFAD1" w14:textId="77777777" w:rsidR="00A2186F" w:rsidRPr="00A2186F" w:rsidRDefault="005E377D">
          <w:pPr>
            <w:pStyle w:val="TOC2"/>
            <w:tabs>
              <w:tab w:val="right" w:leader="dot" w:pos="9350"/>
            </w:tabs>
            <w:rPr>
              <w:rFonts w:ascii="Arial" w:eastAsiaTheme="minorEastAsia" w:hAnsi="Arial" w:cs="Arial"/>
              <w:noProof/>
            </w:rPr>
          </w:pPr>
          <w:hyperlink w:anchor="_Toc214577530" w:history="1">
            <w:r w:rsidR="00A2186F" w:rsidRPr="00A2186F">
              <w:rPr>
                <w:rStyle w:val="Hyperlink"/>
                <w:rFonts w:ascii="Arial" w:eastAsia="Times New Roman" w:hAnsi="Arial" w:cs="Arial"/>
                <w:noProof/>
                <w:kern w:val="0"/>
                <w14:ligatures w14:val="none"/>
              </w:rPr>
              <w:t>Ratio Analysis and Interpretation</w:t>
            </w:r>
            <w:r w:rsidR="00A2186F" w:rsidRPr="00A2186F">
              <w:rPr>
                <w:rFonts w:ascii="Arial" w:hAnsi="Arial" w:cs="Arial"/>
                <w:noProof/>
                <w:webHidden/>
              </w:rPr>
              <w:tab/>
            </w:r>
            <w:r w:rsidR="00A2186F" w:rsidRPr="00A2186F">
              <w:rPr>
                <w:rFonts w:ascii="Arial" w:hAnsi="Arial" w:cs="Arial"/>
                <w:noProof/>
                <w:webHidden/>
              </w:rPr>
              <w:fldChar w:fldCharType="begin"/>
            </w:r>
            <w:r w:rsidR="00A2186F" w:rsidRPr="00A2186F">
              <w:rPr>
                <w:rFonts w:ascii="Arial" w:hAnsi="Arial" w:cs="Arial"/>
                <w:noProof/>
                <w:webHidden/>
              </w:rPr>
              <w:instrText xml:space="preserve"> PAGEREF _Toc214577530 \h </w:instrText>
            </w:r>
            <w:r w:rsidR="00A2186F" w:rsidRPr="00A2186F">
              <w:rPr>
                <w:rFonts w:ascii="Arial" w:hAnsi="Arial" w:cs="Arial"/>
                <w:noProof/>
                <w:webHidden/>
              </w:rPr>
            </w:r>
            <w:r w:rsidR="00A2186F" w:rsidRPr="00A2186F">
              <w:rPr>
                <w:rFonts w:ascii="Arial" w:hAnsi="Arial" w:cs="Arial"/>
                <w:noProof/>
                <w:webHidden/>
              </w:rPr>
              <w:fldChar w:fldCharType="separate"/>
            </w:r>
            <w:r w:rsidR="00A2186F" w:rsidRPr="00A2186F">
              <w:rPr>
                <w:rFonts w:ascii="Arial" w:hAnsi="Arial" w:cs="Arial"/>
                <w:noProof/>
                <w:webHidden/>
              </w:rPr>
              <w:t>4</w:t>
            </w:r>
            <w:r w:rsidR="00A2186F" w:rsidRPr="00A2186F">
              <w:rPr>
                <w:rFonts w:ascii="Arial" w:hAnsi="Arial" w:cs="Arial"/>
                <w:noProof/>
                <w:webHidden/>
              </w:rPr>
              <w:fldChar w:fldCharType="end"/>
            </w:r>
          </w:hyperlink>
        </w:p>
        <w:p w14:paraId="2D2228DA" w14:textId="77777777" w:rsidR="00A2186F" w:rsidRPr="00A2186F" w:rsidRDefault="005E377D">
          <w:pPr>
            <w:pStyle w:val="TOC2"/>
            <w:tabs>
              <w:tab w:val="right" w:leader="dot" w:pos="9350"/>
            </w:tabs>
            <w:rPr>
              <w:rFonts w:ascii="Arial" w:eastAsiaTheme="minorEastAsia" w:hAnsi="Arial" w:cs="Arial"/>
              <w:noProof/>
            </w:rPr>
          </w:pPr>
          <w:hyperlink w:anchor="_Toc214577531" w:history="1">
            <w:r w:rsidR="00A2186F" w:rsidRPr="00A2186F">
              <w:rPr>
                <w:rStyle w:val="Hyperlink"/>
                <w:rFonts w:ascii="Arial" w:hAnsi="Arial" w:cs="Arial"/>
                <w:noProof/>
              </w:rPr>
              <w:t>Trends, Strengths and Threats</w:t>
            </w:r>
            <w:r w:rsidR="00A2186F" w:rsidRPr="00A2186F">
              <w:rPr>
                <w:rFonts w:ascii="Arial" w:hAnsi="Arial" w:cs="Arial"/>
                <w:noProof/>
                <w:webHidden/>
              </w:rPr>
              <w:tab/>
            </w:r>
            <w:r w:rsidR="00A2186F" w:rsidRPr="00A2186F">
              <w:rPr>
                <w:rFonts w:ascii="Arial" w:hAnsi="Arial" w:cs="Arial"/>
                <w:noProof/>
                <w:webHidden/>
              </w:rPr>
              <w:fldChar w:fldCharType="begin"/>
            </w:r>
            <w:r w:rsidR="00A2186F" w:rsidRPr="00A2186F">
              <w:rPr>
                <w:rFonts w:ascii="Arial" w:hAnsi="Arial" w:cs="Arial"/>
                <w:noProof/>
                <w:webHidden/>
              </w:rPr>
              <w:instrText xml:space="preserve"> PAGEREF _Toc214577531 \h </w:instrText>
            </w:r>
            <w:r w:rsidR="00A2186F" w:rsidRPr="00A2186F">
              <w:rPr>
                <w:rFonts w:ascii="Arial" w:hAnsi="Arial" w:cs="Arial"/>
                <w:noProof/>
                <w:webHidden/>
              </w:rPr>
            </w:r>
            <w:r w:rsidR="00A2186F" w:rsidRPr="00A2186F">
              <w:rPr>
                <w:rFonts w:ascii="Arial" w:hAnsi="Arial" w:cs="Arial"/>
                <w:noProof/>
                <w:webHidden/>
              </w:rPr>
              <w:fldChar w:fldCharType="separate"/>
            </w:r>
            <w:r w:rsidR="00A2186F" w:rsidRPr="00A2186F">
              <w:rPr>
                <w:rFonts w:ascii="Arial" w:hAnsi="Arial" w:cs="Arial"/>
                <w:noProof/>
                <w:webHidden/>
              </w:rPr>
              <w:t>9</w:t>
            </w:r>
            <w:r w:rsidR="00A2186F" w:rsidRPr="00A2186F">
              <w:rPr>
                <w:rFonts w:ascii="Arial" w:hAnsi="Arial" w:cs="Arial"/>
                <w:noProof/>
                <w:webHidden/>
              </w:rPr>
              <w:fldChar w:fldCharType="end"/>
            </w:r>
          </w:hyperlink>
        </w:p>
        <w:p w14:paraId="1285EFAA" w14:textId="77777777" w:rsidR="00A2186F" w:rsidRPr="00A2186F" w:rsidRDefault="005E377D">
          <w:pPr>
            <w:pStyle w:val="TOC2"/>
            <w:tabs>
              <w:tab w:val="right" w:leader="dot" w:pos="9350"/>
            </w:tabs>
            <w:rPr>
              <w:rFonts w:ascii="Arial" w:eastAsiaTheme="minorEastAsia" w:hAnsi="Arial" w:cs="Arial"/>
              <w:noProof/>
            </w:rPr>
          </w:pPr>
          <w:hyperlink w:anchor="_Toc214577532" w:history="1">
            <w:r w:rsidR="00A2186F" w:rsidRPr="00A2186F">
              <w:rPr>
                <w:rStyle w:val="Hyperlink"/>
                <w:rFonts w:ascii="Arial" w:hAnsi="Arial" w:cs="Arial"/>
                <w:noProof/>
              </w:rPr>
              <w:t>Altman Z-Score Model</w:t>
            </w:r>
            <w:r w:rsidR="00A2186F" w:rsidRPr="00A2186F">
              <w:rPr>
                <w:rFonts w:ascii="Arial" w:hAnsi="Arial" w:cs="Arial"/>
                <w:noProof/>
                <w:webHidden/>
              </w:rPr>
              <w:tab/>
            </w:r>
            <w:r w:rsidR="00A2186F" w:rsidRPr="00A2186F">
              <w:rPr>
                <w:rFonts w:ascii="Arial" w:hAnsi="Arial" w:cs="Arial"/>
                <w:noProof/>
                <w:webHidden/>
              </w:rPr>
              <w:fldChar w:fldCharType="begin"/>
            </w:r>
            <w:r w:rsidR="00A2186F" w:rsidRPr="00A2186F">
              <w:rPr>
                <w:rFonts w:ascii="Arial" w:hAnsi="Arial" w:cs="Arial"/>
                <w:noProof/>
                <w:webHidden/>
              </w:rPr>
              <w:instrText xml:space="preserve"> PAGEREF _Toc214577532 \h </w:instrText>
            </w:r>
            <w:r w:rsidR="00A2186F" w:rsidRPr="00A2186F">
              <w:rPr>
                <w:rFonts w:ascii="Arial" w:hAnsi="Arial" w:cs="Arial"/>
                <w:noProof/>
                <w:webHidden/>
              </w:rPr>
            </w:r>
            <w:r w:rsidR="00A2186F" w:rsidRPr="00A2186F">
              <w:rPr>
                <w:rFonts w:ascii="Arial" w:hAnsi="Arial" w:cs="Arial"/>
                <w:noProof/>
                <w:webHidden/>
              </w:rPr>
              <w:fldChar w:fldCharType="separate"/>
            </w:r>
            <w:r w:rsidR="00A2186F" w:rsidRPr="00A2186F">
              <w:rPr>
                <w:rFonts w:ascii="Arial" w:hAnsi="Arial" w:cs="Arial"/>
                <w:noProof/>
                <w:webHidden/>
              </w:rPr>
              <w:t>10</w:t>
            </w:r>
            <w:r w:rsidR="00A2186F" w:rsidRPr="00A2186F">
              <w:rPr>
                <w:rFonts w:ascii="Arial" w:hAnsi="Arial" w:cs="Arial"/>
                <w:noProof/>
                <w:webHidden/>
              </w:rPr>
              <w:fldChar w:fldCharType="end"/>
            </w:r>
          </w:hyperlink>
        </w:p>
        <w:p w14:paraId="374816A3" w14:textId="77777777" w:rsidR="00A2186F" w:rsidRPr="00A2186F" w:rsidRDefault="005E377D">
          <w:pPr>
            <w:pStyle w:val="TOC1"/>
            <w:tabs>
              <w:tab w:val="right" w:leader="dot" w:pos="9350"/>
            </w:tabs>
            <w:rPr>
              <w:rFonts w:ascii="Arial" w:eastAsiaTheme="minorEastAsia" w:hAnsi="Arial" w:cs="Arial"/>
              <w:noProof/>
            </w:rPr>
          </w:pPr>
          <w:hyperlink w:anchor="_Toc214577533" w:history="1">
            <w:r w:rsidR="00A2186F" w:rsidRPr="00A2186F">
              <w:rPr>
                <w:rStyle w:val="Hyperlink"/>
                <w:rFonts w:ascii="Arial" w:hAnsi="Arial" w:cs="Arial"/>
                <w:noProof/>
              </w:rPr>
              <w:t>Working Capital Management Analysis</w:t>
            </w:r>
            <w:r w:rsidR="00A2186F" w:rsidRPr="00A2186F">
              <w:rPr>
                <w:rFonts w:ascii="Arial" w:hAnsi="Arial" w:cs="Arial"/>
                <w:noProof/>
                <w:webHidden/>
              </w:rPr>
              <w:tab/>
            </w:r>
            <w:r w:rsidR="00A2186F" w:rsidRPr="00A2186F">
              <w:rPr>
                <w:rFonts w:ascii="Arial" w:hAnsi="Arial" w:cs="Arial"/>
                <w:noProof/>
                <w:webHidden/>
              </w:rPr>
              <w:fldChar w:fldCharType="begin"/>
            </w:r>
            <w:r w:rsidR="00A2186F" w:rsidRPr="00A2186F">
              <w:rPr>
                <w:rFonts w:ascii="Arial" w:hAnsi="Arial" w:cs="Arial"/>
                <w:noProof/>
                <w:webHidden/>
              </w:rPr>
              <w:instrText xml:space="preserve"> PAGEREF _Toc214577533 \h </w:instrText>
            </w:r>
            <w:r w:rsidR="00A2186F" w:rsidRPr="00A2186F">
              <w:rPr>
                <w:rFonts w:ascii="Arial" w:hAnsi="Arial" w:cs="Arial"/>
                <w:noProof/>
                <w:webHidden/>
              </w:rPr>
            </w:r>
            <w:r w:rsidR="00A2186F" w:rsidRPr="00A2186F">
              <w:rPr>
                <w:rFonts w:ascii="Arial" w:hAnsi="Arial" w:cs="Arial"/>
                <w:noProof/>
                <w:webHidden/>
              </w:rPr>
              <w:fldChar w:fldCharType="separate"/>
            </w:r>
            <w:r w:rsidR="00A2186F" w:rsidRPr="00A2186F">
              <w:rPr>
                <w:rFonts w:ascii="Arial" w:hAnsi="Arial" w:cs="Arial"/>
                <w:noProof/>
                <w:webHidden/>
              </w:rPr>
              <w:t>12</w:t>
            </w:r>
            <w:r w:rsidR="00A2186F" w:rsidRPr="00A2186F">
              <w:rPr>
                <w:rFonts w:ascii="Arial" w:hAnsi="Arial" w:cs="Arial"/>
                <w:noProof/>
                <w:webHidden/>
              </w:rPr>
              <w:fldChar w:fldCharType="end"/>
            </w:r>
          </w:hyperlink>
        </w:p>
        <w:p w14:paraId="639948CC" w14:textId="77777777" w:rsidR="00A2186F" w:rsidRPr="00A2186F" w:rsidRDefault="005E377D">
          <w:pPr>
            <w:pStyle w:val="TOC2"/>
            <w:tabs>
              <w:tab w:val="right" w:leader="dot" w:pos="9350"/>
            </w:tabs>
            <w:rPr>
              <w:rFonts w:ascii="Arial" w:eastAsiaTheme="minorEastAsia" w:hAnsi="Arial" w:cs="Arial"/>
              <w:noProof/>
            </w:rPr>
          </w:pPr>
          <w:hyperlink w:anchor="_Toc214577534" w:history="1">
            <w:r w:rsidR="00A2186F" w:rsidRPr="00A2186F">
              <w:rPr>
                <w:rStyle w:val="Hyperlink"/>
                <w:rFonts w:ascii="Arial" w:hAnsi="Arial" w:cs="Arial"/>
                <w:noProof/>
              </w:rPr>
              <w:t>Cash Operating Cycle Analysis</w:t>
            </w:r>
            <w:r w:rsidR="00A2186F" w:rsidRPr="00A2186F">
              <w:rPr>
                <w:rFonts w:ascii="Arial" w:hAnsi="Arial" w:cs="Arial"/>
                <w:noProof/>
                <w:webHidden/>
              </w:rPr>
              <w:tab/>
            </w:r>
            <w:r w:rsidR="00A2186F" w:rsidRPr="00A2186F">
              <w:rPr>
                <w:rFonts w:ascii="Arial" w:hAnsi="Arial" w:cs="Arial"/>
                <w:noProof/>
                <w:webHidden/>
              </w:rPr>
              <w:fldChar w:fldCharType="begin"/>
            </w:r>
            <w:r w:rsidR="00A2186F" w:rsidRPr="00A2186F">
              <w:rPr>
                <w:rFonts w:ascii="Arial" w:hAnsi="Arial" w:cs="Arial"/>
                <w:noProof/>
                <w:webHidden/>
              </w:rPr>
              <w:instrText xml:space="preserve"> PAGEREF _Toc214577534 \h </w:instrText>
            </w:r>
            <w:r w:rsidR="00A2186F" w:rsidRPr="00A2186F">
              <w:rPr>
                <w:rFonts w:ascii="Arial" w:hAnsi="Arial" w:cs="Arial"/>
                <w:noProof/>
                <w:webHidden/>
              </w:rPr>
            </w:r>
            <w:r w:rsidR="00A2186F" w:rsidRPr="00A2186F">
              <w:rPr>
                <w:rFonts w:ascii="Arial" w:hAnsi="Arial" w:cs="Arial"/>
                <w:noProof/>
                <w:webHidden/>
              </w:rPr>
              <w:fldChar w:fldCharType="separate"/>
            </w:r>
            <w:r w:rsidR="00A2186F" w:rsidRPr="00A2186F">
              <w:rPr>
                <w:rFonts w:ascii="Arial" w:hAnsi="Arial" w:cs="Arial"/>
                <w:noProof/>
                <w:webHidden/>
              </w:rPr>
              <w:t>12</w:t>
            </w:r>
            <w:r w:rsidR="00A2186F" w:rsidRPr="00A2186F">
              <w:rPr>
                <w:rFonts w:ascii="Arial" w:hAnsi="Arial" w:cs="Arial"/>
                <w:noProof/>
                <w:webHidden/>
              </w:rPr>
              <w:fldChar w:fldCharType="end"/>
            </w:r>
          </w:hyperlink>
        </w:p>
        <w:p w14:paraId="0A8AB54C" w14:textId="77777777" w:rsidR="00A2186F" w:rsidRPr="00A2186F" w:rsidRDefault="005E377D">
          <w:pPr>
            <w:pStyle w:val="TOC2"/>
            <w:tabs>
              <w:tab w:val="right" w:leader="dot" w:pos="9350"/>
            </w:tabs>
            <w:rPr>
              <w:rFonts w:ascii="Arial" w:eastAsiaTheme="minorEastAsia" w:hAnsi="Arial" w:cs="Arial"/>
              <w:noProof/>
            </w:rPr>
          </w:pPr>
          <w:hyperlink w:anchor="_Toc214577535" w:history="1">
            <w:r w:rsidR="00A2186F" w:rsidRPr="00A2186F">
              <w:rPr>
                <w:rStyle w:val="Hyperlink"/>
                <w:rFonts w:ascii="Arial" w:hAnsi="Arial" w:cs="Arial"/>
                <w:noProof/>
              </w:rPr>
              <w:t>Strategies to Improve Liquidity and Working Capital</w:t>
            </w:r>
            <w:r w:rsidR="00A2186F" w:rsidRPr="00A2186F">
              <w:rPr>
                <w:rFonts w:ascii="Arial" w:hAnsi="Arial" w:cs="Arial"/>
                <w:noProof/>
                <w:webHidden/>
              </w:rPr>
              <w:tab/>
            </w:r>
            <w:r w:rsidR="00A2186F" w:rsidRPr="00A2186F">
              <w:rPr>
                <w:rFonts w:ascii="Arial" w:hAnsi="Arial" w:cs="Arial"/>
                <w:noProof/>
                <w:webHidden/>
              </w:rPr>
              <w:fldChar w:fldCharType="begin"/>
            </w:r>
            <w:r w:rsidR="00A2186F" w:rsidRPr="00A2186F">
              <w:rPr>
                <w:rFonts w:ascii="Arial" w:hAnsi="Arial" w:cs="Arial"/>
                <w:noProof/>
                <w:webHidden/>
              </w:rPr>
              <w:instrText xml:space="preserve"> PAGEREF _Toc214577535 \h </w:instrText>
            </w:r>
            <w:r w:rsidR="00A2186F" w:rsidRPr="00A2186F">
              <w:rPr>
                <w:rFonts w:ascii="Arial" w:hAnsi="Arial" w:cs="Arial"/>
                <w:noProof/>
                <w:webHidden/>
              </w:rPr>
            </w:r>
            <w:r w:rsidR="00A2186F" w:rsidRPr="00A2186F">
              <w:rPr>
                <w:rFonts w:ascii="Arial" w:hAnsi="Arial" w:cs="Arial"/>
                <w:noProof/>
                <w:webHidden/>
              </w:rPr>
              <w:fldChar w:fldCharType="separate"/>
            </w:r>
            <w:r w:rsidR="00A2186F" w:rsidRPr="00A2186F">
              <w:rPr>
                <w:rFonts w:ascii="Arial" w:hAnsi="Arial" w:cs="Arial"/>
                <w:noProof/>
                <w:webHidden/>
              </w:rPr>
              <w:t>12</w:t>
            </w:r>
            <w:r w:rsidR="00A2186F" w:rsidRPr="00A2186F">
              <w:rPr>
                <w:rFonts w:ascii="Arial" w:hAnsi="Arial" w:cs="Arial"/>
                <w:noProof/>
                <w:webHidden/>
              </w:rPr>
              <w:fldChar w:fldCharType="end"/>
            </w:r>
          </w:hyperlink>
        </w:p>
        <w:p w14:paraId="0659C967" w14:textId="77777777" w:rsidR="00A2186F" w:rsidRPr="00A2186F" w:rsidRDefault="005E377D">
          <w:pPr>
            <w:pStyle w:val="TOC2"/>
            <w:tabs>
              <w:tab w:val="right" w:leader="dot" w:pos="9350"/>
            </w:tabs>
            <w:rPr>
              <w:rFonts w:ascii="Arial" w:eastAsiaTheme="minorEastAsia" w:hAnsi="Arial" w:cs="Arial"/>
              <w:noProof/>
            </w:rPr>
          </w:pPr>
          <w:hyperlink w:anchor="_Toc214577536" w:history="1">
            <w:r w:rsidR="00A2186F" w:rsidRPr="00A2186F">
              <w:rPr>
                <w:rStyle w:val="Hyperlink"/>
                <w:rFonts w:ascii="Arial" w:hAnsi="Arial" w:cs="Arial"/>
                <w:noProof/>
              </w:rPr>
              <w:t>Short-Term vs Long-Term Financing Options</w:t>
            </w:r>
            <w:r w:rsidR="00A2186F" w:rsidRPr="00A2186F">
              <w:rPr>
                <w:rFonts w:ascii="Arial" w:hAnsi="Arial" w:cs="Arial"/>
                <w:noProof/>
                <w:webHidden/>
              </w:rPr>
              <w:tab/>
            </w:r>
            <w:r w:rsidR="00A2186F" w:rsidRPr="00A2186F">
              <w:rPr>
                <w:rFonts w:ascii="Arial" w:hAnsi="Arial" w:cs="Arial"/>
                <w:noProof/>
                <w:webHidden/>
              </w:rPr>
              <w:fldChar w:fldCharType="begin"/>
            </w:r>
            <w:r w:rsidR="00A2186F" w:rsidRPr="00A2186F">
              <w:rPr>
                <w:rFonts w:ascii="Arial" w:hAnsi="Arial" w:cs="Arial"/>
                <w:noProof/>
                <w:webHidden/>
              </w:rPr>
              <w:instrText xml:space="preserve"> PAGEREF _Toc214577536 \h </w:instrText>
            </w:r>
            <w:r w:rsidR="00A2186F" w:rsidRPr="00A2186F">
              <w:rPr>
                <w:rFonts w:ascii="Arial" w:hAnsi="Arial" w:cs="Arial"/>
                <w:noProof/>
                <w:webHidden/>
              </w:rPr>
            </w:r>
            <w:r w:rsidR="00A2186F" w:rsidRPr="00A2186F">
              <w:rPr>
                <w:rFonts w:ascii="Arial" w:hAnsi="Arial" w:cs="Arial"/>
                <w:noProof/>
                <w:webHidden/>
              </w:rPr>
              <w:fldChar w:fldCharType="separate"/>
            </w:r>
            <w:r w:rsidR="00A2186F" w:rsidRPr="00A2186F">
              <w:rPr>
                <w:rFonts w:ascii="Arial" w:hAnsi="Arial" w:cs="Arial"/>
                <w:noProof/>
                <w:webHidden/>
              </w:rPr>
              <w:t>13</w:t>
            </w:r>
            <w:r w:rsidR="00A2186F" w:rsidRPr="00A2186F">
              <w:rPr>
                <w:rFonts w:ascii="Arial" w:hAnsi="Arial" w:cs="Arial"/>
                <w:noProof/>
                <w:webHidden/>
              </w:rPr>
              <w:fldChar w:fldCharType="end"/>
            </w:r>
          </w:hyperlink>
        </w:p>
        <w:p w14:paraId="3D902F03" w14:textId="77777777" w:rsidR="00A2186F" w:rsidRPr="00A2186F" w:rsidRDefault="005E377D">
          <w:pPr>
            <w:pStyle w:val="TOC1"/>
            <w:tabs>
              <w:tab w:val="right" w:leader="dot" w:pos="9350"/>
            </w:tabs>
            <w:rPr>
              <w:rFonts w:ascii="Arial" w:eastAsiaTheme="minorEastAsia" w:hAnsi="Arial" w:cs="Arial"/>
              <w:noProof/>
            </w:rPr>
          </w:pPr>
          <w:hyperlink w:anchor="_Toc214577537" w:history="1">
            <w:r w:rsidR="00A2186F" w:rsidRPr="00A2186F">
              <w:rPr>
                <w:rStyle w:val="Hyperlink"/>
                <w:rFonts w:ascii="Arial" w:hAnsi="Arial" w:cs="Arial"/>
                <w:noProof/>
              </w:rPr>
              <w:t>Strategic Financial Restructuring Plan</w:t>
            </w:r>
            <w:r w:rsidR="00A2186F" w:rsidRPr="00A2186F">
              <w:rPr>
                <w:rFonts w:ascii="Arial" w:hAnsi="Arial" w:cs="Arial"/>
                <w:noProof/>
                <w:webHidden/>
              </w:rPr>
              <w:tab/>
            </w:r>
            <w:r w:rsidR="00A2186F" w:rsidRPr="00A2186F">
              <w:rPr>
                <w:rFonts w:ascii="Arial" w:hAnsi="Arial" w:cs="Arial"/>
                <w:noProof/>
                <w:webHidden/>
              </w:rPr>
              <w:fldChar w:fldCharType="begin"/>
            </w:r>
            <w:r w:rsidR="00A2186F" w:rsidRPr="00A2186F">
              <w:rPr>
                <w:rFonts w:ascii="Arial" w:hAnsi="Arial" w:cs="Arial"/>
                <w:noProof/>
                <w:webHidden/>
              </w:rPr>
              <w:instrText xml:space="preserve"> PAGEREF _Toc214577537 \h </w:instrText>
            </w:r>
            <w:r w:rsidR="00A2186F" w:rsidRPr="00A2186F">
              <w:rPr>
                <w:rFonts w:ascii="Arial" w:hAnsi="Arial" w:cs="Arial"/>
                <w:noProof/>
                <w:webHidden/>
              </w:rPr>
            </w:r>
            <w:r w:rsidR="00A2186F" w:rsidRPr="00A2186F">
              <w:rPr>
                <w:rFonts w:ascii="Arial" w:hAnsi="Arial" w:cs="Arial"/>
                <w:noProof/>
                <w:webHidden/>
              </w:rPr>
              <w:fldChar w:fldCharType="separate"/>
            </w:r>
            <w:r w:rsidR="00A2186F" w:rsidRPr="00A2186F">
              <w:rPr>
                <w:rFonts w:ascii="Arial" w:hAnsi="Arial" w:cs="Arial"/>
                <w:noProof/>
                <w:webHidden/>
              </w:rPr>
              <w:t>14</w:t>
            </w:r>
            <w:r w:rsidR="00A2186F" w:rsidRPr="00A2186F">
              <w:rPr>
                <w:rFonts w:ascii="Arial" w:hAnsi="Arial" w:cs="Arial"/>
                <w:noProof/>
                <w:webHidden/>
              </w:rPr>
              <w:fldChar w:fldCharType="end"/>
            </w:r>
          </w:hyperlink>
        </w:p>
        <w:p w14:paraId="5F686193" w14:textId="77777777" w:rsidR="00A2186F" w:rsidRPr="00A2186F" w:rsidRDefault="005E377D">
          <w:pPr>
            <w:pStyle w:val="TOC2"/>
            <w:tabs>
              <w:tab w:val="right" w:leader="dot" w:pos="9350"/>
            </w:tabs>
            <w:rPr>
              <w:rFonts w:ascii="Arial" w:eastAsiaTheme="minorEastAsia" w:hAnsi="Arial" w:cs="Arial"/>
              <w:noProof/>
            </w:rPr>
          </w:pPr>
          <w:hyperlink w:anchor="_Toc214577538" w:history="1">
            <w:r w:rsidR="00A2186F" w:rsidRPr="00A2186F">
              <w:rPr>
                <w:rStyle w:val="Hyperlink"/>
                <w:rFonts w:ascii="Arial" w:hAnsi="Arial" w:cs="Arial"/>
                <w:noProof/>
              </w:rPr>
              <w:t>Recommended Financial Restructuring Options</w:t>
            </w:r>
            <w:r w:rsidR="00A2186F" w:rsidRPr="00A2186F">
              <w:rPr>
                <w:rFonts w:ascii="Arial" w:hAnsi="Arial" w:cs="Arial"/>
                <w:noProof/>
                <w:webHidden/>
              </w:rPr>
              <w:tab/>
            </w:r>
            <w:r w:rsidR="00A2186F" w:rsidRPr="00A2186F">
              <w:rPr>
                <w:rFonts w:ascii="Arial" w:hAnsi="Arial" w:cs="Arial"/>
                <w:noProof/>
                <w:webHidden/>
              </w:rPr>
              <w:fldChar w:fldCharType="begin"/>
            </w:r>
            <w:r w:rsidR="00A2186F" w:rsidRPr="00A2186F">
              <w:rPr>
                <w:rFonts w:ascii="Arial" w:hAnsi="Arial" w:cs="Arial"/>
                <w:noProof/>
                <w:webHidden/>
              </w:rPr>
              <w:instrText xml:space="preserve"> PAGEREF _Toc214577538 \h </w:instrText>
            </w:r>
            <w:r w:rsidR="00A2186F" w:rsidRPr="00A2186F">
              <w:rPr>
                <w:rFonts w:ascii="Arial" w:hAnsi="Arial" w:cs="Arial"/>
                <w:noProof/>
                <w:webHidden/>
              </w:rPr>
            </w:r>
            <w:r w:rsidR="00A2186F" w:rsidRPr="00A2186F">
              <w:rPr>
                <w:rFonts w:ascii="Arial" w:hAnsi="Arial" w:cs="Arial"/>
                <w:noProof/>
                <w:webHidden/>
              </w:rPr>
              <w:fldChar w:fldCharType="separate"/>
            </w:r>
            <w:r w:rsidR="00A2186F" w:rsidRPr="00A2186F">
              <w:rPr>
                <w:rFonts w:ascii="Arial" w:hAnsi="Arial" w:cs="Arial"/>
                <w:noProof/>
                <w:webHidden/>
              </w:rPr>
              <w:t>14</w:t>
            </w:r>
            <w:r w:rsidR="00A2186F" w:rsidRPr="00A2186F">
              <w:rPr>
                <w:rFonts w:ascii="Arial" w:hAnsi="Arial" w:cs="Arial"/>
                <w:noProof/>
                <w:webHidden/>
              </w:rPr>
              <w:fldChar w:fldCharType="end"/>
            </w:r>
          </w:hyperlink>
        </w:p>
        <w:p w14:paraId="42743C4A" w14:textId="77777777" w:rsidR="00A2186F" w:rsidRPr="00A2186F" w:rsidRDefault="005E377D">
          <w:pPr>
            <w:pStyle w:val="TOC2"/>
            <w:tabs>
              <w:tab w:val="right" w:leader="dot" w:pos="9350"/>
            </w:tabs>
            <w:rPr>
              <w:rFonts w:ascii="Arial" w:eastAsiaTheme="minorEastAsia" w:hAnsi="Arial" w:cs="Arial"/>
              <w:noProof/>
            </w:rPr>
          </w:pPr>
          <w:hyperlink w:anchor="_Toc214577539" w:history="1">
            <w:r w:rsidR="00A2186F" w:rsidRPr="00A2186F">
              <w:rPr>
                <w:rStyle w:val="Hyperlink"/>
                <w:rFonts w:ascii="Arial" w:hAnsi="Arial" w:cs="Arial"/>
                <w:noProof/>
              </w:rPr>
              <w:t>Impact on Shareholder Value, Debt Structure, and Operational Flexibility</w:t>
            </w:r>
            <w:r w:rsidR="00A2186F" w:rsidRPr="00A2186F">
              <w:rPr>
                <w:rFonts w:ascii="Arial" w:hAnsi="Arial" w:cs="Arial"/>
                <w:noProof/>
                <w:webHidden/>
              </w:rPr>
              <w:tab/>
            </w:r>
            <w:r w:rsidR="00A2186F" w:rsidRPr="00A2186F">
              <w:rPr>
                <w:rFonts w:ascii="Arial" w:hAnsi="Arial" w:cs="Arial"/>
                <w:noProof/>
                <w:webHidden/>
              </w:rPr>
              <w:fldChar w:fldCharType="begin"/>
            </w:r>
            <w:r w:rsidR="00A2186F" w:rsidRPr="00A2186F">
              <w:rPr>
                <w:rFonts w:ascii="Arial" w:hAnsi="Arial" w:cs="Arial"/>
                <w:noProof/>
                <w:webHidden/>
              </w:rPr>
              <w:instrText xml:space="preserve"> PAGEREF _Toc214577539 \h </w:instrText>
            </w:r>
            <w:r w:rsidR="00A2186F" w:rsidRPr="00A2186F">
              <w:rPr>
                <w:rFonts w:ascii="Arial" w:hAnsi="Arial" w:cs="Arial"/>
                <w:noProof/>
                <w:webHidden/>
              </w:rPr>
            </w:r>
            <w:r w:rsidR="00A2186F" w:rsidRPr="00A2186F">
              <w:rPr>
                <w:rFonts w:ascii="Arial" w:hAnsi="Arial" w:cs="Arial"/>
                <w:noProof/>
                <w:webHidden/>
              </w:rPr>
              <w:fldChar w:fldCharType="separate"/>
            </w:r>
            <w:r w:rsidR="00A2186F" w:rsidRPr="00A2186F">
              <w:rPr>
                <w:rFonts w:ascii="Arial" w:hAnsi="Arial" w:cs="Arial"/>
                <w:noProof/>
                <w:webHidden/>
              </w:rPr>
              <w:t>15</w:t>
            </w:r>
            <w:r w:rsidR="00A2186F" w:rsidRPr="00A2186F">
              <w:rPr>
                <w:rFonts w:ascii="Arial" w:hAnsi="Arial" w:cs="Arial"/>
                <w:noProof/>
                <w:webHidden/>
              </w:rPr>
              <w:fldChar w:fldCharType="end"/>
            </w:r>
          </w:hyperlink>
        </w:p>
        <w:p w14:paraId="0039AE57" w14:textId="77777777" w:rsidR="00A2186F" w:rsidRPr="00A2186F" w:rsidRDefault="005E377D">
          <w:pPr>
            <w:pStyle w:val="TOC2"/>
            <w:tabs>
              <w:tab w:val="right" w:leader="dot" w:pos="9350"/>
            </w:tabs>
            <w:rPr>
              <w:rFonts w:ascii="Arial" w:eastAsiaTheme="minorEastAsia" w:hAnsi="Arial" w:cs="Arial"/>
              <w:noProof/>
            </w:rPr>
          </w:pPr>
          <w:hyperlink w:anchor="_Toc214577540" w:history="1">
            <w:r w:rsidR="00A2186F" w:rsidRPr="00A2186F">
              <w:rPr>
                <w:rStyle w:val="Hyperlink"/>
                <w:rFonts w:ascii="Arial" w:hAnsi="Arial" w:cs="Arial"/>
                <w:noProof/>
              </w:rPr>
              <w:t>International and Ethical Considerations: Taxation, Currency Risk, Inflation, CSR</w:t>
            </w:r>
            <w:r w:rsidR="00A2186F" w:rsidRPr="00A2186F">
              <w:rPr>
                <w:rFonts w:ascii="Arial" w:hAnsi="Arial" w:cs="Arial"/>
                <w:noProof/>
                <w:webHidden/>
              </w:rPr>
              <w:tab/>
            </w:r>
            <w:r w:rsidR="00A2186F" w:rsidRPr="00A2186F">
              <w:rPr>
                <w:rFonts w:ascii="Arial" w:hAnsi="Arial" w:cs="Arial"/>
                <w:noProof/>
                <w:webHidden/>
              </w:rPr>
              <w:fldChar w:fldCharType="begin"/>
            </w:r>
            <w:r w:rsidR="00A2186F" w:rsidRPr="00A2186F">
              <w:rPr>
                <w:rFonts w:ascii="Arial" w:hAnsi="Arial" w:cs="Arial"/>
                <w:noProof/>
                <w:webHidden/>
              </w:rPr>
              <w:instrText xml:space="preserve"> PAGEREF _Toc214577540 \h </w:instrText>
            </w:r>
            <w:r w:rsidR="00A2186F" w:rsidRPr="00A2186F">
              <w:rPr>
                <w:rFonts w:ascii="Arial" w:hAnsi="Arial" w:cs="Arial"/>
                <w:noProof/>
                <w:webHidden/>
              </w:rPr>
            </w:r>
            <w:r w:rsidR="00A2186F" w:rsidRPr="00A2186F">
              <w:rPr>
                <w:rFonts w:ascii="Arial" w:hAnsi="Arial" w:cs="Arial"/>
                <w:noProof/>
                <w:webHidden/>
              </w:rPr>
              <w:fldChar w:fldCharType="separate"/>
            </w:r>
            <w:r w:rsidR="00A2186F" w:rsidRPr="00A2186F">
              <w:rPr>
                <w:rFonts w:ascii="Arial" w:hAnsi="Arial" w:cs="Arial"/>
                <w:noProof/>
                <w:webHidden/>
              </w:rPr>
              <w:t>16</w:t>
            </w:r>
            <w:r w:rsidR="00A2186F" w:rsidRPr="00A2186F">
              <w:rPr>
                <w:rFonts w:ascii="Arial" w:hAnsi="Arial" w:cs="Arial"/>
                <w:noProof/>
                <w:webHidden/>
              </w:rPr>
              <w:fldChar w:fldCharType="end"/>
            </w:r>
          </w:hyperlink>
        </w:p>
        <w:p w14:paraId="3FE1EFB6" w14:textId="77777777" w:rsidR="00A2186F" w:rsidRPr="00A2186F" w:rsidRDefault="005E377D">
          <w:pPr>
            <w:pStyle w:val="TOC1"/>
            <w:tabs>
              <w:tab w:val="right" w:leader="dot" w:pos="9350"/>
            </w:tabs>
            <w:rPr>
              <w:rFonts w:ascii="Arial" w:eastAsiaTheme="minorEastAsia" w:hAnsi="Arial" w:cs="Arial"/>
              <w:noProof/>
            </w:rPr>
          </w:pPr>
          <w:hyperlink w:anchor="_Toc214577541" w:history="1">
            <w:r w:rsidR="00A2186F" w:rsidRPr="00A2186F">
              <w:rPr>
                <w:rStyle w:val="Hyperlink"/>
                <w:rFonts w:ascii="Arial" w:hAnsi="Arial" w:cs="Arial"/>
                <w:noProof/>
              </w:rPr>
              <w:t>Investment Appraisal and Capital Budgeting</w:t>
            </w:r>
            <w:r w:rsidR="00A2186F" w:rsidRPr="00A2186F">
              <w:rPr>
                <w:rFonts w:ascii="Arial" w:hAnsi="Arial" w:cs="Arial"/>
                <w:noProof/>
                <w:webHidden/>
              </w:rPr>
              <w:tab/>
            </w:r>
            <w:r w:rsidR="00A2186F" w:rsidRPr="00A2186F">
              <w:rPr>
                <w:rFonts w:ascii="Arial" w:hAnsi="Arial" w:cs="Arial"/>
                <w:noProof/>
                <w:webHidden/>
              </w:rPr>
              <w:fldChar w:fldCharType="begin"/>
            </w:r>
            <w:r w:rsidR="00A2186F" w:rsidRPr="00A2186F">
              <w:rPr>
                <w:rFonts w:ascii="Arial" w:hAnsi="Arial" w:cs="Arial"/>
                <w:noProof/>
                <w:webHidden/>
              </w:rPr>
              <w:instrText xml:space="preserve"> PAGEREF _Toc214577541 \h </w:instrText>
            </w:r>
            <w:r w:rsidR="00A2186F" w:rsidRPr="00A2186F">
              <w:rPr>
                <w:rFonts w:ascii="Arial" w:hAnsi="Arial" w:cs="Arial"/>
                <w:noProof/>
                <w:webHidden/>
              </w:rPr>
            </w:r>
            <w:r w:rsidR="00A2186F" w:rsidRPr="00A2186F">
              <w:rPr>
                <w:rFonts w:ascii="Arial" w:hAnsi="Arial" w:cs="Arial"/>
                <w:noProof/>
                <w:webHidden/>
              </w:rPr>
              <w:fldChar w:fldCharType="separate"/>
            </w:r>
            <w:r w:rsidR="00A2186F" w:rsidRPr="00A2186F">
              <w:rPr>
                <w:rFonts w:ascii="Arial" w:hAnsi="Arial" w:cs="Arial"/>
                <w:noProof/>
                <w:webHidden/>
              </w:rPr>
              <w:t>17</w:t>
            </w:r>
            <w:r w:rsidR="00A2186F" w:rsidRPr="00A2186F">
              <w:rPr>
                <w:rFonts w:ascii="Arial" w:hAnsi="Arial" w:cs="Arial"/>
                <w:noProof/>
                <w:webHidden/>
              </w:rPr>
              <w:fldChar w:fldCharType="end"/>
            </w:r>
          </w:hyperlink>
        </w:p>
        <w:p w14:paraId="59B5E41F" w14:textId="77777777" w:rsidR="00A2186F" w:rsidRPr="00A2186F" w:rsidRDefault="005E377D">
          <w:pPr>
            <w:pStyle w:val="TOC2"/>
            <w:tabs>
              <w:tab w:val="right" w:leader="dot" w:pos="9350"/>
            </w:tabs>
            <w:rPr>
              <w:rFonts w:ascii="Arial" w:eastAsiaTheme="minorEastAsia" w:hAnsi="Arial" w:cs="Arial"/>
              <w:noProof/>
            </w:rPr>
          </w:pPr>
          <w:hyperlink w:anchor="_Toc214577542" w:history="1">
            <w:r w:rsidR="00A2186F" w:rsidRPr="00A2186F">
              <w:rPr>
                <w:rStyle w:val="Hyperlink"/>
                <w:rFonts w:ascii="Arial" w:hAnsi="Arial" w:cs="Arial"/>
                <w:noProof/>
              </w:rPr>
              <w:t>Investment Choice Under Capital Rationing (£60 million limit)</w:t>
            </w:r>
            <w:r w:rsidR="00A2186F" w:rsidRPr="00A2186F">
              <w:rPr>
                <w:rFonts w:ascii="Arial" w:hAnsi="Arial" w:cs="Arial"/>
                <w:noProof/>
                <w:webHidden/>
              </w:rPr>
              <w:tab/>
            </w:r>
            <w:r w:rsidR="00A2186F" w:rsidRPr="00A2186F">
              <w:rPr>
                <w:rFonts w:ascii="Arial" w:hAnsi="Arial" w:cs="Arial"/>
                <w:noProof/>
                <w:webHidden/>
              </w:rPr>
              <w:fldChar w:fldCharType="begin"/>
            </w:r>
            <w:r w:rsidR="00A2186F" w:rsidRPr="00A2186F">
              <w:rPr>
                <w:rFonts w:ascii="Arial" w:hAnsi="Arial" w:cs="Arial"/>
                <w:noProof/>
                <w:webHidden/>
              </w:rPr>
              <w:instrText xml:space="preserve"> PAGEREF _Toc214577542 \h </w:instrText>
            </w:r>
            <w:r w:rsidR="00A2186F" w:rsidRPr="00A2186F">
              <w:rPr>
                <w:rFonts w:ascii="Arial" w:hAnsi="Arial" w:cs="Arial"/>
                <w:noProof/>
                <w:webHidden/>
              </w:rPr>
            </w:r>
            <w:r w:rsidR="00A2186F" w:rsidRPr="00A2186F">
              <w:rPr>
                <w:rFonts w:ascii="Arial" w:hAnsi="Arial" w:cs="Arial"/>
                <w:noProof/>
                <w:webHidden/>
              </w:rPr>
              <w:fldChar w:fldCharType="separate"/>
            </w:r>
            <w:r w:rsidR="00A2186F" w:rsidRPr="00A2186F">
              <w:rPr>
                <w:rFonts w:ascii="Arial" w:hAnsi="Arial" w:cs="Arial"/>
                <w:noProof/>
                <w:webHidden/>
              </w:rPr>
              <w:t>19</w:t>
            </w:r>
            <w:r w:rsidR="00A2186F" w:rsidRPr="00A2186F">
              <w:rPr>
                <w:rFonts w:ascii="Arial" w:hAnsi="Arial" w:cs="Arial"/>
                <w:noProof/>
                <w:webHidden/>
              </w:rPr>
              <w:fldChar w:fldCharType="end"/>
            </w:r>
          </w:hyperlink>
        </w:p>
        <w:p w14:paraId="31FD5AAB" w14:textId="77777777" w:rsidR="00A2186F" w:rsidRPr="00A2186F" w:rsidRDefault="005E377D">
          <w:pPr>
            <w:pStyle w:val="TOC2"/>
            <w:tabs>
              <w:tab w:val="right" w:leader="dot" w:pos="9350"/>
            </w:tabs>
            <w:rPr>
              <w:rFonts w:ascii="Arial" w:eastAsiaTheme="minorEastAsia" w:hAnsi="Arial" w:cs="Arial"/>
              <w:noProof/>
            </w:rPr>
          </w:pPr>
          <w:hyperlink w:anchor="_Toc214577543" w:history="1">
            <w:r w:rsidR="00A2186F" w:rsidRPr="00A2186F">
              <w:rPr>
                <w:rStyle w:val="Hyperlink"/>
                <w:rFonts w:ascii="Arial" w:hAnsi="Arial" w:cs="Arial"/>
                <w:noProof/>
              </w:rPr>
              <w:t>Justification Based on Company Financial Performance and Project Risk Characteristics</w:t>
            </w:r>
            <w:r w:rsidR="00A2186F" w:rsidRPr="00A2186F">
              <w:rPr>
                <w:rFonts w:ascii="Arial" w:hAnsi="Arial" w:cs="Arial"/>
                <w:noProof/>
                <w:webHidden/>
              </w:rPr>
              <w:tab/>
            </w:r>
            <w:r w:rsidR="00A2186F" w:rsidRPr="00A2186F">
              <w:rPr>
                <w:rFonts w:ascii="Arial" w:hAnsi="Arial" w:cs="Arial"/>
                <w:noProof/>
                <w:webHidden/>
              </w:rPr>
              <w:fldChar w:fldCharType="begin"/>
            </w:r>
            <w:r w:rsidR="00A2186F" w:rsidRPr="00A2186F">
              <w:rPr>
                <w:rFonts w:ascii="Arial" w:hAnsi="Arial" w:cs="Arial"/>
                <w:noProof/>
                <w:webHidden/>
              </w:rPr>
              <w:instrText xml:space="preserve"> PAGEREF _Toc214577543 \h </w:instrText>
            </w:r>
            <w:r w:rsidR="00A2186F" w:rsidRPr="00A2186F">
              <w:rPr>
                <w:rFonts w:ascii="Arial" w:hAnsi="Arial" w:cs="Arial"/>
                <w:noProof/>
                <w:webHidden/>
              </w:rPr>
            </w:r>
            <w:r w:rsidR="00A2186F" w:rsidRPr="00A2186F">
              <w:rPr>
                <w:rFonts w:ascii="Arial" w:hAnsi="Arial" w:cs="Arial"/>
                <w:noProof/>
                <w:webHidden/>
              </w:rPr>
              <w:fldChar w:fldCharType="separate"/>
            </w:r>
            <w:r w:rsidR="00A2186F" w:rsidRPr="00A2186F">
              <w:rPr>
                <w:rFonts w:ascii="Arial" w:hAnsi="Arial" w:cs="Arial"/>
                <w:noProof/>
                <w:webHidden/>
              </w:rPr>
              <w:t>20</w:t>
            </w:r>
            <w:r w:rsidR="00A2186F" w:rsidRPr="00A2186F">
              <w:rPr>
                <w:rFonts w:ascii="Arial" w:hAnsi="Arial" w:cs="Arial"/>
                <w:noProof/>
                <w:webHidden/>
              </w:rPr>
              <w:fldChar w:fldCharType="end"/>
            </w:r>
          </w:hyperlink>
        </w:p>
        <w:p w14:paraId="5F8C310E" w14:textId="77777777" w:rsidR="00A2186F" w:rsidRPr="00A2186F" w:rsidRDefault="005E377D">
          <w:pPr>
            <w:pStyle w:val="TOC1"/>
            <w:tabs>
              <w:tab w:val="right" w:leader="dot" w:pos="9350"/>
            </w:tabs>
            <w:rPr>
              <w:rFonts w:ascii="Arial" w:eastAsiaTheme="minorEastAsia" w:hAnsi="Arial" w:cs="Arial"/>
              <w:noProof/>
            </w:rPr>
          </w:pPr>
          <w:hyperlink w:anchor="_Toc214577544" w:history="1">
            <w:r w:rsidR="00A2186F" w:rsidRPr="00A2186F">
              <w:rPr>
                <w:rStyle w:val="Hyperlink"/>
                <w:rFonts w:ascii="Arial" w:hAnsi="Arial" w:cs="Arial"/>
                <w:noProof/>
              </w:rPr>
              <w:t>Conclusion</w:t>
            </w:r>
            <w:r w:rsidR="00A2186F" w:rsidRPr="00A2186F">
              <w:rPr>
                <w:rFonts w:ascii="Arial" w:hAnsi="Arial" w:cs="Arial"/>
                <w:noProof/>
                <w:webHidden/>
              </w:rPr>
              <w:tab/>
            </w:r>
            <w:r w:rsidR="00A2186F" w:rsidRPr="00A2186F">
              <w:rPr>
                <w:rFonts w:ascii="Arial" w:hAnsi="Arial" w:cs="Arial"/>
                <w:noProof/>
                <w:webHidden/>
              </w:rPr>
              <w:fldChar w:fldCharType="begin"/>
            </w:r>
            <w:r w:rsidR="00A2186F" w:rsidRPr="00A2186F">
              <w:rPr>
                <w:rFonts w:ascii="Arial" w:hAnsi="Arial" w:cs="Arial"/>
                <w:noProof/>
                <w:webHidden/>
              </w:rPr>
              <w:instrText xml:space="preserve"> PAGEREF _Toc214577544 \h </w:instrText>
            </w:r>
            <w:r w:rsidR="00A2186F" w:rsidRPr="00A2186F">
              <w:rPr>
                <w:rFonts w:ascii="Arial" w:hAnsi="Arial" w:cs="Arial"/>
                <w:noProof/>
                <w:webHidden/>
              </w:rPr>
            </w:r>
            <w:r w:rsidR="00A2186F" w:rsidRPr="00A2186F">
              <w:rPr>
                <w:rFonts w:ascii="Arial" w:hAnsi="Arial" w:cs="Arial"/>
                <w:noProof/>
                <w:webHidden/>
              </w:rPr>
              <w:fldChar w:fldCharType="separate"/>
            </w:r>
            <w:r w:rsidR="00A2186F" w:rsidRPr="00A2186F">
              <w:rPr>
                <w:rFonts w:ascii="Arial" w:hAnsi="Arial" w:cs="Arial"/>
                <w:noProof/>
                <w:webHidden/>
              </w:rPr>
              <w:t>23</w:t>
            </w:r>
            <w:r w:rsidR="00A2186F" w:rsidRPr="00A2186F">
              <w:rPr>
                <w:rFonts w:ascii="Arial" w:hAnsi="Arial" w:cs="Arial"/>
                <w:noProof/>
                <w:webHidden/>
              </w:rPr>
              <w:fldChar w:fldCharType="end"/>
            </w:r>
          </w:hyperlink>
        </w:p>
        <w:p w14:paraId="2042C53F" w14:textId="77777777" w:rsidR="00A2186F" w:rsidRDefault="005E377D">
          <w:pPr>
            <w:pStyle w:val="TOC1"/>
            <w:tabs>
              <w:tab w:val="right" w:leader="dot" w:pos="9350"/>
            </w:tabs>
            <w:rPr>
              <w:rFonts w:eastAsiaTheme="minorEastAsia"/>
              <w:noProof/>
            </w:rPr>
          </w:pPr>
          <w:hyperlink w:anchor="_Toc214577545" w:history="1">
            <w:r w:rsidR="00A2186F" w:rsidRPr="00A511DC">
              <w:rPr>
                <w:rStyle w:val="Hyperlink"/>
                <w:rFonts w:ascii="Arial" w:hAnsi="Arial" w:cs="Arial"/>
                <w:b/>
                <w:bCs/>
                <w:noProof/>
              </w:rPr>
              <w:t>Appendix</w:t>
            </w:r>
            <w:r w:rsidR="00A2186F">
              <w:rPr>
                <w:noProof/>
                <w:webHidden/>
              </w:rPr>
              <w:tab/>
            </w:r>
            <w:r w:rsidR="00A2186F">
              <w:rPr>
                <w:noProof/>
                <w:webHidden/>
              </w:rPr>
              <w:fldChar w:fldCharType="begin"/>
            </w:r>
            <w:r w:rsidR="00A2186F">
              <w:rPr>
                <w:noProof/>
                <w:webHidden/>
              </w:rPr>
              <w:instrText xml:space="preserve"> PAGEREF _Toc214577545 \h </w:instrText>
            </w:r>
            <w:r w:rsidR="00A2186F">
              <w:rPr>
                <w:noProof/>
                <w:webHidden/>
              </w:rPr>
            </w:r>
            <w:r w:rsidR="00A2186F">
              <w:rPr>
                <w:noProof/>
                <w:webHidden/>
              </w:rPr>
              <w:fldChar w:fldCharType="separate"/>
            </w:r>
            <w:r w:rsidR="00A2186F">
              <w:rPr>
                <w:noProof/>
                <w:webHidden/>
              </w:rPr>
              <w:t>26</w:t>
            </w:r>
            <w:r w:rsidR="00A2186F">
              <w:rPr>
                <w:noProof/>
                <w:webHidden/>
              </w:rPr>
              <w:fldChar w:fldCharType="end"/>
            </w:r>
          </w:hyperlink>
        </w:p>
        <w:p w14:paraId="3C95CF97" w14:textId="77777777" w:rsidR="000A5C03" w:rsidRDefault="000A5C03">
          <w:r w:rsidRPr="00DE4952">
            <w:rPr>
              <w:rFonts w:ascii="Arial" w:hAnsi="Arial" w:cs="Arial"/>
              <w:noProof/>
            </w:rPr>
            <w:fldChar w:fldCharType="end"/>
          </w:r>
        </w:p>
      </w:sdtContent>
    </w:sdt>
    <w:p w14:paraId="5A499531" w14:textId="77777777" w:rsidR="00005668" w:rsidRDefault="00005668">
      <w:pPr>
        <w:rPr>
          <w:b/>
          <w:bCs/>
        </w:rPr>
      </w:pPr>
      <w:r>
        <w:rPr>
          <w:b/>
          <w:bCs/>
        </w:rPr>
        <w:br w:type="page"/>
      </w:r>
    </w:p>
    <w:p w14:paraId="53ED61A0" w14:textId="77777777" w:rsidR="00DE4952" w:rsidRPr="00DE4952" w:rsidRDefault="00DE4952" w:rsidP="00DE4952">
      <w:pPr>
        <w:jc w:val="center"/>
        <w:rPr>
          <w:rFonts w:ascii="Arial" w:hAnsi="Arial" w:cs="Arial"/>
          <w:b/>
          <w:bCs/>
          <w:color w:val="0070C0"/>
          <w:lang w:val="en-GB"/>
        </w:rPr>
      </w:pPr>
      <w:r w:rsidRPr="00DE4952">
        <w:rPr>
          <w:rFonts w:ascii="Arial" w:hAnsi="Arial" w:cs="Arial"/>
          <w:b/>
          <w:bCs/>
          <w:color w:val="0070C0"/>
          <w:sz w:val="32"/>
          <w:szCs w:val="32"/>
        </w:rPr>
        <w:lastRenderedPageBreak/>
        <w:t>“Strategic CFO Challenge: Saving a Failing Global Firm”</w:t>
      </w:r>
    </w:p>
    <w:p w14:paraId="54C71562" w14:textId="77777777" w:rsidR="006376FA" w:rsidRDefault="00AF5C32" w:rsidP="00400CCD">
      <w:pPr>
        <w:pStyle w:val="Heading1"/>
        <w:rPr>
          <w:rFonts w:ascii="Arial" w:hAnsi="Arial" w:cs="Arial"/>
          <w:b/>
          <w:bCs/>
          <w:color w:val="000000" w:themeColor="text1"/>
          <w:sz w:val="32"/>
          <w:szCs w:val="32"/>
        </w:rPr>
      </w:pPr>
      <w:bookmarkStart w:id="0" w:name="_Toc214577529"/>
      <w:r w:rsidRPr="00400CCD">
        <w:rPr>
          <w:rFonts w:ascii="Arial" w:hAnsi="Arial" w:cs="Arial"/>
          <w:b/>
          <w:bCs/>
          <w:color w:val="000000" w:themeColor="text1"/>
          <w:sz w:val="32"/>
          <w:szCs w:val="32"/>
        </w:rPr>
        <w:t>Introduction</w:t>
      </w:r>
      <w:bookmarkEnd w:id="0"/>
    </w:p>
    <w:p w14:paraId="748C3DC5" w14:textId="77777777" w:rsidR="00A2186F" w:rsidRDefault="00D769D9" w:rsidP="00A2186F">
      <w:pPr>
        <w:spacing w:line="360" w:lineRule="auto"/>
        <w:jc w:val="both"/>
        <w:rPr>
          <w:rFonts w:ascii="Arial" w:hAnsi="Arial" w:cs="Arial"/>
        </w:rPr>
      </w:pPr>
      <w:r w:rsidRPr="00D769D9">
        <w:rPr>
          <w:rFonts w:ascii="Arial" w:hAnsi="Arial" w:cs="Arial"/>
        </w:rPr>
        <w:t>The following report is an Integrated Financial Analysis of the company for 5 years, which includes ratio performance, working capital efficiencies, insolvency risks, restructuring opportunities, and appraisal of investments in the company. It also evaluates the profitability, liquidity, efficiencies, and gearing of the company to highlight its financial trends. It will be able to determine the likelihood of default by assessing the company's default risk with the Altman Z-Score. In addition, it will evaluate the company's cash conversion cycle to assess how well the company can meet its short-term obligations. Also, it will provide strategic options for restructuring the company and appraise three investment projects that include PBP, ARR, NPV, PI, and IRR and a capital budget of £60m.</w:t>
      </w:r>
    </w:p>
    <w:p w14:paraId="432AA15B" w14:textId="77777777" w:rsidR="00A2186F" w:rsidRDefault="00454901" w:rsidP="00A2186F">
      <w:pPr>
        <w:spacing w:line="360" w:lineRule="auto"/>
        <w:jc w:val="both"/>
        <w:rPr>
          <w:rFonts w:ascii="Arial" w:eastAsia="Times New Roman" w:hAnsi="Arial" w:cs="Arial"/>
          <w:b/>
          <w:bCs/>
          <w:color w:val="000000" w:themeColor="text1"/>
          <w:sz w:val="32"/>
          <w:szCs w:val="32"/>
        </w:rPr>
      </w:pPr>
      <w:r w:rsidRPr="00400CCD">
        <w:rPr>
          <w:rFonts w:ascii="Arial" w:eastAsia="Times New Roman" w:hAnsi="Arial" w:cs="Arial"/>
          <w:b/>
          <w:bCs/>
          <w:color w:val="000000" w:themeColor="text1"/>
          <w:sz w:val="32"/>
          <w:szCs w:val="32"/>
        </w:rPr>
        <w:t>Financial Health Check</w:t>
      </w:r>
    </w:p>
    <w:p w14:paraId="557D0463" w14:textId="77777777" w:rsidR="00454901" w:rsidRPr="00A2186F" w:rsidRDefault="00454901" w:rsidP="00A2186F">
      <w:pPr>
        <w:spacing w:line="360" w:lineRule="auto"/>
        <w:jc w:val="both"/>
        <w:rPr>
          <w:rFonts w:ascii="Arial" w:hAnsi="Arial" w:cs="Arial"/>
        </w:rPr>
      </w:pPr>
      <w:r w:rsidRPr="00400CCD">
        <w:rPr>
          <w:rFonts w:ascii="Arial" w:eastAsia="Times New Roman" w:hAnsi="Arial" w:cs="Arial"/>
          <w:b/>
          <w:bCs/>
          <w:color w:val="000000" w:themeColor="text1"/>
          <w:sz w:val="28"/>
          <w:szCs w:val="28"/>
        </w:rPr>
        <w:t>Financial Statement Analysis</w:t>
      </w:r>
    </w:p>
    <w:p w14:paraId="381E2C1F" w14:textId="77777777" w:rsidR="004C3595" w:rsidRDefault="004C3595" w:rsidP="00005668">
      <w:pPr>
        <w:spacing w:after="0" w:line="360" w:lineRule="auto"/>
        <w:jc w:val="both"/>
        <w:rPr>
          <w:rFonts w:ascii="Arial" w:hAnsi="Arial" w:cs="Arial"/>
        </w:rPr>
      </w:pPr>
      <w:r w:rsidRPr="004C3595">
        <w:rPr>
          <w:rFonts w:ascii="Arial" w:hAnsi="Arial" w:cs="Arial"/>
        </w:rPr>
        <w:t>As evidenced by General Electronic’s financial results from 2020 through 2024, there was a dramatic decrease in its net sales, profitability, assets and liquidity. The net sales of General Electronic declined 36%, its operating income turned negative, and its total equity declined 51%. Cash, working capital and total liability levels have decreased, whereas the liability levels remained at an elevated level. Therefore, General Electronic’s increasing leverage and continuing loss of value indicates that the company is becoming increasingly distressed financially (Altman, 1968).</w:t>
      </w:r>
    </w:p>
    <w:p w14:paraId="788F7926" w14:textId="77777777" w:rsidR="008E10CD" w:rsidRDefault="00454901" w:rsidP="00E927D3">
      <w:pPr>
        <w:rPr>
          <w:rFonts w:asciiTheme="majorHAnsi" w:eastAsiaTheme="majorEastAsia" w:hAnsiTheme="majorHAnsi" w:cstheme="majorBidi"/>
          <w:color w:val="2F5496" w:themeColor="accent1" w:themeShade="BF"/>
          <w:sz w:val="32"/>
          <w:szCs w:val="32"/>
        </w:rPr>
      </w:pPr>
      <w:r w:rsidRPr="00005668">
        <w:rPr>
          <w:noProof/>
        </w:rPr>
        <w:drawing>
          <wp:inline distT="0" distB="0" distL="0" distR="0" wp14:anchorId="19BBA190" wp14:editId="4E31DD84">
            <wp:extent cx="5942495" cy="1270000"/>
            <wp:effectExtent l="0" t="0" r="1270" b="6350"/>
            <wp:docPr id="8114814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57253" cy="1273154"/>
                    </a:xfrm>
                    <a:prstGeom prst="rect">
                      <a:avLst/>
                    </a:prstGeom>
                    <a:noFill/>
                    <a:ln>
                      <a:noFill/>
                    </a:ln>
                  </pic:spPr>
                </pic:pic>
              </a:graphicData>
            </a:graphic>
          </wp:inline>
        </w:drawing>
      </w:r>
    </w:p>
    <w:p w14:paraId="3327A97B" w14:textId="77777777" w:rsidR="008E10CD" w:rsidRDefault="008E10CD" w:rsidP="008E10CD">
      <w:pPr>
        <w:spacing w:after="0" w:line="360" w:lineRule="auto"/>
        <w:jc w:val="center"/>
        <w:rPr>
          <w:rFonts w:ascii="Arial" w:hAnsi="Arial" w:cs="Arial"/>
          <w:b/>
          <w:bCs/>
          <w:i/>
          <w:iCs/>
        </w:rPr>
      </w:pPr>
      <w:r w:rsidRPr="008E10CD">
        <w:rPr>
          <w:rFonts w:ascii="Arial" w:hAnsi="Arial" w:cs="Arial"/>
          <w:b/>
          <w:bCs/>
          <w:i/>
          <w:iCs/>
        </w:rPr>
        <w:t>Figure1: Financial synopsis</w:t>
      </w:r>
      <w:r w:rsidR="00C74E38">
        <w:rPr>
          <w:rFonts w:ascii="Arial" w:hAnsi="Arial" w:cs="Arial"/>
          <w:b/>
          <w:bCs/>
          <w:i/>
          <w:iCs/>
        </w:rPr>
        <w:t xml:space="preserve"> </w:t>
      </w:r>
    </w:p>
    <w:p w14:paraId="139DA522" w14:textId="77777777" w:rsidR="00400CCD" w:rsidRPr="00DE4952" w:rsidRDefault="00C74E38" w:rsidP="00DE4952">
      <w:pPr>
        <w:spacing w:after="0" w:line="360" w:lineRule="auto"/>
        <w:rPr>
          <w:rFonts w:ascii="Arial" w:hAnsi="Arial" w:cs="Arial"/>
          <w:sz w:val="22"/>
          <w:szCs w:val="22"/>
        </w:rPr>
      </w:pPr>
      <w:r w:rsidRPr="00C74E38">
        <w:rPr>
          <w:rFonts w:ascii="Arial" w:hAnsi="Arial" w:cs="Arial"/>
          <w:sz w:val="22"/>
          <w:szCs w:val="22"/>
        </w:rPr>
        <w:t xml:space="preserve">Source: </w:t>
      </w:r>
      <w:r>
        <w:rPr>
          <w:rFonts w:ascii="Arial" w:hAnsi="Arial" w:cs="Arial"/>
          <w:sz w:val="22"/>
          <w:szCs w:val="22"/>
        </w:rPr>
        <w:t>(</w:t>
      </w:r>
      <w:r w:rsidRPr="00C74E38">
        <w:rPr>
          <w:rFonts w:ascii="Arial" w:hAnsi="Arial" w:cs="Arial"/>
          <w:sz w:val="22"/>
          <w:szCs w:val="22"/>
        </w:rPr>
        <w:t>General Electronics annual report</w:t>
      </w:r>
      <w:r>
        <w:rPr>
          <w:rFonts w:ascii="Arial" w:hAnsi="Arial" w:cs="Arial"/>
          <w:sz w:val="22"/>
          <w:szCs w:val="22"/>
        </w:rPr>
        <w:t>)</w:t>
      </w:r>
      <w:r w:rsidR="00A751B3" w:rsidRPr="00005668">
        <w:rPr>
          <w:rFonts w:asciiTheme="majorHAnsi" w:eastAsiaTheme="majorEastAsia" w:hAnsiTheme="majorHAnsi" w:cstheme="majorBidi"/>
          <w:color w:val="2F5496" w:themeColor="accent1" w:themeShade="BF"/>
          <w:sz w:val="32"/>
          <w:szCs w:val="32"/>
        </w:rPr>
        <w:fldChar w:fldCharType="begin"/>
      </w:r>
      <w:r w:rsidR="00A751B3" w:rsidRPr="00005668">
        <w:instrText xml:space="preserve"> LINK </w:instrText>
      </w:r>
      <w:r w:rsidR="006E26B2">
        <w:instrText xml:space="preserve">Excel.Sheet.12 "C:\\Users\\HP\\Desktop\\financial analysis.xlsx" "Ratio Analysis!R1C2:R6C17" </w:instrText>
      </w:r>
      <w:r w:rsidR="00A751B3" w:rsidRPr="00005668">
        <w:instrText xml:space="preserve">\a \f 4 \h  \* MERGEFORMAT </w:instrText>
      </w:r>
      <w:r w:rsidR="00A751B3" w:rsidRPr="00005668">
        <w:rPr>
          <w:rFonts w:asciiTheme="majorHAnsi" w:eastAsiaTheme="majorEastAsia" w:hAnsiTheme="majorHAnsi" w:cstheme="majorBidi"/>
          <w:color w:val="2F5496" w:themeColor="accent1" w:themeShade="BF"/>
          <w:sz w:val="32"/>
          <w:szCs w:val="32"/>
        </w:rPr>
        <w:fldChar w:fldCharType="separate"/>
      </w:r>
    </w:p>
    <w:p w14:paraId="21D4CDD7" w14:textId="77777777" w:rsidR="008C5358" w:rsidRPr="00C74E38" w:rsidRDefault="008C5358" w:rsidP="00C74E38">
      <w:pPr>
        <w:pStyle w:val="Heading2"/>
        <w:rPr>
          <w:rFonts w:ascii="Arial" w:eastAsia="Times New Roman" w:hAnsi="Arial" w:cs="Arial"/>
          <w:b/>
          <w:bCs/>
          <w:color w:val="000000" w:themeColor="text1"/>
          <w:kern w:val="0"/>
          <w:sz w:val="28"/>
          <w:szCs w:val="28"/>
          <w14:ligatures w14:val="none"/>
        </w:rPr>
      </w:pPr>
      <w:r w:rsidRPr="00400CCD">
        <w:rPr>
          <w:rFonts w:ascii="Arial" w:eastAsia="Times New Roman" w:hAnsi="Arial" w:cs="Arial"/>
          <w:b/>
          <w:bCs/>
          <w:color w:val="000000" w:themeColor="text1"/>
          <w:kern w:val="0"/>
          <w:sz w:val="28"/>
          <w:szCs w:val="28"/>
          <w14:ligatures w14:val="none"/>
        </w:rPr>
        <w:lastRenderedPageBreak/>
        <w:t xml:space="preserve"> </w:t>
      </w:r>
      <w:bookmarkStart w:id="1" w:name="_Toc214577530"/>
      <w:r w:rsidRPr="00400CCD">
        <w:rPr>
          <w:rFonts w:ascii="Arial" w:eastAsia="Times New Roman" w:hAnsi="Arial" w:cs="Arial"/>
          <w:b/>
          <w:bCs/>
          <w:color w:val="000000" w:themeColor="text1"/>
          <w:kern w:val="0"/>
          <w:sz w:val="28"/>
          <w:szCs w:val="28"/>
          <w14:ligatures w14:val="none"/>
        </w:rPr>
        <w:t>Ratio Analysis and Interpretation</w:t>
      </w:r>
      <w:bookmarkEnd w:id="1"/>
    </w:p>
    <w:p w14:paraId="7BE96554" w14:textId="77777777" w:rsidR="008C5358" w:rsidRPr="00400CCD" w:rsidRDefault="00A751B3" w:rsidP="00005668">
      <w:pPr>
        <w:spacing w:line="360" w:lineRule="auto"/>
        <w:jc w:val="both"/>
        <w:rPr>
          <w:rFonts w:ascii="Arial" w:hAnsi="Arial" w:cs="Arial"/>
          <w:b/>
          <w:bCs/>
          <w:color w:val="4472C4" w:themeColor="accent1"/>
        </w:rPr>
      </w:pPr>
      <w:r w:rsidRPr="00005668">
        <w:rPr>
          <w:rFonts w:ascii="Arial" w:hAnsi="Arial" w:cs="Arial"/>
        </w:rPr>
        <w:fldChar w:fldCharType="end"/>
      </w:r>
      <w:r w:rsidR="008C5358" w:rsidRPr="00400CCD">
        <w:rPr>
          <w:rFonts w:ascii="Arial" w:hAnsi="Arial" w:cs="Arial"/>
          <w:b/>
          <w:bCs/>
          <w:color w:val="4472C4" w:themeColor="accent1"/>
        </w:rPr>
        <w:t>Profitability Ratios</w:t>
      </w:r>
    </w:p>
    <w:p w14:paraId="43E13882" w14:textId="77777777" w:rsidR="006376FA" w:rsidRPr="002E3036" w:rsidRDefault="008C5358" w:rsidP="002E3036">
      <w:pPr>
        <w:spacing w:after="0" w:line="360" w:lineRule="auto"/>
        <w:jc w:val="both"/>
        <w:rPr>
          <w:rFonts w:ascii="Arial" w:eastAsia="Times New Roman" w:hAnsi="Arial" w:cs="Arial"/>
          <w:kern w:val="0"/>
          <w14:ligatures w14:val="none"/>
        </w:rPr>
      </w:pPr>
      <w:r w:rsidRPr="002E3036">
        <w:rPr>
          <w:rFonts w:ascii="Arial" w:eastAsia="Times New Roman" w:hAnsi="Arial" w:cs="Arial"/>
          <w:b/>
          <w:bCs/>
          <w:kern w:val="0"/>
          <w14:ligatures w14:val="none"/>
        </w:rPr>
        <w:t xml:space="preserve">Gross Profit Margin </w:t>
      </w:r>
    </w:p>
    <w:p w14:paraId="3241A9C5" w14:textId="77777777" w:rsidR="004C3595" w:rsidRDefault="004C3595" w:rsidP="002E3036">
      <w:pPr>
        <w:spacing w:after="0" w:line="360" w:lineRule="auto"/>
        <w:jc w:val="both"/>
        <w:rPr>
          <w:rFonts w:ascii="Arial" w:eastAsia="Times New Roman" w:hAnsi="Arial" w:cs="Arial"/>
          <w:kern w:val="0"/>
          <w14:ligatures w14:val="none"/>
        </w:rPr>
      </w:pPr>
      <w:r w:rsidRPr="004C3595">
        <w:rPr>
          <w:rFonts w:ascii="Arial" w:eastAsia="Times New Roman" w:hAnsi="Arial" w:cs="Arial"/>
          <w:kern w:val="0"/>
          <w14:ligatures w14:val="none"/>
        </w:rPr>
        <w:t>The gross profit margin for this firm remains at approximately 28% between 2020–2022, which is an indicator of good cost management; however, the decrease to 23.20% in 2023 indicates increasing costs of inputs to produce the products or services, and the increase to 24.70% in 2024 may be an indication of some of these increased costs being mitigated, but the potential volatility will continue.</w:t>
      </w:r>
    </w:p>
    <w:p w14:paraId="1C1ABC8A" w14:textId="77777777" w:rsidR="00064F53" w:rsidRPr="002E3036" w:rsidRDefault="008C5358" w:rsidP="002E3036">
      <w:pPr>
        <w:spacing w:after="0" w:line="360" w:lineRule="auto"/>
        <w:jc w:val="both"/>
        <w:rPr>
          <w:rFonts w:ascii="Arial" w:eastAsia="Times New Roman" w:hAnsi="Arial" w:cs="Arial"/>
          <w:kern w:val="0"/>
          <w14:ligatures w14:val="none"/>
        </w:rPr>
      </w:pPr>
      <w:r w:rsidRPr="002E3036">
        <w:rPr>
          <w:rFonts w:ascii="Arial" w:eastAsia="Times New Roman" w:hAnsi="Arial" w:cs="Arial"/>
          <w:b/>
          <w:bCs/>
          <w:kern w:val="0"/>
          <w14:ligatures w14:val="none"/>
        </w:rPr>
        <w:t>Operating Profit Margin</w:t>
      </w:r>
    </w:p>
    <w:p w14:paraId="48BFC908" w14:textId="77777777" w:rsidR="004C3595" w:rsidRDefault="004C3595" w:rsidP="00064F53">
      <w:pPr>
        <w:spacing w:after="0" w:line="360" w:lineRule="auto"/>
        <w:jc w:val="both"/>
        <w:rPr>
          <w:rFonts w:ascii="Arial" w:eastAsia="Times New Roman" w:hAnsi="Arial" w:cs="Arial"/>
          <w:kern w:val="0"/>
          <w14:ligatures w14:val="none"/>
        </w:rPr>
      </w:pPr>
      <w:r w:rsidRPr="004C3595">
        <w:rPr>
          <w:rFonts w:ascii="Arial" w:eastAsia="Times New Roman" w:hAnsi="Arial" w:cs="Arial"/>
          <w:kern w:val="0"/>
          <w14:ligatures w14:val="none"/>
        </w:rPr>
        <w:t>Operating profit margin is a ratio that calculates the firm's operating profit as a percentage of its sales, and it is an evaluation of the firm's success in managing its overheads, and the operating expenses (Brigham &amp; Ehrhardt, 2019). As shown below, the gross profit margin for this firm steadily declined from 6.06% in 2020, to 2.68% in 2022, and then sharply fell to −20.29% in 2023, which is an indicator of a serious loss for the firm; although improved to −3.87% in 2024</w:t>
      </w:r>
      <w:r w:rsidR="008E10CD">
        <w:rPr>
          <w:rFonts w:ascii="Arial" w:eastAsia="Times New Roman" w:hAnsi="Arial" w:cs="Arial"/>
          <w:kern w:val="0"/>
          <w14:ligatures w14:val="none"/>
        </w:rPr>
        <w:t xml:space="preserve">. </w:t>
      </w:r>
      <w:r w:rsidRPr="004C3595">
        <w:rPr>
          <w:rFonts w:ascii="Arial" w:eastAsia="Times New Roman" w:hAnsi="Arial" w:cs="Arial"/>
          <w:kern w:val="0"/>
          <w14:ligatures w14:val="none"/>
        </w:rPr>
        <w:t xml:space="preserve"> </w:t>
      </w:r>
    </w:p>
    <w:p w14:paraId="00901C04" w14:textId="77777777" w:rsidR="008C5358" w:rsidRPr="00400CCD" w:rsidRDefault="008C5358" w:rsidP="00005668">
      <w:pPr>
        <w:spacing w:after="0" w:line="360" w:lineRule="auto"/>
        <w:jc w:val="both"/>
        <w:rPr>
          <w:rFonts w:ascii="Arial" w:eastAsia="Times New Roman" w:hAnsi="Arial" w:cs="Arial"/>
          <w:b/>
          <w:bCs/>
          <w:kern w:val="0"/>
          <w14:ligatures w14:val="none"/>
        </w:rPr>
      </w:pPr>
      <w:r w:rsidRPr="00400CCD">
        <w:rPr>
          <w:rFonts w:ascii="Arial" w:eastAsia="Times New Roman" w:hAnsi="Arial" w:cs="Arial"/>
          <w:b/>
          <w:bCs/>
          <w:kern w:val="0"/>
          <w14:ligatures w14:val="none"/>
        </w:rPr>
        <w:t>Net Profit Margin</w:t>
      </w:r>
    </w:p>
    <w:p w14:paraId="338F6C58" w14:textId="77777777" w:rsidR="004C3595" w:rsidRDefault="004C3595" w:rsidP="002E3036">
      <w:pPr>
        <w:spacing w:after="0" w:line="360" w:lineRule="auto"/>
        <w:jc w:val="both"/>
        <w:rPr>
          <w:rFonts w:ascii="Arial" w:eastAsia="Times New Roman" w:hAnsi="Arial" w:cs="Arial"/>
          <w:kern w:val="0"/>
          <w14:ligatures w14:val="none"/>
        </w:rPr>
      </w:pPr>
      <w:r w:rsidRPr="004C3595">
        <w:rPr>
          <w:rFonts w:ascii="Arial" w:eastAsia="Times New Roman" w:hAnsi="Arial" w:cs="Arial"/>
          <w:kern w:val="0"/>
          <w14:ligatures w14:val="none"/>
        </w:rPr>
        <w:t>Net profit margin is a ratio that calculates the final profit earned by a firm as a percentage of its total revenue after all operating costs (Ross et al., 2022). The net profit margin for this firm also steadily declined from 6.28% in 2020 to 0.07% in 2022, the sharp decline to −23.36% in 2023 and the slight improvement in 2024 to −6.09% is still indicative of poor profitability and financial pressure for the firm.</w:t>
      </w:r>
    </w:p>
    <w:p w14:paraId="203C29DD" w14:textId="77777777" w:rsidR="002E3036" w:rsidRDefault="008C5358" w:rsidP="00005668">
      <w:pPr>
        <w:spacing w:after="0" w:line="360" w:lineRule="auto"/>
        <w:jc w:val="both"/>
        <w:rPr>
          <w:rFonts w:ascii="Arial" w:eastAsia="Times New Roman" w:hAnsi="Arial" w:cs="Arial"/>
          <w:b/>
          <w:bCs/>
          <w:kern w:val="0"/>
          <w14:ligatures w14:val="none"/>
        </w:rPr>
      </w:pPr>
      <w:r w:rsidRPr="00400CCD">
        <w:rPr>
          <w:rFonts w:ascii="Arial" w:eastAsia="Times New Roman" w:hAnsi="Arial" w:cs="Arial"/>
          <w:b/>
          <w:bCs/>
          <w:kern w:val="0"/>
          <w14:ligatures w14:val="none"/>
        </w:rPr>
        <w:t>Return on Assets (ROA)</w:t>
      </w:r>
    </w:p>
    <w:p w14:paraId="3F1EC39D" w14:textId="77777777" w:rsidR="004C3595" w:rsidRDefault="004C3595" w:rsidP="00005668">
      <w:pPr>
        <w:spacing w:after="0" w:line="360" w:lineRule="auto"/>
        <w:jc w:val="both"/>
        <w:rPr>
          <w:rFonts w:ascii="Arial" w:eastAsia="Times New Roman" w:hAnsi="Arial" w:cs="Arial"/>
          <w:kern w:val="0"/>
          <w14:ligatures w14:val="none"/>
        </w:rPr>
      </w:pPr>
      <w:r w:rsidRPr="004C3595">
        <w:rPr>
          <w:rFonts w:ascii="Arial" w:eastAsia="Times New Roman" w:hAnsi="Arial" w:cs="Arial"/>
          <w:kern w:val="0"/>
          <w14:ligatures w14:val="none"/>
        </w:rPr>
        <w:t xml:space="preserve">Return on Assets (ROA) is a financial metric that evaluates how efficiently a company uses its total assets to generate net income (Gitman &amp; Zutter, 2018). The ROA for this firm fell from 7.56% in 2020 to nearly 0% in </w:t>
      </w:r>
      <w:r w:rsidR="008E10CD" w:rsidRPr="004C3595">
        <w:rPr>
          <w:rFonts w:ascii="Arial" w:eastAsia="Times New Roman" w:hAnsi="Arial" w:cs="Arial"/>
          <w:kern w:val="0"/>
          <w14:ligatures w14:val="none"/>
        </w:rPr>
        <w:t>2022,</w:t>
      </w:r>
      <w:r w:rsidR="008E10CD">
        <w:rPr>
          <w:rFonts w:ascii="Arial" w:eastAsia="Times New Roman" w:hAnsi="Arial" w:cs="Arial"/>
          <w:kern w:val="0"/>
          <w14:ligatures w14:val="none"/>
        </w:rPr>
        <w:t xml:space="preserve"> then</w:t>
      </w:r>
      <w:r w:rsidRPr="004C3595">
        <w:rPr>
          <w:rFonts w:ascii="Arial" w:eastAsia="Times New Roman" w:hAnsi="Arial" w:cs="Arial"/>
          <w:kern w:val="0"/>
          <w14:ligatures w14:val="none"/>
        </w:rPr>
        <w:t xml:space="preserve"> the sharp decline to −27.60% in 2023 and the slightly better ROA in 2024 (−7.43%) is still an indicator that the firm's asset use is not productive.</w:t>
      </w:r>
    </w:p>
    <w:p w14:paraId="1A432256" w14:textId="77777777" w:rsidR="008C5358" w:rsidRPr="00400CCD" w:rsidRDefault="008C5358" w:rsidP="00005668">
      <w:pPr>
        <w:spacing w:after="0" w:line="360" w:lineRule="auto"/>
        <w:jc w:val="both"/>
        <w:rPr>
          <w:rFonts w:ascii="Arial" w:eastAsia="Times New Roman" w:hAnsi="Arial" w:cs="Arial"/>
          <w:b/>
          <w:bCs/>
          <w:kern w:val="0"/>
          <w14:ligatures w14:val="none"/>
        </w:rPr>
      </w:pPr>
      <w:r w:rsidRPr="00400CCD">
        <w:rPr>
          <w:rFonts w:ascii="Arial" w:eastAsia="Times New Roman" w:hAnsi="Arial" w:cs="Arial"/>
          <w:b/>
          <w:bCs/>
          <w:kern w:val="0"/>
          <w14:ligatures w14:val="none"/>
        </w:rPr>
        <w:t>Return on Equity (ROE)</w:t>
      </w:r>
    </w:p>
    <w:p w14:paraId="1C88F331" w14:textId="77777777" w:rsidR="004C3595" w:rsidRDefault="004C3595" w:rsidP="00005668">
      <w:pPr>
        <w:spacing w:after="0" w:line="360" w:lineRule="auto"/>
        <w:jc w:val="both"/>
        <w:rPr>
          <w:rFonts w:ascii="Arial" w:eastAsia="Times New Roman" w:hAnsi="Arial" w:cs="Arial"/>
          <w:kern w:val="0"/>
          <w14:ligatures w14:val="none"/>
        </w:rPr>
      </w:pPr>
      <w:r w:rsidRPr="004C3595">
        <w:rPr>
          <w:rFonts w:ascii="Arial" w:eastAsia="Times New Roman" w:hAnsi="Arial" w:cs="Arial"/>
          <w:kern w:val="0"/>
          <w14:ligatures w14:val="none"/>
        </w:rPr>
        <w:t xml:space="preserve">Return on Equity (ROE) is a ratio that measures how well the firm is able to generate profits for its shareholders compared to the shareholder's equity investment (Higgins, 2015). The ROE for this firm fell from 12.31% in 2020 to 0.15% in 2022, which is an </w:t>
      </w:r>
      <w:r w:rsidRPr="004C3595">
        <w:rPr>
          <w:rFonts w:ascii="Arial" w:eastAsia="Times New Roman" w:hAnsi="Arial" w:cs="Arial"/>
          <w:kern w:val="0"/>
          <w14:ligatures w14:val="none"/>
        </w:rPr>
        <w:lastRenderedPageBreak/>
        <w:t>indicator that the firm's return on investment has diminished; the collapse to −54.91% in 2023 and the improvement in 2024 to −15.69% is still a negative number that is an indicator of higher financial risks</w:t>
      </w:r>
      <w:r w:rsidR="008E10CD">
        <w:rPr>
          <w:rFonts w:ascii="Arial" w:eastAsia="Times New Roman" w:hAnsi="Arial" w:cs="Arial"/>
          <w:kern w:val="0"/>
          <w14:ligatures w14:val="none"/>
        </w:rPr>
        <w:t>.</w:t>
      </w:r>
    </w:p>
    <w:p w14:paraId="4CE6703F" w14:textId="77777777" w:rsidR="00400CCD" w:rsidRPr="008E10CD" w:rsidRDefault="008E10CD" w:rsidP="008E10CD">
      <w:pPr>
        <w:spacing w:after="0" w:line="360" w:lineRule="auto"/>
        <w:jc w:val="center"/>
        <w:rPr>
          <w:rFonts w:ascii="Arial" w:eastAsia="Times New Roman" w:hAnsi="Arial" w:cs="Arial"/>
          <w:b/>
          <w:bCs/>
          <w:i/>
          <w:iCs/>
          <w:kern w:val="0"/>
          <w14:ligatures w14:val="none"/>
        </w:rPr>
      </w:pPr>
      <w:r w:rsidRPr="008E10CD">
        <w:rPr>
          <w:rFonts w:ascii="Arial" w:eastAsia="Times New Roman" w:hAnsi="Arial" w:cs="Arial"/>
          <w:b/>
          <w:bCs/>
          <w:i/>
          <w:iCs/>
          <w:kern w:val="0"/>
          <w14:ligatures w14:val="none"/>
        </w:rPr>
        <w:t>Table 1: Profitability Ratio</w:t>
      </w:r>
    </w:p>
    <w:tbl>
      <w:tblPr>
        <w:tblW w:w="9962" w:type="dxa"/>
        <w:tblLook w:val="04A0" w:firstRow="1" w:lastRow="0" w:firstColumn="1" w:lastColumn="0" w:noHBand="0" w:noVBand="1"/>
      </w:tblPr>
      <w:tblGrid>
        <w:gridCol w:w="1525"/>
        <w:gridCol w:w="1800"/>
        <w:gridCol w:w="1980"/>
        <w:gridCol w:w="1710"/>
        <w:gridCol w:w="1440"/>
        <w:gridCol w:w="1507"/>
      </w:tblGrid>
      <w:tr w:rsidR="00002B54" w:rsidRPr="00005668" w14:paraId="556805E2" w14:textId="77777777" w:rsidTr="00002B54">
        <w:trPr>
          <w:trHeight w:val="386"/>
        </w:trPr>
        <w:tc>
          <w:tcPr>
            <w:tcW w:w="9962" w:type="dxa"/>
            <w:gridSpan w:val="6"/>
            <w:tcBorders>
              <w:top w:val="single" w:sz="4" w:space="0" w:color="auto"/>
              <w:left w:val="single" w:sz="4" w:space="0" w:color="auto"/>
              <w:bottom w:val="single" w:sz="4" w:space="0" w:color="auto"/>
              <w:right w:val="single" w:sz="4" w:space="0" w:color="auto"/>
            </w:tcBorders>
            <w:noWrap/>
            <w:vAlign w:val="bottom"/>
            <w:hideMark/>
          </w:tcPr>
          <w:p w14:paraId="3F6D0BBC" w14:textId="77777777" w:rsidR="00002B54" w:rsidRPr="00005668" w:rsidRDefault="00002B54" w:rsidP="00005668">
            <w:pPr>
              <w:spacing w:line="360" w:lineRule="auto"/>
              <w:jc w:val="center"/>
              <w:rPr>
                <w:rFonts w:ascii="Arial" w:eastAsia="Times New Roman" w:hAnsi="Arial" w:cs="Arial"/>
                <w:b/>
                <w:bCs/>
                <w:color w:val="000000"/>
                <w:kern w:val="0"/>
                <w14:ligatures w14:val="none"/>
              </w:rPr>
            </w:pPr>
            <w:r w:rsidRPr="00005668">
              <w:rPr>
                <w:rFonts w:ascii="Arial" w:eastAsia="Times New Roman" w:hAnsi="Arial" w:cs="Arial"/>
                <w:b/>
                <w:bCs/>
                <w:color w:val="000000"/>
                <w:kern w:val="0"/>
                <w14:ligatures w14:val="none"/>
              </w:rPr>
              <w:t>Profitability Ratio</w:t>
            </w:r>
          </w:p>
        </w:tc>
      </w:tr>
      <w:tr w:rsidR="00002B54" w:rsidRPr="00005668" w14:paraId="4E9F03D0" w14:textId="77777777" w:rsidTr="00002B54">
        <w:trPr>
          <w:trHeight w:val="334"/>
        </w:trPr>
        <w:tc>
          <w:tcPr>
            <w:tcW w:w="1525" w:type="dxa"/>
            <w:tcBorders>
              <w:top w:val="nil"/>
              <w:left w:val="single" w:sz="4" w:space="0" w:color="auto"/>
              <w:bottom w:val="single" w:sz="4" w:space="0" w:color="auto"/>
              <w:right w:val="single" w:sz="4" w:space="0" w:color="auto"/>
            </w:tcBorders>
            <w:noWrap/>
            <w:vAlign w:val="bottom"/>
            <w:hideMark/>
          </w:tcPr>
          <w:p w14:paraId="12B6A019"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p>
        </w:tc>
        <w:tc>
          <w:tcPr>
            <w:tcW w:w="1800" w:type="dxa"/>
            <w:tcBorders>
              <w:top w:val="nil"/>
              <w:left w:val="nil"/>
              <w:bottom w:val="single" w:sz="4" w:space="0" w:color="auto"/>
              <w:right w:val="single" w:sz="4" w:space="0" w:color="auto"/>
            </w:tcBorders>
            <w:noWrap/>
            <w:vAlign w:val="bottom"/>
            <w:hideMark/>
          </w:tcPr>
          <w:p w14:paraId="03288F44"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p>
        </w:tc>
        <w:tc>
          <w:tcPr>
            <w:tcW w:w="1980" w:type="dxa"/>
            <w:tcBorders>
              <w:top w:val="nil"/>
              <w:left w:val="nil"/>
              <w:bottom w:val="single" w:sz="4" w:space="0" w:color="auto"/>
              <w:right w:val="single" w:sz="4" w:space="0" w:color="auto"/>
            </w:tcBorders>
            <w:noWrap/>
            <w:vAlign w:val="bottom"/>
            <w:hideMark/>
          </w:tcPr>
          <w:p w14:paraId="460CCF50"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p>
        </w:tc>
        <w:tc>
          <w:tcPr>
            <w:tcW w:w="1710" w:type="dxa"/>
            <w:tcBorders>
              <w:top w:val="nil"/>
              <w:left w:val="nil"/>
              <w:bottom w:val="single" w:sz="4" w:space="0" w:color="auto"/>
              <w:right w:val="single" w:sz="4" w:space="0" w:color="auto"/>
            </w:tcBorders>
            <w:noWrap/>
            <w:vAlign w:val="bottom"/>
            <w:hideMark/>
          </w:tcPr>
          <w:p w14:paraId="7479FEF6"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p>
        </w:tc>
        <w:tc>
          <w:tcPr>
            <w:tcW w:w="1440" w:type="dxa"/>
            <w:tcBorders>
              <w:top w:val="nil"/>
              <w:left w:val="nil"/>
              <w:bottom w:val="single" w:sz="4" w:space="0" w:color="auto"/>
              <w:right w:val="single" w:sz="4" w:space="0" w:color="auto"/>
            </w:tcBorders>
            <w:noWrap/>
            <w:vAlign w:val="bottom"/>
            <w:hideMark/>
          </w:tcPr>
          <w:p w14:paraId="07371E7A"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p>
        </w:tc>
        <w:tc>
          <w:tcPr>
            <w:tcW w:w="1507" w:type="dxa"/>
            <w:tcBorders>
              <w:top w:val="nil"/>
              <w:left w:val="nil"/>
              <w:bottom w:val="single" w:sz="4" w:space="0" w:color="auto"/>
              <w:right w:val="single" w:sz="4" w:space="0" w:color="auto"/>
            </w:tcBorders>
            <w:noWrap/>
            <w:vAlign w:val="bottom"/>
            <w:hideMark/>
          </w:tcPr>
          <w:p w14:paraId="6898F294"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p>
        </w:tc>
      </w:tr>
      <w:tr w:rsidR="00002B54" w:rsidRPr="00005668" w14:paraId="39E9F86F" w14:textId="77777777" w:rsidTr="00002B54">
        <w:trPr>
          <w:trHeight w:val="1237"/>
        </w:trPr>
        <w:tc>
          <w:tcPr>
            <w:tcW w:w="1525" w:type="dxa"/>
            <w:tcBorders>
              <w:top w:val="nil"/>
              <w:left w:val="single" w:sz="4" w:space="0" w:color="auto"/>
              <w:bottom w:val="single" w:sz="4" w:space="0" w:color="auto"/>
              <w:right w:val="single" w:sz="4" w:space="0" w:color="auto"/>
            </w:tcBorders>
            <w:vAlign w:val="center"/>
            <w:hideMark/>
          </w:tcPr>
          <w:p w14:paraId="4562198E" w14:textId="77777777" w:rsidR="00002B54" w:rsidRPr="00005668" w:rsidRDefault="00002B54" w:rsidP="00005668">
            <w:pPr>
              <w:spacing w:after="0" w:line="360" w:lineRule="auto"/>
              <w:jc w:val="center"/>
              <w:rPr>
                <w:rFonts w:ascii="Arial" w:eastAsia="Times New Roman" w:hAnsi="Arial" w:cs="Arial"/>
                <w:b/>
                <w:bCs/>
                <w:color w:val="000000"/>
                <w:kern w:val="0"/>
                <w14:ligatures w14:val="none"/>
              </w:rPr>
            </w:pPr>
            <w:r w:rsidRPr="00005668">
              <w:rPr>
                <w:rFonts w:ascii="Arial" w:eastAsia="Times New Roman" w:hAnsi="Arial" w:cs="Arial"/>
                <w:b/>
                <w:bCs/>
                <w:color w:val="000000"/>
                <w:kern w:val="0"/>
                <w14:ligatures w14:val="none"/>
              </w:rPr>
              <w:t>Year</w:t>
            </w:r>
          </w:p>
        </w:tc>
        <w:tc>
          <w:tcPr>
            <w:tcW w:w="1800" w:type="dxa"/>
            <w:tcBorders>
              <w:top w:val="nil"/>
              <w:left w:val="nil"/>
              <w:bottom w:val="single" w:sz="4" w:space="0" w:color="auto"/>
              <w:right w:val="single" w:sz="4" w:space="0" w:color="auto"/>
            </w:tcBorders>
            <w:vAlign w:val="center"/>
            <w:hideMark/>
          </w:tcPr>
          <w:p w14:paraId="5F7B3201" w14:textId="77777777" w:rsidR="00002B54" w:rsidRPr="00005668" w:rsidRDefault="00002B54" w:rsidP="00005668">
            <w:pPr>
              <w:spacing w:after="0" w:line="360" w:lineRule="auto"/>
              <w:jc w:val="center"/>
              <w:rPr>
                <w:rFonts w:ascii="Arial" w:eastAsia="Times New Roman" w:hAnsi="Arial" w:cs="Arial"/>
                <w:b/>
                <w:bCs/>
                <w:color w:val="000000"/>
                <w:kern w:val="0"/>
                <w14:ligatures w14:val="none"/>
              </w:rPr>
            </w:pPr>
            <w:r w:rsidRPr="00005668">
              <w:rPr>
                <w:rFonts w:ascii="Arial" w:eastAsia="Times New Roman" w:hAnsi="Arial" w:cs="Arial"/>
                <w:b/>
                <w:bCs/>
                <w:color w:val="000000"/>
                <w:kern w:val="0"/>
                <w14:ligatures w14:val="none"/>
              </w:rPr>
              <w:t>Gross margin</w:t>
            </w:r>
          </w:p>
        </w:tc>
        <w:tc>
          <w:tcPr>
            <w:tcW w:w="1980" w:type="dxa"/>
            <w:tcBorders>
              <w:top w:val="nil"/>
              <w:left w:val="nil"/>
              <w:bottom w:val="single" w:sz="4" w:space="0" w:color="auto"/>
              <w:right w:val="single" w:sz="4" w:space="0" w:color="auto"/>
            </w:tcBorders>
            <w:vAlign w:val="center"/>
            <w:hideMark/>
          </w:tcPr>
          <w:p w14:paraId="143A2CE7" w14:textId="77777777" w:rsidR="00002B54" w:rsidRPr="00005668" w:rsidRDefault="00002B54" w:rsidP="00005668">
            <w:pPr>
              <w:spacing w:after="0" w:line="360" w:lineRule="auto"/>
              <w:jc w:val="center"/>
              <w:rPr>
                <w:rFonts w:ascii="Arial" w:eastAsia="Times New Roman" w:hAnsi="Arial" w:cs="Arial"/>
                <w:b/>
                <w:bCs/>
                <w:color w:val="000000"/>
                <w:kern w:val="0"/>
                <w14:ligatures w14:val="none"/>
              </w:rPr>
            </w:pPr>
            <w:r w:rsidRPr="00005668">
              <w:rPr>
                <w:rFonts w:ascii="Arial" w:eastAsia="Times New Roman" w:hAnsi="Arial" w:cs="Arial"/>
                <w:b/>
                <w:bCs/>
                <w:color w:val="000000"/>
                <w:kern w:val="0"/>
                <w14:ligatures w14:val="none"/>
              </w:rPr>
              <w:t>Operating margin</w:t>
            </w:r>
          </w:p>
        </w:tc>
        <w:tc>
          <w:tcPr>
            <w:tcW w:w="1710" w:type="dxa"/>
            <w:tcBorders>
              <w:top w:val="nil"/>
              <w:left w:val="nil"/>
              <w:bottom w:val="single" w:sz="4" w:space="0" w:color="auto"/>
              <w:right w:val="single" w:sz="4" w:space="0" w:color="auto"/>
            </w:tcBorders>
            <w:vAlign w:val="center"/>
            <w:hideMark/>
          </w:tcPr>
          <w:p w14:paraId="16D959E9" w14:textId="77777777" w:rsidR="00002B54" w:rsidRPr="00005668" w:rsidRDefault="00002B54" w:rsidP="00005668">
            <w:pPr>
              <w:spacing w:after="0" w:line="360" w:lineRule="auto"/>
              <w:jc w:val="center"/>
              <w:rPr>
                <w:rFonts w:ascii="Arial" w:eastAsia="Times New Roman" w:hAnsi="Arial" w:cs="Arial"/>
                <w:b/>
                <w:bCs/>
                <w:color w:val="000000"/>
                <w:kern w:val="0"/>
                <w14:ligatures w14:val="none"/>
              </w:rPr>
            </w:pPr>
            <w:r w:rsidRPr="00005668">
              <w:rPr>
                <w:rFonts w:ascii="Arial" w:eastAsia="Times New Roman" w:hAnsi="Arial" w:cs="Arial"/>
                <w:b/>
                <w:bCs/>
                <w:color w:val="000000"/>
                <w:kern w:val="0"/>
                <w14:ligatures w14:val="none"/>
              </w:rPr>
              <w:t>Net margin</w:t>
            </w:r>
          </w:p>
        </w:tc>
        <w:tc>
          <w:tcPr>
            <w:tcW w:w="1440" w:type="dxa"/>
            <w:tcBorders>
              <w:top w:val="nil"/>
              <w:left w:val="nil"/>
              <w:bottom w:val="single" w:sz="4" w:space="0" w:color="auto"/>
              <w:right w:val="single" w:sz="4" w:space="0" w:color="auto"/>
            </w:tcBorders>
            <w:vAlign w:val="center"/>
            <w:hideMark/>
          </w:tcPr>
          <w:p w14:paraId="2B5AF7C4" w14:textId="77777777" w:rsidR="00002B54" w:rsidRPr="00005668" w:rsidRDefault="00002B54" w:rsidP="00005668">
            <w:pPr>
              <w:spacing w:after="0" w:line="360" w:lineRule="auto"/>
              <w:jc w:val="center"/>
              <w:rPr>
                <w:rFonts w:ascii="Arial" w:eastAsia="Times New Roman" w:hAnsi="Arial" w:cs="Arial"/>
                <w:b/>
                <w:bCs/>
                <w:color w:val="000000"/>
                <w:kern w:val="0"/>
                <w14:ligatures w14:val="none"/>
              </w:rPr>
            </w:pPr>
            <w:r w:rsidRPr="00005668">
              <w:rPr>
                <w:rFonts w:ascii="Arial" w:eastAsia="Times New Roman" w:hAnsi="Arial" w:cs="Arial"/>
                <w:b/>
                <w:bCs/>
                <w:color w:val="000000"/>
                <w:kern w:val="0"/>
                <w14:ligatures w14:val="none"/>
              </w:rPr>
              <w:t>ROA</w:t>
            </w:r>
          </w:p>
        </w:tc>
        <w:tc>
          <w:tcPr>
            <w:tcW w:w="1507" w:type="dxa"/>
            <w:tcBorders>
              <w:top w:val="nil"/>
              <w:left w:val="nil"/>
              <w:bottom w:val="single" w:sz="4" w:space="0" w:color="auto"/>
              <w:right w:val="single" w:sz="4" w:space="0" w:color="auto"/>
            </w:tcBorders>
            <w:vAlign w:val="center"/>
            <w:hideMark/>
          </w:tcPr>
          <w:p w14:paraId="5BDFF5EA" w14:textId="77777777" w:rsidR="00002B54" w:rsidRPr="00005668" w:rsidRDefault="00002B54" w:rsidP="00005668">
            <w:pPr>
              <w:spacing w:after="0" w:line="360" w:lineRule="auto"/>
              <w:jc w:val="center"/>
              <w:rPr>
                <w:rFonts w:ascii="Arial" w:eastAsia="Times New Roman" w:hAnsi="Arial" w:cs="Arial"/>
                <w:b/>
                <w:bCs/>
                <w:color w:val="000000"/>
                <w:kern w:val="0"/>
                <w14:ligatures w14:val="none"/>
              </w:rPr>
            </w:pPr>
            <w:r w:rsidRPr="00005668">
              <w:rPr>
                <w:rFonts w:ascii="Arial" w:eastAsia="Times New Roman" w:hAnsi="Arial" w:cs="Arial"/>
                <w:b/>
                <w:bCs/>
                <w:color w:val="000000"/>
                <w:kern w:val="0"/>
                <w14:ligatures w14:val="none"/>
              </w:rPr>
              <w:t>ROE</w:t>
            </w:r>
          </w:p>
        </w:tc>
      </w:tr>
      <w:tr w:rsidR="00002B54" w:rsidRPr="00005668" w14:paraId="27F8622E" w14:textId="77777777" w:rsidTr="00002B54">
        <w:trPr>
          <w:trHeight w:val="334"/>
        </w:trPr>
        <w:tc>
          <w:tcPr>
            <w:tcW w:w="1525" w:type="dxa"/>
            <w:tcBorders>
              <w:top w:val="nil"/>
              <w:left w:val="single" w:sz="4" w:space="0" w:color="auto"/>
              <w:bottom w:val="single" w:sz="4" w:space="0" w:color="auto"/>
              <w:right w:val="single" w:sz="4" w:space="0" w:color="auto"/>
            </w:tcBorders>
            <w:vAlign w:val="center"/>
            <w:hideMark/>
          </w:tcPr>
          <w:p w14:paraId="5FEC9FC7"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2020</w:t>
            </w:r>
          </w:p>
        </w:tc>
        <w:tc>
          <w:tcPr>
            <w:tcW w:w="1800" w:type="dxa"/>
            <w:tcBorders>
              <w:top w:val="nil"/>
              <w:left w:val="nil"/>
              <w:bottom w:val="single" w:sz="4" w:space="0" w:color="auto"/>
              <w:right w:val="single" w:sz="4" w:space="0" w:color="auto"/>
            </w:tcBorders>
            <w:noWrap/>
            <w:vAlign w:val="bottom"/>
            <w:hideMark/>
          </w:tcPr>
          <w:p w14:paraId="13BA6CE3"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28.67%</w:t>
            </w:r>
          </w:p>
        </w:tc>
        <w:tc>
          <w:tcPr>
            <w:tcW w:w="1980" w:type="dxa"/>
            <w:tcBorders>
              <w:top w:val="nil"/>
              <w:left w:val="nil"/>
              <w:bottom w:val="single" w:sz="4" w:space="0" w:color="auto"/>
              <w:right w:val="single" w:sz="4" w:space="0" w:color="auto"/>
            </w:tcBorders>
            <w:noWrap/>
            <w:vAlign w:val="bottom"/>
            <w:hideMark/>
          </w:tcPr>
          <w:p w14:paraId="71F000E7"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6.06%</w:t>
            </w:r>
          </w:p>
        </w:tc>
        <w:tc>
          <w:tcPr>
            <w:tcW w:w="1710" w:type="dxa"/>
            <w:tcBorders>
              <w:top w:val="nil"/>
              <w:left w:val="nil"/>
              <w:bottom w:val="single" w:sz="4" w:space="0" w:color="auto"/>
              <w:right w:val="single" w:sz="4" w:space="0" w:color="auto"/>
            </w:tcBorders>
            <w:noWrap/>
            <w:vAlign w:val="bottom"/>
            <w:hideMark/>
          </w:tcPr>
          <w:p w14:paraId="1F5F7FDA"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6.28%</w:t>
            </w:r>
          </w:p>
        </w:tc>
        <w:tc>
          <w:tcPr>
            <w:tcW w:w="1440" w:type="dxa"/>
            <w:tcBorders>
              <w:top w:val="nil"/>
              <w:left w:val="nil"/>
              <w:bottom w:val="single" w:sz="4" w:space="0" w:color="auto"/>
              <w:right w:val="single" w:sz="4" w:space="0" w:color="auto"/>
            </w:tcBorders>
            <w:noWrap/>
            <w:vAlign w:val="bottom"/>
            <w:hideMark/>
          </w:tcPr>
          <w:p w14:paraId="2DB89142"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7.56%</w:t>
            </w:r>
          </w:p>
        </w:tc>
        <w:tc>
          <w:tcPr>
            <w:tcW w:w="1507" w:type="dxa"/>
            <w:tcBorders>
              <w:top w:val="nil"/>
              <w:left w:val="nil"/>
              <w:bottom w:val="single" w:sz="4" w:space="0" w:color="auto"/>
              <w:right w:val="single" w:sz="4" w:space="0" w:color="auto"/>
            </w:tcBorders>
            <w:noWrap/>
            <w:vAlign w:val="bottom"/>
            <w:hideMark/>
          </w:tcPr>
          <w:p w14:paraId="1CA95A42"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12.31%</w:t>
            </w:r>
          </w:p>
        </w:tc>
      </w:tr>
      <w:tr w:rsidR="00002B54" w:rsidRPr="00005668" w14:paraId="56D19FC9" w14:textId="77777777" w:rsidTr="00002B54">
        <w:trPr>
          <w:trHeight w:val="334"/>
        </w:trPr>
        <w:tc>
          <w:tcPr>
            <w:tcW w:w="1525" w:type="dxa"/>
            <w:tcBorders>
              <w:top w:val="nil"/>
              <w:left w:val="single" w:sz="4" w:space="0" w:color="auto"/>
              <w:bottom w:val="single" w:sz="4" w:space="0" w:color="auto"/>
              <w:right w:val="single" w:sz="4" w:space="0" w:color="auto"/>
            </w:tcBorders>
            <w:vAlign w:val="center"/>
            <w:hideMark/>
          </w:tcPr>
          <w:p w14:paraId="7EDB4E22"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2021</w:t>
            </w:r>
          </w:p>
        </w:tc>
        <w:tc>
          <w:tcPr>
            <w:tcW w:w="1800" w:type="dxa"/>
            <w:tcBorders>
              <w:top w:val="nil"/>
              <w:left w:val="nil"/>
              <w:bottom w:val="single" w:sz="4" w:space="0" w:color="auto"/>
              <w:right w:val="single" w:sz="4" w:space="0" w:color="auto"/>
            </w:tcBorders>
            <w:noWrap/>
            <w:vAlign w:val="bottom"/>
            <w:hideMark/>
          </w:tcPr>
          <w:p w14:paraId="3E515CDF"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28.76%</w:t>
            </w:r>
          </w:p>
        </w:tc>
        <w:tc>
          <w:tcPr>
            <w:tcW w:w="1980" w:type="dxa"/>
            <w:tcBorders>
              <w:top w:val="nil"/>
              <w:left w:val="nil"/>
              <w:bottom w:val="single" w:sz="4" w:space="0" w:color="auto"/>
              <w:right w:val="single" w:sz="4" w:space="0" w:color="auto"/>
            </w:tcBorders>
            <w:noWrap/>
            <w:vAlign w:val="bottom"/>
            <w:hideMark/>
          </w:tcPr>
          <w:p w14:paraId="5264ADDA"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3.87%</w:t>
            </w:r>
          </w:p>
        </w:tc>
        <w:tc>
          <w:tcPr>
            <w:tcW w:w="1710" w:type="dxa"/>
            <w:tcBorders>
              <w:top w:val="nil"/>
              <w:left w:val="nil"/>
              <w:bottom w:val="single" w:sz="4" w:space="0" w:color="auto"/>
              <w:right w:val="single" w:sz="4" w:space="0" w:color="auto"/>
            </w:tcBorders>
            <w:noWrap/>
            <w:vAlign w:val="bottom"/>
            <w:hideMark/>
          </w:tcPr>
          <w:p w14:paraId="7B6E7209"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0.88%</w:t>
            </w:r>
          </w:p>
        </w:tc>
        <w:tc>
          <w:tcPr>
            <w:tcW w:w="1440" w:type="dxa"/>
            <w:tcBorders>
              <w:top w:val="nil"/>
              <w:left w:val="nil"/>
              <w:bottom w:val="single" w:sz="4" w:space="0" w:color="auto"/>
              <w:right w:val="single" w:sz="4" w:space="0" w:color="auto"/>
            </w:tcBorders>
            <w:noWrap/>
            <w:vAlign w:val="bottom"/>
            <w:hideMark/>
          </w:tcPr>
          <w:p w14:paraId="5719CE69"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1.04%</w:t>
            </w:r>
          </w:p>
        </w:tc>
        <w:tc>
          <w:tcPr>
            <w:tcW w:w="1507" w:type="dxa"/>
            <w:tcBorders>
              <w:top w:val="nil"/>
              <w:left w:val="nil"/>
              <w:bottom w:val="single" w:sz="4" w:space="0" w:color="auto"/>
              <w:right w:val="single" w:sz="4" w:space="0" w:color="auto"/>
            </w:tcBorders>
            <w:noWrap/>
            <w:vAlign w:val="bottom"/>
            <w:hideMark/>
          </w:tcPr>
          <w:p w14:paraId="141077D3"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1.92%</w:t>
            </w:r>
          </w:p>
        </w:tc>
      </w:tr>
      <w:tr w:rsidR="00002B54" w:rsidRPr="00005668" w14:paraId="7F6D21F6" w14:textId="77777777" w:rsidTr="00002B54">
        <w:trPr>
          <w:trHeight w:val="334"/>
        </w:trPr>
        <w:tc>
          <w:tcPr>
            <w:tcW w:w="1525" w:type="dxa"/>
            <w:tcBorders>
              <w:top w:val="nil"/>
              <w:left w:val="single" w:sz="4" w:space="0" w:color="auto"/>
              <w:bottom w:val="single" w:sz="4" w:space="0" w:color="auto"/>
              <w:right w:val="single" w:sz="4" w:space="0" w:color="auto"/>
            </w:tcBorders>
            <w:vAlign w:val="center"/>
            <w:hideMark/>
          </w:tcPr>
          <w:p w14:paraId="42EBBC75"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2022</w:t>
            </w:r>
          </w:p>
        </w:tc>
        <w:tc>
          <w:tcPr>
            <w:tcW w:w="1800" w:type="dxa"/>
            <w:tcBorders>
              <w:top w:val="nil"/>
              <w:left w:val="nil"/>
              <w:bottom w:val="single" w:sz="4" w:space="0" w:color="auto"/>
              <w:right w:val="single" w:sz="4" w:space="0" w:color="auto"/>
            </w:tcBorders>
            <w:noWrap/>
            <w:vAlign w:val="bottom"/>
            <w:hideMark/>
          </w:tcPr>
          <w:p w14:paraId="68A9B78F"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28.06%</w:t>
            </w:r>
          </w:p>
        </w:tc>
        <w:tc>
          <w:tcPr>
            <w:tcW w:w="1980" w:type="dxa"/>
            <w:tcBorders>
              <w:top w:val="nil"/>
              <w:left w:val="nil"/>
              <w:bottom w:val="single" w:sz="4" w:space="0" w:color="auto"/>
              <w:right w:val="single" w:sz="4" w:space="0" w:color="auto"/>
            </w:tcBorders>
            <w:noWrap/>
            <w:vAlign w:val="bottom"/>
            <w:hideMark/>
          </w:tcPr>
          <w:p w14:paraId="51F3C7BC"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2.68%</w:t>
            </w:r>
          </w:p>
        </w:tc>
        <w:tc>
          <w:tcPr>
            <w:tcW w:w="1710" w:type="dxa"/>
            <w:tcBorders>
              <w:top w:val="nil"/>
              <w:left w:val="nil"/>
              <w:bottom w:val="single" w:sz="4" w:space="0" w:color="auto"/>
              <w:right w:val="single" w:sz="4" w:space="0" w:color="auto"/>
            </w:tcBorders>
            <w:noWrap/>
            <w:vAlign w:val="bottom"/>
            <w:hideMark/>
          </w:tcPr>
          <w:p w14:paraId="10424886"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0.07%</w:t>
            </w:r>
          </w:p>
        </w:tc>
        <w:tc>
          <w:tcPr>
            <w:tcW w:w="1440" w:type="dxa"/>
            <w:tcBorders>
              <w:top w:val="nil"/>
              <w:left w:val="nil"/>
              <w:bottom w:val="single" w:sz="4" w:space="0" w:color="auto"/>
              <w:right w:val="single" w:sz="4" w:space="0" w:color="auto"/>
            </w:tcBorders>
            <w:noWrap/>
            <w:vAlign w:val="bottom"/>
            <w:hideMark/>
          </w:tcPr>
          <w:p w14:paraId="59E4EC42"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0.08%</w:t>
            </w:r>
          </w:p>
        </w:tc>
        <w:tc>
          <w:tcPr>
            <w:tcW w:w="1507" w:type="dxa"/>
            <w:tcBorders>
              <w:top w:val="nil"/>
              <w:left w:val="nil"/>
              <w:bottom w:val="single" w:sz="4" w:space="0" w:color="auto"/>
              <w:right w:val="single" w:sz="4" w:space="0" w:color="auto"/>
            </w:tcBorders>
            <w:noWrap/>
            <w:vAlign w:val="bottom"/>
            <w:hideMark/>
          </w:tcPr>
          <w:p w14:paraId="3E4886EE"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0.15%</w:t>
            </w:r>
          </w:p>
        </w:tc>
      </w:tr>
      <w:tr w:rsidR="00002B54" w:rsidRPr="00005668" w14:paraId="1091CF7D" w14:textId="77777777" w:rsidTr="00002B54">
        <w:trPr>
          <w:trHeight w:val="334"/>
        </w:trPr>
        <w:tc>
          <w:tcPr>
            <w:tcW w:w="1525" w:type="dxa"/>
            <w:tcBorders>
              <w:top w:val="nil"/>
              <w:left w:val="single" w:sz="4" w:space="0" w:color="auto"/>
              <w:bottom w:val="single" w:sz="4" w:space="0" w:color="auto"/>
              <w:right w:val="single" w:sz="4" w:space="0" w:color="auto"/>
            </w:tcBorders>
            <w:vAlign w:val="center"/>
            <w:hideMark/>
          </w:tcPr>
          <w:p w14:paraId="18BCE1D7"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2023</w:t>
            </w:r>
          </w:p>
        </w:tc>
        <w:tc>
          <w:tcPr>
            <w:tcW w:w="1800" w:type="dxa"/>
            <w:tcBorders>
              <w:top w:val="nil"/>
              <w:left w:val="nil"/>
              <w:bottom w:val="single" w:sz="4" w:space="0" w:color="auto"/>
              <w:right w:val="single" w:sz="4" w:space="0" w:color="auto"/>
            </w:tcBorders>
            <w:noWrap/>
            <w:vAlign w:val="bottom"/>
            <w:hideMark/>
          </w:tcPr>
          <w:p w14:paraId="2130B82B"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23.20%</w:t>
            </w:r>
          </w:p>
        </w:tc>
        <w:tc>
          <w:tcPr>
            <w:tcW w:w="1980" w:type="dxa"/>
            <w:tcBorders>
              <w:top w:val="nil"/>
              <w:left w:val="nil"/>
              <w:bottom w:val="single" w:sz="4" w:space="0" w:color="auto"/>
              <w:right w:val="single" w:sz="4" w:space="0" w:color="auto"/>
            </w:tcBorders>
            <w:noWrap/>
            <w:vAlign w:val="bottom"/>
            <w:hideMark/>
          </w:tcPr>
          <w:p w14:paraId="651612E6"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-20.29%</w:t>
            </w:r>
          </w:p>
        </w:tc>
        <w:tc>
          <w:tcPr>
            <w:tcW w:w="1710" w:type="dxa"/>
            <w:tcBorders>
              <w:top w:val="nil"/>
              <w:left w:val="nil"/>
              <w:bottom w:val="single" w:sz="4" w:space="0" w:color="auto"/>
              <w:right w:val="single" w:sz="4" w:space="0" w:color="auto"/>
            </w:tcBorders>
            <w:noWrap/>
            <w:vAlign w:val="bottom"/>
            <w:hideMark/>
          </w:tcPr>
          <w:p w14:paraId="1ADFF41F"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-23.36%</w:t>
            </w:r>
          </w:p>
        </w:tc>
        <w:tc>
          <w:tcPr>
            <w:tcW w:w="1440" w:type="dxa"/>
            <w:tcBorders>
              <w:top w:val="nil"/>
              <w:left w:val="nil"/>
              <w:bottom w:val="single" w:sz="4" w:space="0" w:color="auto"/>
              <w:right w:val="single" w:sz="4" w:space="0" w:color="auto"/>
            </w:tcBorders>
            <w:noWrap/>
            <w:vAlign w:val="bottom"/>
            <w:hideMark/>
          </w:tcPr>
          <w:p w14:paraId="1CA518B0"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-27.60%</w:t>
            </w:r>
          </w:p>
        </w:tc>
        <w:tc>
          <w:tcPr>
            <w:tcW w:w="1507" w:type="dxa"/>
            <w:tcBorders>
              <w:top w:val="nil"/>
              <w:left w:val="nil"/>
              <w:bottom w:val="single" w:sz="4" w:space="0" w:color="auto"/>
              <w:right w:val="single" w:sz="4" w:space="0" w:color="auto"/>
            </w:tcBorders>
            <w:noWrap/>
            <w:vAlign w:val="bottom"/>
            <w:hideMark/>
          </w:tcPr>
          <w:p w14:paraId="04B0E019"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-54.91%</w:t>
            </w:r>
          </w:p>
        </w:tc>
      </w:tr>
      <w:tr w:rsidR="00002B54" w:rsidRPr="00005668" w14:paraId="5EDDE24A" w14:textId="77777777" w:rsidTr="00002B54">
        <w:trPr>
          <w:trHeight w:val="334"/>
        </w:trPr>
        <w:tc>
          <w:tcPr>
            <w:tcW w:w="1525" w:type="dxa"/>
            <w:tcBorders>
              <w:top w:val="nil"/>
              <w:left w:val="single" w:sz="4" w:space="0" w:color="auto"/>
              <w:bottom w:val="single" w:sz="4" w:space="0" w:color="auto"/>
              <w:right w:val="single" w:sz="4" w:space="0" w:color="auto"/>
            </w:tcBorders>
            <w:vAlign w:val="center"/>
            <w:hideMark/>
          </w:tcPr>
          <w:p w14:paraId="44D1AEEC"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2024</w:t>
            </w:r>
          </w:p>
        </w:tc>
        <w:tc>
          <w:tcPr>
            <w:tcW w:w="1800" w:type="dxa"/>
            <w:tcBorders>
              <w:top w:val="nil"/>
              <w:left w:val="nil"/>
              <w:bottom w:val="single" w:sz="4" w:space="0" w:color="auto"/>
              <w:right w:val="single" w:sz="4" w:space="0" w:color="auto"/>
            </w:tcBorders>
            <w:noWrap/>
            <w:vAlign w:val="bottom"/>
            <w:hideMark/>
          </w:tcPr>
          <w:p w14:paraId="3B307CA2"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28.87%</w:t>
            </w:r>
          </w:p>
        </w:tc>
        <w:tc>
          <w:tcPr>
            <w:tcW w:w="1980" w:type="dxa"/>
            <w:tcBorders>
              <w:top w:val="nil"/>
              <w:left w:val="nil"/>
              <w:bottom w:val="single" w:sz="4" w:space="0" w:color="auto"/>
              <w:right w:val="single" w:sz="4" w:space="0" w:color="auto"/>
            </w:tcBorders>
            <w:noWrap/>
            <w:vAlign w:val="bottom"/>
            <w:hideMark/>
          </w:tcPr>
          <w:p w14:paraId="4E2A3814"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-3.87%</w:t>
            </w:r>
          </w:p>
        </w:tc>
        <w:tc>
          <w:tcPr>
            <w:tcW w:w="1710" w:type="dxa"/>
            <w:tcBorders>
              <w:top w:val="nil"/>
              <w:left w:val="nil"/>
              <w:bottom w:val="single" w:sz="4" w:space="0" w:color="auto"/>
              <w:right w:val="single" w:sz="4" w:space="0" w:color="auto"/>
            </w:tcBorders>
            <w:noWrap/>
            <w:vAlign w:val="bottom"/>
            <w:hideMark/>
          </w:tcPr>
          <w:p w14:paraId="44B64051"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-6.09%</w:t>
            </w:r>
          </w:p>
        </w:tc>
        <w:tc>
          <w:tcPr>
            <w:tcW w:w="1440" w:type="dxa"/>
            <w:tcBorders>
              <w:top w:val="nil"/>
              <w:left w:val="nil"/>
              <w:bottom w:val="single" w:sz="4" w:space="0" w:color="auto"/>
              <w:right w:val="single" w:sz="4" w:space="0" w:color="auto"/>
            </w:tcBorders>
            <w:noWrap/>
            <w:vAlign w:val="bottom"/>
            <w:hideMark/>
          </w:tcPr>
          <w:p w14:paraId="1ECE303B"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-7.43%</w:t>
            </w:r>
          </w:p>
        </w:tc>
        <w:tc>
          <w:tcPr>
            <w:tcW w:w="1507" w:type="dxa"/>
            <w:tcBorders>
              <w:top w:val="nil"/>
              <w:left w:val="nil"/>
              <w:bottom w:val="single" w:sz="4" w:space="0" w:color="auto"/>
              <w:right w:val="single" w:sz="4" w:space="0" w:color="auto"/>
            </w:tcBorders>
            <w:noWrap/>
            <w:vAlign w:val="bottom"/>
            <w:hideMark/>
          </w:tcPr>
          <w:p w14:paraId="671D01E0"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-15.69%</w:t>
            </w:r>
          </w:p>
        </w:tc>
      </w:tr>
    </w:tbl>
    <w:p w14:paraId="013F0AA7" w14:textId="77777777" w:rsidR="00002B54" w:rsidRPr="00C74E38" w:rsidRDefault="00C74E38" w:rsidP="00C74E38">
      <w:pPr>
        <w:spacing w:after="0" w:line="360" w:lineRule="auto"/>
        <w:rPr>
          <w:rFonts w:ascii="Arial" w:hAnsi="Arial" w:cs="Arial"/>
          <w:sz w:val="22"/>
          <w:szCs w:val="22"/>
        </w:rPr>
      </w:pPr>
      <w:r w:rsidRPr="00C74E38">
        <w:rPr>
          <w:rFonts w:ascii="Arial" w:hAnsi="Arial" w:cs="Arial"/>
          <w:sz w:val="22"/>
          <w:szCs w:val="22"/>
        </w:rPr>
        <w:t xml:space="preserve">Source: </w:t>
      </w:r>
      <w:r>
        <w:rPr>
          <w:rFonts w:ascii="Arial" w:hAnsi="Arial" w:cs="Arial"/>
          <w:sz w:val="22"/>
          <w:szCs w:val="22"/>
        </w:rPr>
        <w:t>(</w:t>
      </w:r>
      <w:r w:rsidRPr="00C74E38">
        <w:rPr>
          <w:rFonts w:ascii="Arial" w:hAnsi="Arial" w:cs="Arial"/>
          <w:sz w:val="22"/>
          <w:szCs w:val="22"/>
        </w:rPr>
        <w:t>General Electronics annual report</w:t>
      </w:r>
      <w:r>
        <w:rPr>
          <w:rFonts w:ascii="Arial" w:hAnsi="Arial" w:cs="Arial"/>
          <w:sz w:val="22"/>
          <w:szCs w:val="22"/>
        </w:rPr>
        <w:t>)</w:t>
      </w:r>
    </w:p>
    <w:p w14:paraId="6A884D02" w14:textId="77777777" w:rsidR="00002B54" w:rsidRPr="00400CCD" w:rsidRDefault="00F901A6" w:rsidP="00005668">
      <w:pPr>
        <w:spacing w:after="0" w:line="360" w:lineRule="auto"/>
        <w:jc w:val="both"/>
        <w:rPr>
          <w:rFonts w:ascii="Arial" w:eastAsia="Times New Roman" w:hAnsi="Arial" w:cs="Arial"/>
          <w:b/>
          <w:bCs/>
          <w:color w:val="4472C4" w:themeColor="accent1"/>
          <w:kern w:val="0"/>
          <w14:ligatures w14:val="none"/>
        </w:rPr>
      </w:pPr>
      <w:r w:rsidRPr="00400CCD">
        <w:rPr>
          <w:rFonts w:ascii="Arial" w:eastAsia="Times New Roman" w:hAnsi="Arial" w:cs="Arial"/>
          <w:b/>
          <w:bCs/>
          <w:color w:val="4472C4" w:themeColor="accent1"/>
          <w:kern w:val="0"/>
          <w14:ligatures w14:val="none"/>
        </w:rPr>
        <w:t>Liquidity Ratio</w:t>
      </w:r>
    </w:p>
    <w:p w14:paraId="09FF233E" w14:textId="77777777" w:rsidR="00002B54" w:rsidRPr="00400CCD" w:rsidRDefault="008C5358" w:rsidP="00005668">
      <w:pPr>
        <w:spacing w:after="0" w:line="360" w:lineRule="auto"/>
        <w:jc w:val="both"/>
        <w:rPr>
          <w:rFonts w:ascii="Arial" w:eastAsia="Times New Roman" w:hAnsi="Arial" w:cs="Arial"/>
          <w:b/>
          <w:bCs/>
          <w:kern w:val="0"/>
          <w14:ligatures w14:val="none"/>
        </w:rPr>
      </w:pPr>
      <w:r w:rsidRPr="00400CCD">
        <w:rPr>
          <w:rFonts w:ascii="Arial" w:eastAsia="Times New Roman" w:hAnsi="Arial" w:cs="Arial"/>
          <w:b/>
          <w:bCs/>
          <w:kern w:val="0"/>
          <w14:ligatures w14:val="none"/>
        </w:rPr>
        <w:t xml:space="preserve">Current Ratio </w:t>
      </w:r>
    </w:p>
    <w:p w14:paraId="1BF7B47A" w14:textId="77777777" w:rsidR="008E10CD" w:rsidRDefault="008E10CD" w:rsidP="002E3036">
      <w:pPr>
        <w:spacing w:after="0" w:line="360" w:lineRule="auto"/>
        <w:jc w:val="both"/>
        <w:rPr>
          <w:rFonts w:ascii="Arial" w:eastAsia="Times New Roman" w:hAnsi="Arial" w:cs="Arial"/>
          <w:kern w:val="0"/>
          <w14:ligatures w14:val="none"/>
        </w:rPr>
      </w:pPr>
      <w:r w:rsidRPr="008E10CD">
        <w:rPr>
          <w:rFonts w:ascii="Arial" w:eastAsia="Times New Roman" w:hAnsi="Arial" w:cs="Arial"/>
          <w:kern w:val="0"/>
          <w14:ligatures w14:val="none"/>
        </w:rPr>
        <w:t>Current Ratio</w:t>
      </w:r>
      <w:r>
        <w:rPr>
          <w:rFonts w:ascii="Arial" w:eastAsia="Times New Roman" w:hAnsi="Arial" w:cs="Arial"/>
          <w:kern w:val="0"/>
          <w14:ligatures w14:val="none"/>
        </w:rPr>
        <w:t xml:space="preserve"> </w:t>
      </w:r>
      <w:r w:rsidRPr="008E10CD">
        <w:rPr>
          <w:rFonts w:ascii="Arial" w:eastAsia="Times New Roman" w:hAnsi="Arial" w:cs="Arial"/>
          <w:kern w:val="0"/>
          <w14:ligatures w14:val="none"/>
        </w:rPr>
        <w:t>which is calculated by dividing a company's current assets by its current liabilities. Since the company would need to use at least one dollar to meet every dollar of its short-term liability, if this ratio is 1 or greater, we would expect the company to be able to meet its short-term liabilities. However, since the company's current ratio declined from 1.821 in 2020 to 1.532 in 2022</w:t>
      </w:r>
      <w:r>
        <w:rPr>
          <w:rFonts w:ascii="Arial" w:eastAsia="Times New Roman" w:hAnsi="Arial" w:cs="Arial"/>
          <w:kern w:val="0"/>
          <w14:ligatures w14:val="none"/>
        </w:rPr>
        <w:t>.</w:t>
      </w:r>
    </w:p>
    <w:p w14:paraId="08D37395" w14:textId="77777777" w:rsidR="008C5358" w:rsidRPr="00400CCD" w:rsidRDefault="008C5358" w:rsidP="00005668">
      <w:pPr>
        <w:spacing w:after="0" w:line="360" w:lineRule="auto"/>
        <w:jc w:val="both"/>
        <w:rPr>
          <w:rFonts w:ascii="Arial" w:eastAsia="Times New Roman" w:hAnsi="Arial" w:cs="Arial"/>
          <w:b/>
          <w:bCs/>
          <w:kern w:val="0"/>
          <w14:ligatures w14:val="none"/>
        </w:rPr>
      </w:pPr>
      <w:r w:rsidRPr="00400CCD">
        <w:rPr>
          <w:rFonts w:ascii="Arial" w:eastAsia="Times New Roman" w:hAnsi="Arial" w:cs="Arial"/>
          <w:b/>
          <w:bCs/>
          <w:kern w:val="0"/>
          <w14:ligatures w14:val="none"/>
        </w:rPr>
        <w:t xml:space="preserve">Quick Ratio </w:t>
      </w:r>
    </w:p>
    <w:p w14:paraId="3305C4A4" w14:textId="77777777" w:rsidR="002E3036" w:rsidRDefault="008C5358" w:rsidP="00005668">
      <w:pPr>
        <w:spacing w:after="0" w:line="360" w:lineRule="auto"/>
        <w:jc w:val="both"/>
        <w:rPr>
          <w:rFonts w:ascii="Arial" w:eastAsia="Times New Roman" w:hAnsi="Arial" w:cs="Arial"/>
          <w:kern w:val="0"/>
          <w14:ligatures w14:val="none"/>
        </w:rPr>
      </w:pPr>
      <w:r w:rsidRPr="00005668">
        <w:rPr>
          <w:rFonts w:ascii="Arial" w:eastAsia="Times New Roman" w:hAnsi="Arial" w:cs="Arial"/>
          <w:kern w:val="0"/>
          <w14:ligatures w14:val="none"/>
        </w:rPr>
        <w:t>The Quick Ratio evaluates liquidity by excluding inventory and focusing on the most liquid assets (Ross et al., 2022).</w:t>
      </w:r>
      <w:r w:rsidR="00D74827">
        <w:rPr>
          <w:rFonts w:ascii="Arial" w:eastAsia="Times New Roman" w:hAnsi="Arial" w:cs="Arial"/>
          <w:kern w:val="0"/>
          <w14:ligatures w14:val="none"/>
        </w:rPr>
        <w:t xml:space="preserve"> </w:t>
      </w:r>
      <w:r w:rsidR="002E3036" w:rsidRPr="002E3036">
        <w:rPr>
          <w:rFonts w:ascii="Arial" w:eastAsia="Times New Roman" w:hAnsi="Arial" w:cs="Arial"/>
          <w:kern w:val="0"/>
          <w14:ligatures w14:val="none"/>
        </w:rPr>
        <w:t>It declines from 1.150 in 2020, showing increasing reliance on less liquid assets. A small 2023 rise reflects temporary receivable support. In 2024, remaining just above 1 indicates adequate but tightening short-term cash capacity.</w:t>
      </w:r>
    </w:p>
    <w:p w14:paraId="7F55932D" w14:textId="77777777" w:rsidR="008C5358" w:rsidRPr="00400CCD" w:rsidRDefault="008C5358" w:rsidP="00005668">
      <w:pPr>
        <w:spacing w:after="0" w:line="360" w:lineRule="auto"/>
        <w:jc w:val="both"/>
        <w:rPr>
          <w:rFonts w:ascii="Arial" w:eastAsia="Times New Roman" w:hAnsi="Arial" w:cs="Arial"/>
          <w:b/>
          <w:bCs/>
          <w:kern w:val="0"/>
          <w14:ligatures w14:val="none"/>
        </w:rPr>
      </w:pPr>
      <w:r w:rsidRPr="00400CCD">
        <w:rPr>
          <w:rFonts w:ascii="Arial" w:eastAsia="Times New Roman" w:hAnsi="Arial" w:cs="Arial"/>
          <w:b/>
          <w:bCs/>
          <w:kern w:val="0"/>
          <w14:ligatures w14:val="none"/>
        </w:rPr>
        <w:t>Cash Ratio</w:t>
      </w:r>
    </w:p>
    <w:p w14:paraId="10FC301E" w14:textId="77777777" w:rsidR="008E10CD" w:rsidRDefault="008E10CD" w:rsidP="00005668">
      <w:pPr>
        <w:spacing w:after="0" w:line="360" w:lineRule="auto"/>
        <w:jc w:val="both"/>
        <w:rPr>
          <w:rFonts w:ascii="Arial" w:eastAsia="Times New Roman" w:hAnsi="Arial" w:cs="Arial"/>
          <w:kern w:val="0"/>
          <w14:ligatures w14:val="none"/>
        </w:rPr>
      </w:pPr>
      <w:r w:rsidRPr="008E10CD">
        <w:rPr>
          <w:rFonts w:ascii="Arial" w:eastAsia="Times New Roman" w:hAnsi="Arial" w:cs="Arial"/>
          <w:kern w:val="0"/>
          <w14:ligatures w14:val="none"/>
        </w:rPr>
        <w:t>The Cash Ratio is calculated by dividing a company's cash and equivalents by its current liabilities</w:t>
      </w:r>
      <w:r>
        <w:rPr>
          <w:rFonts w:ascii="Arial" w:eastAsia="Times New Roman" w:hAnsi="Arial" w:cs="Arial"/>
          <w:kern w:val="0"/>
          <w14:ligatures w14:val="none"/>
        </w:rPr>
        <w:t xml:space="preserve"> </w:t>
      </w:r>
      <w:r w:rsidRPr="00005668">
        <w:rPr>
          <w:rFonts w:ascii="Arial" w:eastAsia="Times New Roman" w:hAnsi="Arial" w:cs="Arial"/>
          <w:kern w:val="0"/>
          <w14:ligatures w14:val="none"/>
        </w:rPr>
        <w:t>(Gitman &amp; Zutter, 2018)</w:t>
      </w:r>
      <w:r w:rsidRPr="008E10CD">
        <w:rPr>
          <w:rFonts w:ascii="Arial" w:eastAsia="Times New Roman" w:hAnsi="Arial" w:cs="Arial"/>
          <w:kern w:val="0"/>
          <w14:ligatures w14:val="none"/>
        </w:rPr>
        <w:t xml:space="preserve">. This ratio gives us an idea of a company's ability to immediately meet its short-term obligations with cash and equivalents. Since the Cash </w:t>
      </w:r>
      <w:r w:rsidRPr="008E10CD">
        <w:rPr>
          <w:rFonts w:ascii="Arial" w:eastAsia="Times New Roman" w:hAnsi="Arial" w:cs="Arial"/>
          <w:kern w:val="0"/>
          <w14:ligatures w14:val="none"/>
        </w:rPr>
        <w:lastRenderedPageBreak/>
        <w:t>Ratio fell from .319 in 2020 to .169 in 2024, we can conclude that the company is experiencing a reduction in its cash reserves.</w:t>
      </w:r>
    </w:p>
    <w:p w14:paraId="35CEB1A9" w14:textId="77777777" w:rsidR="00002B54" w:rsidRPr="008E10CD" w:rsidRDefault="008E10CD" w:rsidP="008E10CD">
      <w:pPr>
        <w:spacing w:after="0" w:line="360" w:lineRule="auto"/>
        <w:jc w:val="center"/>
        <w:rPr>
          <w:rFonts w:ascii="Arial" w:eastAsia="Times New Roman" w:hAnsi="Arial" w:cs="Arial"/>
          <w:b/>
          <w:bCs/>
          <w:i/>
          <w:iCs/>
          <w:kern w:val="0"/>
          <w14:ligatures w14:val="none"/>
        </w:rPr>
      </w:pPr>
      <w:r w:rsidRPr="008E10CD">
        <w:rPr>
          <w:rFonts w:ascii="Arial" w:eastAsia="Times New Roman" w:hAnsi="Arial" w:cs="Arial"/>
          <w:b/>
          <w:bCs/>
          <w:i/>
          <w:iCs/>
          <w:kern w:val="0"/>
          <w14:ligatures w14:val="none"/>
        </w:rPr>
        <w:t>Table 2: Liquidity Ratio</w:t>
      </w:r>
    </w:p>
    <w:tbl>
      <w:tblPr>
        <w:tblW w:w="63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
        <w:gridCol w:w="1800"/>
        <w:gridCol w:w="1980"/>
        <w:gridCol w:w="1530"/>
      </w:tblGrid>
      <w:tr w:rsidR="00002B54" w:rsidRPr="00005668" w14:paraId="08AF4BF3" w14:textId="77777777" w:rsidTr="00002B54">
        <w:trPr>
          <w:trHeight w:val="288"/>
          <w:jc w:val="center"/>
        </w:trPr>
        <w:tc>
          <w:tcPr>
            <w:tcW w:w="6385" w:type="dxa"/>
            <w:gridSpan w:val="4"/>
            <w:noWrap/>
            <w:vAlign w:val="bottom"/>
            <w:hideMark/>
          </w:tcPr>
          <w:p w14:paraId="5582742A" w14:textId="77777777" w:rsidR="00002B54" w:rsidRPr="00005668" w:rsidRDefault="00002B54" w:rsidP="00005668">
            <w:pPr>
              <w:spacing w:after="0" w:line="360" w:lineRule="auto"/>
              <w:jc w:val="center"/>
              <w:rPr>
                <w:rFonts w:ascii="Arial" w:eastAsia="Times New Roman" w:hAnsi="Arial" w:cs="Arial"/>
                <w:b/>
                <w:bCs/>
                <w:color w:val="000000"/>
                <w:kern w:val="0"/>
                <w14:ligatures w14:val="none"/>
              </w:rPr>
            </w:pPr>
            <w:r w:rsidRPr="00005668">
              <w:rPr>
                <w:rFonts w:ascii="Arial" w:eastAsia="Times New Roman" w:hAnsi="Arial" w:cs="Arial"/>
                <w:b/>
                <w:bCs/>
                <w:color w:val="000000"/>
                <w:kern w:val="0"/>
                <w14:ligatures w14:val="none"/>
              </w:rPr>
              <w:t>Liquidity Ratio</w:t>
            </w:r>
          </w:p>
        </w:tc>
      </w:tr>
      <w:tr w:rsidR="00002B54" w:rsidRPr="00005668" w14:paraId="6882AB55" w14:textId="77777777" w:rsidTr="00002B54">
        <w:trPr>
          <w:trHeight w:val="288"/>
          <w:jc w:val="center"/>
        </w:trPr>
        <w:tc>
          <w:tcPr>
            <w:tcW w:w="1075" w:type="dxa"/>
            <w:noWrap/>
            <w:vAlign w:val="bottom"/>
            <w:hideMark/>
          </w:tcPr>
          <w:p w14:paraId="480150D7"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p>
        </w:tc>
        <w:tc>
          <w:tcPr>
            <w:tcW w:w="1800" w:type="dxa"/>
            <w:noWrap/>
            <w:vAlign w:val="bottom"/>
            <w:hideMark/>
          </w:tcPr>
          <w:p w14:paraId="75871E58" w14:textId="77777777" w:rsidR="00002B54" w:rsidRPr="00005668" w:rsidRDefault="00002B54" w:rsidP="00005668">
            <w:pPr>
              <w:spacing w:after="0" w:line="360" w:lineRule="auto"/>
              <w:jc w:val="center"/>
              <w:rPr>
                <w:rFonts w:ascii="Arial" w:eastAsia="Times New Roman" w:hAnsi="Arial" w:cs="Arial"/>
                <w:kern w:val="0"/>
                <w14:ligatures w14:val="none"/>
              </w:rPr>
            </w:pPr>
          </w:p>
        </w:tc>
        <w:tc>
          <w:tcPr>
            <w:tcW w:w="1980" w:type="dxa"/>
            <w:noWrap/>
            <w:vAlign w:val="bottom"/>
            <w:hideMark/>
          </w:tcPr>
          <w:p w14:paraId="5BA418CB" w14:textId="77777777" w:rsidR="00002B54" w:rsidRPr="00005668" w:rsidRDefault="00002B54" w:rsidP="00005668">
            <w:pPr>
              <w:spacing w:after="0" w:line="360" w:lineRule="auto"/>
              <w:jc w:val="center"/>
              <w:rPr>
                <w:rFonts w:ascii="Arial" w:eastAsia="Times New Roman" w:hAnsi="Arial" w:cs="Arial"/>
                <w:kern w:val="0"/>
                <w14:ligatures w14:val="none"/>
              </w:rPr>
            </w:pPr>
          </w:p>
        </w:tc>
        <w:tc>
          <w:tcPr>
            <w:tcW w:w="1530" w:type="dxa"/>
            <w:noWrap/>
            <w:vAlign w:val="bottom"/>
            <w:hideMark/>
          </w:tcPr>
          <w:p w14:paraId="41580348" w14:textId="77777777" w:rsidR="00002B54" w:rsidRPr="00005668" w:rsidRDefault="00002B54" w:rsidP="00005668">
            <w:pPr>
              <w:spacing w:after="0" w:line="360" w:lineRule="auto"/>
              <w:jc w:val="center"/>
              <w:rPr>
                <w:rFonts w:ascii="Arial" w:eastAsia="Times New Roman" w:hAnsi="Arial" w:cs="Arial"/>
                <w:kern w:val="0"/>
                <w14:ligatures w14:val="none"/>
              </w:rPr>
            </w:pPr>
          </w:p>
        </w:tc>
      </w:tr>
      <w:tr w:rsidR="00002B54" w:rsidRPr="00005668" w14:paraId="5C8BB7A2" w14:textId="77777777" w:rsidTr="00002B54">
        <w:trPr>
          <w:trHeight w:val="1152"/>
          <w:jc w:val="center"/>
        </w:trPr>
        <w:tc>
          <w:tcPr>
            <w:tcW w:w="1075" w:type="dxa"/>
            <w:vAlign w:val="center"/>
            <w:hideMark/>
          </w:tcPr>
          <w:p w14:paraId="77F3D556" w14:textId="77777777" w:rsidR="00002B54" w:rsidRPr="00005668" w:rsidRDefault="00002B54" w:rsidP="00005668">
            <w:pPr>
              <w:spacing w:after="0" w:line="360" w:lineRule="auto"/>
              <w:jc w:val="center"/>
              <w:rPr>
                <w:rFonts w:ascii="Arial" w:eastAsia="Times New Roman" w:hAnsi="Arial" w:cs="Arial"/>
                <w:b/>
                <w:bCs/>
                <w:color w:val="000000"/>
                <w:kern w:val="0"/>
                <w14:ligatures w14:val="none"/>
              </w:rPr>
            </w:pPr>
            <w:r w:rsidRPr="00005668">
              <w:rPr>
                <w:rFonts w:ascii="Arial" w:eastAsia="Times New Roman" w:hAnsi="Arial" w:cs="Arial"/>
                <w:b/>
                <w:bCs/>
                <w:color w:val="000000"/>
                <w:kern w:val="0"/>
                <w14:ligatures w14:val="none"/>
              </w:rPr>
              <w:t>Year</w:t>
            </w:r>
          </w:p>
        </w:tc>
        <w:tc>
          <w:tcPr>
            <w:tcW w:w="1800" w:type="dxa"/>
            <w:vAlign w:val="center"/>
            <w:hideMark/>
          </w:tcPr>
          <w:p w14:paraId="604C2EF0" w14:textId="77777777" w:rsidR="00002B54" w:rsidRPr="00005668" w:rsidRDefault="00002B54" w:rsidP="00005668">
            <w:pPr>
              <w:spacing w:after="0" w:line="360" w:lineRule="auto"/>
              <w:jc w:val="center"/>
              <w:rPr>
                <w:rFonts w:ascii="Arial" w:eastAsia="Times New Roman" w:hAnsi="Arial" w:cs="Arial"/>
                <w:b/>
                <w:bCs/>
                <w:color w:val="000000"/>
                <w:kern w:val="0"/>
                <w14:ligatures w14:val="none"/>
              </w:rPr>
            </w:pPr>
            <w:r w:rsidRPr="00005668">
              <w:rPr>
                <w:rFonts w:ascii="Arial" w:eastAsia="Times New Roman" w:hAnsi="Arial" w:cs="Arial"/>
                <w:b/>
                <w:bCs/>
                <w:color w:val="000000"/>
                <w:kern w:val="0"/>
                <w14:ligatures w14:val="none"/>
              </w:rPr>
              <w:t>Current ratio</w:t>
            </w:r>
          </w:p>
        </w:tc>
        <w:tc>
          <w:tcPr>
            <w:tcW w:w="1980" w:type="dxa"/>
            <w:vAlign w:val="center"/>
            <w:hideMark/>
          </w:tcPr>
          <w:p w14:paraId="65B1A033" w14:textId="77777777" w:rsidR="00002B54" w:rsidRPr="00005668" w:rsidRDefault="00002B54" w:rsidP="00005668">
            <w:pPr>
              <w:spacing w:after="0" w:line="360" w:lineRule="auto"/>
              <w:jc w:val="center"/>
              <w:rPr>
                <w:rFonts w:ascii="Arial" w:eastAsia="Times New Roman" w:hAnsi="Arial" w:cs="Arial"/>
                <w:b/>
                <w:bCs/>
                <w:color w:val="000000"/>
                <w:kern w:val="0"/>
                <w14:ligatures w14:val="none"/>
              </w:rPr>
            </w:pPr>
            <w:r w:rsidRPr="00005668">
              <w:rPr>
                <w:rFonts w:ascii="Arial" w:eastAsia="Times New Roman" w:hAnsi="Arial" w:cs="Arial"/>
                <w:b/>
                <w:bCs/>
                <w:color w:val="000000"/>
                <w:kern w:val="0"/>
                <w14:ligatures w14:val="none"/>
              </w:rPr>
              <w:t>Quick ratio</w:t>
            </w:r>
          </w:p>
        </w:tc>
        <w:tc>
          <w:tcPr>
            <w:tcW w:w="1530" w:type="dxa"/>
            <w:vAlign w:val="center"/>
            <w:hideMark/>
          </w:tcPr>
          <w:p w14:paraId="6A5BBDC2" w14:textId="77777777" w:rsidR="00002B54" w:rsidRPr="00005668" w:rsidRDefault="00002B54" w:rsidP="00005668">
            <w:pPr>
              <w:spacing w:after="0" w:line="360" w:lineRule="auto"/>
              <w:jc w:val="center"/>
              <w:rPr>
                <w:rFonts w:ascii="Arial" w:eastAsia="Times New Roman" w:hAnsi="Arial" w:cs="Arial"/>
                <w:b/>
                <w:bCs/>
                <w:color w:val="000000"/>
                <w:kern w:val="0"/>
                <w14:ligatures w14:val="none"/>
              </w:rPr>
            </w:pPr>
            <w:r w:rsidRPr="00005668">
              <w:rPr>
                <w:rFonts w:ascii="Arial" w:eastAsia="Times New Roman" w:hAnsi="Arial" w:cs="Arial"/>
                <w:b/>
                <w:bCs/>
                <w:color w:val="000000"/>
                <w:kern w:val="0"/>
                <w14:ligatures w14:val="none"/>
              </w:rPr>
              <w:t>Cash ratio</w:t>
            </w:r>
          </w:p>
        </w:tc>
      </w:tr>
      <w:tr w:rsidR="00002B54" w:rsidRPr="00005668" w14:paraId="0F84CA30" w14:textId="77777777" w:rsidTr="00002B54">
        <w:trPr>
          <w:trHeight w:val="300"/>
          <w:jc w:val="center"/>
        </w:trPr>
        <w:tc>
          <w:tcPr>
            <w:tcW w:w="1075" w:type="dxa"/>
            <w:vAlign w:val="center"/>
            <w:hideMark/>
          </w:tcPr>
          <w:p w14:paraId="77109ADD"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2020</w:t>
            </w:r>
          </w:p>
        </w:tc>
        <w:tc>
          <w:tcPr>
            <w:tcW w:w="1800" w:type="dxa"/>
            <w:noWrap/>
            <w:vAlign w:val="bottom"/>
            <w:hideMark/>
          </w:tcPr>
          <w:p w14:paraId="53120865"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1.821</w:t>
            </w:r>
          </w:p>
        </w:tc>
        <w:tc>
          <w:tcPr>
            <w:tcW w:w="1980" w:type="dxa"/>
            <w:noWrap/>
            <w:vAlign w:val="bottom"/>
            <w:hideMark/>
          </w:tcPr>
          <w:p w14:paraId="75D8EB1F"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1.150</w:t>
            </w:r>
          </w:p>
        </w:tc>
        <w:tc>
          <w:tcPr>
            <w:tcW w:w="1530" w:type="dxa"/>
            <w:noWrap/>
            <w:vAlign w:val="bottom"/>
            <w:hideMark/>
          </w:tcPr>
          <w:p w14:paraId="1DC0FBB3"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0.318</w:t>
            </w:r>
          </w:p>
        </w:tc>
      </w:tr>
      <w:tr w:rsidR="00002B54" w:rsidRPr="00005668" w14:paraId="4BB74580" w14:textId="77777777" w:rsidTr="00002B54">
        <w:trPr>
          <w:trHeight w:val="300"/>
          <w:jc w:val="center"/>
        </w:trPr>
        <w:tc>
          <w:tcPr>
            <w:tcW w:w="1075" w:type="dxa"/>
            <w:vAlign w:val="center"/>
            <w:hideMark/>
          </w:tcPr>
          <w:p w14:paraId="744D43D7"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2021</w:t>
            </w:r>
          </w:p>
        </w:tc>
        <w:tc>
          <w:tcPr>
            <w:tcW w:w="1800" w:type="dxa"/>
            <w:noWrap/>
            <w:vAlign w:val="bottom"/>
            <w:hideMark/>
          </w:tcPr>
          <w:p w14:paraId="533075FB"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1.555</w:t>
            </w:r>
          </w:p>
        </w:tc>
        <w:tc>
          <w:tcPr>
            <w:tcW w:w="1980" w:type="dxa"/>
            <w:noWrap/>
            <w:vAlign w:val="bottom"/>
            <w:hideMark/>
          </w:tcPr>
          <w:p w14:paraId="052B0729"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0.935</w:t>
            </w:r>
          </w:p>
        </w:tc>
        <w:tc>
          <w:tcPr>
            <w:tcW w:w="1530" w:type="dxa"/>
            <w:noWrap/>
            <w:vAlign w:val="bottom"/>
            <w:hideMark/>
          </w:tcPr>
          <w:p w14:paraId="5EBE75BA"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0.281</w:t>
            </w:r>
          </w:p>
        </w:tc>
      </w:tr>
      <w:tr w:rsidR="00002B54" w:rsidRPr="00005668" w14:paraId="3C5ED271" w14:textId="77777777" w:rsidTr="00002B54">
        <w:trPr>
          <w:trHeight w:val="300"/>
          <w:jc w:val="center"/>
        </w:trPr>
        <w:tc>
          <w:tcPr>
            <w:tcW w:w="1075" w:type="dxa"/>
            <w:vAlign w:val="center"/>
            <w:hideMark/>
          </w:tcPr>
          <w:p w14:paraId="50F20CAD"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2022</w:t>
            </w:r>
          </w:p>
        </w:tc>
        <w:tc>
          <w:tcPr>
            <w:tcW w:w="1800" w:type="dxa"/>
            <w:noWrap/>
            <w:vAlign w:val="bottom"/>
            <w:hideMark/>
          </w:tcPr>
          <w:p w14:paraId="70DD2621"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1.562</w:t>
            </w:r>
          </w:p>
        </w:tc>
        <w:tc>
          <w:tcPr>
            <w:tcW w:w="1980" w:type="dxa"/>
            <w:noWrap/>
            <w:vAlign w:val="bottom"/>
            <w:hideMark/>
          </w:tcPr>
          <w:p w14:paraId="6F0CC5A8"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0.914</w:t>
            </w:r>
          </w:p>
        </w:tc>
        <w:tc>
          <w:tcPr>
            <w:tcW w:w="1530" w:type="dxa"/>
            <w:noWrap/>
            <w:vAlign w:val="bottom"/>
            <w:hideMark/>
          </w:tcPr>
          <w:p w14:paraId="5807C008"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0.308</w:t>
            </w:r>
          </w:p>
        </w:tc>
      </w:tr>
      <w:tr w:rsidR="00002B54" w:rsidRPr="00005668" w14:paraId="06A9A2B9" w14:textId="77777777" w:rsidTr="00002B54">
        <w:trPr>
          <w:trHeight w:val="300"/>
          <w:jc w:val="center"/>
        </w:trPr>
        <w:tc>
          <w:tcPr>
            <w:tcW w:w="1075" w:type="dxa"/>
            <w:vAlign w:val="center"/>
            <w:hideMark/>
          </w:tcPr>
          <w:p w14:paraId="1CBC033B"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2023</w:t>
            </w:r>
          </w:p>
        </w:tc>
        <w:tc>
          <w:tcPr>
            <w:tcW w:w="1800" w:type="dxa"/>
            <w:noWrap/>
            <w:vAlign w:val="bottom"/>
            <w:hideMark/>
          </w:tcPr>
          <w:p w14:paraId="73D4C187"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1.606</w:t>
            </w:r>
          </w:p>
        </w:tc>
        <w:tc>
          <w:tcPr>
            <w:tcW w:w="1980" w:type="dxa"/>
            <w:noWrap/>
            <w:vAlign w:val="bottom"/>
            <w:hideMark/>
          </w:tcPr>
          <w:p w14:paraId="441142BE"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1.059</w:t>
            </w:r>
          </w:p>
        </w:tc>
        <w:tc>
          <w:tcPr>
            <w:tcW w:w="1530" w:type="dxa"/>
            <w:noWrap/>
            <w:vAlign w:val="bottom"/>
            <w:hideMark/>
          </w:tcPr>
          <w:p w14:paraId="653A3FAC"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0.265</w:t>
            </w:r>
          </w:p>
        </w:tc>
      </w:tr>
      <w:tr w:rsidR="00002B54" w:rsidRPr="00005668" w14:paraId="5984FECB" w14:textId="77777777" w:rsidTr="00002B54">
        <w:trPr>
          <w:trHeight w:val="300"/>
          <w:jc w:val="center"/>
        </w:trPr>
        <w:tc>
          <w:tcPr>
            <w:tcW w:w="1075" w:type="dxa"/>
            <w:vAlign w:val="center"/>
            <w:hideMark/>
          </w:tcPr>
          <w:p w14:paraId="34D442A3"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2024</w:t>
            </w:r>
          </w:p>
        </w:tc>
        <w:tc>
          <w:tcPr>
            <w:tcW w:w="1800" w:type="dxa"/>
            <w:noWrap/>
            <w:vAlign w:val="bottom"/>
            <w:hideMark/>
          </w:tcPr>
          <w:p w14:paraId="4E0D403B"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1.532</w:t>
            </w:r>
          </w:p>
        </w:tc>
        <w:tc>
          <w:tcPr>
            <w:tcW w:w="1980" w:type="dxa"/>
            <w:noWrap/>
            <w:vAlign w:val="bottom"/>
            <w:hideMark/>
          </w:tcPr>
          <w:p w14:paraId="6D65E92E"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1.031</w:t>
            </w:r>
          </w:p>
        </w:tc>
        <w:tc>
          <w:tcPr>
            <w:tcW w:w="1530" w:type="dxa"/>
            <w:noWrap/>
            <w:vAlign w:val="bottom"/>
            <w:hideMark/>
          </w:tcPr>
          <w:p w14:paraId="79AF6A11" w14:textId="77777777" w:rsidR="00002B54" w:rsidRPr="00005668" w:rsidRDefault="00002B54"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0.169</w:t>
            </w:r>
          </w:p>
        </w:tc>
      </w:tr>
    </w:tbl>
    <w:p w14:paraId="5E2F8BE2" w14:textId="77777777" w:rsidR="00002B54" w:rsidRPr="00C74E38" w:rsidRDefault="00C74E38" w:rsidP="00C74E38">
      <w:pPr>
        <w:spacing w:after="0" w:line="360" w:lineRule="auto"/>
        <w:rPr>
          <w:rFonts w:ascii="Arial" w:hAnsi="Arial" w:cs="Arial"/>
          <w:sz w:val="22"/>
          <w:szCs w:val="22"/>
        </w:rPr>
      </w:pPr>
      <w:r w:rsidRPr="00C74E38">
        <w:rPr>
          <w:rFonts w:ascii="Arial" w:hAnsi="Arial" w:cs="Arial"/>
          <w:sz w:val="22"/>
          <w:szCs w:val="22"/>
        </w:rPr>
        <w:t xml:space="preserve">Source: </w:t>
      </w:r>
      <w:r>
        <w:rPr>
          <w:rFonts w:ascii="Arial" w:hAnsi="Arial" w:cs="Arial"/>
          <w:sz w:val="22"/>
          <w:szCs w:val="22"/>
        </w:rPr>
        <w:t>(</w:t>
      </w:r>
      <w:r w:rsidRPr="00C74E38">
        <w:rPr>
          <w:rFonts w:ascii="Arial" w:hAnsi="Arial" w:cs="Arial"/>
          <w:sz w:val="22"/>
          <w:szCs w:val="22"/>
        </w:rPr>
        <w:t>General Electronics annual report</w:t>
      </w:r>
      <w:r>
        <w:rPr>
          <w:rFonts w:ascii="Arial" w:hAnsi="Arial" w:cs="Arial"/>
          <w:sz w:val="22"/>
          <w:szCs w:val="22"/>
        </w:rPr>
        <w:t>)</w:t>
      </w:r>
    </w:p>
    <w:p w14:paraId="61164AA5" w14:textId="77777777" w:rsidR="002E3036" w:rsidRDefault="008C5358" w:rsidP="002E3036">
      <w:pPr>
        <w:spacing w:after="0" w:line="360" w:lineRule="auto"/>
        <w:rPr>
          <w:rFonts w:ascii="Arial" w:eastAsia="Times New Roman" w:hAnsi="Arial" w:cs="Arial"/>
          <w:b/>
          <w:bCs/>
          <w:color w:val="4472C4" w:themeColor="accent1"/>
          <w:kern w:val="0"/>
          <w14:ligatures w14:val="none"/>
        </w:rPr>
      </w:pPr>
      <w:r w:rsidRPr="00400CCD">
        <w:rPr>
          <w:rFonts w:ascii="Arial" w:eastAsia="Times New Roman" w:hAnsi="Arial" w:cs="Arial"/>
          <w:b/>
          <w:bCs/>
          <w:color w:val="4472C4" w:themeColor="accent1"/>
          <w:kern w:val="0"/>
          <w14:ligatures w14:val="none"/>
        </w:rPr>
        <w:t>Efficiency Ratios</w:t>
      </w:r>
    </w:p>
    <w:p w14:paraId="2F3A8B36" w14:textId="77777777" w:rsidR="008C5358" w:rsidRPr="002E3036" w:rsidRDefault="008C5358" w:rsidP="002E3036">
      <w:pPr>
        <w:spacing w:after="0" w:line="360" w:lineRule="auto"/>
        <w:rPr>
          <w:rFonts w:ascii="Arial" w:eastAsia="Times New Roman" w:hAnsi="Arial" w:cs="Arial"/>
          <w:b/>
          <w:bCs/>
          <w:color w:val="4472C4" w:themeColor="accent1"/>
          <w:kern w:val="0"/>
          <w14:ligatures w14:val="none"/>
        </w:rPr>
      </w:pPr>
      <w:r w:rsidRPr="00400CCD">
        <w:rPr>
          <w:rFonts w:ascii="Arial" w:eastAsia="Times New Roman" w:hAnsi="Arial" w:cs="Arial"/>
          <w:b/>
          <w:bCs/>
          <w:kern w:val="0"/>
          <w14:ligatures w14:val="none"/>
        </w:rPr>
        <w:t xml:space="preserve"> Inventory Turnover </w:t>
      </w:r>
    </w:p>
    <w:p w14:paraId="73FB6657" w14:textId="77777777" w:rsidR="008C5358" w:rsidRPr="00005668" w:rsidRDefault="008E10CD" w:rsidP="00005668">
      <w:pPr>
        <w:spacing w:after="0" w:line="360" w:lineRule="auto"/>
        <w:jc w:val="both"/>
        <w:rPr>
          <w:rFonts w:ascii="Arial" w:eastAsia="Times New Roman" w:hAnsi="Arial" w:cs="Arial"/>
          <w:kern w:val="0"/>
          <w14:ligatures w14:val="none"/>
        </w:rPr>
      </w:pPr>
      <w:r w:rsidRPr="008E10CD">
        <w:rPr>
          <w:rFonts w:ascii="Arial" w:eastAsia="Times New Roman" w:hAnsi="Arial" w:cs="Arial"/>
          <w:kern w:val="0"/>
          <w14:ligatures w14:val="none"/>
        </w:rPr>
        <w:t>Inventory Turnover</w:t>
      </w:r>
      <w:r>
        <w:rPr>
          <w:rFonts w:ascii="Arial" w:eastAsia="Times New Roman" w:hAnsi="Arial" w:cs="Arial"/>
          <w:kern w:val="0"/>
          <w14:ligatures w14:val="none"/>
        </w:rPr>
        <w:t xml:space="preserve"> </w:t>
      </w:r>
      <w:r w:rsidRPr="008E10CD">
        <w:rPr>
          <w:rFonts w:ascii="Arial" w:eastAsia="Times New Roman" w:hAnsi="Arial" w:cs="Arial"/>
          <w:kern w:val="0"/>
          <w14:ligatures w14:val="none"/>
        </w:rPr>
        <w:t>ratio is calculated by dividing a company's cost of goods sold by its average inventory</w:t>
      </w:r>
      <w:r>
        <w:rPr>
          <w:rFonts w:ascii="Arial" w:eastAsia="Times New Roman" w:hAnsi="Arial" w:cs="Arial"/>
          <w:kern w:val="0"/>
          <w14:ligatures w14:val="none"/>
        </w:rPr>
        <w:t xml:space="preserve"> </w:t>
      </w:r>
      <w:r w:rsidRPr="00005668">
        <w:rPr>
          <w:rFonts w:ascii="Arial" w:eastAsia="Times New Roman" w:hAnsi="Arial" w:cs="Arial"/>
          <w:kern w:val="0"/>
          <w14:ligatures w14:val="none"/>
        </w:rPr>
        <w:t xml:space="preserve">(Atrill &amp; McLaney, 2020). </w:t>
      </w:r>
      <w:r>
        <w:rPr>
          <w:rFonts w:ascii="Arial" w:eastAsia="Times New Roman" w:hAnsi="Arial" w:cs="Arial"/>
          <w:kern w:val="0"/>
          <w14:ligatures w14:val="none"/>
        </w:rPr>
        <w:t>Th</w:t>
      </w:r>
      <w:r w:rsidRPr="008E10CD">
        <w:rPr>
          <w:rFonts w:ascii="Arial" w:eastAsia="Times New Roman" w:hAnsi="Arial" w:cs="Arial"/>
          <w:kern w:val="0"/>
          <w14:ligatures w14:val="none"/>
        </w:rPr>
        <w:t xml:space="preserve">e Inventory Turnover ratio declined from 3.64 in 2020 to 2.79 in 2022. </w:t>
      </w:r>
      <w:r w:rsidR="002E3036" w:rsidRPr="002E3036">
        <w:rPr>
          <w:rFonts w:ascii="Arial" w:eastAsia="Times New Roman" w:hAnsi="Arial" w:cs="Arial"/>
          <w:kern w:val="0"/>
          <w14:ligatures w14:val="none"/>
        </w:rPr>
        <w:t>The decline reflects slower movement and possible demand weakness. Improvements in 2023–2024 suggest better stock control or recovering sales, indicating enhanced operational efficiency after earlier deterioration.</w:t>
      </w:r>
    </w:p>
    <w:p w14:paraId="0E91FBA3" w14:textId="77777777" w:rsidR="008C5358" w:rsidRPr="00400CCD" w:rsidRDefault="008C5358" w:rsidP="00005668">
      <w:pPr>
        <w:spacing w:after="0" w:line="360" w:lineRule="auto"/>
        <w:jc w:val="both"/>
        <w:rPr>
          <w:rFonts w:ascii="Arial" w:eastAsia="Times New Roman" w:hAnsi="Arial" w:cs="Arial"/>
          <w:b/>
          <w:bCs/>
          <w:kern w:val="0"/>
          <w14:ligatures w14:val="none"/>
        </w:rPr>
      </w:pPr>
      <w:r w:rsidRPr="00400CCD">
        <w:rPr>
          <w:rFonts w:ascii="Arial" w:eastAsia="Times New Roman" w:hAnsi="Arial" w:cs="Arial"/>
          <w:b/>
          <w:bCs/>
          <w:kern w:val="0"/>
          <w14:ligatures w14:val="none"/>
        </w:rPr>
        <w:t xml:space="preserve">Receivable Days </w:t>
      </w:r>
    </w:p>
    <w:p w14:paraId="116F6293" w14:textId="77777777" w:rsidR="002E3036" w:rsidRDefault="008C5358" w:rsidP="00005668">
      <w:pPr>
        <w:spacing w:after="0" w:line="360" w:lineRule="auto"/>
        <w:jc w:val="both"/>
        <w:rPr>
          <w:rFonts w:ascii="Arial" w:eastAsia="Times New Roman" w:hAnsi="Arial" w:cs="Arial"/>
          <w:kern w:val="0"/>
          <w14:ligatures w14:val="none"/>
        </w:rPr>
      </w:pPr>
      <w:r w:rsidRPr="00005668">
        <w:rPr>
          <w:rFonts w:ascii="Arial" w:eastAsia="Times New Roman" w:hAnsi="Arial" w:cs="Arial"/>
          <w:kern w:val="0"/>
          <w14:ligatures w14:val="none"/>
        </w:rPr>
        <w:t>Receivable Days measure how long customers take to pay, indicating credit control effectiveness (Ross et al., 2022).</w:t>
      </w:r>
      <w:r w:rsidR="00F901A6" w:rsidRPr="00005668">
        <w:rPr>
          <w:rFonts w:ascii="Arial" w:eastAsia="Times New Roman" w:hAnsi="Arial" w:cs="Arial"/>
          <w:kern w:val="0"/>
          <w14:ligatures w14:val="none"/>
        </w:rPr>
        <w:t xml:space="preserve"> </w:t>
      </w:r>
      <w:r w:rsidR="002E3036" w:rsidRPr="002E3036">
        <w:rPr>
          <w:rFonts w:ascii="Arial" w:eastAsia="Times New Roman" w:hAnsi="Arial" w:cs="Arial"/>
          <w:kern w:val="0"/>
          <w14:ligatures w14:val="none"/>
        </w:rPr>
        <w:t>ising from 76.86 days in 2020 to 105.54 days in 2024 shows worsening payment delays. This deterioration weakens cash flow, increases working-capital pressure, and reflects poor credit management or weakened customer liquidity, posing significant financial risk.</w:t>
      </w:r>
    </w:p>
    <w:p w14:paraId="79256A61" w14:textId="77777777" w:rsidR="00F901A6" w:rsidRPr="00005668" w:rsidRDefault="00F901A6" w:rsidP="00005668">
      <w:pPr>
        <w:spacing w:after="0" w:line="360" w:lineRule="auto"/>
        <w:rPr>
          <w:rFonts w:ascii="Arial" w:eastAsia="Times New Roman" w:hAnsi="Arial" w:cs="Arial"/>
          <w:b/>
          <w:bCs/>
          <w:kern w:val="0"/>
          <w14:ligatures w14:val="none"/>
        </w:rPr>
      </w:pPr>
      <w:r w:rsidRPr="00005668">
        <w:rPr>
          <w:rFonts w:ascii="Arial" w:eastAsia="Times New Roman" w:hAnsi="Arial" w:cs="Arial"/>
          <w:b/>
          <w:bCs/>
          <w:kern w:val="0"/>
          <w14:ligatures w14:val="none"/>
        </w:rPr>
        <w:t xml:space="preserve">Payable Days </w:t>
      </w:r>
    </w:p>
    <w:p w14:paraId="2B6F084C" w14:textId="77777777" w:rsidR="00F901A6" w:rsidRDefault="00F901A6" w:rsidP="00005668">
      <w:pPr>
        <w:spacing w:after="0" w:line="360" w:lineRule="auto"/>
        <w:jc w:val="both"/>
        <w:rPr>
          <w:rFonts w:ascii="Arial" w:eastAsia="Times New Roman" w:hAnsi="Arial" w:cs="Arial"/>
          <w:kern w:val="0"/>
          <w14:ligatures w14:val="none"/>
        </w:rPr>
      </w:pPr>
      <w:r w:rsidRPr="00005668">
        <w:rPr>
          <w:rFonts w:ascii="Arial" w:eastAsia="Times New Roman" w:hAnsi="Arial" w:cs="Arial"/>
          <w:kern w:val="0"/>
          <w14:ligatures w14:val="none"/>
        </w:rPr>
        <w:t xml:space="preserve">Payable Days measure how long the firm takes to pay suppliers, reflecting working-capital management (Brigham &amp; Ehrhardt, 2019). </w:t>
      </w:r>
      <w:r w:rsidR="002E3036" w:rsidRPr="002E3036">
        <w:rPr>
          <w:rFonts w:ascii="Arial" w:eastAsia="Times New Roman" w:hAnsi="Arial" w:cs="Arial"/>
          <w:kern w:val="0"/>
          <w14:ligatures w14:val="none"/>
        </w:rPr>
        <w:t xml:space="preserve">The increase from 69.29 days to 93.60 days by 2024 shows growing payment delays. While it temporarily supports liquidity, it signals </w:t>
      </w:r>
      <w:r w:rsidR="002E3036" w:rsidRPr="002E3036">
        <w:rPr>
          <w:rFonts w:ascii="Arial" w:eastAsia="Times New Roman" w:hAnsi="Arial" w:cs="Arial"/>
          <w:kern w:val="0"/>
          <w14:ligatures w14:val="none"/>
        </w:rPr>
        <w:lastRenderedPageBreak/>
        <w:t>cash shortages and risks damaging supplier relationships, credit terms, and supply chain stability.</w:t>
      </w:r>
      <w:r w:rsidRPr="00005668">
        <w:rPr>
          <w:rFonts w:ascii="Arial" w:eastAsia="Times New Roman" w:hAnsi="Arial" w:cs="Arial"/>
          <w:kern w:val="0"/>
          <w14:ligatures w14:val="none"/>
        </w:rPr>
        <w:t xml:space="preserve"> </w:t>
      </w:r>
    </w:p>
    <w:p w14:paraId="5D9E053A" w14:textId="77777777" w:rsidR="008C5358" w:rsidRPr="002A1EAE" w:rsidRDefault="002A1EAE" w:rsidP="002A1EAE">
      <w:pPr>
        <w:spacing w:after="0" w:line="360" w:lineRule="auto"/>
        <w:jc w:val="center"/>
        <w:rPr>
          <w:rFonts w:ascii="Arial" w:eastAsia="Times New Roman" w:hAnsi="Arial" w:cs="Arial"/>
          <w:b/>
          <w:bCs/>
          <w:i/>
          <w:iCs/>
          <w:kern w:val="0"/>
          <w14:ligatures w14:val="none"/>
        </w:rPr>
      </w:pPr>
      <w:r w:rsidRPr="002A1EAE">
        <w:rPr>
          <w:rFonts w:ascii="Arial" w:eastAsia="Times New Roman" w:hAnsi="Arial" w:cs="Arial"/>
          <w:b/>
          <w:bCs/>
          <w:i/>
          <w:iCs/>
          <w:kern w:val="0"/>
          <w14:ligatures w14:val="none"/>
        </w:rPr>
        <w:t>Table</w:t>
      </w:r>
      <w:r>
        <w:rPr>
          <w:rFonts w:ascii="Arial" w:eastAsia="Times New Roman" w:hAnsi="Arial" w:cs="Arial"/>
          <w:b/>
          <w:bCs/>
          <w:i/>
          <w:iCs/>
          <w:kern w:val="0"/>
          <w14:ligatures w14:val="none"/>
        </w:rPr>
        <w:t xml:space="preserve"> </w:t>
      </w:r>
      <w:r w:rsidRPr="002A1EAE">
        <w:rPr>
          <w:rFonts w:ascii="Arial" w:eastAsia="Times New Roman" w:hAnsi="Arial" w:cs="Arial"/>
          <w:b/>
          <w:bCs/>
          <w:i/>
          <w:iCs/>
          <w:kern w:val="0"/>
          <w14:ligatures w14:val="none"/>
        </w:rPr>
        <w:t>3: Efficiency Ratio</w:t>
      </w:r>
    </w:p>
    <w:tbl>
      <w:tblPr>
        <w:tblW w:w="69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5"/>
        <w:gridCol w:w="1890"/>
        <w:gridCol w:w="1710"/>
        <w:gridCol w:w="1834"/>
      </w:tblGrid>
      <w:tr w:rsidR="00F901A6" w:rsidRPr="00005668" w14:paraId="0E2CFE2F" w14:textId="77777777" w:rsidTr="00F901A6">
        <w:trPr>
          <w:trHeight w:val="288"/>
          <w:jc w:val="center"/>
        </w:trPr>
        <w:tc>
          <w:tcPr>
            <w:tcW w:w="6959" w:type="dxa"/>
            <w:gridSpan w:val="4"/>
            <w:noWrap/>
            <w:vAlign w:val="bottom"/>
            <w:hideMark/>
          </w:tcPr>
          <w:p w14:paraId="123B7610" w14:textId="77777777" w:rsidR="00F901A6" w:rsidRPr="00005668" w:rsidRDefault="00F901A6" w:rsidP="00005668">
            <w:pPr>
              <w:spacing w:after="0" w:line="360" w:lineRule="auto"/>
              <w:jc w:val="center"/>
              <w:rPr>
                <w:rFonts w:ascii="Arial" w:eastAsia="Times New Roman" w:hAnsi="Arial" w:cs="Arial"/>
                <w:b/>
                <w:bCs/>
                <w:color w:val="000000"/>
                <w:kern w:val="0"/>
                <w14:ligatures w14:val="none"/>
              </w:rPr>
            </w:pPr>
            <w:r w:rsidRPr="00005668">
              <w:rPr>
                <w:rFonts w:ascii="Arial" w:eastAsia="Times New Roman" w:hAnsi="Arial" w:cs="Arial"/>
                <w:b/>
                <w:bCs/>
                <w:color w:val="000000"/>
                <w:kern w:val="0"/>
                <w14:ligatures w14:val="none"/>
              </w:rPr>
              <w:t>Efficiency Ratio</w:t>
            </w:r>
          </w:p>
        </w:tc>
      </w:tr>
      <w:tr w:rsidR="00F901A6" w:rsidRPr="00005668" w14:paraId="53E9B1CB" w14:textId="77777777" w:rsidTr="00F901A6">
        <w:trPr>
          <w:trHeight w:val="288"/>
          <w:jc w:val="center"/>
        </w:trPr>
        <w:tc>
          <w:tcPr>
            <w:tcW w:w="1525" w:type="dxa"/>
            <w:noWrap/>
            <w:vAlign w:val="bottom"/>
            <w:hideMark/>
          </w:tcPr>
          <w:p w14:paraId="6F2017A7" w14:textId="77777777" w:rsidR="00F901A6" w:rsidRPr="00005668" w:rsidRDefault="00F901A6" w:rsidP="00005668">
            <w:pPr>
              <w:spacing w:after="0" w:line="360" w:lineRule="auto"/>
              <w:jc w:val="center"/>
              <w:rPr>
                <w:rFonts w:ascii="Arial" w:eastAsia="Times New Roman" w:hAnsi="Arial" w:cs="Arial"/>
                <w:color w:val="000000"/>
                <w:kern w:val="0"/>
                <w14:ligatures w14:val="none"/>
              </w:rPr>
            </w:pPr>
          </w:p>
        </w:tc>
        <w:tc>
          <w:tcPr>
            <w:tcW w:w="1890" w:type="dxa"/>
            <w:noWrap/>
            <w:vAlign w:val="bottom"/>
            <w:hideMark/>
          </w:tcPr>
          <w:p w14:paraId="3D3865EB" w14:textId="77777777" w:rsidR="00F901A6" w:rsidRPr="00005668" w:rsidRDefault="00F901A6" w:rsidP="00005668">
            <w:pPr>
              <w:spacing w:after="0" w:line="360" w:lineRule="auto"/>
              <w:jc w:val="center"/>
              <w:rPr>
                <w:rFonts w:ascii="Arial" w:eastAsia="Times New Roman" w:hAnsi="Arial" w:cs="Arial"/>
                <w:kern w:val="0"/>
                <w14:ligatures w14:val="none"/>
              </w:rPr>
            </w:pPr>
          </w:p>
        </w:tc>
        <w:tc>
          <w:tcPr>
            <w:tcW w:w="1710" w:type="dxa"/>
            <w:noWrap/>
            <w:vAlign w:val="bottom"/>
            <w:hideMark/>
          </w:tcPr>
          <w:p w14:paraId="37AAB2C7" w14:textId="77777777" w:rsidR="00F901A6" w:rsidRPr="00005668" w:rsidRDefault="00F901A6" w:rsidP="00005668">
            <w:pPr>
              <w:spacing w:after="0" w:line="360" w:lineRule="auto"/>
              <w:jc w:val="center"/>
              <w:rPr>
                <w:rFonts w:ascii="Arial" w:eastAsia="Times New Roman" w:hAnsi="Arial" w:cs="Arial"/>
                <w:kern w:val="0"/>
                <w14:ligatures w14:val="none"/>
              </w:rPr>
            </w:pPr>
          </w:p>
        </w:tc>
        <w:tc>
          <w:tcPr>
            <w:tcW w:w="1834" w:type="dxa"/>
            <w:noWrap/>
            <w:vAlign w:val="bottom"/>
            <w:hideMark/>
          </w:tcPr>
          <w:p w14:paraId="2A993DEF" w14:textId="77777777" w:rsidR="00F901A6" w:rsidRPr="00005668" w:rsidRDefault="00F901A6" w:rsidP="00005668">
            <w:pPr>
              <w:spacing w:after="0" w:line="360" w:lineRule="auto"/>
              <w:jc w:val="center"/>
              <w:rPr>
                <w:rFonts w:ascii="Arial" w:eastAsia="Times New Roman" w:hAnsi="Arial" w:cs="Arial"/>
                <w:kern w:val="0"/>
                <w14:ligatures w14:val="none"/>
              </w:rPr>
            </w:pPr>
          </w:p>
        </w:tc>
      </w:tr>
      <w:tr w:rsidR="00F901A6" w:rsidRPr="00005668" w14:paraId="77439FAC" w14:textId="77777777" w:rsidTr="00F901A6">
        <w:trPr>
          <w:trHeight w:val="1152"/>
          <w:jc w:val="center"/>
        </w:trPr>
        <w:tc>
          <w:tcPr>
            <w:tcW w:w="1525" w:type="dxa"/>
            <w:vAlign w:val="center"/>
            <w:hideMark/>
          </w:tcPr>
          <w:p w14:paraId="4756ACE3" w14:textId="77777777" w:rsidR="00F901A6" w:rsidRPr="00005668" w:rsidRDefault="00F901A6" w:rsidP="00005668">
            <w:pPr>
              <w:spacing w:after="0" w:line="360" w:lineRule="auto"/>
              <w:jc w:val="center"/>
              <w:rPr>
                <w:rFonts w:ascii="Arial" w:eastAsia="Times New Roman" w:hAnsi="Arial" w:cs="Arial"/>
                <w:b/>
                <w:bCs/>
                <w:color w:val="000000"/>
                <w:kern w:val="0"/>
                <w14:ligatures w14:val="none"/>
              </w:rPr>
            </w:pPr>
            <w:r w:rsidRPr="00005668">
              <w:rPr>
                <w:rFonts w:ascii="Arial" w:eastAsia="Times New Roman" w:hAnsi="Arial" w:cs="Arial"/>
                <w:b/>
                <w:bCs/>
                <w:color w:val="000000"/>
                <w:kern w:val="0"/>
                <w14:ligatures w14:val="none"/>
              </w:rPr>
              <w:t>Year</w:t>
            </w:r>
          </w:p>
        </w:tc>
        <w:tc>
          <w:tcPr>
            <w:tcW w:w="1890" w:type="dxa"/>
            <w:vAlign w:val="center"/>
            <w:hideMark/>
          </w:tcPr>
          <w:p w14:paraId="633348C5" w14:textId="77777777" w:rsidR="00F901A6" w:rsidRPr="00005668" w:rsidRDefault="00F901A6" w:rsidP="00005668">
            <w:pPr>
              <w:spacing w:after="0" w:line="360" w:lineRule="auto"/>
              <w:jc w:val="center"/>
              <w:rPr>
                <w:rFonts w:ascii="Arial" w:eastAsia="Times New Roman" w:hAnsi="Arial" w:cs="Arial"/>
                <w:b/>
                <w:bCs/>
                <w:color w:val="000000"/>
                <w:kern w:val="0"/>
                <w14:ligatures w14:val="none"/>
              </w:rPr>
            </w:pPr>
            <w:r w:rsidRPr="00005668">
              <w:rPr>
                <w:rFonts w:ascii="Arial" w:eastAsia="Times New Roman" w:hAnsi="Arial" w:cs="Arial"/>
                <w:b/>
                <w:bCs/>
                <w:color w:val="000000"/>
                <w:kern w:val="0"/>
                <w14:ligatures w14:val="none"/>
              </w:rPr>
              <w:t>Inventory turnover (x)</w:t>
            </w:r>
          </w:p>
        </w:tc>
        <w:tc>
          <w:tcPr>
            <w:tcW w:w="1710" w:type="dxa"/>
            <w:vAlign w:val="center"/>
            <w:hideMark/>
          </w:tcPr>
          <w:p w14:paraId="417B9245" w14:textId="77777777" w:rsidR="00F901A6" w:rsidRPr="00005668" w:rsidRDefault="00F901A6" w:rsidP="00005668">
            <w:pPr>
              <w:spacing w:after="0" w:line="360" w:lineRule="auto"/>
              <w:jc w:val="center"/>
              <w:rPr>
                <w:rFonts w:ascii="Arial" w:eastAsia="Times New Roman" w:hAnsi="Arial" w:cs="Arial"/>
                <w:b/>
                <w:bCs/>
                <w:color w:val="000000"/>
                <w:kern w:val="0"/>
                <w14:ligatures w14:val="none"/>
              </w:rPr>
            </w:pPr>
            <w:r w:rsidRPr="00005668">
              <w:rPr>
                <w:rFonts w:ascii="Arial" w:eastAsia="Times New Roman" w:hAnsi="Arial" w:cs="Arial"/>
                <w:b/>
                <w:bCs/>
                <w:color w:val="000000"/>
                <w:kern w:val="0"/>
                <w14:ligatures w14:val="none"/>
              </w:rPr>
              <w:t>Receivable days</w:t>
            </w:r>
          </w:p>
        </w:tc>
        <w:tc>
          <w:tcPr>
            <w:tcW w:w="1834" w:type="dxa"/>
            <w:vAlign w:val="center"/>
            <w:hideMark/>
          </w:tcPr>
          <w:p w14:paraId="3CA73FB4" w14:textId="77777777" w:rsidR="00F901A6" w:rsidRPr="00005668" w:rsidRDefault="00F901A6" w:rsidP="00005668">
            <w:pPr>
              <w:spacing w:after="0" w:line="360" w:lineRule="auto"/>
              <w:jc w:val="center"/>
              <w:rPr>
                <w:rFonts w:ascii="Arial" w:eastAsia="Times New Roman" w:hAnsi="Arial" w:cs="Arial"/>
                <w:b/>
                <w:bCs/>
                <w:color w:val="000000"/>
                <w:kern w:val="0"/>
                <w14:ligatures w14:val="none"/>
              </w:rPr>
            </w:pPr>
            <w:r w:rsidRPr="00005668">
              <w:rPr>
                <w:rFonts w:ascii="Arial" w:eastAsia="Times New Roman" w:hAnsi="Arial" w:cs="Arial"/>
                <w:b/>
                <w:bCs/>
                <w:color w:val="000000"/>
                <w:kern w:val="0"/>
                <w14:ligatures w14:val="none"/>
              </w:rPr>
              <w:t>Payable days</w:t>
            </w:r>
          </w:p>
        </w:tc>
      </w:tr>
      <w:tr w:rsidR="00F901A6" w:rsidRPr="00005668" w14:paraId="2951ECC1" w14:textId="77777777" w:rsidTr="00F901A6">
        <w:trPr>
          <w:trHeight w:val="300"/>
          <w:jc w:val="center"/>
        </w:trPr>
        <w:tc>
          <w:tcPr>
            <w:tcW w:w="1525" w:type="dxa"/>
            <w:vAlign w:val="center"/>
            <w:hideMark/>
          </w:tcPr>
          <w:p w14:paraId="78518E08" w14:textId="77777777" w:rsidR="00F901A6" w:rsidRPr="00005668" w:rsidRDefault="00F901A6"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2020</w:t>
            </w:r>
          </w:p>
        </w:tc>
        <w:tc>
          <w:tcPr>
            <w:tcW w:w="1890" w:type="dxa"/>
            <w:noWrap/>
            <w:vAlign w:val="bottom"/>
            <w:hideMark/>
          </w:tcPr>
          <w:p w14:paraId="6BC2AF2E" w14:textId="77777777" w:rsidR="00F901A6" w:rsidRPr="00005668" w:rsidRDefault="00F901A6"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3.640</w:t>
            </w:r>
          </w:p>
        </w:tc>
        <w:tc>
          <w:tcPr>
            <w:tcW w:w="1710" w:type="dxa"/>
            <w:noWrap/>
            <w:vAlign w:val="bottom"/>
            <w:hideMark/>
          </w:tcPr>
          <w:p w14:paraId="26C775AB" w14:textId="77777777" w:rsidR="00F901A6" w:rsidRPr="00005668" w:rsidRDefault="00F901A6"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76.86</w:t>
            </w:r>
          </w:p>
        </w:tc>
        <w:tc>
          <w:tcPr>
            <w:tcW w:w="1834" w:type="dxa"/>
            <w:noWrap/>
            <w:vAlign w:val="bottom"/>
            <w:hideMark/>
          </w:tcPr>
          <w:p w14:paraId="4CF9E1A2" w14:textId="77777777" w:rsidR="00F901A6" w:rsidRPr="00005668" w:rsidRDefault="00F901A6"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69.290</w:t>
            </w:r>
          </w:p>
        </w:tc>
      </w:tr>
      <w:tr w:rsidR="00F901A6" w:rsidRPr="00005668" w14:paraId="348CB610" w14:textId="77777777" w:rsidTr="00F901A6">
        <w:trPr>
          <w:trHeight w:val="300"/>
          <w:jc w:val="center"/>
        </w:trPr>
        <w:tc>
          <w:tcPr>
            <w:tcW w:w="1525" w:type="dxa"/>
            <w:vAlign w:val="center"/>
            <w:hideMark/>
          </w:tcPr>
          <w:p w14:paraId="46F466FA" w14:textId="77777777" w:rsidR="00F901A6" w:rsidRPr="00005668" w:rsidRDefault="00F901A6"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2021</w:t>
            </w:r>
          </w:p>
        </w:tc>
        <w:tc>
          <w:tcPr>
            <w:tcW w:w="1890" w:type="dxa"/>
            <w:noWrap/>
            <w:vAlign w:val="bottom"/>
            <w:hideMark/>
          </w:tcPr>
          <w:p w14:paraId="291F6DDF" w14:textId="77777777" w:rsidR="00F901A6" w:rsidRPr="00005668" w:rsidRDefault="00F901A6"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3.187</w:t>
            </w:r>
          </w:p>
        </w:tc>
        <w:tc>
          <w:tcPr>
            <w:tcW w:w="1710" w:type="dxa"/>
            <w:noWrap/>
            <w:vAlign w:val="bottom"/>
            <w:hideMark/>
          </w:tcPr>
          <w:p w14:paraId="35C6D0D0" w14:textId="77777777" w:rsidR="00F901A6" w:rsidRPr="00005668" w:rsidRDefault="00F901A6"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78.40</w:t>
            </w:r>
          </w:p>
        </w:tc>
        <w:tc>
          <w:tcPr>
            <w:tcW w:w="1834" w:type="dxa"/>
            <w:noWrap/>
            <w:vAlign w:val="bottom"/>
            <w:hideMark/>
          </w:tcPr>
          <w:p w14:paraId="27459C5F" w14:textId="77777777" w:rsidR="00F901A6" w:rsidRPr="00005668" w:rsidRDefault="00F901A6"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78.953</w:t>
            </w:r>
          </w:p>
        </w:tc>
      </w:tr>
      <w:tr w:rsidR="00F901A6" w:rsidRPr="00005668" w14:paraId="740F1DAA" w14:textId="77777777" w:rsidTr="00F901A6">
        <w:trPr>
          <w:trHeight w:val="300"/>
          <w:jc w:val="center"/>
        </w:trPr>
        <w:tc>
          <w:tcPr>
            <w:tcW w:w="1525" w:type="dxa"/>
            <w:vAlign w:val="center"/>
            <w:hideMark/>
          </w:tcPr>
          <w:p w14:paraId="15315D94" w14:textId="77777777" w:rsidR="00F901A6" w:rsidRPr="00005668" w:rsidRDefault="00F901A6"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2022</w:t>
            </w:r>
          </w:p>
        </w:tc>
        <w:tc>
          <w:tcPr>
            <w:tcW w:w="1890" w:type="dxa"/>
            <w:noWrap/>
            <w:vAlign w:val="bottom"/>
            <w:hideMark/>
          </w:tcPr>
          <w:p w14:paraId="21DFC179" w14:textId="77777777" w:rsidR="00F901A6" w:rsidRPr="00005668" w:rsidRDefault="00F901A6"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2.785</w:t>
            </w:r>
          </w:p>
        </w:tc>
        <w:tc>
          <w:tcPr>
            <w:tcW w:w="1710" w:type="dxa"/>
            <w:noWrap/>
            <w:vAlign w:val="bottom"/>
            <w:hideMark/>
          </w:tcPr>
          <w:p w14:paraId="200DF61B" w14:textId="77777777" w:rsidR="00F901A6" w:rsidRPr="00005668" w:rsidRDefault="00F901A6"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75.55</w:t>
            </w:r>
          </w:p>
        </w:tc>
        <w:tc>
          <w:tcPr>
            <w:tcW w:w="1834" w:type="dxa"/>
            <w:noWrap/>
            <w:vAlign w:val="bottom"/>
            <w:hideMark/>
          </w:tcPr>
          <w:p w14:paraId="52A737A9" w14:textId="77777777" w:rsidR="00F901A6" w:rsidRPr="00005668" w:rsidRDefault="00F901A6"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66.719</w:t>
            </w:r>
          </w:p>
        </w:tc>
      </w:tr>
      <w:tr w:rsidR="00F901A6" w:rsidRPr="00005668" w14:paraId="2C24333F" w14:textId="77777777" w:rsidTr="00F901A6">
        <w:trPr>
          <w:trHeight w:val="300"/>
          <w:jc w:val="center"/>
        </w:trPr>
        <w:tc>
          <w:tcPr>
            <w:tcW w:w="1525" w:type="dxa"/>
            <w:vAlign w:val="center"/>
            <w:hideMark/>
          </w:tcPr>
          <w:p w14:paraId="02F209B5" w14:textId="77777777" w:rsidR="00F901A6" w:rsidRPr="00005668" w:rsidRDefault="00F901A6"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2023</w:t>
            </w:r>
          </w:p>
        </w:tc>
        <w:tc>
          <w:tcPr>
            <w:tcW w:w="1890" w:type="dxa"/>
            <w:noWrap/>
            <w:vAlign w:val="bottom"/>
            <w:hideMark/>
          </w:tcPr>
          <w:p w14:paraId="1A6B1D7A" w14:textId="77777777" w:rsidR="00F901A6" w:rsidRPr="00005668" w:rsidRDefault="00F901A6"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3.658</w:t>
            </w:r>
          </w:p>
        </w:tc>
        <w:tc>
          <w:tcPr>
            <w:tcW w:w="1710" w:type="dxa"/>
            <w:noWrap/>
            <w:vAlign w:val="bottom"/>
            <w:hideMark/>
          </w:tcPr>
          <w:p w14:paraId="1A56980F" w14:textId="77777777" w:rsidR="00F901A6" w:rsidRPr="00005668" w:rsidRDefault="00F901A6"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97.74</w:t>
            </w:r>
          </w:p>
        </w:tc>
        <w:tc>
          <w:tcPr>
            <w:tcW w:w="1834" w:type="dxa"/>
            <w:noWrap/>
            <w:vAlign w:val="bottom"/>
            <w:hideMark/>
          </w:tcPr>
          <w:p w14:paraId="07142D8D" w14:textId="77777777" w:rsidR="00F901A6" w:rsidRPr="00005668" w:rsidRDefault="00F901A6"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64.470</w:t>
            </w:r>
          </w:p>
        </w:tc>
      </w:tr>
      <w:tr w:rsidR="00F901A6" w:rsidRPr="00005668" w14:paraId="3CA30EDF" w14:textId="77777777" w:rsidTr="00F901A6">
        <w:trPr>
          <w:trHeight w:val="300"/>
          <w:jc w:val="center"/>
        </w:trPr>
        <w:tc>
          <w:tcPr>
            <w:tcW w:w="1525" w:type="dxa"/>
            <w:vAlign w:val="center"/>
            <w:hideMark/>
          </w:tcPr>
          <w:p w14:paraId="03CEB422" w14:textId="77777777" w:rsidR="00F901A6" w:rsidRPr="00005668" w:rsidRDefault="00F901A6"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2024</w:t>
            </w:r>
          </w:p>
        </w:tc>
        <w:tc>
          <w:tcPr>
            <w:tcW w:w="1890" w:type="dxa"/>
            <w:noWrap/>
            <w:vAlign w:val="bottom"/>
            <w:hideMark/>
          </w:tcPr>
          <w:p w14:paraId="2BE13154" w14:textId="77777777" w:rsidR="00F901A6" w:rsidRPr="00005668" w:rsidRDefault="00F901A6"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3.540</w:t>
            </w:r>
          </w:p>
        </w:tc>
        <w:tc>
          <w:tcPr>
            <w:tcW w:w="1710" w:type="dxa"/>
            <w:noWrap/>
            <w:vAlign w:val="bottom"/>
            <w:hideMark/>
          </w:tcPr>
          <w:p w14:paraId="792E2719" w14:textId="77777777" w:rsidR="00F901A6" w:rsidRPr="00005668" w:rsidRDefault="00F901A6"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105.54</w:t>
            </w:r>
          </w:p>
        </w:tc>
        <w:tc>
          <w:tcPr>
            <w:tcW w:w="1834" w:type="dxa"/>
            <w:noWrap/>
            <w:vAlign w:val="bottom"/>
            <w:hideMark/>
          </w:tcPr>
          <w:p w14:paraId="7A9EE423" w14:textId="77777777" w:rsidR="00F901A6" w:rsidRPr="00005668" w:rsidRDefault="00F901A6"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93.602</w:t>
            </w:r>
          </w:p>
        </w:tc>
      </w:tr>
    </w:tbl>
    <w:p w14:paraId="567E5A1A" w14:textId="77777777" w:rsidR="00F901A6" w:rsidRPr="00C74E38" w:rsidRDefault="00C74E38" w:rsidP="00C74E38">
      <w:pPr>
        <w:spacing w:after="0" w:line="360" w:lineRule="auto"/>
        <w:rPr>
          <w:rFonts w:ascii="Arial" w:hAnsi="Arial" w:cs="Arial"/>
          <w:sz w:val="22"/>
          <w:szCs w:val="22"/>
        </w:rPr>
      </w:pPr>
      <w:r w:rsidRPr="00C74E38">
        <w:rPr>
          <w:rFonts w:ascii="Arial" w:hAnsi="Arial" w:cs="Arial"/>
          <w:sz w:val="22"/>
          <w:szCs w:val="22"/>
        </w:rPr>
        <w:t xml:space="preserve">Source: </w:t>
      </w:r>
      <w:r>
        <w:rPr>
          <w:rFonts w:ascii="Arial" w:hAnsi="Arial" w:cs="Arial"/>
          <w:sz w:val="22"/>
          <w:szCs w:val="22"/>
        </w:rPr>
        <w:t>(</w:t>
      </w:r>
      <w:r w:rsidRPr="00C74E38">
        <w:rPr>
          <w:rFonts w:ascii="Arial" w:hAnsi="Arial" w:cs="Arial"/>
          <w:sz w:val="22"/>
          <w:szCs w:val="22"/>
        </w:rPr>
        <w:t>General Electronics annual report</w:t>
      </w:r>
      <w:r>
        <w:rPr>
          <w:rFonts w:ascii="Arial" w:hAnsi="Arial" w:cs="Arial"/>
          <w:sz w:val="22"/>
          <w:szCs w:val="22"/>
        </w:rPr>
        <w:t>)</w:t>
      </w:r>
    </w:p>
    <w:p w14:paraId="48537029" w14:textId="77777777" w:rsidR="008C5358" w:rsidRPr="002E3036" w:rsidRDefault="008C5358" w:rsidP="00005668">
      <w:pPr>
        <w:spacing w:after="0" w:line="360" w:lineRule="auto"/>
        <w:rPr>
          <w:rFonts w:ascii="Arial" w:eastAsia="Times New Roman" w:hAnsi="Arial" w:cs="Arial"/>
          <w:b/>
          <w:bCs/>
          <w:color w:val="0070C0"/>
          <w:kern w:val="0"/>
          <w14:ligatures w14:val="none"/>
        </w:rPr>
      </w:pPr>
      <w:r w:rsidRPr="002E3036">
        <w:rPr>
          <w:rFonts w:ascii="Arial" w:eastAsia="Times New Roman" w:hAnsi="Arial" w:cs="Arial"/>
          <w:b/>
          <w:bCs/>
          <w:color w:val="0070C0"/>
          <w:kern w:val="0"/>
          <w14:ligatures w14:val="none"/>
        </w:rPr>
        <w:t xml:space="preserve">Gearing Ratios </w:t>
      </w:r>
    </w:p>
    <w:p w14:paraId="4402B122" w14:textId="77777777" w:rsidR="008C5358" w:rsidRPr="00005668" w:rsidRDefault="008C5358" w:rsidP="00005668">
      <w:pPr>
        <w:spacing w:after="0" w:line="360" w:lineRule="auto"/>
        <w:jc w:val="both"/>
        <w:rPr>
          <w:rFonts w:ascii="Arial" w:eastAsia="Times New Roman" w:hAnsi="Arial" w:cs="Arial"/>
          <w:b/>
          <w:bCs/>
          <w:kern w:val="0"/>
          <w14:ligatures w14:val="none"/>
        </w:rPr>
      </w:pPr>
      <w:r w:rsidRPr="00005668">
        <w:rPr>
          <w:rFonts w:ascii="Arial" w:eastAsia="Times New Roman" w:hAnsi="Arial" w:cs="Arial"/>
          <w:b/>
          <w:bCs/>
          <w:kern w:val="0"/>
          <w14:ligatures w14:val="none"/>
        </w:rPr>
        <w:t>Debt-to-Equity Ratio</w:t>
      </w:r>
    </w:p>
    <w:p w14:paraId="36522FD5" w14:textId="77777777" w:rsidR="002E3036" w:rsidRDefault="008C5358" w:rsidP="00005668">
      <w:pPr>
        <w:spacing w:after="0" w:line="360" w:lineRule="auto"/>
        <w:jc w:val="both"/>
        <w:rPr>
          <w:rFonts w:ascii="Arial" w:eastAsia="Times New Roman" w:hAnsi="Arial" w:cs="Arial"/>
          <w:kern w:val="0"/>
          <w14:ligatures w14:val="none"/>
        </w:rPr>
      </w:pPr>
      <w:r w:rsidRPr="00005668">
        <w:rPr>
          <w:rFonts w:ascii="Arial" w:eastAsia="Times New Roman" w:hAnsi="Arial" w:cs="Arial"/>
          <w:kern w:val="0"/>
          <w14:ligatures w14:val="none"/>
        </w:rPr>
        <w:t xml:space="preserve">The debt-to-equity ratio measures leverage by comparing total debt with equity (Gitman &amp; Zutter, 2018). This ratio increased steadily from 0.629 (2020) to 1.112 (2024). </w:t>
      </w:r>
      <w:r w:rsidR="002E3036" w:rsidRPr="002E3036">
        <w:rPr>
          <w:rFonts w:ascii="Arial" w:eastAsia="Times New Roman" w:hAnsi="Arial" w:cs="Arial"/>
          <w:kern w:val="0"/>
          <w14:ligatures w14:val="none"/>
        </w:rPr>
        <w:t>Rising from 0.629 in 2020 to 1.112 in 2024 shows the firm now relies more on debt than equity. This increases solvency risk, reduces financial flexibility, raises interest costs, and reflects borrowing used to cover losses and cash shortages.</w:t>
      </w:r>
    </w:p>
    <w:p w14:paraId="0A01C6FD" w14:textId="77777777" w:rsidR="008C5358" w:rsidRPr="00400CCD" w:rsidRDefault="008C5358" w:rsidP="00005668">
      <w:pPr>
        <w:spacing w:after="0" w:line="360" w:lineRule="auto"/>
        <w:jc w:val="both"/>
        <w:rPr>
          <w:rFonts w:ascii="Arial" w:eastAsia="Times New Roman" w:hAnsi="Arial" w:cs="Arial"/>
          <w:b/>
          <w:bCs/>
          <w:kern w:val="0"/>
          <w14:ligatures w14:val="none"/>
        </w:rPr>
      </w:pPr>
      <w:r w:rsidRPr="00400CCD">
        <w:rPr>
          <w:rFonts w:ascii="Arial" w:eastAsia="Times New Roman" w:hAnsi="Arial" w:cs="Arial"/>
          <w:b/>
          <w:bCs/>
          <w:kern w:val="0"/>
          <w14:ligatures w14:val="none"/>
        </w:rPr>
        <w:t>Debt Ratio</w:t>
      </w:r>
    </w:p>
    <w:p w14:paraId="013B8BC4" w14:textId="77777777" w:rsidR="00C74E38" w:rsidRDefault="002E3036" w:rsidP="00005668">
      <w:pPr>
        <w:spacing w:after="0" w:line="360" w:lineRule="auto"/>
        <w:jc w:val="both"/>
        <w:rPr>
          <w:rFonts w:ascii="Arial" w:eastAsia="Times New Roman" w:hAnsi="Arial" w:cs="Arial"/>
          <w:kern w:val="0"/>
          <w14:ligatures w14:val="none"/>
        </w:rPr>
      </w:pPr>
      <w:r w:rsidRPr="002E3036">
        <w:rPr>
          <w:rFonts w:ascii="Arial" w:eastAsia="Times New Roman" w:hAnsi="Arial" w:cs="Arial"/>
          <w:kern w:val="0"/>
          <w14:ligatures w14:val="none"/>
        </w:rPr>
        <w:t>The debt ratio indicates the proportion of assets financed through debt (Higgins, 2015). It increases steadily to above 0.52 by 2024, meaning creditors fund more than half of total assets. This rising leverage aligns with weakened profitability and declining equity, signaling higher insolvency risk and increasing dependence on external financing to sustain operations</w:t>
      </w:r>
    </w:p>
    <w:p w14:paraId="646D85FD" w14:textId="77777777" w:rsidR="002E3036" w:rsidRDefault="00C74E38" w:rsidP="00A13EED">
      <w:pPr>
        <w:rPr>
          <w:rFonts w:ascii="Arial" w:eastAsia="Times New Roman" w:hAnsi="Arial" w:cs="Arial"/>
          <w:kern w:val="0"/>
          <w14:ligatures w14:val="none"/>
        </w:rPr>
      </w:pPr>
      <w:r>
        <w:rPr>
          <w:rFonts w:ascii="Arial" w:eastAsia="Times New Roman" w:hAnsi="Arial" w:cs="Arial"/>
          <w:kern w:val="0"/>
          <w14:ligatures w14:val="none"/>
        </w:rPr>
        <w:br w:type="page"/>
      </w:r>
    </w:p>
    <w:p w14:paraId="58BA260F" w14:textId="77777777" w:rsidR="002A1EAE" w:rsidRPr="002A1EAE" w:rsidRDefault="002A1EAE" w:rsidP="00C74E38">
      <w:pPr>
        <w:spacing w:after="0" w:line="360" w:lineRule="auto"/>
        <w:jc w:val="center"/>
        <w:rPr>
          <w:rFonts w:ascii="Arial" w:eastAsia="Times New Roman" w:hAnsi="Arial" w:cs="Arial"/>
          <w:b/>
          <w:bCs/>
          <w:i/>
          <w:iCs/>
          <w:kern w:val="0"/>
          <w14:ligatures w14:val="none"/>
        </w:rPr>
      </w:pPr>
      <w:r w:rsidRPr="002A1EAE">
        <w:rPr>
          <w:rFonts w:ascii="Arial" w:eastAsia="Times New Roman" w:hAnsi="Arial" w:cs="Arial"/>
          <w:b/>
          <w:bCs/>
          <w:i/>
          <w:iCs/>
          <w:kern w:val="0"/>
          <w14:ligatures w14:val="none"/>
        </w:rPr>
        <w:lastRenderedPageBreak/>
        <w:t>Table 4: Gearing Ratio</w:t>
      </w:r>
    </w:p>
    <w:p w14:paraId="7852E902" w14:textId="77777777" w:rsidR="00F901A6" w:rsidRPr="00005668" w:rsidRDefault="00F901A6" w:rsidP="00005668">
      <w:pPr>
        <w:spacing w:after="0" w:line="360" w:lineRule="auto"/>
        <w:jc w:val="both"/>
        <w:rPr>
          <w:rFonts w:ascii="Arial" w:eastAsia="Times New Roman" w:hAnsi="Arial" w:cs="Arial"/>
          <w:kern w:val="0"/>
          <w14:ligatures w14:val="none"/>
        </w:rPr>
      </w:pPr>
    </w:p>
    <w:tbl>
      <w:tblPr>
        <w:tblStyle w:val="TableGrid"/>
        <w:tblW w:w="3808" w:type="dxa"/>
        <w:jc w:val="center"/>
        <w:tblLook w:val="04A0" w:firstRow="1" w:lastRow="0" w:firstColumn="1" w:lastColumn="0" w:noHBand="0" w:noVBand="1"/>
      </w:tblPr>
      <w:tblGrid>
        <w:gridCol w:w="1199"/>
        <w:gridCol w:w="1550"/>
        <w:gridCol w:w="1059"/>
      </w:tblGrid>
      <w:tr w:rsidR="00F901A6" w:rsidRPr="00005668" w14:paraId="6E374B88" w14:textId="77777777" w:rsidTr="00C74E38">
        <w:trPr>
          <w:trHeight w:val="288"/>
          <w:jc w:val="center"/>
        </w:trPr>
        <w:tc>
          <w:tcPr>
            <w:tcW w:w="3808" w:type="dxa"/>
            <w:gridSpan w:val="3"/>
            <w:noWrap/>
            <w:hideMark/>
          </w:tcPr>
          <w:p w14:paraId="1FC1F095" w14:textId="77777777" w:rsidR="00F901A6" w:rsidRPr="00005668" w:rsidRDefault="00F901A6" w:rsidP="00005668">
            <w:pPr>
              <w:spacing w:line="360" w:lineRule="auto"/>
              <w:jc w:val="center"/>
              <w:rPr>
                <w:rFonts w:ascii="Arial" w:hAnsi="Arial" w:cs="Arial"/>
                <w:b/>
                <w:bCs/>
              </w:rPr>
            </w:pPr>
            <w:r w:rsidRPr="00005668">
              <w:rPr>
                <w:rFonts w:ascii="Arial" w:hAnsi="Arial" w:cs="Arial"/>
                <w:b/>
                <w:bCs/>
              </w:rPr>
              <w:t>Gearing Ratio</w:t>
            </w:r>
          </w:p>
        </w:tc>
      </w:tr>
      <w:tr w:rsidR="00F901A6" w:rsidRPr="00005668" w14:paraId="7EC7D964" w14:textId="77777777" w:rsidTr="00C74E38">
        <w:trPr>
          <w:trHeight w:val="288"/>
          <w:jc w:val="center"/>
        </w:trPr>
        <w:tc>
          <w:tcPr>
            <w:tcW w:w="1199" w:type="dxa"/>
            <w:noWrap/>
            <w:hideMark/>
          </w:tcPr>
          <w:p w14:paraId="5A59A494" w14:textId="77777777" w:rsidR="00F901A6" w:rsidRPr="00005668" w:rsidRDefault="00F901A6" w:rsidP="00005668">
            <w:pPr>
              <w:spacing w:line="360" w:lineRule="auto"/>
              <w:jc w:val="center"/>
              <w:rPr>
                <w:rFonts w:ascii="Arial" w:hAnsi="Arial" w:cs="Arial"/>
              </w:rPr>
            </w:pPr>
          </w:p>
        </w:tc>
        <w:tc>
          <w:tcPr>
            <w:tcW w:w="1550" w:type="dxa"/>
            <w:noWrap/>
            <w:hideMark/>
          </w:tcPr>
          <w:p w14:paraId="3C0BAB7D" w14:textId="77777777" w:rsidR="00F901A6" w:rsidRPr="00005668" w:rsidRDefault="00F901A6" w:rsidP="00005668">
            <w:pPr>
              <w:spacing w:line="360" w:lineRule="auto"/>
              <w:jc w:val="center"/>
              <w:rPr>
                <w:rFonts w:ascii="Arial" w:hAnsi="Arial" w:cs="Arial"/>
                <w:b/>
                <w:bCs/>
              </w:rPr>
            </w:pPr>
          </w:p>
        </w:tc>
        <w:tc>
          <w:tcPr>
            <w:tcW w:w="1059" w:type="dxa"/>
            <w:noWrap/>
            <w:hideMark/>
          </w:tcPr>
          <w:p w14:paraId="26BEBF91" w14:textId="77777777" w:rsidR="00F901A6" w:rsidRPr="00005668" w:rsidRDefault="00F901A6" w:rsidP="00005668">
            <w:pPr>
              <w:spacing w:line="360" w:lineRule="auto"/>
              <w:jc w:val="center"/>
              <w:rPr>
                <w:rFonts w:ascii="Arial" w:hAnsi="Arial" w:cs="Arial"/>
                <w:b/>
                <w:bCs/>
              </w:rPr>
            </w:pPr>
          </w:p>
        </w:tc>
      </w:tr>
      <w:tr w:rsidR="00F901A6" w:rsidRPr="00005668" w14:paraId="40194B21" w14:textId="77777777" w:rsidTr="00C74E38">
        <w:trPr>
          <w:trHeight w:val="1152"/>
          <w:jc w:val="center"/>
        </w:trPr>
        <w:tc>
          <w:tcPr>
            <w:tcW w:w="1199" w:type="dxa"/>
            <w:hideMark/>
          </w:tcPr>
          <w:p w14:paraId="53EBC89D" w14:textId="77777777" w:rsidR="00F901A6" w:rsidRPr="00005668" w:rsidRDefault="00F901A6" w:rsidP="00005668">
            <w:pPr>
              <w:spacing w:line="360" w:lineRule="auto"/>
              <w:jc w:val="center"/>
              <w:rPr>
                <w:rFonts w:ascii="Arial" w:hAnsi="Arial" w:cs="Arial"/>
                <w:b/>
                <w:bCs/>
              </w:rPr>
            </w:pPr>
            <w:r w:rsidRPr="00005668">
              <w:rPr>
                <w:rFonts w:ascii="Arial" w:hAnsi="Arial" w:cs="Arial"/>
                <w:b/>
                <w:bCs/>
              </w:rPr>
              <w:t>Year</w:t>
            </w:r>
          </w:p>
        </w:tc>
        <w:tc>
          <w:tcPr>
            <w:tcW w:w="1550" w:type="dxa"/>
            <w:hideMark/>
          </w:tcPr>
          <w:p w14:paraId="177C0F78" w14:textId="77777777" w:rsidR="00F901A6" w:rsidRPr="00005668" w:rsidRDefault="00F901A6" w:rsidP="00005668">
            <w:pPr>
              <w:spacing w:line="360" w:lineRule="auto"/>
              <w:jc w:val="center"/>
              <w:rPr>
                <w:rFonts w:ascii="Arial" w:hAnsi="Arial" w:cs="Arial"/>
                <w:b/>
                <w:bCs/>
              </w:rPr>
            </w:pPr>
            <w:r w:rsidRPr="00005668">
              <w:rPr>
                <w:rFonts w:ascii="Arial" w:hAnsi="Arial" w:cs="Arial"/>
                <w:b/>
                <w:bCs/>
              </w:rPr>
              <w:t>Debt/Equity</w:t>
            </w:r>
          </w:p>
        </w:tc>
        <w:tc>
          <w:tcPr>
            <w:tcW w:w="1059" w:type="dxa"/>
            <w:hideMark/>
          </w:tcPr>
          <w:p w14:paraId="0D6A3FAB" w14:textId="77777777" w:rsidR="00F901A6" w:rsidRPr="00005668" w:rsidRDefault="00F901A6" w:rsidP="00005668">
            <w:pPr>
              <w:spacing w:line="360" w:lineRule="auto"/>
              <w:jc w:val="center"/>
              <w:rPr>
                <w:rFonts w:ascii="Arial" w:hAnsi="Arial" w:cs="Arial"/>
                <w:b/>
                <w:bCs/>
              </w:rPr>
            </w:pPr>
            <w:r w:rsidRPr="00005668">
              <w:rPr>
                <w:rFonts w:ascii="Arial" w:hAnsi="Arial" w:cs="Arial"/>
                <w:b/>
                <w:bCs/>
              </w:rPr>
              <w:t>Debt Ratio</w:t>
            </w:r>
          </w:p>
        </w:tc>
      </w:tr>
      <w:tr w:rsidR="00F901A6" w:rsidRPr="00005668" w14:paraId="29A7F3B7" w14:textId="77777777" w:rsidTr="00C74E38">
        <w:trPr>
          <w:trHeight w:val="300"/>
          <w:jc w:val="center"/>
        </w:trPr>
        <w:tc>
          <w:tcPr>
            <w:tcW w:w="1199" w:type="dxa"/>
            <w:hideMark/>
          </w:tcPr>
          <w:p w14:paraId="2563F9D2" w14:textId="77777777" w:rsidR="00F901A6" w:rsidRPr="00005668" w:rsidRDefault="00F901A6" w:rsidP="00005668">
            <w:pPr>
              <w:spacing w:line="360" w:lineRule="auto"/>
              <w:jc w:val="center"/>
              <w:rPr>
                <w:rFonts w:ascii="Arial" w:hAnsi="Arial" w:cs="Arial"/>
              </w:rPr>
            </w:pPr>
            <w:r w:rsidRPr="00005668">
              <w:rPr>
                <w:rFonts w:ascii="Arial" w:hAnsi="Arial" w:cs="Arial"/>
              </w:rPr>
              <w:t>2020</w:t>
            </w:r>
          </w:p>
        </w:tc>
        <w:tc>
          <w:tcPr>
            <w:tcW w:w="1550" w:type="dxa"/>
            <w:noWrap/>
            <w:hideMark/>
          </w:tcPr>
          <w:p w14:paraId="0773B60C" w14:textId="77777777" w:rsidR="00F901A6" w:rsidRPr="00005668" w:rsidRDefault="00F901A6" w:rsidP="00005668">
            <w:pPr>
              <w:spacing w:line="360" w:lineRule="auto"/>
              <w:jc w:val="center"/>
              <w:rPr>
                <w:rFonts w:ascii="Arial" w:hAnsi="Arial" w:cs="Arial"/>
              </w:rPr>
            </w:pPr>
            <w:r w:rsidRPr="00005668">
              <w:rPr>
                <w:rFonts w:ascii="Arial" w:hAnsi="Arial" w:cs="Arial"/>
              </w:rPr>
              <w:t>0.629</w:t>
            </w:r>
          </w:p>
        </w:tc>
        <w:tc>
          <w:tcPr>
            <w:tcW w:w="1059" w:type="dxa"/>
            <w:noWrap/>
            <w:hideMark/>
          </w:tcPr>
          <w:p w14:paraId="7D1BAC25" w14:textId="77777777" w:rsidR="00F901A6" w:rsidRPr="00005668" w:rsidRDefault="00F901A6" w:rsidP="00005668">
            <w:pPr>
              <w:spacing w:line="360" w:lineRule="auto"/>
              <w:jc w:val="center"/>
              <w:rPr>
                <w:rFonts w:ascii="Arial" w:hAnsi="Arial" w:cs="Arial"/>
              </w:rPr>
            </w:pPr>
            <w:r w:rsidRPr="00005668">
              <w:rPr>
                <w:rFonts w:ascii="Arial" w:hAnsi="Arial" w:cs="Arial"/>
              </w:rPr>
              <w:t>0.3860</w:t>
            </w:r>
          </w:p>
        </w:tc>
      </w:tr>
      <w:tr w:rsidR="00F901A6" w:rsidRPr="00005668" w14:paraId="1CE27788" w14:textId="77777777" w:rsidTr="00C74E38">
        <w:trPr>
          <w:trHeight w:val="300"/>
          <w:jc w:val="center"/>
        </w:trPr>
        <w:tc>
          <w:tcPr>
            <w:tcW w:w="1199" w:type="dxa"/>
            <w:hideMark/>
          </w:tcPr>
          <w:p w14:paraId="2B3D7917" w14:textId="77777777" w:rsidR="00F901A6" w:rsidRPr="00005668" w:rsidRDefault="00F901A6" w:rsidP="00005668">
            <w:pPr>
              <w:spacing w:line="360" w:lineRule="auto"/>
              <w:jc w:val="center"/>
              <w:rPr>
                <w:rFonts w:ascii="Arial" w:hAnsi="Arial" w:cs="Arial"/>
              </w:rPr>
            </w:pPr>
            <w:r w:rsidRPr="00005668">
              <w:rPr>
                <w:rFonts w:ascii="Arial" w:hAnsi="Arial" w:cs="Arial"/>
              </w:rPr>
              <w:t>2021</w:t>
            </w:r>
          </w:p>
        </w:tc>
        <w:tc>
          <w:tcPr>
            <w:tcW w:w="1550" w:type="dxa"/>
            <w:noWrap/>
            <w:hideMark/>
          </w:tcPr>
          <w:p w14:paraId="705B3760" w14:textId="77777777" w:rsidR="00F901A6" w:rsidRPr="00005668" w:rsidRDefault="00F901A6" w:rsidP="00005668">
            <w:pPr>
              <w:spacing w:line="360" w:lineRule="auto"/>
              <w:jc w:val="center"/>
              <w:rPr>
                <w:rFonts w:ascii="Arial" w:hAnsi="Arial" w:cs="Arial"/>
              </w:rPr>
            </w:pPr>
            <w:r w:rsidRPr="00005668">
              <w:rPr>
                <w:rFonts w:ascii="Arial" w:hAnsi="Arial" w:cs="Arial"/>
              </w:rPr>
              <w:t>0.849</w:t>
            </w:r>
          </w:p>
        </w:tc>
        <w:tc>
          <w:tcPr>
            <w:tcW w:w="1059" w:type="dxa"/>
            <w:noWrap/>
            <w:hideMark/>
          </w:tcPr>
          <w:p w14:paraId="76685DC6" w14:textId="77777777" w:rsidR="00F901A6" w:rsidRPr="00005668" w:rsidRDefault="00F901A6" w:rsidP="00005668">
            <w:pPr>
              <w:spacing w:line="360" w:lineRule="auto"/>
              <w:jc w:val="center"/>
              <w:rPr>
                <w:rFonts w:ascii="Arial" w:hAnsi="Arial" w:cs="Arial"/>
              </w:rPr>
            </w:pPr>
            <w:r w:rsidRPr="00005668">
              <w:rPr>
                <w:rFonts w:ascii="Arial" w:hAnsi="Arial" w:cs="Arial"/>
              </w:rPr>
              <w:t>0.4593</w:t>
            </w:r>
          </w:p>
        </w:tc>
      </w:tr>
      <w:tr w:rsidR="00F901A6" w:rsidRPr="00005668" w14:paraId="0EFDD978" w14:textId="77777777" w:rsidTr="00C74E38">
        <w:trPr>
          <w:trHeight w:val="300"/>
          <w:jc w:val="center"/>
        </w:trPr>
        <w:tc>
          <w:tcPr>
            <w:tcW w:w="1199" w:type="dxa"/>
            <w:hideMark/>
          </w:tcPr>
          <w:p w14:paraId="371066F6" w14:textId="77777777" w:rsidR="00F901A6" w:rsidRPr="00005668" w:rsidRDefault="00F901A6" w:rsidP="00005668">
            <w:pPr>
              <w:spacing w:line="360" w:lineRule="auto"/>
              <w:jc w:val="center"/>
              <w:rPr>
                <w:rFonts w:ascii="Arial" w:hAnsi="Arial" w:cs="Arial"/>
              </w:rPr>
            </w:pPr>
            <w:r w:rsidRPr="00005668">
              <w:rPr>
                <w:rFonts w:ascii="Arial" w:hAnsi="Arial" w:cs="Arial"/>
              </w:rPr>
              <w:t>2022</w:t>
            </w:r>
          </w:p>
        </w:tc>
        <w:tc>
          <w:tcPr>
            <w:tcW w:w="1550" w:type="dxa"/>
            <w:noWrap/>
            <w:hideMark/>
          </w:tcPr>
          <w:p w14:paraId="0B4ABAF2" w14:textId="77777777" w:rsidR="00F901A6" w:rsidRPr="00005668" w:rsidRDefault="00F901A6" w:rsidP="00005668">
            <w:pPr>
              <w:spacing w:line="360" w:lineRule="auto"/>
              <w:jc w:val="center"/>
              <w:rPr>
                <w:rFonts w:ascii="Arial" w:hAnsi="Arial" w:cs="Arial"/>
              </w:rPr>
            </w:pPr>
            <w:r w:rsidRPr="00005668">
              <w:rPr>
                <w:rFonts w:ascii="Arial" w:hAnsi="Arial" w:cs="Arial"/>
              </w:rPr>
              <w:t>0.878</w:t>
            </w:r>
          </w:p>
        </w:tc>
        <w:tc>
          <w:tcPr>
            <w:tcW w:w="1059" w:type="dxa"/>
            <w:noWrap/>
            <w:hideMark/>
          </w:tcPr>
          <w:p w14:paraId="4CF285A5" w14:textId="77777777" w:rsidR="00F901A6" w:rsidRPr="00005668" w:rsidRDefault="00F901A6" w:rsidP="00005668">
            <w:pPr>
              <w:spacing w:line="360" w:lineRule="auto"/>
              <w:jc w:val="center"/>
              <w:rPr>
                <w:rFonts w:ascii="Arial" w:hAnsi="Arial" w:cs="Arial"/>
              </w:rPr>
            </w:pPr>
            <w:r w:rsidRPr="00005668">
              <w:rPr>
                <w:rFonts w:ascii="Arial" w:hAnsi="Arial" w:cs="Arial"/>
              </w:rPr>
              <w:t>0.4676</w:t>
            </w:r>
          </w:p>
        </w:tc>
      </w:tr>
      <w:tr w:rsidR="00F901A6" w:rsidRPr="00005668" w14:paraId="58C98542" w14:textId="77777777" w:rsidTr="00C74E38">
        <w:trPr>
          <w:trHeight w:val="300"/>
          <w:jc w:val="center"/>
        </w:trPr>
        <w:tc>
          <w:tcPr>
            <w:tcW w:w="1199" w:type="dxa"/>
            <w:hideMark/>
          </w:tcPr>
          <w:p w14:paraId="3B8C91DB" w14:textId="77777777" w:rsidR="00F901A6" w:rsidRPr="00005668" w:rsidRDefault="00F901A6" w:rsidP="00005668">
            <w:pPr>
              <w:spacing w:line="360" w:lineRule="auto"/>
              <w:jc w:val="center"/>
              <w:rPr>
                <w:rFonts w:ascii="Arial" w:hAnsi="Arial" w:cs="Arial"/>
              </w:rPr>
            </w:pPr>
            <w:r w:rsidRPr="00005668">
              <w:rPr>
                <w:rFonts w:ascii="Arial" w:hAnsi="Arial" w:cs="Arial"/>
              </w:rPr>
              <w:t>2023</w:t>
            </w:r>
          </w:p>
        </w:tc>
        <w:tc>
          <w:tcPr>
            <w:tcW w:w="1550" w:type="dxa"/>
            <w:noWrap/>
            <w:hideMark/>
          </w:tcPr>
          <w:p w14:paraId="1AC4606B" w14:textId="77777777" w:rsidR="00F901A6" w:rsidRPr="00005668" w:rsidRDefault="00F901A6" w:rsidP="00005668">
            <w:pPr>
              <w:spacing w:line="360" w:lineRule="auto"/>
              <w:jc w:val="center"/>
              <w:rPr>
                <w:rFonts w:ascii="Arial" w:hAnsi="Arial" w:cs="Arial"/>
              </w:rPr>
            </w:pPr>
            <w:r w:rsidRPr="00005668">
              <w:rPr>
                <w:rFonts w:ascii="Arial" w:hAnsi="Arial" w:cs="Arial"/>
              </w:rPr>
              <w:t>0.989</w:t>
            </w:r>
          </w:p>
        </w:tc>
        <w:tc>
          <w:tcPr>
            <w:tcW w:w="1059" w:type="dxa"/>
            <w:noWrap/>
            <w:hideMark/>
          </w:tcPr>
          <w:p w14:paraId="7AB3A4E3" w14:textId="77777777" w:rsidR="00F901A6" w:rsidRPr="00005668" w:rsidRDefault="00F901A6" w:rsidP="00005668">
            <w:pPr>
              <w:spacing w:line="360" w:lineRule="auto"/>
              <w:jc w:val="center"/>
              <w:rPr>
                <w:rFonts w:ascii="Arial" w:hAnsi="Arial" w:cs="Arial"/>
              </w:rPr>
            </w:pPr>
            <w:r w:rsidRPr="00005668">
              <w:rPr>
                <w:rFonts w:ascii="Arial" w:hAnsi="Arial" w:cs="Arial"/>
              </w:rPr>
              <w:t>0.4972</w:t>
            </w:r>
          </w:p>
        </w:tc>
      </w:tr>
      <w:tr w:rsidR="00F901A6" w:rsidRPr="00005668" w14:paraId="777CDABB" w14:textId="77777777" w:rsidTr="00C74E38">
        <w:trPr>
          <w:trHeight w:val="300"/>
          <w:jc w:val="center"/>
        </w:trPr>
        <w:tc>
          <w:tcPr>
            <w:tcW w:w="1199" w:type="dxa"/>
            <w:hideMark/>
          </w:tcPr>
          <w:p w14:paraId="460A2B4A" w14:textId="77777777" w:rsidR="00F901A6" w:rsidRPr="00005668" w:rsidRDefault="00F901A6" w:rsidP="00005668">
            <w:pPr>
              <w:spacing w:line="360" w:lineRule="auto"/>
              <w:jc w:val="center"/>
              <w:rPr>
                <w:rFonts w:ascii="Arial" w:hAnsi="Arial" w:cs="Arial"/>
              </w:rPr>
            </w:pPr>
            <w:r w:rsidRPr="00005668">
              <w:rPr>
                <w:rFonts w:ascii="Arial" w:hAnsi="Arial" w:cs="Arial"/>
              </w:rPr>
              <w:t>2024</w:t>
            </w:r>
          </w:p>
        </w:tc>
        <w:tc>
          <w:tcPr>
            <w:tcW w:w="1550" w:type="dxa"/>
            <w:noWrap/>
            <w:hideMark/>
          </w:tcPr>
          <w:p w14:paraId="0F2B8875" w14:textId="77777777" w:rsidR="00F901A6" w:rsidRPr="00005668" w:rsidRDefault="00F901A6" w:rsidP="00005668">
            <w:pPr>
              <w:spacing w:line="360" w:lineRule="auto"/>
              <w:jc w:val="center"/>
              <w:rPr>
                <w:rFonts w:ascii="Arial" w:hAnsi="Arial" w:cs="Arial"/>
              </w:rPr>
            </w:pPr>
            <w:r w:rsidRPr="00005668">
              <w:rPr>
                <w:rFonts w:ascii="Arial" w:hAnsi="Arial" w:cs="Arial"/>
              </w:rPr>
              <w:t>1.112</w:t>
            </w:r>
          </w:p>
        </w:tc>
        <w:tc>
          <w:tcPr>
            <w:tcW w:w="1059" w:type="dxa"/>
            <w:noWrap/>
            <w:hideMark/>
          </w:tcPr>
          <w:p w14:paraId="141EAA6D" w14:textId="77777777" w:rsidR="00F901A6" w:rsidRPr="00005668" w:rsidRDefault="00F901A6" w:rsidP="00005668">
            <w:pPr>
              <w:spacing w:line="360" w:lineRule="auto"/>
              <w:jc w:val="center"/>
              <w:rPr>
                <w:rFonts w:ascii="Arial" w:hAnsi="Arial" w:cs="Arial"/>
              </w:rPr>
            </w:pPr>
            <w:r w:rsidRPr="00005668">
              <w:rPr>
                <w:rFonts w:ascii="Arial" w:hAnsi="Arial" w:cs="Arial"/>
              </w:rPr>
              <w:t>0.5265</w:t>
            </w:r>
          </w:p>
        </w:tc>
      </w:tr>
    </w:tbl>
    <w:p w14:paraId="0BE02E8C" w14:textId="77777777" w:rsidR="00F901A6" w:rsidRPr="00C74E38" w:rsidRDefault="00C74E38" w:rsidP="00005668">
      <w:pPr>
        <w:spacing w:after="0" w:line="360" w:lineRule="auto"/>
        <w:rPr>
          <w:rFonts w:ascii="Arial" w:hAnsi="Arial" w:cs="Arial"/>
          <w:sz w:val="22"/>
          <w:szCs w:val="22"/>
        </w:rPr>
      </w:pPr>
      <w:r w:rsidRPr="00C74E38">
        <w:rPr>
          <w:rFonts w:ascii="Arial" w:hAnsi="Arial" w:cs="Arial"/>
          <w:sz w:val="22"/>
          <w:szCs w:val="22"/>
        </w:rPr>
        <w:t xml:space="preserve">Source: </w:t>
      </w:r>
      <w:r>
        <w:rPr>
          <w:rFonts w:ascii="Arial" w:hAnsi="Arial" w:cs="Arial"/>
          <w:sz w:val="22"/>
          <w:szCs w:val="22"/>
        </w:rPr>
        <w:t>(</w:t>
      </w:r>
      <w:r w:rsidRPr="00C74E38">
        <w:rPr>
          <w:rFonts w:ascii="Arial" w:hAnsi="Arial" w:cs="Arial"/>
          <w:sz w:val="22"/>
          <w:szCs w:val="22"/>
        </w:rPr>
        <w:t>General Electronics annual report</w:t>
      </w:r>
      <w:r>
        <w:rPr>
          <w:rFonts w:ascii="Arial" w:hAnsi="Arial" w:cs="Arial"/>
          <w:sz w:val="22"/>
          <w:szCs w:val="22"/>
        </w:rPr>
        <w:t>)</w:t>
      </w:r>
    </w:p>
    <w:p w14:paraId="32667904" w14:textId="77777777" w:rsidR="008C5358" w:rsidRPr="00400CCD" w:rsidRDefault="008C5358" w:rsidP="00005668">
      <w:pPr>
        <w:spacing w:after="0" w:line="360" w:lineRule="auto"/>
        <w:jc w:val="both"/>
        <w:rPr>
          <w:rFonts w:ascii="Arial" w:eastAsia="Times New Roman" w:hAnsi="Arial" w:cs="Arial"/>
          <w:b/>
          <w:bCs/>
          <w:color w:val="4472C4" w:themeColor="accent1"/>
          <w:kern w:val="0"/>
          <w14:ligatures w14:val="none"/>
        </w:rPr>
      </w:pPr>
      <w:r w:rsidRPr="00400CCD">
        <w:rPr>
          <w:rFonts w:ascii="Arial" w:eastAsia="Times New Roman" w:hAnsi="Arial" w:cs="Arial"/>
          <w:b/>
          <w:bCs/>
          <w:color w:val="4472C4" w:themeColor="accent1"/>
          <w:kern w:val="0"/>
          <w14:ligatures w14:val="none"/>
        </w:rPr>
        <w:t xml:space="preserve"> Cash Flow Ratios </w:t>
      </w:r>
    </w:p>
    <w:p w14:paraId="203D6539" w14:textId="77777777" w:rsidR="008C5358" w:rsidRPr="00400CCD" w:rsidRDefault="008C5358" w:rsidP="00005668">
      <w:pPr>
        <w:spacing w:after="0" w:line="360" w:lineRule="auto"/>
        <w:jc w:val="both"/>
        <w:rPr>
          <w:rFonts w:ascii="Arial" w:eastAsia="Times New Roman" w:hAnsi="Arial" w:cs="Arial"/>
          <w:b/>
          <w:bCs/>
          <w:kern w:val="0"/>
          <w14:ligatures w14:val="none"/>
        </w:rPr>
      </w:pPr>
      <w:r w:rsidRPr="00400CCD">
        <w:rPr>
          <w:rFonts w:ascii="Arial" w:eastAsia="Times New Roman" w:hAnsi="Arial" w:cs="Arial"/>
          <w:b/>
          <w:bCs/>
          <w:kern w:val="0"/>
          <w14:ligatures w14:val="none"/>
        </w:rPr>
        <w:t>Operating Cash Flow to Sales</w:t>
      </w:r>
    </w:p>
    <w:p w14:paraId="6E60FC38" w14:textId="77777777" w:rsidR="002E3036" w:rsidRDefault="002E3036" w:rsidP="00005668">
      <w:pPr>
        <w:spacing w:after="0" w:line="360" w:lineRule="auto"/>
        <w:jc w:val="both"/>
        <w:rPr>
          <w:rFonts w:ascii="Arial" w:eastAsia="Times New Roman" w:hAnsi="Arial" w:cs="Arial"/>
          <w:kern w:val="0"/>
          <w14:ligatures w14:val="none"/>
        </w:rPr>
      </w:pPr>
      <w:r w:rsidRPr="002E3036">
        <w:rPr>
          <w:rFonts w:ascii="Arial" w:eastAsia="Times New Roman" w:hAnsi="Arial" w:cs="Arial"/>
          <w:kern w:val="0"/>
          <w14:ligatures w14:val="none"/>
        </w:rPr>
        <w:t>This ratio measures cash generated from core operations per unit of sales (Ross et al., 2022). Strong performance in 2020 (0.409) declines sharply to 0.050 by 2022, showing weakened operational efficiency. Although improving in 2023, it falls again in 2024, indicating ongoing structural issues and reduced ability to convert sales into cash.</w:t>
      </w:r>
    </w:p>
    <w:p w14:paraId="19B8D93F" w14:textId="77777777" w:rsidR="008C5358" w:rsidRPr="00400CCD" w:rsidRDefault="008C5358" w:rsidP="00005668">
      <w:pPr>
        <w:spacing w:after="0" w:line="360" w:lineRule="auto"/>
        <w:jc w:val="both"/>
        <w:rPr>
          <w:rFonts w:ascii="Arial" w:eastAsia="Times New Roman" w:hAnsi="Arial" w:cs="Arial"/>
          <w:b/>
          <w:bCs/>
          <w:kern w:val="0"/>
          <w14:ligatures w14:val="none"/>
        </w:rPr>
      </w:pPr>
      <w:r w:rsidRPr="00400CCD">
        <w:rPr>
          <w:rFonts w:ascii="Arial" w:eastAsia="Times New Roman" w:hAnsi="Arial" w:cs="Arial"/>
          <w:b/>
          <w:bCs/>
          <w:kern w:val="0"/>
          <w14:ligatures w14:val="none"/>
        </w:rPr>
        <w:t>Cash Flow to Debt Ratio</w:t>
      </w:r>
    </w:p>
    <w:p w14:paraId="637304C0" w14:textId="77777777" w:rsidR="002E3036" w:rsidRDefault="002E3036" w:rsidP="002E3036">
      <w:pPr>
        <w:spacing w:after="0" w:line="360" w:lineRule="auto"/>
        <w:jc w:val="both"/>
        <w:rPr>
          <w:rFonts w:ascii="Arial" w:eastAsia="Times New Roman" w:hAnsi="Arial" w:cs="Arial"/>
          <w:kern w:val="0"/>
          <w14:ligatures w14:val="none"/>
        </w:rPr>
      </w:pPr>
      <w:r w:rsidRPr="002E3036">
        <w:rPr>
          <w:rFonts w:ascii="Arial" w:eastAsia="Times New Roman" w:hAnsi="Arial" w:cs="Arial"/>
          <w:kern w:val="0"/>
          <w14:ligatures w14:val="none"/>
        </w:rPr>
        <w:t xml:space="preserve">This ratio assesses the firm's ability to service debt using operating cash flows (Brigham &amp; Ehrhardt, 2019). The sharp decline from 0.373 in 2020 to below 0.05 by 2022 shows weakening debt-servicing capacity. Despite a small recovery in 2024 (0.087), cash flows remain insufficient, </w:t>
      </w:r>
      <w:r w:rsidR="002A1EAE" w:rsidRPr="002E3036">
        <w:rPr>
          <w:rFonts w:ascii="Arial" w:eastAsia="Times New Roman" w:hAnsi="Arial" w:cs="Arial"/>
          <w:kern w:val="0"/>
          <w14:ligatures w14:val="none"/>
        </w:rPr>
        <w:t>signaling</w:t>
      </w:r>
      <w:r w:rsidRPr="002E3036">
        <w:rPr>
          <w:rFonts w:ascii="Arial" w:eastAsia="Times New Roman" w:hAnsi="Arial" w:cs="Arial"/>
          <w:kern w:val="0"/>
          <w14:ligatures w14:val="none"/>
        </w:rPr>
        <w:t xml:space="preserve"> heightened financial vulnerability and reliance on external funding.</w:t>
      </w:r>
    </w:p>
    <w:p w14:paraId="4E8A22CD" w14:textId="77777777" w:rsidR="008C5358" w:rsidRPr="002A1EAE" w:rsidRDefault="002A1EAE" w:rsidP="002A1EAE">
      <w:pPr>
        <w:spacing w:after="0" w:line="360" w:lineRule="auto"/>
        <w:jc w:val="center"/>
        <w:rPr>
          <w:rFonts w:ascii="Arial" w:eastAsia="Times New Roman" w:hAnsi="Arial" w:cs="Arial"/>
          <w:b/>
          <w:bCs/>
          <w:i/>
          <w:iCs/>
          <w:kern w:val="0"/>
          <w14:ligatures w14:val="none"/>
        </w:rPr>
      </w:pPr>
      <w:r w:rsidRPr="002A1EAE">
        <w:rPr>
          <w:rFonts w:ascii="Arial" w:eastAsia="Times New Roman" w:hAnsi="Arial" w:cs="Arial"/>
          <w:b/>
          <w:bCs/>
          <w:i/>
          <w:iCs/>
          <w:kern w:val="0"/>
          <w14:ligatures w14:val="none"/>
        </w:rPr>
        <w:t>Table 5: Cashflow Ratio</w:t>
      </w:r>
    </w:p>
    <w:tbl>
      <w:tblPr>
        <w:tblW w:w="60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5"/>
        <w:gridCol w:w="2430"/>
        <w:gridCol w:w="2363"/>
      </w:tblGrid>
      <w:tr w:rsidR="00F901A6" w:rsidRPr="00005668" w14:paraId="7333613C" w14:textId="77777777" w:rsidTr="00F901A6">
        <w:trPr>
          <w:trHeight w:val="288"/>
          <w:jc w:val="center"/>
        </w:trPr>
        <w:tc>
          <w:tcPr>
            <w:tcW w:w="6048" w:type="dxa"/>
            <w:gridSpan w:val="3"/>
            <w:noWrap/>
            <w:vAlign w:val="bottom"/>
            <w:hideMark/>
          </w:tcPr>
          <w:p w14:paraId="2465DF47" w14:textId="77777777" w:rsidR="00F901A6" w:rsidRPr="00005668" w:rsidRDefault="00F901A6" w:rsidP="00005668">
            <w:pPr>
              <w:spacing w:after="0" w:line="360" w:lineRule="auto"/>
              <w:jc w:val="center"/>
              <w:rPr>
                <w:rFonts w:ascii="Arial" w:eastAsia="Times New Roman" w:hAnsi="Arial" w:cs="Arial"/>
                <w:b/>
                <w:bCs/>
                <w:color w:val="000000"/>
                <w:kern w:val="0"/>
                <w14:ligatures w14:val="none"/>
              </w:rPr>
            </w:pPr>
            <w:r w:rsidRPr="00005668">
              <w:rPr>
                <w:rFonts w:ascii="Arial" w:eastAsia="Times New Roman" w:hAnsi="Arial" w:cs="Arial"/>
                <w:b/>
                <w:bCs/>
                <w:color w:val="000000"/>
                <w:kern w:val="0"/>
                <w14:ligatures w14:val="none"/>
              </w:rPr>
              <w:t>Cash Flow ratio</w:t>
            </w:r>
          </w:p>
        </w:tc>
      </w:tr>
      <w:tr w:rsidR="00F901A6" w:rsidRPr="00005668" w14:paraId="10676B64" w14:textId="77777777" w:rsidTr="00F901A6">
        <w:trPr>
          <w:trHeight w:val="288"/>
          <w:jc w:val="center"/>
        </w:trPr>
        <w:tc>
          <w:tcPr>
            <w:tcW w:w="1255" w:type="dxa"/>
            <w:noWrap/>
            <w:vAlign w:val="bottom"/>
            <w:hideMark/>
          </w:tcPr>
          <w:p w14:paraId="15262EB7" w14:textId="77777777" w:rsidR="00F901A6" w:rsidRPr="00005668" w:rsidRDefault="00F901A6" w:rsidP="00005668">
            <w:pPr>
              <w:spacing w:after="0" w:line="360" w:lineRule="auto"/>
              <w:jc w:val="center"/>
              <w:rPr>
                <w:rFonts w:ascii="Arial" w:eastAsia="Times New Roman" w:hAnsi="Arial" w:cs="Arial"/>
                <w:color w:val="000000"/>
                <w:kern w:val="0"/>
                <w14:ligatures w14:val="none"/>
              </w:rPr>
            </w:pPr>
          </w:p>
        </w:tc>
        <w:tc>
          <w:tcPr>
            <w:tcW w:w="2430" w:type="dxa"/>
            <w:noWrap/>
            <w:vAlign w:val="bottom"/>
            <w:hideMark/>
          </w:tcPr>
          <w:p w14:paraId="74DAD5F4" w14:textId="77777777" w:rsidR="00F901A6" w:rsidRPr="00005668" w:rsidRDefault="00F901A6" w:rsidP="00005668">
            <w:pPr>
              <w:spacing w:after="0" w:line="360" w:lineRule="auto"/>
              <w:jc w:val="center"/>
              <w:rPr>
                <w:rFonts w:ascii="Arial" w:eastAsia="Times New Roman" w:hAnsi="Arial" w:cs="Arial"/>
                <w:kern w:val="0"/>
                <w14:ligatures w14:val="none"/>
              </w:rPr>
            </w:pPr>
          </w:p>
        </w:tc>
        <w:tc>
          <w:tcPr>
            <w:tcW w:w="2363" w:type="dxa"/>
            <w:noWrap/>
            <w:vAlign w:val="bottom"/>
            <w:hideMark/>
          </w:tcPr>
          <w:p w14:paraId="0A4EE9AE" w14:textId="77777777" w:rsidR="00F901A6" w:rsidRPr="00005668" w:rsidRDefault="00F901A6" w:rsidP="00005668">
            <w:pPr>
              <w:spacing w:after="0" w:line="360" w:lineRule="auto"/>
              <w:jc w:val="center"/>
              <w:rPr>
                <w:rFonts w:ascii="Arial" w:eastAsia="Times New Roman" w:hAnsi="Arial" w:cs="Arial"/>
                <w:kern w:val="0"/>
                <w14:ligatures w14:val="none"/>
              </w:rPr>
            </w:pPr>
          </w:p>
        </w:tc>
      </w:tr>
      <w:tr w:rsidR="00F901A6" w:rsidRPr="00005668" w14:paraId="5493ABE9" w14:textId="77777777" w:rsidTr="00F901A6">
        <w:trPr>
          <w:trHeight w:val="1152"/>
          <w:jc w:val="center"/>
        </w:trPr>
        <w:tc>
          <w:tcPr>
            <w:tcW w:w="1255" w:type="dxa"/>
            <w:vAlign w:val="center"/>
            <w:hideMark/>
          </w:tcPr>
          <w:p w14:paraId="6A8F9120" w14:textId="77777777" w:rsidR="00F901A6" w:rsidRPr="00005668" w:rsidRDefault="00F901A6" w:rsidP="00005668">
            <w:pPr>
              <w:spacing w:after="0" w:line="360" w:lineRule="auto"/>
              <w:jc w:val="center"/>
              <w:rPr>
                <w:rFonts w:ascii="Arial" w:eastAsia="Times New Roman" w:hAnsi="Arial" w:cs="Arial"/>
                <w:b/>
                <w:bCs/>
                <w:color w:val="000000"/>
                <w:kern w:val="0"/>
                <w14:ligatures w14:val="none"/>
              </w:rPr>
            </w:pPr>
            <w:r w:rsidRPr="00005668">
              <w:rPr>
                <w:rFonts w:ascii="Arial" w:eastAsia="Times New Roman" w:hAnsi="Arial" w:cs="Arial"/>
                <w:b/>
                <w:bCs/>
                <w:color w:val="000000"/>
                <w:kern w:val="0"/>
                <w14:ligatures w14:val="none"/>
              </w:rPr>
              <w:t>Year</w:t>
            </w:r>
          </w:p>
        </w:tc>
        <w:tc>
          <w:tcPr>
            <w:tcW w:w="2430" w:type="dxa"/>
            <w:vAlign w:val="center"/>
            <w:hideMark/>
          </w:tcPr>
          <w:p w14:paraId="20BF6280" w14:textId="77777777" w:rsidR="00F901A6" w:rsidRPr="00005668" w:rsidRDefault="00F901A6" w:rsidP="00005668">
            <w:pPr>
              <w:spacing w:after="0" w:line="360" w:lineRule="auto"/>
              <w:jc w:val="center"/>
              <w:rPr>
                <w:rFonts w:ascii="Arial" w:eastAsia="Times New Roman" w:hAnsi="Arial" w:cs="Arial"/>
                <w:b/>
                <w:bCs/>
                <w:color w:val="000000"/>
                <w:kern w:val="0"/>
                <w14:ligatures w14:val="none"/>
              </w:rPr>
            </w:pPr>
            <w:r w:rsidRPr="00005668">
              <w:rPr>
                <w:rFonts w:ascii="Arial" w:eastAsia="Times New Roman" w:hAnsi="Arial" w:cs="Arial"/>
                <w:b/>
                <w:bCs/>
                <w:color w:val="000000"/>
                <w:kern w:val="0"/>
                <w14:ligatures w14:val="none"/>
              </w:rPr>
              <w:t>OCF / Sales</w:t>
            </w:r>
          </w:p>
        </w:tc>
        <w:tc>
          <w:tcPr>
            <w:tcW w:w="2363" w:type="dxa"/>
            <w:vAlign w:val="center"/>
            <w:hideMark/>
          </w:tcPr>
          <w:p w14:paraId="69329539" w14:textId="77777777" w:rsidR="00F901A6" w:rsidRPr="00005668" w:rsidRDefault="00F901A6" w:rsidP="00005668">
            <w:pPr>
              <w:spacing w:after="0" w:line="360" w:lineRule="auto"/>
              <w:jc w:val="center"/>
              <w:rPr>
                <w:rFonts w:ascii="Arial" w:eastAsia="Times New Roman" w:hAnsi="Arial" w:cs="Arial"/>
                <w:b/>
                <w:bCs/>
                <w:color w:val="000000"/>
                <w:kern w:val="0"/>
                <w14:ligatures w14:val="none"/>
              </w:rPr>
            </w:pPr>
            <w:r w:rsidRPr="00005668">
              <w:rPr>
                <w:rFonts w:ascii="Arial" w:eastAsia="Times New Roman" w:hAnsi="Arial" w:cs="Arial"/>
                <w:b/>
                <w:bCs/>
                <w:color w:val="000000"/>
                <w:kern w:val="0"/>
                <w14:ligatures w14:val="none"/>
              </w:rPr>
              <w:t>Cashflow to debt ratio</w:t>
            </w:r>
          </w:p>
        </w:tc>
      </w:tr>
      <w:tr w:rsidR="00F901A6" w:rsidRPr="00005668" w14:paraId="60AE66EB" w14:textId="77777777" w:rsidTr="00F901A6">
        <w:trPr>
          <w:trHeight w:val="300"/>
          <w:jc w:val="center"/>
        </w:trPr>
        <w:tc>
          <w:tcPr>
            <w:tcW w:w="1255" w:type="dxa"/>
            <w:vAlign w:val="center"/>
            <w:hideMark/>
          </w:tcPr>
          <w:p w14:paraId="4036DB51" w14:textId="77777777" w:rsidR="00F901A6" w:rsidRPr="00005668" w:rsidRDefault="00F901A6"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2020</w:t>
            </w:r>
          </w:p>
        </w:tc>
        <w:tc>
          <w:tcPr>
            <w:tcW w:w="2430" w:type="dxa"/>
            <w:noWrap/>
            <w:vAlign w:val="bottom"/>
            <w:hideMark/>
          </w:tcPr>
          <w:p w14:paraId="13888BD1" w14:textId="77777777" w:rsidR="00F901A6" w:rsidRPr="00005668" w:rsidRDefault="00F901A6"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0.409</w:t>
            </w:r>
          </w:p>
        </w:tc>
        <w:tc>
          <w:tcPr>
            <w:tcW w:w="2363" w:type="dxa"/>
            <w:noWrap/>
            <w:vAlign w:val="bottom"/>
            <w:hideMark/>
          </w:tcPr>
          <w:p w14:paraId="78689F26" w14:textId="77777777" w:rsidR="00F901A6" w:rsidRPr="00005668" w:rsidRDefault="00F901A6"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0.373</w:t>
            </w:r>
          </w:p>
        </w:tc>
      </w:tr>
      <w:tr w:rsidR="00F901A6" w:rsidRPr="00005668" w14:paraId="3643CA2A" w14:textId="77777777" w:rsidTr="00F901A6">
        <w:trPr>
          <w:trHeight w:val="300"/>
          <w:jc w:val="center"/>
        </w:trPr>
        <w:tc>
          <w:tcPr>
            <w:tcW w:w="1255" w:type="dxa"/>
            <w:vAlign w:val="center"/>
            <w:hideMark/>
          </w:tcPr>
          <w:p w14:paraId="1DAF37CA" w14:textId="77777777" w:rsidR="00F901A6" w:rsidRPr="00005668" w:rsidRDefault="00F901A6"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lastRenderedPageBreak/>
              <w:t>2021</w:t>
            </w:r>
          </w:p>
        </w:tc>
        <w:tc>
          <w:tcPr>
            <w:tcW w:w="2430" w:type="dxa"/>
            <w:noWrap/>
            <w:vAlign w:val="bottom"/>
            <w:hideMark/>
          </w:tcPr>
          <w:p w14:paraId="65FC01DE" w14:textId="77777777" w:rsidR="00F901A6" w:rsidRPr="00005668" w:rsidRDefault="00F901A6"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0.186</w:t>
            </w:r>
          </w:p>
        </w:tc>
        <w:tc>
          <w:tcPr>
            <w:tcW w:w="2363" w:type="dxa"/>
            <w:noWrap/>
            <w:vAlign w:val="bottom"/>
            <w:hideMark/>
          </w:tcPr>
          <w:p w14:paraId="0FE0986A" w14:textId="77777777" w:rsidR="00F901A6" w:rsidRPr="00005668" w:rsidRDefault="00F901A6"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0.172</w:t>
            </w:r>
          </w:p>
        </w:tc>
      </w:tr>
      <w:tr w:rsidR="00F901A6" w:rsidRPr="00005668" w14:paraId="4104F59D" w14:textId="77777777" w:rsidTr="00F901A6">
        <w:trPr>
          <w:trHeight w:val="300"/>
          <w:jc w:val="center"/>
        </w:trPr>
        <w:tc>
          <w:tcPr>
            <w:tcW w:w="1255" w:type="dxa"/>
            <w:vAlign w:val="center"/>
            <w:hideMark/>
          </w:tcPr>
          <w:p w14:paraId="61AF74D0" w14:textId="77777777" w:rsidR="00F901A6" w:rsidRPr="00005668" w:rsidRDefault="00F901A6"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2022</w:t>
            </w:r>
          </w:p>
        </w:tc>
        <w:tc>
          <w:tcPr>
            <w:tcW w:w="2430" w:type="dxa"/>
            <w:noWrap/>
            <w:vAlign w:val="bottom"/>
            <w:hideMark/>
          </w:tcPr>
          <w:p w14:paraId="23213B50" w14:textId="77777777" w:rsidR="00F901A6" w:rsidRPr="00005668" w:rsidRDefault="00F901A6"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0.050</w:t>
            </w:r>
          </w:p>
        </w:tc>
        <w:tc>
          <w:tcPr>
            <w:tcW w:w="2363" w:type="dxa"/>
            <w:noWrap/>
            <w:vAlign w:val="bottom"/>
            <w:hideMark/>
          </w:tcPr>
          <w:p w14:paraId="4CED272E" w14:textId="77777777" w:rsidR="00F901A6" w:rsidRPr="00005668" w:rsidRDefault="00F901A6"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0.046</w:t>
            </w:r>
          </w:p>
        </w:tc>
      </w:tr>
      <w:tr w:rsidR="00F901A6" w:rsidRPr="00005668" w14:paraId="0A9BE7F7" w14:textId="77777777" w:rsidTr="00F901A6">
        <w:trPr>
          <w:trHeight w:val="300"/>
          <w:jc w:val="center"/>
        </w:trPr>
        <w:tc>
          <w:tcPr>
            <w:tcW w:w="1255" w:type="dxa"/>
            <w:vAlign w:val="center"/>
            <w:hideMark/>
          </w:tcPr>
          <w:p w14:paraId="764F6312" w14:textId="77777777" w:rsidR="00F901A6" w:rsidRPr="00005668" w:rsidRDefault="00F901A6"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2023</w:t>
            </w:r>
          </w:p>
        </w:tc>
        <w:tc>
          <w:tcPr>
            <w:tcW w:w="2430" w:type="dxa"/>
            <w:noWrap/>
            <w:vAlign w:val="bottom"/>
            <w:hideMark/>
          </w:tcPr>
          <w:p w14:paraId="5E989DFA" w14:textId="77777777" w:rsidR="00F901A6" w:rsidRPr="00005668" w:rsidRDefault="00F901A6"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0.156</w:t>
            </w:r>
          </w:p>
        </w:tc>
        <w:tc>
          <w:tcPr>
            <w:tcW w:w="2363" w:type="dxa"/>
            <w:noWrap/>
            <w:vAlign w:val="bottom"/>
            <w:hideMark/>
          </w:tcPr>
          <w:p w14:paraId="1FF16427" w14:textId="77777777" w:rsidR="00F901A6" w:rsidRPr="00005668" w:rsidRDefault="00F901A6"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0.142</w:t>
            </w:r>
          </w:p>
        </w:tc>
      </w:tr>
      <w:tr w:rsidR="00F901A6" w:rsidRPr="00005668" w14:paraId="1F6EA95E" w14:textId="77777777" w:rsidTr="00F901A6">
        <w:trPr>
          <w:trHeight w:val="300"/>
          <w:jc w:val="center"/>
        </w:trPr>
        <w:tc>
          <w:tcPr>
            <w:tcW w:w="1255" w:type="dxa"/>
            <w:vAlign w:val="center"/>
            <w:hideMark/>
          </w:tcPr>
          <w:p w14:paraId="1A1EA043" w14:textId="77777777" w:rsidR="00F901A6" w:rsidRPr="00005668" w:rsidRDefault="00F901A6"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2024</w:t>
            </w:r>
          </w:p>
        </w:tc>
        <w:tc>
          <w:tcPr>
            <w:tcW w:w="2430" w:type="dxa"/>
            <w:noWrap/>
            <w:vAlign w:val="bottom"/>
            <w:hideMark/>
          </w:tcPr>
          <w:p w14:paraId="23F6E04A" w14:textId="77777777" w:rsidR="00F901A6" w:rsidRPr="00005668" w:rsidRDefault="00F901A6"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0.094</w:t>
            </w:r>
          </w:p>
        </w:tc>
        <w:tc>
          <w:tcPr>
            <w:tcW w:w="2363" w:type="dxa"/>
            <w:noWrap/>
            <w:vAlign w:val="bottom"/>
            <w:hideMark/>
          </w:tcPr>
          <w:p w14:paraId="51074854" w14:textId="77777777" w:rsidR="00F901A6" w:rsidRPr="00005668" w:rsidRDefault="00F901A6"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0.087</w:t>
            </w:r>
          </w:p>
        </w:tc>
      </w:tr>
    </w:tbl>
    <w:p w14:paraId="73642F5F" w14:textId="77777777" w:rsidR="00F901A6" w:rsidRPr="00C74E38" w:rsidRDefault="00C74E38" w:rsidP="00C74E38">
      <w:pPr>
        <w:spacing w:after="0" w:line="360" w:lineRule="auto"/>
        <w:rPr>
          <w:rFonts w:ascii="Arial" w:hAnsi="Arial" w:cs="Arial"/>
          <w:sz w:val="22"/>
          <w:szCs w:val="22"/>
        </w:rPr>
      </w:pPr>
      <w:r w:rsidRPr="00C74E38">
        <w:rPr>
          <w:rFonts w:ascii="Arial" w:hAnsi="Arial" w:cs="Arial"/>
          <w:sz w:val="22"/>
          <w:szCs w:val="22"/>
        </w:rPr>
        <w:t xml:space="preserve">Source: </w:t>
      </w:r>
      <w:r>
        <w:rPr>
          <w:rFonts w:ascii="Arial" w:hAnsi="Arial" w:cs="Arial"/>
          <w:sz w:val="22"/>
          <w:szCs w:val="22"/>
        </w:rPr>
        <w:t>(</w:t>
      </w:r>
      <w:r w:rsidRPr="00C74E38">
        <w:rPr>
          <w:rFonts w:ascii="Arial" w:hAnsi="Arial" w:cs="Arial"/>
          <w:sz w:val="22"/>
          <w:szCs w:val="22"/>
        </w:rPr>
        <w:t>General Electronics annual report</w:t>
      </w:r>
      <w:r>
        <w:rPr>
          <w:rFonts w:ascii="Arial" w:hAnsi="Arial" w:cs="Arial"/>
          <w:sz w:val="22"/>
          <w:szCs w:val="22"/>
        </w:rPr>
        <w:t>)</w:t>
      </w:r>
    </w:p>
    <w:p w14:paraId="657A4080" w14:textId="77777777" w:rsidR="008C5358" w:rsidRPr="00400CCD" w:rsidRDefault="008C5358" w:rsidP="00005668">
      <w:pPr>
        <w:spacing w:after="0" w:line="360" w:lineRule="auto"/>
        <w:jc w:val="both"/>
        <w:rPr>
          <w:rFonts w:ascii="Arial" w:eastAsia="Times New Roman" w:hAnsi="Arial" w:cs="Arial"/>
          <w:b/>
          <w:bCs/>
          <w:color w:val="4472C4" w:themeColor="accent1"/>
          <w:kern w:val="0"/>
          <w14:ligatures w14:val="none"/>
        </w:rPr>
      </w:pPr>
      <w:r w:rsidRPr="00005668">
        <w:rPr>
          <w:rFonts w:ascii="Arial" w:eastAsia="Times New Roman" w:hAnsi="Arial" w:cs="Arial"/>
          <w:kern w:val="0"/>
          <w14:ligatures w14:val="none"/>
        </w:rPr>
        <w:t xml:space="preserve"> </w:t>
      </w:r>
      <w:r w:rsidRPr="00400CCD">
        <w:rPr>
          <w:rFonts w:ascii="Arial" w:eastAsia="Times New Roman" w:hAnsi="Arial" w:cs="Arial"/>
          <w:b/>
          <w:bCs/>
          <w:color w:val="4472C4" w:themeColor="accent1"/>
          <w:kern w:val="0"/>
          <w14:ligatures w14:val="none"/>
        </w:rPr>
        <w:t xml:space="preserve">Investment Ratios </w:t>
      </w:r>
    </w:p>
    <w:p w14:paraId="1E096B68" w14:textId="77777777" w:rsidR="008C5358" w:rsidRPr="00400CCD" w:rsidRDefault="008C5358" w:rsidP="00005668">
      <w:pPr>
        <w:spacing w:after="0" w:line="360" w:lineRule="auto"/>
        <w:jc w:val="both"/>
        <w:rPr>
          <w:rFonts w:ascii="Arial" w:eastAsia="Times New Roman" w:hAnsi="Arial" w:cs="Arial"/>
          <w:b/>
          <w:bCs/>
          <w:kern w:val="0"/>
          <w14:ligatures w14:val="none"/>
        </w:rPr>
      </w:pPr>
      <w:r w:rsidRPr="00400CCD">
        <w:rPr>
          <w:rFonts w:ascii="Arial" w:eastAsia="Times New Roman" w:hAnsi="Arial" w:cs="Arial"/>
          <w:b/>
          <w:bCs/>
          <w:kern w:val="0"/>
          <w14:ligatures w14:val="none"/>
        </w:rPr>
        <w:t>Earnings per Share (EPS)</w:t>
      </w:r>
    </w:p>
    <w:p w14:paraId="6A6A46C0" w14:textId="77777777" w:rsidR="002E3036" w:rsidRDefault="002E3036" w:rsidP="00400CCD">
      <w:pPr>
        <w:spacing w:after="0" w:line="360" w:lineRule="auto"/>
        <w:jc w:val="both"/>
        <w:rPr>
          <w:rFonts w:ascii="Arial" w:eastAsia="Times New Roman" w:hAnsi="Arial" w:cs="Arial"/>
          <w:kern w:val="0"/>
          <w14:ligatures w14:val="none"/>
        </w:rPr>
      </w:pPr>
      <w:r w:rsidRPr="002E3036">
        <w:rPr>
          <w:rFonts w:ascii="Arial" w:eastAsia="Times New Roman" w:hAnsi="Arial" w:cs="Arial"/>
          <w:kern w:val="0"/>
          <w14:ligatures w14:val="none"/>
        </w:rPr>
        <w:t>EPS measures profit per share (Ross et al., 2022). It falls sharply from 2.78 in 2020 to –7.64 in 2023, recovering slightly in 2024 but still negative, indicating severe shareholder value destruction.</w:t>
      </w:r>
    </w:p>
    <w:p w14:paraId="0A292904" w14:textId="77777777" w:rsidR="00F901A6" w:rsidRPr="002A1EAE" w:rsidRDefault="002A1EAE" w:rsidP="002A1EAE">
      <w:pPr>
        <w:spacing w:after="0" w:line="360" w:lineRule="auto"/>
        <w:jc w:val="center"/>
        <w:rPr>
          <w:rFonts w:ascii="Arial" w:eastAsia="Times New Roman" w:hAnsi="Arial" w:cs="Arial"/>
          <w:b/>
          <w:bCs/>
          <w:i/>
          <w:iCs/>
          <w:kern w:val="0"/>
          <w14:ligatures w14:val="none"/>
        </w:rPr>
      </w:pPr>
      <w:r w:rsidRPr="002A1EAE">
        <w:rPr>
          <w:rFonts w:ascii="Arial" w:eastAsia="Times New Roman" w:hAnsi="Arial" w:cs="Arial"/>
          <w:b/>
          <w:bCs/>
          <w:i/>
          <w:iCs/>
          <w:kern w:val="0"/>
          <w14:ligatures w14:val="none"/>
        </w:rPr>
        <w:t>Table 6: investment Ratio</w:t>
      </w:r>
    </w:p>
    <w:tbl>
      <w:tblPr>
        <w:tblW w:w="3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5"/>
        <w:gridCol w:w="2200"/>
      </w:tblGrid>
      <w:tr w:rsidR="00F901A6" w:rsidRPr="00005668" w14:paraId="5E6D176A" w14:textId="77777777" w:rsidTr="00D10BC5">
        <w:trPr>
          <w:trHeight w:val="288"/>
          <w:jc w:val="center"/>
        </w:trPr>
        <w:tc>
          <w:tcPr>
            <w:tcW w:w="3995" w:type="dxa"/>
            <w:gridSpan w:val="2"/>
            <w:noWrap/>
            <w:vAlign w:val="bottom"/>
            <w:hideMark/>
          </w:tcPr>
          <w:p w14:paraId="68173C31" w14:textId="77777777" w:rsidR="00F901A6" w:rsidRPr="00005668" w:rsidRDefault="00F901A6" w:rsidP="00005668">
            <w:pPr>
              <w:spacing w:after="0" w:line="360" w:lineRule="auto"/>
              <w:jc w:val="center"/>
              <w:rPr>
                <w:rFonts w:ascii="Arial" w:eastAsia="Times New Roman" w:hAnsi="Arial" w:cs="Arial"/>
                <w:b/>
                <w:bCs/>
                <w:kern w:val="0"/>
                <w14:ligatures w14:val="none"/>
              </w:rPr>
            </w:pPr>
            <w:r w:rsidRPr="00005668">
              <w:rPr>
                <w:rFonts w:ascii="Arial" w:eastAsia="Times New Roman" w:hAnsi="Arial" w:cs="Arial"/>
                <w:b/>
                <w:bCs/>
                <w:color w:val="000000"/>
                <w:kern w:val="0"/>
                <w14:ligatures w14:val="none"/>
              </w:rPr>
              <w:t>Investment Ratio</w:t>
            </w:r>
          </w:p>
        </w:tc>
      </w:tr>
      <w:tr w:rsidR="00F901A6" w:rsidRPr="00005668" w14:paraId="4CA34DDC" w14:textId="77777777" w:rsidTr="002E3036">
        <w:trPr>
          <w:trHeight w:val="917"/>
          <w:jc w:val="center"/>
        </w:trPr>
        <w:tc>
          <w:tcPr>
            <w:tcW w:w="1795" w:type="dxa"/>
            <w:noWrap/>
            <w:vAlign w:val="bottom"/>
            <w:hideMark/>
          </w:tcPr>
          <w:p w14:paraId="1A2821C4" w14:textId="77777777" w:rsidR="00F901A6" w:rsidRPr="00005668" w:rsidRDefault="00F901A6" w:rsidP="00005668">
            <w:pPr>
              <w:spacing w:after="0" w:line="360" w:lineRule="auto"/>
              <w:rPr>
                <w:rFonts w:ascii="Arial" w:eastAsia="Times New Roman" w:hAnsi="Arial" w:cs="Arial"/>
                <w:b/>
                <w:bCs/>
                <w:color w:val="000000"/>
                <w:kern w:val="0"/>
                <w14:ligatures w14:val="none"/>
              </w:rPr>
            </w:pPr>
            <w:r w:rsidRPr="00005668">
              <w:rPr>
                <w:rFonts w:ascii="Arial" w:eastAsia="Times New Roman" w:hAnsi="Arial" w:cs="Arial"/>
                <w:b/>
                <w:bCs/>
                <w:color w:val="000000"/>
                <w:kern w:val="0"/>
                <w14:ligatures w14:val="none"/>
              </w:rPr>
              <w:t xml:space="preserve">        Year</w:t>
            </w:r>
          </w:p>
        </w:tc>
        <w:tc>
          <w:tcPr>
            <w:tcW w:w="2200" w:type="dxa"/>
            <w:vAlign w:val="center"/>
            <w:hideMark/>
          </w:tcPr>
          <w:p w14:paraId="10A41108" w14:textId="77777777" w:rsidR="00F901A6" w:rsidRPr="00005668" w:rsidRDefault="00F901A6" w:rsidP="00005668">
            <w:pPr>
              <w:spacing w:after="0" w:line="360" w:lineRule="auto"/>
              <w:jc w:val="center"/>
              <w:rPr>
                <w:rFonts w:ascii="Arial" w:eastAsia="Times New Roman" w:hAnsi="Arial" w:cs="Arial"/>
                <w:b/>
                <w:bCs/>
                <w:color w:val="000000"/>
                <w:kern w:val="0"/>
                <w14:ligatures w14:val="none"/>
              </w:rPr>
            </w:pPr>
          </w:p>
          <w:p w14:paraId="012E158F" w14:textId="77777777" w:rsidR="00F901A6" w:rsidRPr="00005668" w:rsidRDefault="00F901A6" w:rsidP="00005668">
            <w:pPr>
              <w:spacing w:after="0" w:line="360" w:lineRule="auto"/>
              <w:jc w:val="center"/>
              <w:rPr>
                <w:rFonts w:ascii="Arial" w:eastAsia="Times New Roman" w:hAnsi="Arial" w:cs="Arial"/>
                <w:b/>
                <w:bCs/>
                <w:color w:val="000000"/>
                <w:kern w:val="0"/>
                <w14:ligatures w14:val="none"/>
              </w:rPr>
            </w:pPr>
          </w:p>
          <w:p w14:paraId="5FFDC485" w14:textId="77777777" w:rsidR="00F901A6" w:rsidRPr="00005668" w:rsidRDefault="00F901A6" w:rsidP="00005668">
            <w:pPr>
              <w:spacing w:after="0" w:line="360" w:lineRule="auto"/>
              <w:jc w:val="center"/>
              <w:rPr>
                <w:rFonts w:ascii="Arial" w:eastAsia="Times New Roman" w:hAnsi="Arial" w:cs="Arial"/>
                <w:b/>
                <w:bCs/>
                <w:color w:val="000000"/>
                <w:kern w:val="0"/>
                <w14:ligatures w14:val="none"/>
              </w:rPr>
            </w:pPr>
          </w:p>
          <w:p w14:paraId="25691DA7" w14:textId="77777777" w:rsidR="00F901A6" w:rsidRPr="00005668" w:rsidRDefault="00F901A6" w:rsidP="00005668">
            <w:pPr>
              <w:spacing w:after="0" w:line="360" w:lineRule="auto"/>
              <w:jc w:val="center"/>
              <w:rPr>
                <w:rFonts w:ascii="Arial" w:eastAsia="Times New Roman" w:hAnsi="Arial" w:cs="Arial"/>
                <w:b/>
                <w:bCs/>
                <w:color w:val="000000"/>
                <w:kern w:val="0"/>
                <w14:ligatures w14:val="none"/>
              </w:rPr>
            </w:pPr>
            <w:r w:rsidRPr="00005668">
              <w:rPr>
                <w:rFonts w:ascii="Arial" w:eastAsia="Times New Roman" w:hAnsi="Arial" w:cs="Arial"/>
                <w:b/>
                <w:bCs/>
                <w:color w:val="000000"/>
                <w:kern w:val="0"/>
                <w14:ligatures w14:val="none"/>
              </w:rPr>
              <w:t>EPS</w:t>
            </w:r>
          </w:p>
        </w:tc>
      </w:tr>
      <w:tr w:rsidR="00F901A6" w:rsidRPr="00005668" w14:paraId="4CF24051" w14:textId="77777777" w:rsidTr="00F901A6">
        <w:trPr>
          <w:trHeight w:val="300"/>
          <w:jc w:val="center"/>
        </w:trPr>
        <w:tc>
          <w:tcPr>
            <w:tcW w:w="1795" w:type="dxa"/>
            <w:vAlign w:val="center"/>
            <w:hideMark/>
          </w:tcPr>
          <w:p w14:paraId="2FEEC19F" w14:textId="77777777" w:rsidR="00F901A6" w:rsidRPr="00005668" w:rsidRDefault="00F901A6"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2020</w:t>
            </w:r>
          </w:p>
        </w:tc>
        <w:tc>
          <w:tcPr>
            <w:tcW w:w="2200" w:type="dxa"/>
            <w:noWrap/>
            <w:vAlign w:val="center"/>
            <w:hideMark/>
          </w:tcPr>
          <w:p w14:paraId="7586BC49" w14:textId="77777777" w:rsidR="00F901A6" w:rsidRPr="00005668" w:rsidRDefault="00F901A6"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2.78</w:t>
            </w:r>
          </w:p>
        </w:tc>
      </w:tr>
      <w:tr w:rsidR="00F901A6" w:rsidRPr="00005668" w14:paraId="5B6966D6" w14:textId="77777777" w:rsidTr="00F901A6">
        <w:trPr>
          <w:trHeight w:val="300"/>
          <w:jc w:val="center"/>
        </w:trPr>
        <w:tc>
          <w:tcPr>
            <w:tcW w:w="1795" w:type="dxa"/>
            <w:vAlign w:val="center"/>
            <w:hideMark/>
          </w:tcPr>
          <w:p w14:paraId="049A50C0" w14:textId="77777777" w:rsidR="00F901A6" w:rsidRPr="00005668" w:rsidRDefault="00F901A6"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2021</w:t>
            </w:r>
          </w:p>
        </w:tc>
        <w:tc>
          <w:tcPr>
            <w:tcW w:w="2200" w:type="dxa"/>
            <w:noWrap/>
            <w:vAlign w:val="center"/>
            <w:hideMark/>
          </w:tcPr>
          <w:p w14:paraId="2F1889C0" w14:textId="77777777" w:rsidR="00F901A6" w:rsidRPr="00005668" w:rsidRDefault="00F901A6"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0.39</w:t>
            </w:r>
          </w:p>
        </w:tc>
      </w:tr>
      <w:tr w:rsidR="00F901A6" w:rsidRPr="00005668" w14:paraId="553890B5" w14:textId="77777777" w:rsidTr="00F901A6">
        <w:trPr>
          <w:trHeight w:val="300"/>
          <w:jc w:val="center"/>
        </w:trPr>
        <w:tc>
          <w:tcPr>
            <w:tcW w:w="1795" w:type="dxa"/>
            <w:vAlign w:val="center"/>
            <w:hideMark/>
          </w:tcPr>
          <w:p w14:paraId="759B02A5" w14:textId="77777777" w:rsidR="00F901A6" w:rsidRPr="00005668" w:rsidRDefault="00F901A6"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2022</w:t>
            </w:r>
          </w:p>
        </w:tc>
        <w:tc>
          <w:tcPr>
            <w:tcW w:w="2200" w:type="dxa"/>
            <w:noWrap/>
            <w:vAlign w:val="center"/>
            <w:hideMark/>
          </w:tcPr>
          <w:p w14:paraId="56C16B27" w14:textId="77777777" w:rsidR="00F901A6" w:rsidRPr="00005668" w:rsidRDefault="00F901A6"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0.03</w:t>
            </w:r>
          </w:p>
        </w:tc>
      </w:tr>
      <w:tr w:rsidR="00F901A6" w:rsidRPr="00005668" w14:paraId="41065FE7" w14:textId="77777777" w:rsidTr="00F901A6">
        <w:trPr>
          <w:trHeight w:val="300"/>
          <w:jc w:val="center"/>
        </w:trPr>
        <w:tc>
          <w:tcPr>
            <w:tcW w:w="1795" w:type="dxa"/>
            <w:vAlign w:val="center"/>
            <w:hideMark/>
          </w:tcPr>
          <w:p w14:paraId="76144BEA" w14:textId="77777777" w:rsidR="00F901A6" w:rsidRPr="00005668" w:rsidRDefault="00F901A6"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2023</w:t>
            </w:r>
          </w:p>
        </w:tc>
        <w:tc>
          <w:tcPr>
            <w:tcW w:w="2200" w:type="dxa"/>
            <w:noWrap/>
            <w:vAlign w:val="center"/>
            <w:hideMark/>
          </w:tcPr>
          <w:p w14:paraId="03B139E3" w14:textId="77777777" w:rsidR="00F901A6" w:rsidRPr="00005668" w:rsidRDefault="00F901A6"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-7.64</w:t>
            </w:r>
          </w:p>
        </w:tc>
      </w:tr>
      <w:tr w:rsidR="00F901A6" w:rsidRPr="00005668" w14:paraId="792E2106" w14:textId="77777777" w:rsidTr="00F901A6">
        <w:trPr>
          <w:trHeight w:val="300"/>
          <w:jc w:val="center"/>
        </w:trPr>
        <w:tc>
          <w:tcPr>
            <w:tcW w:w="1795" w:type="dxa"/>
            <w:vAlign w:val="center"/>
            <w:hideMark/>
          </w:tcPr>
          <w:p w14:paraId="2C9A01BA" w14:textId="77777777" w:rsidR="00F901A6" w:rsidRPr="00005668" w:rsidRDefault="00F901A6"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2024</w:t>
            </w:r>
          </w:p>
        </w:tc>
        <w:tc>
          <w:tcPr>
            <w:tcW w:w="2200" w:type="dxa"/>
            <w:noWrap/>
            <w:vAlign w:val="center"/>
            <w:hideMark/>
          </w:tcPr>
          <w:p w14:paraId="2B410A1F" w14:textId="77777777" w:rsidR="00F901A6" w:rsidRPr="00005668" w:rsidRDefault="00F901A6"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-1.85</w:t>
            </w:r>
          </w:p>
        </w:tc>
      </w:tr>
    </w:tbl>
    <w:p w14:paraId="79B5D43E" w14:textId="77777777" w:rsidR="00C74E38" w:rsidRPr="00C74E38" w:rsidRDefault="00C74E38" w:rsidP="00C74E38">
      <w:pPr>
        <w:spacing w:after="0" w:line="360" w:lineRule="auto"/>
        <w:rPr>
          <w:rFonts w:ascii="Arial" w:hAnsi="Arial" w:cs="Arial"/>
          <w:sz w:val="22"/>
          <w:szCs w:val="22"/>
        </w:rPr>
      </w:pPr>
      <w:r w:rsidRPr="00C74E38">
        <w:rPr>
          <w:rFonts w:ascii="Arial" w:hAnsi="Arial" w:cs="Arial"/>
          <w:sz w:val="22"/>
          <w:szCs w:val="22"/>
        </w:rPr>
        <w:t xml:space="preserve">Source: </w:t>
      </w:r>
      <w:r>
        <w:rPr>
          <w:rFonts w:ascii="Arial" w:hAnsi="Arial" w:cs="Arial"/>
          <w:sz w:val="22"/>
          <w:szCs w:val="22"/>
        </w:rPr>
        <w:t>(</w:t>
      </w:r>
      <w:r w:rsidRPr="00C74E38">
        <w:rPr>
          <w:rFonts w:ascii="Arial" w:hAnsi="Arial" w:cs="Arial"/>
          <w:sz w:val="22"/>
          <w:szCs w:val="22"/>
        </w:rPr>
        <w:t>General Electronics annual report</w:t>
      </w:r>
      <w:r>
        <w:rPr>
          <w:rFonts w:ascii="Arial" w:hAnsi="Arial" w:cs="Arial"/>
          <w:sz w:val="22"/>
          <w:szCs w:val="22"/>
        </w:rPr>
        <w:t>)</w:t>
      </w:r>
    </w:p>
    <w:p w14:paraId="4F9C5279" w14:textId="77777777" w:rsidR="00C74E38" w:rsidRDefault="00BB2843" w:rsidP="00C74E38">
      <w:pPr>
        <w:pStyle w:val="Heading2"/>
        <w:rPr>
          <w:rFonts w:ascii="Arial" w:hAnsi="Arial" w:cs="Arial"/>
          <w:b/>
          <w:bCs/>
          <w:color w:val="000000" w:themeColor="text1"/>
          <w:sz w:val="28"/>
          <w:szCs w:val="28"/>
        </w:rPr>
      </w:pPr>
      <w:bookmarkStart w:id="2" w:name="_Toc214577531"/>
      <w:r w:rsidRPr="00400CCD">
        <w:rPr>
          <w:rFonts w:ascii="Arial" w:hAnsi="Arial" w:cs="Arial"/>
          <w:b/>
          <w:bCs/>
          <w:color w:val="000000" w:themeColor="text1"/>
          <w:sz w:val="28"/>
          <w:szCs w:val="28"/>
        </w:rPr>
        <w:t>Trends, Strengths and Threats</w:t>
      </w:r>
      <w:bookmarkEnd w:id="2"/>
      <w:r w:rsidRPr="00400CCD">
        <w:rPr>
          <w:rFonts w:ascii="Arial" w:hAnsi="Arial" w:cs="Arial"/>
          <w:b/>
          <w:bCs/>
          <w:color w:val="000000" w:themeColor="text1"/>
          <w:sz w:val="28"/>
          <w:szCs w:val="28"/>
        </w:rPr>
        <w:t xml:space="preserve"> </w:t>
      </w:r>
    </w:p>
    <w:p w14:paraId="3B14C0DA" w14:textId="77777777" w:rsidR="001F3CEF" w:rsidRPr="001F3CEF" w:rsidRDefault="001F3CEF" w:rsidP="001F3CEF">
      <w:pPr>
        <w:spacing w:line="360" w:lineRule="auto"/>
        <w:jc w:val="both"/>
        <w:rPr>
          <w:rFonts w:ascii="Arial" w:hAnsi="Arial" w:cs="Arial"/>
        </w:rPr>
      </w:pPr>
      <w:r w:rsidRPr="001F3CEF">
        <w:rPr>
          <w:rFonts w:ascii="Arial" w:hAnsi="Arial" w:cs="Arial"/>
        </w:rPr>
        <w:t xml:space="preserve">A five-year trend analysis has shown that this Company has suffered significant declines in its operations and finances. Its revenues have continued to decline which reflects a loss of competitive advantage in the marketplace and a loss of demand for the product(s) it offers. These declines in revenue were accompanied by severe declines in profitability as evidenced by the shift from an operating profit to a large operating loss in each of 2023 and 2024. The liquidity ratios for the Company including the current ratio and quick ratio are still greater than one, however, the declining Cash Ratio indicates an increasingly heavy reliance on receivables and inventory to meet the Company's obligation. The </w:t>
      </w:r>
      <w:r w:rsidRPr="001F3CEF">
        <w:rPr>
          <w:rFonts w:ascii="Arial" w:hAnsi="Arial" w:cs="Arial"/>
        </w:rPr>
        <w:lastRenderedPageBreak/>
        <w:t>increase in Days Receivable also indicates longer payment times by customers and poor cash flow. The working capital management practices for the Company appear to be ineffectual as indicated by a low Inventory Turnover and volatile Payable Days; indicating strained relations between the Company and its suppliers. The most critical weakness is the increase in the Debt/Equity Ratio to a level of 1.11, which indicates an unacceptably high reliance on debt financing at a time when the Company's profitability is severely eroding. In summary, the Company's weaknesses far exceed its limited remaining strengths.</w:t>
      </w:r>
    </w:p>
    <w:p w14:paraId="26373D52" w14:textId="77777777" w:rsidR="00605062" w:rsidRPr="00400CCD" w:rsidRDefault="00605062" w:rsidP="00400CCD">
      <w:pPr>
        <w:pStyle w:val="Heading2"/>
        <w:rPr>
          <w:rFonts w:ascii="Arial" w:hAnsi="Arial" w:cs="Arial"/>
          <w:b/>
          <w:bCs/>
          <w:color w:val="000000" w:themeColor="text1"/>
          <w:sz w:val="28"/>
          <w:szCs w:val="28"/>
        </w:rPr>
      </w:pPr>
      <w:bookmarkStart w:id="3" w:name="_Toc214577532"/>
      <w:r w:rsidRPr="00400CCD">
        <w:rPr>
          <w:rFonts w:ascii="Arial" w:hAnsi="Arial" w:cs="Arial"/>
          <w:b/>
          <w:bCs/>
          <w:color w:val="000000" w:themeColor="text1"/>
          <w:sz w:val="28"/>
          <w:szCs w:val="28"/>
        </w:rPr>
        <w:t>Altman Z-Score Model</w:t>
      </w:r>
      <w:bookmarkEnd w:id="3"/>
    </w:p>
    <w:p w14:paraId="30382943" w14:textId="77777777" w:rsidR="002A1EAE" w:rsidRPr="002A1EAE" w:rsidRDefault="002A1EAE" w:rsidP="002A1EAE">
      <w:pPr>
        <w:spacing w:line="360" w:lineRule="auto"/>
        <w:jc w:val="both"/>
        <w:rPr>
          <w:rFonts w:ascii="Arial" w:hAnsi="Arial" w:cs="Arial"/>
        </w:rPr>
      </w:pPr>
      <w:r w:rsidRPr="002A1EAE">
        <w:rPr>
          <w:rFonts w:ascii="Arial" w:hAnsi="Arial" w:cs="Arial"/>
        </w:rPr>
        <w:t>The Altman Z-Score is a corporate bankruptcy prediction model developed by Edward Altman (1968).</w:t>
      </w:r>
      <w:r>
        <w:rPr>
          <w:rFonts w:ascii="Arial" w:hAnsi="Arial" w:cs="Arial"/>
        </w:rPr>
        <w:t xml:space="preserve"> </w:t>
      </w:r>
      <w:r w:rsidRPr="002A1EAE">
        <w:rPr>
          <w:rFonts w:ascii="Arial" w:hAnsi="Arial" w:cs="Arial"/>
        </w:rPr>
        <w:t>This model utilizes five different financial ratios to determine the likelihood that a firm will become bankrupt within the next 24 month</w:t>
      </w:r>
      <w:r>
        <w:rPr>
          <w:rFonts w:ascii="Arial" w:hAnsi="Arial" w:cs="Arial"/>
        </w:rPr>
        <w:t>.</w:t>
      </w:r>
    </w:p>
    <w:p w14:paraId="7593CB33" w14:textId="77777777" w:rsidR="002A1EAE" w:rsidRDefault="002A1EAE" w:rsidP="002A1EAE">
      <w:pPr>
        <w:spacing w:line="360" w:lineRule="auto"/>
        <w:jc w:val="both"/>
        <w:rPr>
          <w:rFonts w:ascii="Arial" w:hAnsi="Arial" w:cs="Arial"/>
          <w:b/>
          <w:bCs/>
        </w:rPr>
      </w:pPr>
      <w:r w:rsidRPr="002A1EAE">
        <w:rPr>
          <w:rFonts w:ascii="Arial" w:hAnsi="Arial" w:cs="Arial"/>
          <w:b/>
          <w:bCs/>
        </w:rPr>
        <w:t>The Z-Score Formula</w:t>
      </w:r>
    </w:p>
    <w:p w14:paraId="41E757E4" w14:textId="77777777" w:rsidR="002A1EAE" w:rsidRPr="002A1EAE" w:rsidRDefault="002A1EAE" w:rsidP="002A1EAE">
      <w:pPr>
        <w:spacing w:line="360" w:lineRule="auto"/>
        <w:rPr>
          <w:rFonts w:ascii="Arial" w:hAnsi="Arial" w:cs="Arial"/>
        </w:rPr>
      </w:pPr>
      <m:oMathPara>
        <m:oMath>
          <m:r>
            <w:rPr>
              <w:rFonts w:ascii="Cambria Math" w:hAnsi="Cambria Math" w:cs="Arial"/>
            </w:rPr>
            <m:t>Z=1.2</m:t>
          </m:r>
          <m:sSub>
            <m:sSubPr>
              <m:ctrlPr>
                <w:rPr>
                  <w:rFonts w:ascii="Cambria Math" w:hAnsi="Cambria Math" w:cs="Arial"/>
                </w:rPr>
              </m:ctrlPr>
            </m:sSubPr>
            <m:e>
              <m:r>
                <w:rPr>
                  <w:rFonts w:ascii="Cambria Math" w:hAnsi="Cambria Math" w:cs="Arial"/>
                </w:rPr>
                <m:t>X</m:t>
              </m:r>
            </m:e>
            <m:sub>
              <m:r>
                <w:rPr>
                  <w:rFonts w:ascii="Cambria Math" w:hAnsi="Cambria Math" w:cs="Arial"/>
                </w:rPr>
                <m:t>1</m:t>
              </m:r>
            </m:sub>
          </m:sSub>
          <m:r>
            <w:rPr>
              <w:rFonts w:ascii="Cambria Math" w:hAnsi="Cambria Math" w:cs="Arial"/>
            </w:rPr>
            <m:t>+1.4</m:t>
          </m:r>
          <m:sSub>
            <m:sSubPr>
              <m:ctrlPr>
                <w:rPr>
                  <w:rFonts w:ascii="Cambria Math" w:hAnsi="Cambria Math" w:cs="Arial"/>
                </w:rPr>
              </m:ctrlPr>
            </m:sSubPr>
            <m:e>
              <m:r>
                <w:rPr>
                  <w:rFonts w:ascii="Cambria Math" w:hAnsi="Cambria Math" w:cs="Arial"/>
                </w:rPr>
                <m:t>X</m:t>
              </m:r>
            </m:e>
            <m:sub>
              <m:r>
                <w:rPr>
                  <w:rFonts w:ascii="Cambria Math" w:hAnsi="Cambria Math" w:cs="Arial"/>
                </w:rPr>
                <m:t>2</m:t>
              </m:r>
            </m:sub>
          </m:sSub>
          <m:r>
            <w:rPr>
              <w:rFonts w:ascii="Cambria Math" w:hAnsi="Cambria Math" w:cs="Arial"/>
            </w:rPr>
            <m:t>+3.3</m:t>
          </m:r>
          <m:sSub>
            <m:sSubPr>
              <m:ctrlPr>
                <w:rPr>
                  <w:rFonts w:ascii="Cambria Math" w:hAnsi="Cambria Math" w:cs="Arial"/>
                </w:rPr>
              </m:ctrlPr>
            </m:sSubPr>
            <m:e>
              <m:r>
                <w:rPr>
                  <w:rFonts w:ascii="Cambria Math" w:hAnsi="Cambria Math" w:cs="Arial"/>
                </w:rPr>
                <m:t>X</m:t>
              </m:r>
            </m:e>
            <m:sub>
              <m:r>
                <w:rPr>
                  <w:rFonts w:ascii="Cambria Math" w:hAnsi="Cambria Math" w:cs="Arial"/>
                </w:rPr>
                <m:t>3</m:t>
              </m:r>
            </m:sub>
          </m:sSub>
          <m:r>
            <w:rPr>
              <w:rFonts w:ascii="Cambria Math" w:hAnsi="Cambria Math" w:cs="Arial"/>
            </w:rPr>
            <m:t>+0.6</m:t>
          </m:r>
          <m:sSub>
            <m:sSubPr>
              <m:ctrlPr>
                <w:rPr>
                  <w:rFonts w:ascii="Cambria Math" w:hAnsi="Cambria Math" w:cs="Arial"/>
                </w:rPr>
              </m:ctrlPr>
            </m:sSubPr>
            <m:e>
              <m:r>
                <w:rPr>
                  <w:rFonts w:ascii="Cambria Math" w:hAnsi="Cambria Math" w:cs="Arial"/>
                </w:rPr>
                <m:t>X</m:t>
              </m:r>
            </m:e>
            <m:sub>
              <m:r>
                <w:rPr>
                  <w:rFonts w:ascii="Cambria Math" w:hAnsi="Cambria Math" w:cs="Arial"/>
                </w:rPr>
                <m:t>4</m:t>
              </m:r>
            </m:sub>
          </m:sSub>
          <m:r>
            <w:rPr>
              <w:rFonts w:ascii="Cambria Math" w:hAnsi="Cambria Math" w:cs="Arial"/>
            </w:rPr>
            <m:t>+1.0</m:t>
          </m:r>
          <m:sSub>
            <m:sSubPr>
              <m:ctrlPr>
                <w:rPr>
                  <w:rFonts w:ascii="Cambria Math" w:hAnsi="Cambria Math" w:cs="Arial"/>
                </w:rPr>
              </m:ctrlPr>
            </m:sSubPr>
            <m:e>
              <m:r>
                <w:rPr>
                  <w:rFonts w:ascii="Cambria Math" w:hAnsi="Cambria Math" w:cs="Arial"/>
                </w:rPr>
                <m:t>X</m:t>
              </m:r>
            </m:e>
            <m:sub>
              <m:r>
                <w:rPr>
                  <w:rFonts w:ascii="Cambria Math" w:hAnsi="Cambria Math" w:cs="Arial"/>
                </w:rPr>
                <m:t>5</m:t>
              </m:r>
            </m:sub>
          </m:sSub>
          <m:r>
            <m:rPr>
              <m:sty m:val="p"/>
            </m:rPr>
            <w:rPr>
              <w:rFonts w:ascii="Cambria Math" w:hAnsi="Cambria Math" w:cs="Arial"/>
            </w:rPr>
            <w:br/>
          </m:r>
        </m:oMath>
      </m:oMathPara>
    </w:p>
    <w:p w14:paraId="6323A31D" w14:textId="77777777" w:rsidR="002A1EAE" w:rsidRPr="002A1EAE" w:rsidRDefault="002A1EAE" w:rsidP="002A1EAE">
      <w:pPr>
        <w:spacing w:line="360" w:lineRule="auto"/>
        <w:jc w:val="both"/>
        <w:rPr>
          <w:rFonts w:ascii="Arial" w:hAnsi="Arial" w:cs="Arial"/>
        </w:rPr>
      </w:pPr>
      <w:r w:rsidRPr="002A1EAE">
        <w:rPr>
          <w:rFonts w:ascii="Arial" w:hAnsi="Arial" w:cs="Arial"/>
        </w:rPr>
        <w:t>Where:</w:t>
      </w:r>
    </w:p>
    <w:p w14:paraId="69356ED7" w14:textId="77777777" w:rsidR="002A1EAE" w:rsidRPr="002A1EAE" w:rsidRDefault="002A1EAE" w:rsidP="002A1EAE">
      <w:pPr>
        <w:spacing w:line="360" w:lineRule="auto"/>
        <w:jc w:val="both"/>
        <w:rPr>
          <w:rFonts w:ascii="Arial" w:hAnsi="Arial" w:cs="Arial"/>
          <w:b/>
          <w:bCs/>
        </w:rPr>
      </w:pPr>
      <w:r w:rsidRPr="002A1EAE">
        <w:rPr>
          <w:rFonts w:ascii="Arial" w:hAnsi="Arial" w:cs="Arial"/>
          <w:b/>
          <w:bCs/>
        </w:rPr>
        <w:t>X</w:t>
      </w:r>
      <w:r w:rsidRPr="002A1EAE">
        <w:rPr>
          <w:rFonts w:ascii="Cambria Math" w:hAnsi="Cambria Math" w:cs="Cambria Math"/>
          <w:b/>
          <w:bCs/>
        </w:rPr>
        <w:t>₁</w:t>
      </w:r>
      <w:r w:rsidRPr="002A1EAE">
        <w:rPr>
          <w:rFonts w:ascii="Arial" w:hAnsi="Arial" w:cs="Arial"/>
          <w:b/>
          <w:bCs/>
        </w:rPr>
        <w:t xml:space="preserve"> = WC / TA (Working Capital / Total Assets)</w:t>
      </w:r>
    </w:p>
    <w:p w14:paraId="41EA301B" w14:textId="77777777" w:rsidR="002A1EAE" w:rsidRDefault="002A1EAE" w:rsidP="002A1EAE">
      <w:pPr>
        <w:spacing w:line="360" w:lineRule="auto"/>
        <w:jc w:val="both"/>
        <w:rPr>
          <w:rFonts w:ascii="Arial" w:hAnsi="Arial" w:cs="Arial"/>
        </w:rPr>
      </w:pPr>
      <w:r w:rsidRPr="002A1EAE">
        <w:rPr>
          <w:rFonts w:ascii="Arial" w:hAnsi="Arial" w:cs="Arial"/>
        </w:rPr>
        <w:t>Represents a firm's short-term liquidity</w:t>
      </w:r>
      <w:r>
        <w:rPr>
          <w:rFonts w:ascii="Arial" w:hAnsi="Arial" w:cs="Arial"/>
        </w:rPr>
        <w:t>.</w:t>
      </w:r>
    </w:p>
    <w:p w14:paraId="50445B44" w14:textId="77777777" w:rsidR="002A1EAE" w:rsidRPr="002A1EAE" w:rsidRDefault="002A1EAE" w:rsidP="002A1EAE">
      <w:pPr>
        <w:spacing w:line="360" w:lineRule="auto"/>
        <w:jc w:val="both"/>
        <w:rPr>
          <w:rFonts w:ascii="Arial" w:hAnsi="Arial" w:cs="Arial"/>
          <w:b/>
          <w:bCs/>
        </w:rPr>
      </w:pPr>
      <w:r w:rsidRPr="002A1EAE">
        <w:rPr>
          <w:rFonts w:ascii="Arial" w:hAnsi="Arial" w:cs="Arial"/>
          <w:b/>
          <w:bCs/>
        </w:rPr>
        <w:t>X</w:t>
      </w:r>
      <w:r w:rsidRPr="002A1EAE">
        <w:rPr>
          <w:rFonts w:ascii="Cambria Math" w:hAnsi="Cambria Math" w:cs="Cambria Math"/>
          <w:b/>
          <w:bCs/>
        </w:rPr>
        <w:t>₂</w:t>
      </w:r>
      <w:r w:rsidRPr="002A1EAE">
        <w:rPr>
          <w:rFonts w:ascii="Arial" w:hAnsi="Arial" w:cs="Arial"/>
          <w:b/>
          <w:bCs/>
        </w:rPr>
        <w:t xml:space="preserve"> = RE / TA (Retained Earnings / Total Assets)</w:t>
      </w:r>
    </w:p>
    <w:p w14:paraId="696E2946" w14:textId="77777777" w:rsidR="002A1EAE" w:rsidRDefault="002A1EAE" w:rsidP="002A1EAE">
      <w:pPr>
        <w:spacing w:line="360" w:lineRule="auto"/>
        <w:jc w:val="both"/>
        <w:rPr>
          <w:rFonts w:ascii="Arial" w:hAnsi="Arial" w:cs="Arial"/>
        </w:rPr>
      </w:pPr>
      <w:r w:rsidRPr="002A1EAE">
        <w:rPr>
          <w:rFonts w:ascii="Arial" w:hAnsi="Arial" w:cs="Arial"/>
        </w:rPr>
        <w:t>Measures a firm’s cumulative profit</w:t>
      </w:r>
      <w:r>
        <w:rPr>
          <w:rFonts w:ascii="Arial" w:hAnsi="Arial" w:cs="Arial"/>
        </w:rPr>
        <w:t>.</w:t>
      </w:r>
    </w:p>
    <w:p w14:paraId="42326002" w14:textId="77777777" w:rsidR="002A1EAE" w:rsidRPr="002A1EAE" w:rsidRDefault="002A1EAE" w:rsidP="002A1EAE">
      <w:pPr>
        <w:spacing w:line="360" w:lineRule="auto"/>
        <w:jc w:val="both"/>
        <w:rPr>
          <w:rFonts w:ascii="Arial" w:hAnsi="Arial" w:cs="Arial"/>
          <w:b/>
          <w:bCs/>
        </w:rPr>
      </w:pPr>
      <w:r w:rsidRPr="002A1EAE">
        <w:rPr>
          <w:rFonts w:ascii="Arial" w:hAnsi="Arial" w:cs="Arial"/>
          <w:b/>
          <w:bCs/>
        </w:rPr>
        <w:t>X</w:t>
      </w:r>
      <w:r w:rsidRPr="002A1EAE">
        <w:rPr>
          <w:rFonts w:ascii="Cambria Math" w:hAnsi="Cambria Math" w:cs="Cambria Math"/>
          <w:b/>
          <w:bCs/>
        </w:rPr>
        <w:t>₃</w:t>
      </w:r>
      <w:r w:rsidRPr="002A1EAE">
        <w:rPr>
          <w:rFonts w:ascii="Arial" w:hAnsi="Arial" w:cs="Arial"/>
          <w:b/>
          <w:bCs/>
        </w:rPr>
        <w:t xml:space="preserve"> = EBIT / TA (Earnings Before Interest and Taxes / Total Assets)</w:t>
      </w:r>
    </w:p>
    <w:p w14:paraId="219A170D" w14:textId="77777777" w:rsidR="002A1EAE" w:rsidRPr="002A1EAE" w:rsidRDefault="002A1EAE" w:rsidP="002A1EAE">
      <w:pPr>
        <w:spacing w:line="360" w:lineRule="auto"/>
        <w:jc w:val="both"/>
        <w:rPr>
          <w:rFonts w:ascii="Arial" w:hAnsi="Arial" w:cs="Arial"/>
        </w:rPr>
      </w:pPr>
      <w:r w:rsidRPr="002A1EAE">
        <w:rPr>
          <w:rFonts w:ascii="Arial" w:hAnsi="Arial" w:cs="Arial"/>
        </w:rPr>
        <w:t>Measures a firm's operational efficiency</w:t>
      </w:r>
      <w:r>
        <w:rPr>
          <w:rFonts w:ascii="Arial" w:hAnsi="Arial" w:cs="Arial"/>
        </w:rPr>
        <w:t>.</w:t>
      </w:r>
    </w:p>
    <w:p w14:paraId="2F731DE6" w14:textId="77777777" w:rsidR="002A1EAE" w:rsidRPr="002A1EAE" w:rsidRDefault="002A1EAE" w:rsidP="002A1EAE">
      <w:pPr>
        <w:spacing w:line="360" w:lineRule="auto"/>
        <w:jc w:val="both"/>
        <w:rPr>
          <w:rFonts w:ascii="Arial" w:hAnsi="Arial" w:cs="Arial"/>
          <w:b/>
          <w:bCs/>
        </w:rPr>
      </w:pPr>
      <w:r w:rsidRPr="002A1EAE">
        <w:rPr>
          <w:rFonts w:ascii="Arial" w:hAnsi="Arial" w:cs="Arial"/>
          <w:b/>
          <w:bCs/>
        </w:rPr>
        <w:t>X</w:t>
      </w:r>
      <w:r w:rsidRPr="002A1EAE">
        <w:rPr>
          <w:rFonts w:ascii="Cambria Math" w:hAnsi="Cambria Math" w:cs="Cambria Math"/>
          <w:b/>
          <w:bCs/>
        </w:rPr>
        <w:t>₄</w:t>
      </w:r>
      <w:r w:rsidRPr="002A1EAE">
        <w:rPr>
          <w:rFonts w:ascii="Arial" w:hAnsi="Arial" w:cs="Arial"/>
          <w:b/>
          <w:bCs/>
        </w:rPr>
        <w:t xml:space="preserve"> = E / TL (Market Value of Equity / Total Liabilities)</w:t>
      </w:r>
    </w:p>
    <w:p w14:paraId="6E4EC1AA" w14:textId="77777777" w:rsidR="002A1EAE" w:rsidRPr="002A1EAE" w:rsidRDefault="002A1EAE" w:rsidP="002A1EAE">
      <w:pPr>
        <w:spacing w:line="360" w:lineRule="auto"/>
        <w:jc w:val="both"/>
        <w:rPr>
          <w:rFonts w:ascii="Arial" w:hAnsi="Arial" w:cs="Arial"/>
        </w:rPr>
      </w:pPr>
      <w:r w:rsidRPr="002A1EAE">
        <w:rPr>
          <w:rFonts w:ascii="Arial" w:hAnsi="Arial" w:cs="Arial"/>
        </w:rPr>
        <w:t>Measures a firm's solvency, and long-term financial health.</w:t>
      </w:r>
    </w:p>
    <w:p w14:paraId="5E68910A" w14:textId="77777777" w:rsidR="002A1EAE" w:rsidRPr="002A1EAE" w:rsidRDefault="002A1EAE" w:rsidP="002A1EAE">
      <w:pPr>
        <w:spacing w:line="360" w:lineRule="auto"/>
        <w:jc w:val="both"/>
        <w:rPr>
          <w:rFonts w:ascii="Arial" w:hAnsi="Arial" w:cs="Arial"/>
          <w:b/>
          <w:bCs/>
        </w:rPr>
      </w:pPr>
      <w:r w:rsidRPr="002A1EAE">
        <w:rPr>
          <w:rFonts w:ascii="Arial" w:hAnsi="Arial" w:cs="Arial"/>
          <w:b/>
          <w:bCs/>
        </w:rPr>
        <w:t>X</w:t>
      </w:r>
      <w:r w:rsidRPr="002A1EAE">
        <w:rPr>
          <w:rFonts w:ascii="Cambria Math" w:hAnsi="Cambria Math" w:cs="Cambria Math"/>
          <w:b/>
          <w:bCs/>
        </w:rPr>
        <w:t>₅</w:t>
      </w:r>
      <w:r w:rsidRPr="002A1EAE">
        <w:rPr>
          <w:rFonts w:ascii="Arial" w:hAnsi="Arial" w:cs="Arial"/>
          <w:b/>
          <w:bCs/>
        </w:rPr>
        <w:t xml:space="preserve"> = S / TA (Sales / Total Assets)</w:t>
      </w:r>
    </w:p>
    <w:p w14:paraId="6C911741" w14:textId="77777777" w:rsidR="002A1EAE" w:rsidRDefault="002A1EAE" w:rsidP="00005668">
      <w:pPr>
        <w:spacing w:line="360" w:lineRule="auto"/>
        <w:jc w:val="both"/>
        <w:rPr>
          <w:rFonts w:ascii="Arial" w:hAnsi="Arial" w:cs="Arial"/>
        </w:rPr>
      </w:pPr>
      <w:r w:rsidRPr="002A1EAE">
        <w:rPr>
          <w:rFonts w:ascii="Arial" w:hAnsi="Arial" w:cs="Arial"/>
        </w:rPr>
        <w:t>Measures a firm's Asset Turnover</w:t>
      </w:r>
      <w:r>
        <w:rPr>
          <w:rFonts w:ascii="Arial" w:hAnsi="Arial" w:cs="Arial"/>
        </w:rPr>
        <w:t>.</w:t>
      </w:r>
    </w:p>
    <w:p w14:paraId="153604AA" w14:textId="77777777" w:rsidR="002A1EAE" w:rsidRPr="00005668" w:rsidRDefault="00605062" w:rsidP="00005668">
      <w:pPr>
        <w:spacing w:line="360" w:lineRule="auto"/>
        <w:rPr>
          <w:rFonts w:ascii="Arial" w:hAnsi="Arial" w:cs="Arial"/>
          <w:b/>
          <w:bCs/>
        </w:rPr>
      </w:pPr>
      <w:r w:rsidRPr="00005668">
        <w:rPr>
          <w:rFonts w:ascii="Arial" w:hAnsi="Arial" w:cs="Arial"/>
          <w:b/>
          <w:bCs/>
        </w:rPr>
        <w:lastRenderedPageBreak/>
        <w:t>Standard Interpretation (Altman, 1968):</w:t>
      </w:r>
    </w:p>
    <w:tbl>
      <w:tblPr>
        <w:tblStyle w:val="TableGrid"/>
        <w:tblW w:w="0" w:type="auto"/>
        <w:tblLook w:val="04A0" w:firstRow="1" w:lastRow="0" w:firstColumn="1" w:lastColumn="0" w:noHBand="0" w:noVBand="1"/>
      </w:tblPr>
      <w:tblGrid>
        <w:gridCol w:w="4675"/>
        <w:gridCol w:w="4675"/>
      </w:tblGrid>
      <w:tr w:rsidR="00605062" w:rsidRPr="00005668" w14:paraId="293E8CEC" w14:textId="77777777">
        <w:tc>
          <w:tcPr>
            <w:tcW w:w="4675" w:type="dxa"/>
          </w:tcPr>
          <w:p w14:paraId="545D9E89" w14:textId="77777777" w:rsidR="00605062" w:rsidRPr="00005668" w:rsidRDefault="00605062" w:rsidP="00005668">
            <w:pPr>
              <w:spacing w:line="360" w:lineRule="auto"/>
              <w:rPr>
                <w:rFonts w:ascii="Arial" w:hAnsi="Arial" w:cs="Arial"/>
                <w:b/>
                <w:bCs/>
              </w:rPr>
            </w:pPr>
            <w:bookmarkStart w:id="4" w:name="_Hlk214556597"/>
            <w:r w:rsidRPr="00005668">
              <w:rPr>
                <w:rFonts w:ascii="Arial" w:hAnsi="Arial" w:cs="Arial"/>
                <w:b/>
                <w:bCs/>
              </w:rPr>
              <w:t>Z-Score</w:t>
            </w:r>
          </w:p>
        </w:tc>
        <w:tc>
          <w:tcPr>
            <w:tcW w:w="4675" w:type="dxa"/>
          </w:tcPr>
          <w:p w14:paraId="2697D120" w14:textId="77777777" w:rsidR="00605062" w:rsidRPr="00005668" w:rsidRDefault="00605062" w:rsidP="00005668">
            <w:pPr>
              <w:spacing w:line="360" w:lineRule="auto"/>
              <w:rPr>
                <w:rFonts w:ascii="Arial" w:hAnsi="Arial" w:cs="Arial"/>
                <w:b/>
                <w:bCs/>
              </w:rPr>
            </w:pPr>
            <w:r w:rsidRPr="00005668">
              <w:rPr>
                <w:rFonts w:ascii="Arial" w:hAnsi="Arial" w:cs="Arial"/>
                <w:b/>
                <w:bCs/>
              </w:rPr>
              <w:t>Meaning</w:t>
            </w:r>
          </w:p>
        </w:tc>
      </w:tr>
      <w:tr w:rsidR="00605062" w:rsidRPr="00005668" w14:paraId="5ED8E0EB" w14:textId="77777777">
        <w:tc>
          <w:tcPr>
            <w:tcW w:w="4675" w:type="dxa"/>
          </w:tcPr>
          <w:p w14:paraId="5FB0FA79" w14:textId="77777777" w:rsidR="00605062" w:rsidRPr="00005668" w:rsidRDefault="00605062" w:rsidP="00005668">
            <w:pPr>
              <w:spacing w:line="360" w:lineRule="auto"/>
              <w:rPr>
                <w:rFonts w:ascii="Arial" w:hAnsi="Arial" w:cs="Arial"/>
              </w:rPr>
            </w:pPr>
            <w:r w:rsidRPr="00005668">
              <w:rPr>
                <w:rFonts w:ascii="Arial" w:hAnsi="Arial" w:cs="Arial"/>
              </w:rPr>
              <w:t>&gt; 2.99</w:t>
            </w:r>
          </w:p>
        </w:tc>
        <w:tc>
          <w:tcPr>
            <w:tcW w:w="4675" w:type="dxa"/>
          </w:tcPr>
          <w:p w14:paraId="2385CB67" w14:textId="77777777" w:rsidR="00605062" w:rsidRPr="00005668" w:rsidRDefault="00605062" w:rsidP="00005668">
            <w:pPr>
              <w:spacing w:line="360" w:lineRule="auto"/>
              <w:rPr>
                <w:rFonts w:ascii="Arial" w:hAnsi="Arial" w:cs="Arial"/>
              </w:rPr>
            </w:pPr>
            <w:r w:rsidRPr="00005668">
              <w:rPr>
                <w:rFonts w:ascii="Arial" w:hAnsi="Arial" w:cs="Arial"/>
              </w:rPr>
              <w:t>Safe Zone – Low bankruptcy risk</w:t>
            </w:r>
          </w:p>
        </w:tc>
      </w:tr>
      <w:tr w:rsidR="00605062" w:rsidRPr="00005668" w14:paraId="61C37A6F" w14:textId="77777777">
        <w:tc>
          <w:tcPr>
            <w:tcW w:w="4675" w:type="dxa"/>
          </w:tcPr>
          <w:p w14:paraId="4139818B" w14:textId="77777777" w:rsidR="00605062" w:rsidRPr="00005668" w:rsidRDefault="00605062" w:rsidP="00005668">
            <w:pPr>
              <w:spacing w:line="360" w:lineRule="auto"/>
              <w:rPr>
                <w:rFonts w:ascii="Arial" w:hAnsi="Arial" w:cs="Arial"/>
              </w:rPr>
            </w:pPr>
            <w:r w:rsidRPr="00005668">
              <w:rPr>
                <w:rFonts w:ascii="Arial" w:hAnsi="Arial" w:cs="Arial"/>
              </w:rPr>
              <w:t>1.81 – 2.99</w:t>
            </w:r>
          </w:p>
        </w:tc>
        <w:tc>
          <w:tcPr>
            <w:tcW w:w="4675" w:type="dxa"/>
          </w:tcPr>
          <w:p w14:paraId="562B9A18" w14:textId="77777777" w:rsidR="00605062" w:rsidRPr="00005668" w:rsidRDefault="00605062" w:rsidP="00005668">
            <w:pPr>
              <w:spacing w:line="360" w:lineRule="auto"/>
              <w:rPr>
                <w:rFonts w:ascii="Arial" w:hAnsi="Arial" w:cs="Arial"/>
              </w:rPr>
            </w:pPr>
            <w:r w:rsidRPr="00005668">
              <w:rPr>
                <w:rFonts w:ascii="Arial" w:hAnsi="Arial" w:cs="Arial"/>
              </w:rPr>
              <w:t>Grey Zone – Some risk, unstable performance</w:t>
            </w:r>
          </w:p>
        </w:tc>
      </w:tr>
      <w:tr w:rsidR="00605062" w:rsidRPr="00005668" w14:paraId="3E76659A" w14:textId="77777777">
        <w:tc>
          <w:tcPr>
            <w:tcW w:w="4675" w:type="dxa"/>
          </w:tcPr>
          <w:p w14:paraId="233CEDDC" w14:textId="77777777" w:rsidR="00605062" w:rsidRPr="00005668" w:rsidRDefault="00605062" w:rsidP="00005668">
            <w:pPr>
              <w:spacing w:line="360" w:lineRule="auto"/>
              <w:rPr>
                <w:rFonts w:ascii="Arial" w:hAnsi="Arial" w:cs="Arial"/>
              </w:rPr>
            </w:pPr>
            <w:r w:rsidRPr="00005668">
              <w:rPr>
                <w:rFonts w:ascii="Arial" w:hAnsi="Arial" w:cs="Arial"/>
              </w:rPr>
              <w:t>&lt; 1.81</w:t>
            </w:r>
          </w:p>
        </w:tc>
        <w:tc>
          <w:tcPr>
            <w:tcW w:w="4675" w:type="dxa"/>
          </w:tcPr>
          <w:p w14:paraId="737DDC39" w14:textId="77777777" w:rsidR="00605062" w:rsidRPr="00005668" w:rsidRDefault="00605062" w:rsidP="00005668">
            <w:pPr>
              <w:spacing w:line="360" w:lineRule="auto"/>
              <w:rPr>
                <w:rFonts w:ascii="Arial" w:hAnsi="Arial" w:cs="Arial"/>
              </w:rPr>
            </w:pPr>
            <w:r w:rsidRPr="00005668">
              <w:rPr>
                <w:rFonts w:ascii="Arial" w:hAnsi="Arial" w:cs="Arial"/>
              </w:rPr>
              <w:t>Distress Zone – High bankruptcy probability</w:t>
            </w:r>
          </w:p>
        </w:tc>
      </w:tr>
    </w:tbl>
    <w:bookmarkEnd w:id="4"/>
    <w:p w14:paraId="5F249830" w14:textId="77777777" w:rsidR="001F3CEF" w:rsidRDefault="001F3CEF" w:rsidP="00D74827">
      <w:pPr>
        <w:spacing w:line="360" w:lineRule="auto"/>
        <w:jc w:val="both"/>
        <w:rPr>
          <w:rFonts w:ascii="Arial" w:hAnsi="Arial" w:cs="Arial"/>
        </w:rPr>
      </w:pPr>
      <w:r w:rsidRPr="001F3CEF">
        <w:rPr>
          <w:rFonts w:ascii="Arial" w:hAnsi="Arial" w:cs="Arial"/>
        </w:rPr>
        <w:t>Although the Altman Z-Score has shown that the company continues to be at low-risk for bankruptcy (as indicated by all of its scores being greater than 3), the company's overall trend has been moving toward increasing levels of financial weakness. In 2020, the company's Z-score is high at 6.13</w:t>
      </w:r>
      <w:r>
        <w:rPr>
          <w:rFonts w:ascii="Arial" w:hAnsi="Arial" w:cs="Arial"/>
        </w:rPr>
        <w:t xml:space="preserve">. </w:t>
      </w:r>
      <w:r w:rsidRPr="001F3CEF">
        <w:rPr>
          <w:rFonts w:ascii="Arial" w:hAnsi="Arial" w:cs="Arial"/>
        </w:rPr>
        <w:t>However, the beginning of a downward trend is seen in 2021 when both liquidity and operating performance (i.e., earnings before interest and taxes (EBIT)) begin to decline. A sharp drop off in profitability occurs in 2022 which is reflected in an extremely low EBIT/Total Assets (TA) ratio. The worst year of this trend is 2023 when the Z-Score declines to 3.38</w:t>
      </w:r>
      <w:r>
        <w:rPr>
          <w:rFonts w:ascii="Arial" w:hAnsi="Arial" w:cs="Arial"/>
        </w:rPr>
        <w:t>.</w:t>
      </w:r>
      <w:r w:rsidRPr="001F3CEF">
        <w:rPr>
          <w:rFonts w:ascii="Arial" w:hAnsi="Arial" w:cs="Arial"/>
        </w:rPr>
        <w:t xml:space="preserve"> Although the Z-Score improved slightly to 4.44 in 2024, the continued negative EBIT and weakened solvency reflect the fact that the company is still experiencing extreme financial stress.</w:t>
      </w:r>
    </w:p>
    <w:p w14:paraId="19EF6213" w14:textId="77777777" w:rsidR="00B74EFD" w:rsidRPr="002A1EAE" w:rsidRDefault="00B74EFD" w:rsidP="002A1EAE">
      <w:pPr>
        <w:jc w:val="center"/>
        <w:rPr>
          <w:rFonts w:ascii="Arial" w:hAnsi="Arial" w:cs="Arial"/>
          <w:b/>
          <w:bCs/>
          <w:i/>
          <w:iCs/>
        </w:rPr>
      </w:pPr>
      <w:r w:rsidRPr="002A1EAE">
        <w:rPr>
          <w:rFonts w:ascii="Arial" w:hAnsi="Arial" w:cs="Arial"/>
          <w:b/>
          <w:bCs/>
          <w:i/>
          <w:iCs/>
        </w:rPr>
        <w:fldChar w:fldCharType="begin"/>
      </w:r>
      <w:r w:rsidRPr="002A1EAE">
        <w:rPr>
          <w:rFonts w:ascii="Arial" w:hAnsi="Arial" w:cs="Arial"/>
          <w:b/>
          <w:bCs/>
          <w:i/>
          <w:iCs/>
        </w:rPr>
        <w:instrText xml:space="preserve"> LINK </w:instrText>
      </w:r>
      <w:r w:rsidR="006E26B2">
        <w:rPr>
          <w:rFonts w:ascii="Arial" w:hAnsi="Arial" w:cs="Arial"/>
          <w:b/>
          <w:bCs/>
          <w:i/>
          <w:iCs/>
        </w:rPr>
        <w:instrText xml:space="preserve">Excel.Sheet.12 "C:\\Users\\HP\\Desktop\\financial analysis.xlsx" "Ratio Analysis!R20C12:R25C16" </w:instrText>
      </w:r>
      <w:r w:rsidRPr="002A1EAE">
        <w:rPr>
          <w:rFonts w:ascii="Arial" w:hAnsi="Arial" w:cs="Arial"/>
          <w:b/>
          <w:bCs/>
          <w:i/>
          <w:iCs/>
        </w:rPr>
        <w:instrText xml:space="preserve">\a \f 5 \h  \* MERGEFORMAT </w:instrText>
      </w:r>
      <w:r w:rsidR="005E377D">
        <w:rPr>
          <w:rFonts w:ascii="Arial" w:hAnsi="Arial" w:cs="Arial"/>
          <w:b/>
          <w:bCs/>
          <w:i/>
          <w:iCs/>
        </w:rPr>
        <w:fldChar w:fldCharType="separate"/>
      </w:r>
      <w:r w:rsidRPr="002A1EAE">
        <w:rPr>
          <w:rFonts w:ascii="Arial" w:hAnsi="Arial" w:cs="Arial"/>
          <w:b/>
          <w:bCs/>
          <w:i/>
          <w:iCs/>
        </w:rPr>
        <w:fldChar w:fldCharType="end"/>
      </w:r>
      <w:r w:rsidR="002A1EAE" w:rsidRPr="002A1EAE">
        <w:rPr>
          <w:rFonts w:ascii="Arial" w:hAnsi="Arial" w:cs="Arial"/>
          <w:b/>
          <w:bCs/>
          <w:i/>
          <w:iCs/>
        </w:rPr>
        <w:t>Table 6: Altman Z score</w:t>
      </w:r>
    </w:p>
    <w:tbl>
      <w:tblPr>
        <w:tblStyle w:val="TableGrid"/>
        <w:tblW w:w="0" w:type="auto"/>
        <w:jc w:val="center"/>
        <w:tblLook w:val="04A0" w:firstRow="1" w:lastRow="0" w:firstColumn="1" w:lastColumn="0" w:noHBand="0" w:noVBand="1"/>
      </w:tblPr>
      <w:tblGrid>
        <w:gridCol w:w="3145"/>
        <w:gridCol w:w="5085"/>
      </w:tblGrid>
      <w:tr w:rsidR="00B74EFD" w:rsidRPr="00005668" w14:paraId="7760CBAE" w14:textId="77777777" w:rsidTr="002A1EAE">
        <w:trPr>
          <w:trHeight w:val="624"/>
          <w:jc w:val="center"/>
        </w:trPr>
        <w:tc>
          <w:tcPr>
            <w:tcW w:w="8230" w:type="dxa"/>
            <w:gridSpan w:val="2"/>
            <w:noWrap/>
            <w:hideMark/>
          </w:tcPr>
          <w:p w14:paraId="0F923751" w14:textId="77777777" w:rsidR="00B74EFD" w:rsidRPr="00005668" w:rsidRDefault="00B74EFD" w:rsidP="002A1EAE">
            <w:pPr>
              <w:spacing w:line="360" w:lineRule="auto"/>
              <w:jc w:val="center"/>
              <w:rPr>
                <w:rFonts w:ascii="Arial" w:hAnsi="Arial" w:cs="Arial"/>
                <w:b/>
                <w:bCs/>
              </w:rPr>
            </w:pPr>
            <w:r w:rsidRPr="00005668">
              <w:rPr>
                <w:rFonts w:ascii="Arial" w:hAnsi="Arial" w:cs="Arial"/>
                <w:b/>
                <w:bCs/>
              </w:rPr>
              <w:t>Altman Z score</w:t>
            </w:r>
          </w:p>
        </w:tc>
      </w:tr>
      <w:tr w:rsidR="00B74EFD" w:rsidRPr="00005668" w14:paraId="12B7AC28" w14:textId="77777777" w:rsidTr="002A1EAE">
        <w:trPr>
          <w:trHeight w:val="312"/>
          <w:jc w:val="center"/>
        </w:trPr>
        <w:tc>
          <w:tcPr>
            <w:tcW w:w="3145" w:type="dxa"/>
            <w:hideMark/>
          </w:tcPr>
          <w:p w14:paraId="5772C753" w14:textId="77777777" w:rsidR="00B74EFD" w:rsidRPr="00005668" w:rsidRDefault="00B74EFD" w:rsidP="002A1EAE">
            <w:pPr>
              <w:spacing w:line="360" w:lineRule="auto"/>
              <w:jc w:val="center"/>
              <w:rPr>
                <w:rFonts w:ascii="Arial" w:hAnsi="Arial" w:cs="Arial"/>
                <w:b/>
                <w:bCs/>
              </w:rPr>
            </w:pPr>
            <w:r w:rsidRPr="00005668">
              <w:rPr>
                <w:rFonts w:ascii="Arial" w:hAnsi="Arial" w:cs="Arial"/>
                <w:b/>
                <w:bCs/>
              </w:rPr>
              <w:t>Year</w:t>
            </w:r>
          </w:p>
        </w:tc>
        <w:tc>
          <w:tcPr>
            <w:tcW w:w="5085" w:type="dxa"/>
            <w:hideMark/>
          </w:tcPr>
          <w:p w14:paraId="69559165" w14:textId="77777777" w:rsidR="00B74EFD" w:rsidRPr="00005668" w:rsidRDefault="00B74EFD" w:rsidP="002A1EAE">
            <w:pPr>
              <w:spacing w:line="360" w:lineRule="auto"/>
              <w:jc w:val="center"/>
              <w:rPr>
                <w:rFonts w:ascii="Arial" w:hAnsi="Arial" w:cs="Arial"/>
                <w:b/>
                <w:bCs/>
              </w:rPr>
            </w:pPr>
            <w:r w:rsidRPr="00005668">
              <w:rPr>
                <w:rFonts w:ascii="Arial" w:hAnsi="Arial" w:cs="Arial"/>
                <w:b/>
                <w:bCs/>
              </w:rPr>
              <w:t>Z-score</w:t>
            </w:r>
          </w:p>
        </w:tc>
      </w:tr>
      <w:tr w:rsidR="00B74EFD" w:rsidRPr="00005668" w14:paraId="3EBCC25B" w14:textId="77777777" w:rsidTr="002A1EAE">
        <w:trPr>
          <w:trHeight w:val="312"/>
          <w:jc w:val="center"/>
        </w:trPr>
        <w:tc>
          <w:tcPr>
            <w:tcW w:w="3145" w:type="dxa"/>
            <w:hideMark/>
          </w:tcPr>
          <w:p w14:paraId="2B54338E" w14:textId="77777777" w:rsidR="00B74EFD" w:rsidRPr="00005668" w:rsidRDefault="00B74EFD" w:rsidP="002A1EAE">
            <w:pPr>
              <w:spacing w:line="360" w:lineRule="auto"/>
              <w:jc w:val="center"/>
              <w:rPr>
                <w:rFonts w:ascii="Arial" w:hAnsi="Arial" w:cs="Arial"/>
              </w:rPr>
            </w:pPr>
            <w:r w:rsidRPr="00005668">
              <w:rPr>
                <w:rFonts w:ascii="Arial" w:hAnsi="Arial" w:cs="Arial"/>
              </w:rPr>
              <w:t>2020</w:t>
            </w:r>
          </w:p>
        </w:tc>
        <w:tc>
          <w:tcPr>
            <w:tcW w:w="5085" w:type="dxa"/>
            <w:noWrap/>
            <w:hideMark/>
          </w:tcPr>
          <w:p w14:paraId="584A8AD4" w14:textId="77777777" w:rsidR="00B74EFD" w:rsidRPr="00005668" w:rsidRDefault="00B74EFD" w:rsidP="002A1EAE">
            <w:pPr>
              <w:spacing w:line="360" w:lineRule="auto"/>
              <w:jc w:val="center"/>
              <w:rPr>
                <w:rFonts w:ascii="Arial" w:hAnsi="Arial" w:cs="Arial"/>
              </w:rPr>
            </w:pPr>
            <w:r w:rsidRPr="00005668">
              <w:rPr>
                <w:rFonts w:ascii="Arial" w:hAnsi="Arial" w:cs="Arial"/>
              </w:rPr>
              <w:t>6.1310</w:t>
            </w:r>
          </w:p>
        </w:tc>
      </w:tr>
      <w:tr w:rsidR="00B74EFD" w:rsidRPr="00005668" w14:paraId="00FF5BF0" w14:textId="77777777" w:rsidTr="002A1EAE">
        <w:trPr>
          <w:trHeight w:val="312"/>
          <w:jc w:val="center"/>
        </w:trPr>
        <w:tc>
          <w:tcPr>
            <w:tcW w:w="3145" w:type="dxa"/>
            <w:hideMark/>
          </w:tcPr>
          <w:p w14:paraId="6A78E0A4" w14:textId="77777777" w:rsidR="00B74EFD" w:rsidRPr="00005668" w:rsidRDefault="00B74EFD" w:rsidP="002A1EAE">
            <w:pPr>
              <w:spacing w:line="360" w:lineRule="auto"/>
              <w:jc w:val="center"/>
              <w:rPr>
                <w:rFonts w:ascii="Arial" w:hAnsi="Arial" w:cs="Arial"/>
              </w:rPr>
            </w:pPr>
            <w:r w:rsidRPr="00005668">
              <w:rPr>
                <w:rFonts w:ascii="Arial" w:hAnsi="Arial" w:cs="Arial"/>
              </w:rPr>
              <w:t>2021</w:t>
            </w:r>
          </w:p>
        </w:tc>
        <w:tc>
          <w:tcPr>
            <w:tcW w:w="5085" w:type="dxa"/>
            <w:noWrap/>
            <w:hideMark/>
          </w:tcPr>
          <w:p w14:paraId="3A4EEDA3" w14:textId="77777777" w:rsidR="00B74EFD" w:rsidRPr="00005668" w:rsidRDefault="00B74EFD" w:rsidP="002A1EAE">
            <w:pPr>
              <w:spacing w:line="360" w:lineRule="auto"/>
              <w:jc w:val="center"/>
              <w:rPr>
                <w:rFonts w:ascii="Arial" w:hAnsi="Arial" w:cs="Arial"/>
              </w:rPr>
            </w:pPr>
            <w:r w:rsidRPr="00005668">
              <w:rPr>
                <w:rFonts w:ascii="Arial" w:hAnsi="Arial" w:cs="Arial"/>
              </w:rPr>
              <w:t>5.1992</w:t>
            </w:r>
          </w:p>
        </w:tc>
      </w:tr>
      <w:tr w:rsidR="00B74EFD" w:rsidRPr="00005668" w14:paraId="7C59DC2F" w14:textId="77777777" w:rsidTr="002A1EAE">
        <w:trPr>
          <w:trHeight w:val="312"/>
          <w:jc w:val="center"/>
        </w:trPr>
        <w:tc>
          <w:tcPr>
            <w:tcW w:w="3145" w:type="dxa"/>
            <w:hideMark/>
          </w:tcPr>
          <w:p w14:paraId="5F76B1DE" w14:textId="77777777" w:rsidR="00B74EFD" w:rsidRPr="00005668" w:rsidRDefault="00B74EFD" w:rsidP="002A1EAE">
            <w:pPr>
              <w:spacing w:line="360" w:lineRule="auto"/>
              <w:jc w:val="center"/>
              <w:rPr>
                <w:rFonts w:ascii="Arial" w:hAnsi="Arial" w:cs="Arial"/>
              </w:rPr>
            </w:pPr>
            <w:r w:rsidRPr="00005668">
              <w:rPr>
                <w:rFonts w:ascii="Arial" w:hAnsi="Arial" w:cs="Arial"/>
              </w:rPr>
              <w:t>2022</w:t>
            </w:r>
          </w:p>
        </w:tc>
        <w:tc>
          <w:tcPr>
            <w:tcW w:w="5085" w:type="dxa"/>
            <w:noWrap/>
            <w:hideMark/>
          </w:tcPr>
          <w:p w14:paraId="67928DE1" w14:textId="77777777" w:rsidR="00B74EFD" w:rsidRPr="00005668" w:rsidRDefault="00B74EFD" w:rsidP="002A1EAE">
            <w:pPr>
              <w:spacing w:line="360" w:lineRule="auto"/>
              <w:jc w:val="center"/>
              <w:rPr>
                <w:rFonts w:ascii="Arial" w:hAnsi="Arial" w:cs="Arial"/>
              </w:rPr>
            </w:pPr>
            <w:r w:rsidRPr="00005668">
              <w:rPr>
                <w:rFonts w:ascii="Arial" w:hAnsi="Arial" w:cs="Arial"/>
              </w:rPr>
              <w:t>5.1095</w:t>
            </w:r>
          </w:p>
        </w:tc>
      </w:tr>
      <w:tr w:rsidR="00B74EFD" w:rsidRPr="00005668" w14:paraId="593E5003" w14:textId="77777777" w:rsidTr="002A1EAE">
        <w:trPr>
          <w:trHeight w:val="312"/>
          <w:jc w:val="center"/>
        </w:trPr>
        <w:tc>
          <w:tcPr>
            <w:tcW w:w="3145" w:type="dxa"/>
            <w:hideMark/>
          </w:tcPr>
          <w:p w14:paraId="1E60E30C" w14:textId="77777777" w:rsidR="00B74EFD" w:rsidRPr="00005668" w:rsidRDefault="00B74EFD" w:rsidP="002A1EAE">
            <w:pPr>
              <w:spacing w:line="360" w:lineRule="auto"/>
              <w:jc w:val="center"/>
              <w:rPr>
                <w:rFonts w:ascii="Arial" w:hAnsi="Arial" w:cs="Arial"/>
              </w:rPr>
            </w:pPr>
            <w:r w:rsidRPr="00005668">
              <w:rPr>
                <w:rFonts w:ascii="Arial" w:hAnsi="Arial" w:cs="Arial"/>
              </w:rPr>
              <w:t>2023</w:t>
            </w:r>
          </w:p>
        </w:tc>
        <w:tc>
          <w:tcPr>
            <w:tcW w:w="5085" w:type="dxa"/>
            <w:noWrap/>
            <w:hideMark/>
          </w:tcPr>
          <w:p w14:paraId="05F31376" w14:textId="77777777" w:rsidR="00B74EFD" w:rsidRPr="00005668" w:rsidRDefault="00B74EFD" w:rsidP="002A1EAE">
            <w:pPr>
              <w:spacing w:line="360" w:lineRule="auto"/>
              <w:jc w:val="center"/>
              <w:rPr>
                <w:rFonts w:ascii="Arial" w:hAnsi="Arial" w:cs="Arial"/>
              </w:rPr>
            </w:pPr>
            <w:r w:rsidRPr="00005668">
              <w:rPr>
                <w:rFonts w:ascii="Arial" w:hAnsi="Arial" w:cs="Arial"/>
              </w:rPr>
              <w:t>3.3814</w:t>
            </w:r>
          </w:p>
        </w:tc>
      </w:tr>
      <w:tr w:rsidR="00B74EFD" w:rsidRPr="00005668" w14:paraId="76C14C5D" w14:textId="77777777" w:rsidTr="002A1EAE">
        <w:trPr>
          <w:trHeight w:val="312"/>
          <w:jc w:val="center"/>
        </w:trPr>
        <w:tc>
          <w:tcPr>
            <w:tcW w:w="3145" w:type="dxa"/>
            <w:hideMark/>
          </w:tcPr>
          <w:p w14:paraId="46905B21" w14:textId="77777777" w:rsidR="00B74EFD" w:rsidRPr="00005668" w:rsidRDefault="00B74EFD" w:rsidP="002A1EAE">
            <w:pPr>
              <w:spacing w:line="360" w:lineRule="auto"/>
              <w:jc w:val="center"/>
              <w:rPr>
                <w:rFonts w:ascii="Arial" w:hAnsi="Arial" w:cs="Arial"/>
              </w:rPr>
            </w:pPr>
            <w:r w:rsidRPr="00005668">
              <w:rPr>
                <w:rFonts w:ascii="Arial" w:hAnsi="Arial" w:cs="Arial"/>
              </w:rPr>
              <w:t>2024</w:t>
            </w:r>
          </w:p>
        </w:tc>
        <w:tc>
          <w:tcPr>
            <w:tcW w:w="5085" w:type="dxa"/>
            <w:noWrap/>
            <w:hideMark/>
          </w:tcPr>
          <w:p w14:paraId="2B04EB3D" w14:textId="77777777" w:rsidR="00B74EFD" w:rsidRPr="00005668" w:rsidRDefault="00B74EFD" w:rsidP="002A1EAE">
            <w:pPr>
              <w:spacing w:line="360" w:lineRule="auto"/>
              <w:jc w:val="center"/>
              <w:rPr>
                <w:rFonts w:ascii="Arial" w:hAnsi="Arial" w:cs="Arial"/>
              </w:rPr>
            </w:pPr>
            <w:r w:rsidRPr="00005668">
              <w:rPr>
                <w:rFonts w:ascii="Arial" w:hAnsi="Arial" w:cs="Arial"/>
              </w:rPr>
              <w:t>4.4360</w:t>
            </w:r>
          </w:p>
        </w:tc>
      </w:tr>
    </w:tbl>
    <w:p w14:paraId="709B7761" w14:textId="77777777" w:rsidR="00E273C2" w:rsidRPr="001F3CEF" w:rsidRDefault="00C74E38" w:rsidP="001F3CEF">
      <w:pPr>
        <w:spacing w:after="0" w:line="360" w:lineRule="auto"/>
        <w:rPr>
          <w:rFonts w:ascii="Arial" w:hAnsi="Arial" w:cs="Arial"/>
          <w:sz w:val="22"/>
          <w:szCs w:val="22"/>
        </w:rPr>
      </w:pPr>
      <w:r w:rsidRPr="00C74E38">
        <w:rPr>
          <w:rFonts w:ascii="Arial" w:hAnsi="Arial" w:cs="Arial"/>
          <w:sz w:val="22"/>
          <w:szCs w:val="22"/>
        </w:rPr>
        <w:t xml:space="preserve">Source: </w:t>
      </w:r>
      <w:r>
        <w:rPr>
          <w:rFonts w:ascii="Arial" w:hAnsi="Arial" w:cs="Arial"/>
          <w:sz w:val="22"/>
          <w:szCs w:val="22"/>
        </w:rPr>
        <w:t>(</w:t>
      </w:r>
      <w:r w:rsidRPr="00C74E38">
        <w:rPr>
          <w:rFonts w:ascii="Arial" w:hAnsi="Arial" w:cs="Arial"/>
          <w:sz w:val="22"/>
          <w:szCs w:val="22"/>
        </w:rPr>
        <w:t>General Electronics annual report</w:t>
      </w:r>
      <w:r>
        <w:rPr>
          <w:rFonts w:ascii="Arial" w:hAnsi="Arial" w:cs="Arial"/>
          <w:sz w:val="22"/>
          <w:szCs w:val="22"/>
        </w:rPr>
        <w:t>)</w:t>
      </w:r>
    </w:p>
    <w:p w14:paraId="173FBE26" w14:textId="77777777" w:rsidR="00D74827" w:rsidRDefault="00B74EFD" w:rsidP="006523A8">
      <w:pPr>
        <w:spacing w:line="360" w:lineRule="auto"/>
        <w:jc w:val="both"/>
        <w:rPr>
          <w:rFonts w:ascii="Arial" w:hAnsi="Arial" w:cs="Arial"/>
        </w:rPr>
      </w:pPr>
      <w:r w:rsidRPr="00005668">
        <w:rPr>
          <w:rFonts w:ascii="Arial" w:hAnsi="Arial" w:cs="Arial"/>
        </w:rPr>
        <w:t>Overall, the Altman model highlights a company transitioning from strong stability to increasing financial risk, requiring strategic restructuring to reverse the decline.</w:t>
      </w:r>
    </w:p>
    <w:p w14:paraId="036E7FAA" w14:textId="77777777" w:rsidR="00BC0961" w:rsidRPr="00E273C2" w:rsidRDefault="00BC0961" w:rsidP="00E273C2">
      <w:pPr>
        <w:pStyle w:val="Heading1"/>
        <w:rPr>
          <w:rFonts w:ascii="Arial" w:hAnsi="Arial" w:cs="Arial"/>
          <w:b/>
          <w:bCs/>
          <w:color w:val="auto"/>
          <w:sz w:val="24"/>
          <w:szCs w:val="24"/>
        </w:rPr>
      </w:pPr>
      <w:bookmarkStart w:id="5" w:name="_Toc214577533"/>
      <w:r w:rsidRPr="00E273C2">
        <w:rPr>
          <w:rFonts w:ascii="Arial" w:hAnsi="Arial" w:cs="Arial"/>
          <w:b/>
          <w:bCs/>
          <w:color w:val="000000" w:themeColor="text1"/>
          <w:sz w:val="32"/>
          <w:szCs w:val="32"/>
        </w:rPr>
        <w:lastRenderedPageBreak/>
        <w:t>Working Capital Management Analysis</w:t>
      </w:r>
      <w:bookmarkEnd w:id="5"/>
      <w:r w:rsidRPr="00E273C2">
        <w:rPr>
          <w:rFonts w:ascii="Arial" w:hAnsi="Arial" w:cs="Arial"/>
          <w:b/>
          <w:bCs/>
          <w:color w:val="000000" w:themeColor="text1"/>
          <w:sz w:val="32"/>
          <w:szCs w:val="32"/>
        </w:rPr>
        <w:t xml:space="preserve"> </w:t>
      </w:r>
    </w:p>
    <w:p w14:paraId="412457A7" w14:textId="77777777" w:rsidR="00BC0961" w:rsidRPr="006523A8" w:rsidRDefault="00BC0961" w:rsidP="006523A8">
      <w:pPr>
        <w:pStyle w:val="Heading2"/>
        <w:rPr>
          <w:rFonts w:ascii="Arial" w:hAnsi="Arial" w:cs="Arial"/>
          <w:b/>
          <w:bCs/>
          <w:color w:val="000000" w:themeColor="text1"/>
          <w:sz w:val="28"/>
          <w:szCs w:val="28"/>
        </w:rPr>
      </w:pPr>
      <w:bookmarkStart w:id="6" w:name="_Toc214577534"/>
      <w:r w:rsidRPr="006523A8">
        <w:rPr>
          <w:rFonts w:ascii="Arial" w:hAnsi="Arial" w:cs="Arial"/>
          <w:b/>
          <w:bCs/>
          <w:color w:val="000000" w:themeColor="text1"/>
          <w:sz w:val="28"/>
          <w:szCs w:val="28"/>
        </w:rPr>
        <w:t>Cash Operating Cycle Analysis</w:t>
      </w:r>
      <w:bookmarkEnd w:id="6"/>
      <w:r w:rsidRPr="006523A8">
        <w:rPr>
          <w:rFonts w:ascii="Arial" w:hAnsi="Arial" w:cs="Arial"/>
          <w:b/>
          <w:bCs/>
          <w:color w:val="000000" w:themeColor="text1"/>
          <w:sz w:val="28"/>
          <w:szCs w:val="28"/>
        </w:rPr>
        <w:t xml:space="preserve"> </w:t>
      </w:r>
    </w:p>
    <w:p w14:paraId="2A4372AB" w14:textId="77777777" w:rsidR="00BC0961" w:rsidRDefault="00E273C2" w:rsidP="00005668">
      <w:pPr>
        <w:spacing w:line="360" w:lineRule="auto"/>
        <w:jc w:val="both"/>
        <w:rPr>
          <w:rFonts w:ascii="Arial" w:hAnsi="Arial" w:cs="Arial"/>
        </w:rPr>
      </w:pPr>
      <w:r w:rsidRPr="00E273C2">
        <w:rPr>
          <w:rFonts w:ascii="Arial" w:hAnsi="Arial" w:cs="Arial"/>
        </w:rPr>
        <w:t>The company's CCC is unstable with the figure rising from 107.83 days in 2020 to an all-time high of 139.87 days in 2022, as a result of low inventory turn-over and decreased accounts payable. Inventory turn-over increases slightly between 2023–2024; however, receivable days increased sharply, at 105.54 days by 2024, and clearly show poor credit management skills. Working capital efficiency continues to be impacted adversely but has shown some improvement.</w:t>
      </w:r>
      <w:r w:rsidR="00BC0961" w:rsidRPr="00005668">
        <w:rPr>
          <w:rFonts w:ascii="Arial" w:hAnsi="Arial" w:cs="Arial"/>
        </w:rPr>
        <w:t xml:space="preserve"> </w:t>
      </w:r>
    </w:p>
    <w:p w14:paraId="7892CB28" w14:textId="77777777" w:rsidR="005D75B3" w:rsidRPr="005D75B3" w:rsidRDefault="005D75B3" w:rsidP="005D75B3">
      <w:pPr>
        <w:spacing w:line="360" w:lineRule="auto"/>
        <w:jc w:val="center"/>
        <w:rPr>
          <w:rFonts w:ascii="Arial" w:hAnsi="Arial" w:cs="Arial"/>
          <w:b/>
          <w:bCs/>
          <w:i/>
          <w:iCs/>
        </w:rPr>
      </w:pPr>
      <w:r w:rsidRPr="005D75B3">
        <w:rPr>
          <w:rFonts w:ascii="Arial" w:hAnsi="Arial" w:cs="Arial"/>
          <w:b/>
          <w:bCs/>
          <w:i/>
          <w:iCs/>
        </w:rPr>
        <w:t>Table 7: Cash Operating Cycle</w:t>
      </w:r>
    </w:p>
    <w:tbl>
      <w:tblPr>
        <w:tblW w:w="8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
        <w:gridCol w:w="1492"/>
        <w:gridCol w:w="1471"/>
        <w:gridCol w:w="1170"/>
        <w:gridCol w:w="3752"/>
      </w:tblGrid>
      <w:tr w:rsidR="00BC0961" w:rsidRPr="00005668" w14:paraId="40F53D4A" w14:textId="77777777" w:rsidTr="00D74827">
        <w:trPr>
          <w:trHeight w:val="288"/>
          <w:jc w:val="center"/>
        </w:trPr>
        <w:tc>
          <w:tcPr>
            <w:tcW w:w="8635" w:type="dxa"/>
            <w:gridSpan w:val="5"/>
            <w:noWrap/>
            <w:vAlign w:val="bottom"/>
            <w:hideMark/>
          </w:tcPr>
          <w:p w14:paraId="3288B0D9" w14:textId="77777777" w:rsidR="00BC0961" w:rsidRPr="00005668" w:rsidRDefault="00BC0961" w:rsidP="00005668">
            <w:pPr>
              <w:spacing w:after="0" w:line="360" w:lineRule="auto"/>
              <w:jc w:val="center"/>
              <w:rPr>
                <w:rFonts w:ascii="Arial" w:eastAsia="Times New Roman" w:hAnsi="Arial" w:cs="Arial"/>
                <w:b/>
                <w:bCs/>
                <w:color w:val="000000"/>
                <w:kern w:val="0"/>
                <w14:ligatures w14:val="none"/>
              </w:rPr>
            </w:pPr>
            <w:r w:rsidRPr="00005668">
              <w:rPr>
                <w:rFonts w:ascii="Arial" w:eastAsia="Times New Roman" w:hAnsi="Arial" w:cs="Arial"/>
                <w:b/>
                <w:bCs/>
                <w:color w:val="000000"/>
                <w:kern w:val="0"/>
                <w14:ligatures w14:val="none"/>
              </w:rPr>
              <w:t>Cash Operating Cycle</w:t>
            </w:r>
          </w:p>
        </w:tc>
      </w:tr>
      <w:tr w:rsidR="00BC0961" w:rsidRPr="00005668" w14:paraId="38415336" w14:textId="77777777" w:rsidTr="00D74827">
        <w:trPr>
          <w:trHeight w:val="1728"/>
          <w:jc w:val="center"/>
        </w:trPr>
        <w:tc>
          <w:tcPr>
            <w:tcW w:w="750" w:type="dxa"/>
            <w:vAlign w:val="center"/>
            <w:hideMark/>
          </w:tcPr>
          <w:p w14:paraId="1B3D0C2A" w14:textId="77777777" w:rsidR="00BC0961" w:rsidRPr="00005668" w:rsidRDefault="00BC0961" w:rsidP="00005668">
            <w:pPr>
              <w:spacing w:after="0" w:line="360" w:lineRule="auto"/>
              <w:jc w:val="center"/>
              <w:rPr>
                <w:rFonts w:ascii="Arial" w:eastAsia="Times New Roman" w:hAnsi="Arial" w:cs="Arial"/>
                <w:b/>
                <w:bCs/>
                <w:color w:val="000000"/>
                <w:kern w:val="0"/>
                <w14:ligatures w14:val="none"/>
              </w:rPr>
            </w:pPr>
            <w:r w:rsidRPr="00005668">
              <w:rPr>
                <w:rFonts w:ascii="Arial" w:eastAsia="Times New Roman" w:hAnsi="Arial" w:cs="Arial"/>
                <w:b/>
                <w:bCs/>
                <w:color w:val="000000"/>
                <w:kern w:val="0"/>
                <w14:ligatures w14:val="none"/>
              </w:rPr>
              <w:t>Year</w:t>
            </w:r>
          </w:p>
        </w:tc>
        <w:tc>
          <w:tcPr>
            <w:tcW w:w="1492" w:type="dxa"/>
            <w:vAlign w:val="center"/>
            <w:hideMark/>
          </w:tcPr>
          <w:p w14:paraId="1008574A" w14:textId="77777777" w:rsidR="00BC0961" w:rsidRPr="00005668" w:rsidRDefault="00BC0961" w:rsidP="00005668">
            <w:pPr>
              <w:spacing w:after="0" w:line="360" w:lineRule="auto"/>
              <w:jc w:val="center"/>
              <w:rPr>
                <w:rFonts w:ascii="Arial" w:eastAsia="Times New Roman" w:hAnsi="Arial" w:cs="Arial"/>
                <w:b/>
                <w:bCs/>
                <w:color w:val="000000"/>
                <w:kern w:val="0"/>
                <w14:ligatures w14:val="none"/>
              </w:rPr>
            </w:pPr>
            <w:r w:rsidRPr="00005668">
              <w:rPr>
                <w:rFonts w:ascii="Arial" w:eastAsia="Times New Roman" w:hAnsi="Arial" w:cs="Arial"/>
                <w:b/>
                <w:bCs/>
                <w:color w:val="000000"/>
                <w:kern w:val="0"/>
                <w14:ligatures w14:val="none"/>
              </w:rPr>
              <w:t>Inventory Days (=Inv / COGS × 365)</w:t>
            </w:r>
          </w:p>
        </w:tc>
        <w:tc>
          <w:tcPr>
            <w:tcW w:w="1471" w:type="dxa"/>
            <w:vAlign w:val="center"/>
            <w:hideMark/>
          </w:tcPr>
          <w:p w14:paraId="2B0975EB" w14:textId="77777777" w:rsidR="00BC0961" w:rsidRPr="00005668" w:rsidRDefault="00BC0961" w:rsidP="00005668">
            <w:pPr>
              <w:spacing w:after="0" w:line="360" w:lineRule="auto"/>
              <w:jc w:val="center"/>
              <w:rPr>
                <w:rFonts w:ascii="Arial" w:eastAsia="Times New Roman" w:hAnsi="Arial" w:cs="Arial"/>
                <w:b/>
                <w:bCs/>
                <w:color w:val="000000"/>
                <w:kern w:val="0"/>
                <w14:ligatures w14:val="none"/>
              </w:rPr>
            </w:pPr>
            <w:r w:rsidRPr="00005668">
              <w:rPr>
                <w:rFonts w:ascii="Arial" w:eastAsia="Times New Roman" w:hAnsi="Arial" w:cs="Arial"/>
                <w:b/>
                <w:bCs/>
                <w:color w:val="000000"/>
                <w:kern w:val="0"/>
                <w14:ligatures w14:val="none"/>
              </w:rPr>
              <w:t>Receivable Days (=AR / Sales × 365)</w:t>
            </w:r>
          </w:p>
        </w:tc>
        <w:tc>
          <w:tcPr>
            <w:tcW w:w="1170" w:type="dxa"/>
            <w:vAlign w:val="center"/>
            <w:hideMark/>
          </w:tcPr>
          <w:p w14:paraId="24FD8F84" w14:textId="77777777" w:rsidR="00BC0961" w:rsidRPr="00005668" w:rsidRDefault="00BC0961" w:rsidP="00005668">
            <w:pPr>
              <w:spacing w:after="0" w:line="360" w:lineRule="auto"/>
              <w:jc w:val="center"/>
              <w:rPr>
                <w:rFonts w:ascii="Arial" w:eastAsia="Times New Roman" w:hAnsi="Arial" w:cs="Arial"/>
                <w:b/>
                <w:bCs/>
                <w:color w:val="000000"/>
                <w:kern w:val="0"/>
                <w14:ligatures w14:val="none"/>
              </w:rPr>
            </w:pPr>
            <w:r w:rsidRPr="00005668">
              <w:rPr>
                <w:rFonts w:ascii="Arial" w:eastAsia="Times New Roman" w:hAnsi="Arial" w:cs="Arial"/>
                <w:b/>
                <w:bCs/>
                <w:color w:val="000000"/>
                <w:kern w:val="0"/>
                <w14:ligatures w14:val="none"/>
              </w:rPr>
              <w:t>Payable Days (=AP / COGS × 365)</w:t>
            </w:r>
          </w:p>
        </w:tc>
        <w:tc>
          <w:tcPr>
            <w:tcW w:w="3752" w:type="dxa"/>
            <w:vAlign w:val="center"/>
            <w:hideMark/>
          </w:tcPr>
          <w:p w14:paraId="2E7777F2" w14:textId="77777777" w:rsidR="00BC0961" w:rsidRPr="00005668" w:rsidRDefault="00BC0961" w:rsidP="00005668">
            <w:pPr>
              <w:spacing w:after="0" w:line="360" w:lineRule="auto"/>
              <w:jc w:val="center"/>
              <w:rPr>
                <w:rFonts w:ascii="Arial" w:eastAsia="Times New Roman" w:hAnsi="Arial" w:cs="Arial"/>
                <w:b/>
                <w:bCs/>
                <w:color w:val="000000"/>
                <w:kern w:val="0"/>
                <w14:ligatures w14:val="none"/>
              </w:rPr>
            </w:pPr>
            <w:r w:rsidRPr="00005668">
              <w:rPr>
                <w:rFonts w:ascii="Arial" w:eastAsia="Times New Roman" w:hAnsi="Arial" w:cs="Arial"/>
                <w:b/>
                <w:bCs/>
                <w:color w:val="000000"/>
                <w:kern w:val="0"/>
                <w14:ligatures w14:val="none"/>
              </w:rPr>
              <w:t>Cash Conversion Cycle (CCC) = InvDays + RecDays − PayDays</w:t>
            </w:r>
          </w:p>
        </w:tc>
      </w:tr>
      <w:tr w:rsidR="00BC0961" w:rsidRPr="00005668" w14:paraId="1696F7AB" w14:textId="77777777" w:rsidTr="00D74827">
        <w:trPr>
          <w:trHeight w:val="288"/>
          <w:jc w:val="center"/>
        </w:trPr>
        <w:tc>
          <w:tcPr>
            <w:tcW w:w="750" w:type="dxa"/>
            <w:vAlign w:val="center"/>
            <w:hideMark/>
          </w:tcPr>
          <w:p w14:paraId="3D21FF5B" w14:textId="77777777" w:rsidR="00BC0961" w:rsidRPr="00005668" w:rsidRDefault="00BC0961"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2020</w:t>
            </w:r>
          </w:p>
        </w:tc>
        <w:tc>
          <w:tcPr>
            <w:tcW w:w="1492" w:type="dxa"/>
            <w:noWrap/>
            <w:vAlign w:val="bottom"/>
            <w:hideMark/>
          </w:tcPr>
          <w:p w14:paraId="5C4E1D80" w14:textId="77777777" w:rsidR="00BC0961" w:rsidRPr="00005668" w:rsidRDefault="00BC0961"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100.26</w:t>
            </w:r>
          </w:p>
        </w:tc>
        <w:tc>
          <w:tcPr>
            <w:tcW w:w="1471" w:type="dxa"/>
            <w:noWrap/>
            <w:vAlign w:val="bottom"/>
            <w:hideMark/>
          </w:tcPr>
          <w:p w14:paraId="3BCE905E" w14:textId="77777777" w:rsidR="00BC0961" w:rsidRPr="00005668" w:rsidRDefault="00BC0961"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76.86</w:t>
            </w:r>
          </w:p>
        </w:tc>
        <w:tc>
          <w:tcPr>
            <w:tcW w:w="1170" w:type="dxa"/>
            <w:noWrap/>
            <w:vAlign w:val="bottom"/>
            <w:hideMark/>
          </w:tcPr>
          <w:p w14:paraId="7E8529F4" w14:textId="77777777" w:rsidR="00BC0961" w:rsidRPr="00005668" w:rsidRDefault="00BC0961"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69.29</w:t>
            </w:r>
          </w:p>
        </w:tc>
        <w:tc>
          <w:tcPr>
            <w:tcW w:w="3752" w:type="dxa"/>
            <w:noWrap/>
            <w:vAlign w:val="bottom"/>
            <w:hideMark/>
          </w:tcPr>
          <w:p w14:paraId="55A7849A" w14:textId="77777777" w:rsidR="00BC0961" w:rsidRPr="00005668" w:rsidRDefault="00BC0961"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107.83</w:t>
            </w:r>
          </w:p>
        </w:tc>
      </w:tr>
      <w:tr w:rsidR="00BC0961" w:rsidRPr="00005668" w14:paraId="551D71D8" w14:textId="77777777" w:rsidTr="00D74827">
        <w:trPr>
          <w:trHeight w:val="288"/>
          <w:jc w:val="center"/>
        </w:trPr>
        <w:tc>
          <w:tcPr>
            <w:tcW w:w="750" w:type="dxa"/>
            <w:vAlign w:val="center"/>
            <w:hideMark/>
          </w:tcPr>
          <w:p w14:paraId="38A807EE" w14:textId="77777777" w:rsidR="00BC0961" w:rsidRPr="00005668" w:rsidRDefault="00BC0961"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2021</w:t>
            </w:r>
          </w:p>
        </w:tc>
        <w:tc>
          <w:tcPr>
            <w:tcW w:w="1492" w:type="dxa"/>
            <w:noWrap/>
            <w:vAlign w:val="bottom"/>
            <w:hideMark/>
          </w:tcPr>
          <w:p w14:paraId="214500C4" w14:textId="77777777" w:rsidR="00BC0961" w:rsidRPr="00005668" w:rsidRDefault="00BC0961"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114.52</w:t>
            </w:r>
          </w:p>
        </w:tc>
        <w:tc>
          <w:tcPr>
            <w:tcW w:w="1471" w:type="dxa"/>
            <w:noWrap/>
            <w:vAlign w:val="bottom"/>
            <w:hideMark/>
          </w:tcPr>
          <w:p w14:paraId="6F3B27BB" w14:textId="77777777" w:rsidR="00BC0961" w:rsidRPr="00005668" w:rsidRDefault="00BC0961"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78.40</w:t>
            </w:r>
          </w:p>
        </w:tc>
        <w:tc>
          <w:tcPr>
            <w:tcW w:w="1170" w:type="dxa"/>
            <w:noWrap/>
            <w:vAlign w:val="bottom"/>
            <w:hideMark/>
          </w:tcPr>
          <w:p w14:paraId="4B702A8B" w14:textId="77777777" w:rsidR="00BC0961" w:rsidRPr="00005668" w:rsidRDefault="00BC0961"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78.95</w:t>
            </w:r>
          </w:p>
        </w:tc>
        <w:tc>
          <w:tcPr>
            <w:tcW w:w="3752" w:type="dxa"/>
            <w:noWrap/>
            <w:vAlign w:val="bottom"/>
            <w:hideMark/>
          </w:tcPr>
          <w:p w14:paraId="291CE8D8" w14:textId="77777777" w:rsidR="00BC0961" w:rsidRPr="00005668" w:rsidRDefault="00BC0961"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113.96</w:t>
            </w:r>
          </w:p>
        </w:tc>
      </w:tr>
      <w:tr w:rsidR="00BC0961" w:rsidRPr="00005668" w14:paraId="465AE226" w14:textId="77777777" w:rsidTr="00D74827">
        <w:trPr>
          <w:trHeight w:val="288"/>
          <w:jc w:val="center"/>
        </w:trPr>
        <w:tc>
          <w:tcPr>
            <w:tcW w:w="750" w:type="dxa"/>
            <w:vAlign w:val="center"/>
            <w:hideMark/>
          </w:tcPr>
          <w:p w14:paraId="65A56154" w14:textId="77777777" w:rsidR="00BC0961" w:rsidRPr="00005668" w:rsidRDefault="00BC0961"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2022</w:t>
            </w:r>
          </w:p>
        </w:tc>
        <w:tc>
          <w:tcPr>
            <w:tcW w:w="1492" w:type="dxa"/>
            <w:noWrap/>
            <w:vAlign w:val="bottom"/>
            <w:hideMark/>
          </w:tcPr>
          <w:p w14:paraId="1493C902" w14:textId="77777777" w:rsidR="00BC0961" w:rsidRPr="00005668" w:rsidRDefault="00BC0961"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131.04</w:t>
            </w:r>
          </w:p>
        </w:tc>
        <w:tc>
          <w:tcPr>
            <w:tcW w:w="1471" w:type="dxa"/>
            <w:noWrap/>
            <w:vAlign w:val="bottom"/>
            <w:hideMark/>
          </w:tcPr>
          <w:p w14:paraId="0492FE03" w14:textId="77777777" w:rsidR="00BC0961" w:rsidRPr="00005668" w:rsidRDefault="00BC0961"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75.55</w:t>
            </w:r>
          </w:p>
        </w:tc>
        <w:tc>
          <w:tcPr>
            <w:tcW w:w="1170" w:type="dxa"/>
            <w:noWrap/>
            <w:vAlign w:val="bottom"/>
            <w:hideMark/>
          </w:tcPr>
          <w:p w14:paraId="162779FB" w14:textId="77777777" w:rsidR="00BC0961" w:rsidRPr="00005668" w:rsidRDefault="00BC0961"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66.72</w:t>
            </w:r>
          </w:p>
        </w:tc>
        <w:tc>
          <w:tcPr>
            <w:tcW w:w="3752" w:type="dxa"/>
            <w:noWrap/>
            <w:vAlign w:val="bottom"/>
            <w:hideMark/>
          </w:tcPr>
          <w:p w14:paraId="037F5134" w14:textId="77777777" w:rsidR="00BC0961" w:rsidRPr="00005668" w:rsidRDefault="00BC0961"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139.87</w:t>
            </w:r>
          </w:p>
        </w:tc>
      </w:tr>
      <w:tr w:rsidR="00BC0961" w:rsidRPr="00005668" w14:paraId="76CE116D" w14:textId="77777777" w:rsidTr="00D74827">
        <w:trPr>
          <w:trHeight w:val="288"/>
          <w:jc w:val="center"/>
        </w:trPr>
        <w:tc>
          <w:tcPr>
            <w:tcW w:w="750" w:type="dxa"/>
            <w:vAlign w:val="center"/>
            <w:hideMark/>
          </w:tcPr>
          <w:p w14:paraId="27A2B6BB" w14:textId="77777777" w:rsidR="00BC0961" w:rsidRPr="00005668" w:rsidRDefault="00BC0961"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2023</w:t>
            </w:r>
          </w:p>
        </w:tc>
        <w:tc>
          <w:tcPr>
            <w:tcW w:w="1492" w:type="dxa"/>
            <w:noWrap/>
            <w:vAlign w:val="bottom"/>
            <w:hideMark/>
          </w:tcPr>
          <w:p w14:paraId="2848DF21" w14:textId="77777777" w:rsidR="00BC0961" w:rsidRPr="00005668" w:rsidRDefault="00BC0961"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99.78</w:t>
            </w:r>
          </w:p>
        </w:tc>
        <w:tc>
          <w:tcPr>
            <w:tcW w:w="1471" w:type="dxa"/>
            <w:noWrap/>
            <w:vAlign w:val="bottom"/>
            <w:hideMark/>
          </w:tcPr>
          <w:p w14:paraId="0EA4BB80" w14:textId="77777777" w:rsidR="00BC0961" w:rsidRPr="00005668" w:rsidRDefault="00BC0961"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97.74</w:t>
            </w:r>
          </w:p>
        </w:tc>
        <w:tc>
          <w:tcPr>
            <w:tcW w:w="1170" w:type="dxa"/>
            <w:noWrap/>
            <w:vAlign w:val="bottom"/>
            <w:hideMark/>
          </w:tcPr>
          <w:p w14:paraId="60B9CE0D" w14:textId="77777777" w:rsidR="00BC0961" w:rsidRPr="00005668" w:rsidRDefault="00BC0961"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64.47</w:t>
            </w:r>
          </w:p>
        </w:tc>
        <w:tc>
          <w:tcPr>
            <w:tcW w:w="3752" w:type="dxa"/>
            <w:noWrap/>
            <w:vAlign w:val="bottom"/>
            <w:hideMark/>
          </w:tcPr>
          <w:p w14:paraId="5322BD89" w14:textId="77777777" w:rsidR="00BC0961" w:rsidRPr="00005668" w:rsidRDefault="00BC0961"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133.06</w:t>
            </w:r>
          </w:p>
        </w:tc>
      </w:tr>
      <w:tr w:rsidR="00BC0961" w:rsidRPr="00005668" w14:paraId="489DF6E8" w14:textId="77777777" w:rsidTr="00D74827">
        <w:trPr>
          <w:trHeight w:val="288"/>
          <w:jc w:val="center"/>
        </w:trPr>
        <w:tc>
          <w:tcPr>
            <w:tcW w:w="750" w:type="dxa"/>
            <w:vAlign w:val="center"/>
            <w:hideMark/>
          </w:tcPr>
          <w:p w14:paraId="5A7F6893" w14:textId="77777777" w:rsidR="00BC0961" w:rsidRPr="00005668" w:rsidRDefault="00BC0961"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2024</w:t>
            </w:r>
          </w:p>
        </w:tc>
        <w:tc>
          <w:tcPr>
            <w:tcW w:w="1492" w:type="dxa"/>
            <w:noWrap/>
            <w:vAlign w:val="bottom"/>
            <w:hideMark/>
          </w:tcPr>
          <w:p w14:paraId="64DBB17B" w14:textId="77777777" w:rsidR="00BC0961" w:rsidRPr="00005668" w:rsidRDefault="00BC0961"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103.12</w:t>
            </w:r>
          </w:p>
        </w:tc>
        <w:tc>
          <w:tcPr>
            <w:tcW w:w="1471" w:type="dxa"/>
            <w:noWrap/>
            <w:vAlign w:val="bottom"/>
            <w:hideMark/>
          </w:tcPr>
          <w:p w14:paraId="5B34B2F8" w14:textId="77777777" w:rsidR="00BC0961" w:rsidRPr="00005668" w:rsidRDefault="00BC0961"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105.54</w:t>
            </w:r>
          </w:p>
        </w:tc>
        <w:tc>
          <w:tcPr>
            <w:tcW w:w="1170" w:type="dxa"/>
            <w:noWrap/>
            <w:vAlign w:val="bottom"/>
            <w:hideMark/>
          </w:tcPr>
          <w:p w14:paraId="0FC2B488" w14:textId="77777777" w:rsidR="00BC0961" w:rsidRPr="00005668" w:rsidRDefault="00BC0961"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93.60</w:t>
            </w:r>
          </w:p>
        </w:tc>
        <w:tc>
          <w:tcPr>
            <w:tcW w:w="3752" w:type="dxa"/>
            <w:noWrap/>
            <w:vAlign w:val="bottom"/>
            <w:hideMark/>
          </w:tcPr>
          <w:p w14:paraId="3B94701E" w14:textId="77777777" w:rsidR="00BC0961" w:rsidRPr="00005668" w:rsidRDefault="00BC0961" w:rsidP="00005668">
            <w:pPr>
              <w:spacing w:after="0" w:line="360" w:lineRule="auto"/>
              <w:jc w:val="center"/>
              <w:rPr>
                <w:rFonts w:ascii="Arial" w:eastAsia="Times New Roman" w:hAnsi="Arial" w:cs="Arial"/>
                <w:color w:val="000000"/>
                <w:kern w:val="0"/>
                <w14:ligatures w14:val="none"/>
              </w:rPr>
            </w:pPr>
            <w:r w:rsidRPr="00005668">
              <w:rPr>
                <w:rFonts w:ascii="Arial" w:eastAsia="Times New Roman" w:hAnsi="Arial" w:cs="Arial"/>
                <w:color w:val="000000"/>
                <w:kern w:val="0"/>
                <w14:ligatures w14:val="none"/>
              </w:rPr>
              <w:t>115.06</w:t>
            </w:r>
          </w:p>
        </w:tc>
      </w:tr>
    </w:tbl>
    <w:p w14:paraId="6F15EB1C" w14:textId="77777777" w:rsidR="00BC0961" w:rsidRPr="00C74E38" w:rsidRDefault="00C74E38" w:rsidP="00C74E38">
      <w:pPr>
        <w:spacing w:after="0" w:line="360" w:lineRule="auto"/>
        <w:rPr>
          <w:rFonts w:ascii="Arial" w:hAnsi="Arial" w:cs="Arial"/>
          <w:sz w:val="22"/>
          <w:szCs w:val="22"/>
        </w:rPr>
      </w:pPr>
      <w:r w:rsidRPr="00C74E38">
        <w:rPr>
          <w:rFonts w:ascii="Arial" w:hAnsi="Arial" w:cs="Arial"/>
          <w:sz w:val="22"/>
          <w:szCs w:val="22"/>
        </w:rPr>
        <w:t xml:space="preserve">Source: </w:t>
      </w:r>
      <w:r>
        <w:rPr>
          <w:rFonts w:ascii="Arial" w:hAnsi="Arial" w:cs="Arial"/>
          <w:sz w:val="22"/>
          <w:szCs w:val="22"/>
        </w:rPr>
        <w:t>(</w:t>
      </w:r>
      <w:r w:rsidRPr="00C74E38">
        <w:rPr>
          <w:rFonts w:ascii="Arial" w:hAnsi="Arial" w:cs="Arial"/>
          <w:sz w:val="22"/>
          <w:szCs w:val="22"/>
        </w:rPr>
        <w:t>General Electronics annual report</w:t>
      </w:r>
      <w:r>
        <w:rPr>
          <w:rFonts w:ascii="Arial" w:hAnsi="Arial" w:cs="Arial"/>
          <w:sz w:val="22"/>
          <w:szCs w:val="22"/>
        </w:rPr>
        <w:t>)</w:t>
      </w:r>
    </w:p>
    <w:p w14:paraId="36E9804B" w14:textId="77777777" w:rsidR="00BC0961" w:rsidRPr="006523A8" w:rsidRDefault="00BC0961" w:rsidP="006523A8">
      <w:pPr>
        <w:pStyle w:val="Heading2"/>
        <w:rPr>
          <w:rFonts w:ascii="Arial" w:hAnsi="Arial" w:cs="Arial"/>
          <w:b/>
          <w:bCs/>
          <w:color w:val="000000" w:themeColor="text1"/>
          <w:sz w:val="28"/>
          <w:szCs w:val="28"/>
        </w:rPr>
      </w:pPr>
      <w:bookmarkStart w:id="7" w:name="_Toc214577535"/>
      <w:r w:rsidRPr="006523A8">
        <w:rPr>
          <w:rFonts w:ascii="Arial" w:hAnsi="Arial" w:cs="Arial"/>
          <w:b/>
          <w:bCs/>
          <w:color w:val="000000" w:themeColor="text1"/>
          <w:sz w:val="28"/>
          <w:szCs w:val="28"/>
        </w:rPr>
        <w:t>Strategies to Improve Liquidity and Working Capital</w:t>
      </w:r>
      <w:bookmarkEnd w:id="7"/>
      <w:r w:rsidRPr="006523A8">
        <w:rPr>
          <w:rFonts w:ascii="Arial" w:hAnsi="Arial" w:cs="Arial"/>
          <w:b/>
          <w:bCs/>
          <w:color w:val="000000" w:themeColor="text1"/>
          <w:sz w:val="28"/>
          <w:szCs w:val="28"/>
        </w:rPr>
        <w:t xml:space="preserve"> </w:t>
      </w:r>
    </w:p>
    <w:p w14:paraId="36EB7F1C" w14:textId="77777777" w:rsidR="00E273C2" w:rsidRDefault="00E273C2" w:rsidP="00E273C2">
      <w:pPr>
        <w:spacing w:line="360" w:lineRule="auto"/>
        <w:jc w:val="both"/>
        <w:rPr>
          <w:rFonts w:ascii="Arial" w:hAnsi="Arial" w:cs="Arial"/>
        </w:rPr>
      </w:pPr>
      <w:r w:rsidRPr="00E273C2">
        <w:rPr>
          <w:rFonts w:ascii="Arial" w:hAnsi="Arial" w:cs="Arial"/>
        </w:rPr>
        <w:t>In order to have sufficient liquidity, it is necessary to have control of assets and to effectively manage inventory, accounts receivable and accounts payable. Effective inventory management involves implementing techniques that result in "just in time" delivery of products to customers when they are needed, as well as making use of the "ABC analysis," which is a method of inventory classification that identifies those items that are most valuable and need to be ordered in the greatest quantity</w:t>
      </w:r>
      <w:r w:rsidR="006A6DBB">
        <w:rPr>
          <w:rFonts w:ascii="Arial" w:hAnsi="Arial" w:cs="Arial"/>
        </w:rPr>
        <w:t xml:space="preserve"> </w:t>
      </w:r>
      <w:r w:rsidR="006A6DBB" w:rsidRPr="002E3036">
        <w:rPr>
          <w:rFonts w:ascii="Arial" w:eastAsia="Times New Roman" w:hAnsi="Arial" w:cs="Arial"/>
          <w:kern w:val="0"/>
          <w14:ligatures w14:val="none"/>
        </w:rPr>
        <w:t>(Ross et al., 2022)</w:t>
      </w:r>
      <w:r w:rsidRPr="00E273C2">
        <w:rPr>
          <w:rFonts w:ascii="Arial" w:hAnsi="Arial" w:cs="Arial"/>
        </w:rPr>
        <w:t xml:space="preserve">. </w:t>
      </w:r>
    </w:p>
    <w:p w14:paraId="0378220D" w14:textId="77777777" w:rsidR="00E273C2" w:rsidRPr="00E273C2" w:rsidRDefault="00E273C2" w:rsidP="00E273C2">
      <w:pPr>
        <w:spacing w:line="360" w:lineRule="auto"/>
        <w:jc w:val="both"/>
        <w:rPr>
          <w:rFonts w:ascii="Arial" w:hAnsi="Arial" w:cs="Arial"/>
        </w:rPr>
      </w:pPr>
      <w:r w:rsidRPr="00E273C2">
        <w:rPr>
          <w:rFonts w:ascii="Arial" w:hAnsi="Arial" w:cs="Arial"/>
        </w:rPr>
        <w:lastRenderedPageBreak/>
        <w:t>There are several other ways to optimize your inventory management. One of them is to implement an automated system for managing inventory, which will allow to identify those items that are slow moving and eliminate them from stock</w:t>
      </w:r>
      <w:r w:rsidR="006A6DBB">
        <w:rPr>
          <w:rFonts w:ascii="Arial" w:hAnsi="Arial" w:cs="Arial"/>
        </w:rPr>
        <w:t xml:space="preserve"> </w:t>
      </w:r>
      <w:r w:rsidR="006A6DBB" w:rsidRPr="004C3595">
        <w:rPr>
          <w:rFonts w:ascii="Arial" w:eastAsia="Times New Roman" w:hAnsi="Arial" w:cs="Arial"/>
          <w:kern w:val="0"/>
          <w14:ligatures w14:val="none"/>
        </w:rPr>
        <w:t>(Gitman &amp; Zutter, 2018)</w:t>
      </w:r>
      <w:r w:rsidRPr="00E273C2">
        <w:rPr>
          <w:rFonts w:ascii="Arial" w:hAnsi="Arial" w:cs="Arial"/>
        </w:rPr>
        <w:t>.</w:t>
      </w:r>
    </w:p>
    <w:p w14:paraId="32BF0E23" w14:textId="77777777" w:rsidR="00E273C2" w:rsidRPr="00E273C2" w:rsidRDefault="00E273C2" w:rsidP="00E273C2">
      <w:pPr>
        <w:spacing w:line="360" w:lineRule="auto"/>
        <w:jc w:val="both"/>
        <w:rPr>
          <w:rFonts w:ascii="Arial" w:hAnsi="Arial" w:cs="Arial"/>
        </w:rPr>
      </w:pPr>
      <w:r w:rsidRPr="00E273C2">
        <w:rPr>
          <w:rFonts w:ascii="Arial" w:hAnsi="Arial" w:cs="Arial"/>
        </w:rPr>
        <w:t xml:space="preserve">Another area where effective management is critical to the maintenance of liquidity is the management </w:t>
      </w:r>
      <w:r w:rsidR="006A6DBB" w:rsidRPr="00E273C2">
        <w:rPr>
          <w:rFonts w:ascii="Arial" w:hAnsi="Arial" w:cs="Arial"/>
        </w:rPr>
        <w:t>of accounts</w:t>
      </w:r>
      <w:r w:rsidRPr="00E273C2">
        <w:rPr>
          <w:rFonts w:ascii="Arial" w:hAnsi="Arial" w:cs="Arial"/>
        </w:rPr>
        <w:t xml:space="preserve"> receivable</w:t>
      </w:r>
      <w:r w:rsidR="006A6DBB">
        <w:rPr>
          <w:rFonts w:ascii="Arial" w:hAnsi="Arial" w:cs="Arial"/>
        </w:rPr>
        <w:t>. T</w:t>
      </w:r>
      <w:r w:rsidRPr="00E273C2">
        <w:rPr>
          <w:rFonts w:ascii="Arial" w:hAnsi="Arial" w:cs="Arial"/>
        </w:rPr>
        <w:t>he average length of time that it takes companies to collect their outstanding invoices is increasing. Therefore, it is imperative that</w:t>
      </w:r>
      <w:r w:rsidR="006A6DBB">
        <w:rPr>
          <w:rFonts w:ascii="Arial" w:hAnsi="Arial" w:cs="Arial"/>
        </w:rPr>
        <w:t xml:space="preserve"> the </w:t>
      </w:r>
      <w:r w:rsidRPr="00E273C2">
        <w:rPr>
          <w:rFonts w:ascii="Arial" w:hAnsi="Arial" w:cs="Arial"/>
        </w:rPr>
        <w:t xml:space="preserve">company establish and enforce stricter guidelines regarding who will receive credit and what the terms of the credit will be. Additionally, there are many strategies that can </w:t>
      </w:r>
      <w:r w:rsidR="006A6DBB">
        <w:rPr>
          <w:rFonts w:ascii="Arial" w:hAnsi="Arial" w:cs="Arial"/>
        </w:rPr>
        <w:t xml:space="preserve">be </w:t>
      </w:r>
      <w:r w:rsidRPr="00E273C2">
        <w:rPr>
          <w:rFonts w:ascii="Arial" w:hAnsi="Arial" w:cs="Arial"/>
        </w:rPr>
        <w:t>employ</w:t>
      </w:r>
      <w:r w:rsidR="006A6DBB">
        <w:rPr>
          <w:rFonts w:ascii="Arial" w:hAnsi="Arial" w:cs="Arial"/>
        </w:rPr>
        <w:t>ed</w:t>
      </w:r>
      <w:r w:rsidRPr="00E273C2">
        <w:rPr>
          <w:rFonts w:ascii="Arial" w:hAnsi="Arial" w:cs="Arial"/>
        </w:rPr>
        <w:t xml:space="preserve"> to encourage customers to pay their outstanding invoices quickly. </w:t>
      </w:r>
    </w:p>
    <w:p w14:paraId="668E1E24" w14:textId="77777777" w:rsidR="00E273C2" w:rsidRDefault="00E273C2" w:rsidP="00005668">
      <w:pPr>
        <w:spacing w:line="360" w:lineRule="auto"/>
        <w:jc w:val="both"/>
        <w:rPr>
          <w:rFonts w:ascii="Arial" w:hAnsi="Arial" w:cs="Arial"/>
        </w:rPr>
      </w:pPr>
      <w:r w:rsidRPr="00E273C2">
        <w:rPr>
          <w:rFonts w:ascii="Arial" w:hAnsi="Arial" w:cs="Arial"/>
        </w:rPr>
        <w:t xml:space="preserve"> company's accounts payable are another area to improve liquidity. One strategy for optimizing</w:t>
      </w:r>
      <w:r w:rsidR="006A6DBB">
        <w:rPr>
          <w:rFonts w:ascii="Arial" w:hAnsi="Arial" w:cs="Arial"/>
        </w:rPr>
        <w:t xml:space="preserve"> a</w:t>
      </w:r>
      <w:r w:rsidRPr="00E273C2">
        <w:rPr>
          <w:rFonts w:ascii="Arial" w:hAnsi="Arial" w:cs="Arial"/>
        </w:rPr>
        <w:t xml:space="preserve">ccounts payable is to negotiate longer payment terms </w:t>
      </w:r>
      <w:r w:rsidR="006A6DBB" w:rsidRPr="00E273C2">
        <w:rPr>
          <w:rFonts w:ascii="Arial" w:hAnsi="Arial" w:cs="Arial"/>
        </w:rPr>
        <w:t>with suppliers</w:t>
      </w:r>
      <w:r w:rsidRPr="00E273C2">
        <w:rPr>
          <w:rFonts w:ascii="Arial" w:hAnsi="Arial" w:cs="Arial"/>
        </w:rPr>
        <w:t xml:space="preserve">. Another is to negotiate a discount for purchasing large quantities of materials from </w:t>
      </w:r>
      <w:r w:rsidR="006A6DBB">
        <w:rPr>
          <w:rFonts w:ascii="Arial" w:hAnsi="Arial" w:cs="Arial"/>
        </w:rPr>
        <w:t xml:space="preserve">the </w:t>
      </w:r>
      <w:r w:rsidR="006A6DBB" w:rsidRPr="00E273C2">
        <w:rPr>
          <w:rFonts w:ascii="Arial" w:hAnsi="Arial" w:cs="Arial"/>
        </w:rPr>
        <w:t>suppliers</w:t>
      </w:r>
      <w:r w:rsidRPr="00E273C2">
        <w:rPr>
          <w:rFonts w:ascii="Arial" w:hAnsi="Arial" w:cs="Arial"/>
        </w:rPr>
        <w:t xml:space="preserve">. </w:t>
      </w:r>
    </w:p>
    <w:p w14:paraId="75274B94" w14:textId="77777777" w:rsidR="00BC0961" w:rsidRPr="006523A8" w:rsidRDefault="00BC0961" w:rsidP="006523A8">
      <w:pPr>
        <w:pStyle w:val="Heading2"/>
        <w:rPr>
          <w:rFonts w:ascii="Arial" w:hAnsi="Arial" w:cs="Arial"/>
          <w:b/>
          <w:bCs/>
          <w:color w:val="000000" w:themeColor="text1"/>
          <w:sz w:val="28"/>
          <w:szCs w:val="28"/>
        </w:rPr>
      </w:pPr>
      <w:bookmarkStart w:id="8" w:name="_Toc214577536"/>
      <w:r w:rsidRPr="006523A8">
        <w:rPr>
          <w:rFonts w:ascii="Arial" w:hAnsi="Arial" w:cs="Arial"/>
          <w:b/>
          <w:bCs/>
          <w:color w:val="000000" w:themeColor="text1"/>
          <w:sz w:val="28"/>
          <w:szCs w:val="28"/>
        </w:rPr>
        <w:t>Short-Term vs Long-Term Financing Options</w:t>
      </w:r>
      <w:bookmarkEnd w:id="8"/>
      <w:r w:rsidRPr="006523A8">
        <w:rPr>
          <w:rFonts w:ascii="Arial" w:hAnsi="Arial" w:cs="Arial"/>
          <w:b/>
          <w:bCs/>
          <w:color w:val="000000" w:themeColor="text1"/>
          <w:sz w:val="28"/>
          <w:szCs w:val="28"/>
        </w:rPr>
        <w:t xml:space="preserve"> </w:t>
      </w:r>
    </w:p>
    <w:p w14:paraId="7F8B5A4F" w14:textId="77777777" w:rsidR="00E273C2" w:rsidRDefault="00E273C2" w:rsidP="00005668">
      <w:pPr>
        <w:spacing w:line="360" w:lineRule="auto"/>
        <w:jc w:val="both"/>
        <w:rPr>
          <w:rFonts w:ascii="Arial" w:hAnsi="Arial" w:cs="Arial"/>
        </w:rPr>
      </w:pPr>
      <w:r w:rsidRPr="00E273C2">
        <w:rPr>
          <w:rFonts w:ascii="Arial" w:hAnsi="Arial" w:cs="Arial"/>
        </w:rPr>
        <w:t xml:space="preserve">In addition to these short-term financing strategies, </w:t>
      </w:r>
      <w:r>
        <w:rPr>
          <w:rFonts w:ascii="Arial" w:hAnsi="Arial" w:cs="Arial"/>
        </w:rPr>
        <w:t xml:space="preserve">the </w:t>
      </w:r>
      <w:r w:rsidRPr="00E273C2">
        <w:rPr>
          <w:rFonts w:ascii="Arial" w:hAnsi="Arial" w:cs="Arial"/>
        </w:rPr>
        <w:t>company has the option of utilizing various long-term financing options. Long-term financing includes bank overdrafts, trade credit, short-term loans and invoice factoring. Bank overdrafts allow business to borrow money against future sales, while trade credit allows you to delay making payments to vendors. Invoice factoring allows to convert accounts receivable into cash, reducing days sales outstanding. Although these types of financing are relatively inexpensive in the short term, the disadvantage of relying too heavily on short-term financing is that it increases risk of default and may require to seek additional financing if cash flows continue to be weak</w:t>
      </w:r>
      <w:r w:rsidR="006A6DBB">
        <w:rPr>
          <w:rFonts w:ascii="Arial" w:hAnsi="Arial" w:cs="Arial"/>
        </w:rPr>
        <w:t xml:space="preserve"> </w:t>
      </w:r>
      <w:r w:rsidR="006A6DBB" w:rsidRPr="00005668">
        <w:rPr>
          <w:rFonts w:ascii="Arial" w:eastAsia="Times New Roman" w:hAnsi="Arial" w:cs="Arial"/>
          <w:kern w:val="0"/>
          <w14:ligatures w14:val="none"/>
        </w:rPr>
        <w:t>(Atrill &amp; McLaney, 2020)</w:t>
      </w:r>
      <w:r w:rsidRPr="00E273C2">
        <w:rPr>
          <w:rFonts w:ascii="Arial" w:hAnsi="Arial" w:cs="Arial"/>
        </w:rPr>
        <w:t>.</w:t>
      </w:r>
    </w:p>
    <w:p w14:paraId="2014781F" w14:textId="77777777" w:rsidR="00E273C2" w:rsidRDefault="00E273C2" w:rsidP="00005668">
      <w:pPr>
        <w:spacing w:line="360" w:lineRule="auto"/>
        <w:jc w:val="both"/>
        <w:rPr>
          <w:rFonts w:ascii="Arial" w:hAnsi="Arial" w:cs="Arial"/>
        </w:rPr>
      </w:pPr>
      <w:r w:rsidRPr="00E273C2">
        <w:rPr>
          <w:rFonts w:ascii="Arial" w:hAnsi="Arial" w:cs="Arial"/>
        </w:rPr>
        <w:t xml:space="preserve"> Long-term financing options, including term loans, bonds, equity issuances and venture capital, are used primarily to finance major capital expenditures, restructurings, or long-term growth initiatives. While these financing options reduce immediate burden of repaying borrowed funds, they often come with significant costs or dilute ownership in the business</w:t>
      </w:r>
      <w:r w:rsidR="006A6DBB">
        <w:rPr>
          <w:rFonts w:ascii="Arial" w:hAnsi="Arial" w:cs="Arial"/>
        </w:rPr>
        <w:t xml:space="preserve"> </w:t>
      </w:r>
      <w:r w:rsidR="006A6DBB" w:rsidRPr="002E3036">
        <w:rPr>
          <w:rFonts w:ascii="Arial" w:eastAsia="Times New Roman" w:hAnsi="Arial" w:cs="Arial"/>
          <w:kern w:val="0"/>
          <w14:ligatures w14:val="none"/>
        </w:rPr>
        <w:t>(Ross et al., 2022)</w:t>
      </w:r>
      <w:r w:rsidRPr="00E273C2">
        <w:rPr>
          <w:rFonts w:ascii="Arial" w:hAnsi="Arial" w:cs="Arial"/>
        </w:rPr>
        <w:t xml:space="preserve">. As a result, company will likely want to strike a balance between these two options. In particular, the company will want to utilize short-term financing only as needed to ensure the stability of its operations while simultaneously seeking long-term financing to enable it to complete any necessary restructuring and/or </w:t>
      </w:r>
      <w:r w:rsidRPr="00E273C2">
        <w:rPr>
          <w:rFonts w:ascii="Arial" w:hAnsi="Arial" w:cs="Arial"/>
        </w:rPr>
        <w:lastRenderedPageBreak/>
        <w:t>strategic initiatives. Utilizing financing options that are aligned with the company's Cash Conversion Cycle will ultimately lead to stable cash flows and reduced financial risk.</w:t>
      </w:r>
    </w:p>
    <w:p w14:paraId="4C50F4A2" w14:textId="77777777" w:rsidR="005726E8" w:rsidRPr="006523A8" w:rsidRDefault="005726E8" w:rsidP="006523A8">
      <w:pPr>
        <w:pStyle w:val="Heading1"/>
        <w:rPr>
          <w:rFonts w:ascii="Arial" w:hAnsi="Arial" w:cs="Arial"/>
          <w:b/>
          <w:bCs/>
          <w:color w:val="000000" w:themeColor="text1"/>
          <w:sz w:val="32"/>
          <w:szCs w:val="32"/>
        </w:rPr>
      </w:pPr>
      <w:bookmarkStart w:id="9" w:name="_Toc214577537"/>
      <w:r w:rsidRPr="006523A8">
        <w:rPr>
          <w:rFonts w:ascii="Arial" w:hAnsi="Arial" w:cs="Arial"/>
          <w:b/>
          <w:bCs/>
          <w:color w:val="000000" w:themeColor="text1"/>
          <w:sz w:val="32"/>
          <w:szCs w:val="32"/>
        </w:rPr>
        <w:t>Strategic Financial Restructuring Plan</w:t>
      </w:r>
      <w:bookmarkEnd w:id="9"/>
      <w:r w:rsidRPr="006523A8">
        <w:rPr>
          <w:rFonts w:ascii="Arial" w:hAnsi="Arial" w:cs="Arial"/>
          <w:b/>
          <w:bCs/>
          <w:color w:val="000000" w:themeColor="text1"/>
          <w:sz w:val="32"/>
          <w:szCs w:val="32"/>
        </w:rPr>
        <w:t xml:space="preserve"> </w:t>
      </w:r>
    </w:p>
    <w:p w14:paraId="58C5CD9B" w14:textId="77777777" w:rsidR="005726E8" w:rsidRDefault="005726E8" w:rsidP="006523A8">
      <w:pPr>
        <w:pStyle w:val="Heading2"/>
        <w:rPr>
          <w:rFonts w:ascii="Arial" w:hAnsi="Arial" w:cs="Arial"/>
          <w:b/>
          <w:bCs/>
          <w:color w:val="000000" w:themeColor="text1"/>
          <w:sz w:val="28"/>
          <w:szCs w:val="28"/>
        </w:rPr>
      </w:pPr>
      <w:bookmarkStart w:id="10" w:name="_Toc214577538"/>
      <w:r w:rsidRPr="006523A8">
        <w:rPr>
          <w:rFonts w:ascii="Arial" w:hAnsi="Arial" w:cs="Arial"/>
          <w:b/>
          <w:bCs/>
          <w:color w:val="000000" w:themeColor="text1"/>
          <w:sz w:val="28"/>
          <w:szCs w:val="28"/>
        </w:rPr>
        <w:t>Recommended Financial Restructuring Options</w:t>
      </w:r>
      <w:bookmarkEnd w:id="10"/>
      <w:r w:rsidRPr="006523A8">
        <w:rPr>
          <w:rFonts w:ascii="Arial" w:hAnsi="Arial" w:cs="Arial"/>
          <w:b/>
          <w:bCs/>
          <w:color w:val="000000" w:themeColor="text1"/>
          <w:sz w:val="28"/>
          <w:szCs w:val="28"/>
        </w:rPr>
        <w:t xml:space="preserve"> </w:t>
      </w:r>
    </w:p>
    <w:p w14:paraId="376D9C95" w14:textId="77777777" w:rsidR="006E26B2" w:rsidRPr="006E26B2" w:rsidRDefault="006E26B2" w:rsidP="006E26B2">
      <w:pPr>
        <w:spacing w:line="360" w:lineRule="auto"/>
        <w:jc w:val="both"/>
        <w:rPr>
          <w:rFonts w:ascii="Arial" w:hAnsi="Arial" w:cs="Arial"/>
        </w:rPr>
      </w:pPr>
      <w:r w:rsidRPr="006E26B2">
        <w:rPr>
          <w:rFonts w:ascii="Arial" w:hAnsi="Arial" w:cs="Arial"/>
        </w:rPr>
        <w:t>The necessity for financial restructuring is to resolve the continued declining profit margins, continual operating losses, low solvency, and decreasing liquidity of the firm. As such, financial restructuring will require the modification of the company’s capital structure, asset base, and/or ownership structure, in order to mitigate the firms current financial constraints and improve its operational performance (Damodaran, 2015). The three major restructuring options that the firm may pursue include: divestiture, strategic merger or alliance, and equity injection.</w:t>
      </w:r>
    </w:p>
    <w:p w14:paraId="031CE1D7" w14:textId="77777777" w:rsidR="006E26B2" w:rsidRPr="006E26B2" w:rsidRDefault="006E26B2" w:rsidP="006E26B2">
      <w:pPr>
        <w:spacing w:line="360" w:lineRule="auto"/>
        <w:jc w:val="both"/>
        <w:rPr>
          <w:rFonts w:ascii="Arial" w:hAnsi="Arial" w:cs="Arial"/>
        </w:rPr>
      </w:pPr>
      <w:r w:rsidRPr="006E26B2">
        <w:rPr>
          <w:rFonts w:ascii="Arial" w:hAnsi="Arial" w:cs="Arial"/>
        </w:rPr>
        <w:t>Divestiture, or the sale of non-core or underperforming assets, is necessary because the company possesses impaired intangible and long-lived assets mainly as a result of goodwill impairment in 2023. Divesting unessential units or facilities, or unprofitable segments of the firm will generate the company immediate cash inflows, decrease depreciation and maintenance expenses, and improve liquidity (Hitt et al., 2020) by allowing management to focus their resources on the firm’s core profitable operations.</w:t>
      </w:r>
    </w:p>
    <w:p w14:paraId="0610A331" w14:textId="77777777" w:rsidR="006E26B2" w:rsidRPr="006E26B2" w:rsidRDefault="006E26B2" w:rsidP="006E26B2">
      <w:pPr>
        <w:spacing w:line="360" w:lineRule="auto"/>
        <w:jc w:val="both"/>
        <w:rPr>
          <w:rFonts w:ascii="Arial" w:hAnsi="Arial" w:cs="Arial"/>
        </w:rPr>
      </w:pPr>
      <w:r w:rsidRPr="006E26B2">
        <w:rPr>
          <w:rFonts w:ascii="Arial" w:hAnsi="Arial" w:cs="Arial"/>
        </w:rPr>
        <w:t>Secondly, a strategic merger or alliance between the company and a larger competitor, will enable the firm to realize scale efficiencies, cost synergies, and enhanced access to markets (Gaughan, 2017). A horizontal merger would be expected to produce increased supply chain efficiencies for the company, combine research and development, eliminate redundant overheads, etc. Alternatively, the company could form joint ventures with other companies in rapidly growing foreign markets, thus providing a diversification to the firm’s revenue streams and stability to the company’s cash flows (Johnson et al., 2020).</w:t>
      </w:r>
    </w:p>
    <w:p w14:paraId="4751371D" w14:textId="77777777" w:rsidR="006E26B2" w:rsidRPr="006E26B2" w:rsidRDefault="006E26B2" w:rsidP="006E26B2">
      <w:pPr>
        <w:spacing w:line="360" w:lineRule="auto"/>
        <w:jc w:val="both"/>
        <w:rPr>
          <w:rFonts w:ascii="Arial" w:hAnsi="Arial" w:cs="Arial"/>
        </w:rPr>
      </w:pPr>
      <w:r w:rsidRPr="006E26B2">
        <w:rPr>
          <w:rFonts w:ascii="Arial" w:hAnsi="Arial" w:cs="Arial"/>
        </w:rPr>
        <w:t>Lastly, the company will need to complete an equity injection in order to rectify its poor capital structure. Equity injections via rights issues or investments from strategic partners will strengthen the company’s solvency, diminish the reliance on short-term borrowing, and restore investor confidence (Brealey et al., 2020).</w:t>
      </w:r>
    </w:p>
    <w:p w14:paraId="11BC39BB" w14:textId="77777777" w:rsidR="006E26B2" w:rsidRPr="006E26B2" w:rsidRDefault="006E26B2" w:rsidP="006E26B2">
      <w:pPr>
        <w:spacing w:line="360" w:lineRule="auto"/>
        <w:jc w:val="both"/>
        <w:rPr>
          <w:rFonts w:ascii="Arial" w:hAnsi="Arial" w:cs="Arial"/>
        </w:rPr>
      </w:pPr>
      <w:r w:rsidRPr="006E26B2">
        <w:rPr>
          <w:rFonts w:ascii="Arial" w:hAnsi="Arial" w:cs="Arial"/>
        </w:rPr>
        <w:lastRenderedPageBreak/>
        <w:t>Additionally, the refinancing of short term, high-cost debt, into longer-term borrowing at lower interest rates with longer maturities will help to relieve the company’s immediate liquidity difficulties (Altman, 2013).</w:t>
      </w:r>
    </w:p>
    <w:p w14:paraId="7CFF7C31" w14:textId="77777777" w:rsidR="006E26B2" w:rsidRPr="006E26B2" w:rsidRDefault="006E26B2" w:rsidP="006E26B2">
      <w:pPr>
        <w:spacing w:line="360" w:lineRule="auto"/>
        <w:jc w:val="both"/>
        <w:rPr>
          <w:rFonts w:ascii="Arial" w:hAnsi="Arial" w:cs="Arial"/>
        </w:rPr>
      </w:pPr>
      <w:r w:rsidRPr="006E26B2">
        <w:rPr>
          <w:rFonts w:ascii="Arial" w:hAnsi="Arial" w:cs="Arial"/>
        </w:rPr>
        <w:t>Collectively, these alternatives will help to alleviate the financial distress of the company, establish stability to the company’s cash flows, and facilitate the company’s operational recovery.</w:t>
      </w:r>
    </w:p>
    <w:p w14:paraId="704C6C05" w14:textId="77777777" w:rsidR="005726E8" w:rsidRPr="006523A8" w:rsidRDefault="005726E8" w:rsidP="006523A8">
      <w:pPr>
        <w:pStyle w:val="Heading2"/>
        <w:rPr>
          <w:rFonts w:ascii="Arial" w:hAnsi="Arial" w:cs="Arial"/>
          <w:b/>
          <w:bCs/>
          <w:color w:val="000000" w:themeColor="text1"/>
          <w:sz w:val="28"/>
          <w:szCs w:val="28"/>
        </w:rPr>
      </w:pPr>
      <w:bookmarkStart w:id="11" w:name="_Toc214577539"/>
      <w:r w:rsidRPr="006523A8">
        <w:rPr>
          <w:rFonts w:ascii="Arial" w:hAnsi="Arial" w:cs="Arial"/>
          <w:b/>
          <w:bCs/>
          <w:color w:val="000000" w:themeColor="text1"/>
          <w:sz w:val="28"/>
          <w:szCs w:val="28"/>
        </w:rPr>
        <w:t>Impact on Shareholder Value, Debt Structure, and Operational Flexibility</w:t>
      </w:r>
      <w:bookmarkEnd w:id="11"/>
      <w:r w:rsidRPr="006523A8">
        <w:rPr>
          <w:rFonts w:ascii="Arial" w:hAnsi="Arial" w:cs="Arial"/>
          <w:b/>
          <w:bCs/>
          <w:color w:val="000000" w:themeColor="text1"/>
          <w:sz w:val="28"/>
          <w:szCs w:val="28"/>
        </w:rPr>
        <w:t xml:space="preserve"> </w:t>
      </w:r>
    </w:p>
    <w:p w14:paraId="3ED8DE59" w14:textId="77777777" w:rsidR="006E26B2" w:rsidRPr="006E26B2" w:rsidRDefault="006E26B2" w:rsidP="006E26B2">
      <w:pPr>
        <w:spacing w:line="360" w:lineRule="auto"/>
        <w:jc w:val="both"/>
        <w:rPr>
          <w:rFonts w:ascii="Arial" w:hAnsi="Arial" w:cs="Arial"/>
        </w:rPr>
      </w:pPr>
      <w:r w:rsidRPr="006E26B2">
        <w:rPr>
          <w:rFonts w:ascii="Arial" w:hAnsi="Arial" w:cs="Arial"/>
        </w:rPr>
        <w:t xml:space="preserve">Restructuring will have important effects on some of the major determinants of a firm’s financial performance, which include the value to shareholders, the nature of the firm’s obligation to creditors, and the firm’s ability to make adjustments in operations. </w:t>
      </w:r>
    </w:p>
    <w:p w14:paraId="20D6D0C7" w14:textId="77777777" w:rsidR="006E26B2" w:rsidRPr="006E26B2" w:rsidRDefault="006E26B2" w:rsidP="006E26B2">
      <w:pPr>
        <w:spacing w:line="360" w:lineRule="auto"/>
        <w:jc w:val="both"/>
        <w:rPr>
          <w:rFonts w:ascii="Arial" w:hAnsi="Arial" w:cs="Arial"/>
          <w:b/>
          <w:bCs/>
        </w:rPr>
      </w:pPr>
      <w:r w:rsidRPr="006E26B2">
        <w:rPr>
          <w:rFonts w:ascii="Arial" w:hAnsi="Arial" w:cs="Arial"/>
          <w:b/>
          <w:bCs/>
        </w:rPr>
        <w:t>Shareholder Value Implications:</w:t>
      </w:r>
    </w:p>
    <w:p w14:paraId="6C1430F7" w14:textId="77777777" w:rsidR="006E26B2" w:rsidRPr="006E26B2" w:rsidRDefault="006E26B2" w:rsidP="006E26B2">
      <w:pPr>
        <w:spacing w:line="360" w:lineRule="auto"/>
        <w:jc w:val="both"/>
        <w:rPr>
          <w:rFonts w:ascii="Arial" w:hAnsi="Arial" w:cs="Arial"/>
        </w:rPr>
      </w:pPr>
      <w:r w:rsidRPr="006E26B2">
        <w:rPr>
          <w:rFonts w:ascii="Arial" w:hAnsi="Arial" w:cs="Arial"/>
        </w:rPr>
        <w:t>It has been shown that increasing shareholder value can occur when firms divest non-core assets; this can remove unprofitable companies or units from an organization, increase return on assets (ROA) and improve the organization's total profitability (Markides, 2013). Divesting non-core assets may also present the opportunity to issue additional shares, which could potentially weaken the organization's EPS; however, issuing additional shares could provide the organization with improved solvency and decrease the probability that the organization would file for bankruptcy, both of which are very important factors for organizations with negative operating income during 2023 – 2024.</w:t>
      </w:r>
    </w:p>
    <w:p w14:paraId="5DA7694B" w14:textId="77777777" w:rsidR="006E26B2" w:rsidRPr="006E26B2" w:rsidRDefault="006E26B2" w:rsidP="006E26B2">
      <w:pPr>
        <w:spacing w:line="360" w:lineRule="auto"/>
        <w:jc w:val="both"/>
        <w:rPr>
          <w:rFonts w:ascii="Arial" w:hAnsi="Arial" w:cs="Arial"/>
          <w:b/>
          <w:bCs/>
        </w:rPr>
      </w:pPr>
      <w:r w:rsidRPr="006E26B2">
        <w:rPr>
          <w:rFonts w:ascii="Arial" w:hAnsi="Arial" w:cs="Arial"/>
          <w:b/>
          <w:bCs/>
        </w:rPr>
        <w:t>Debt Obligation Structure Implications:</w:t>
      </w:r>
    </w:p>
    <w:p w14:paraId="7A7F3BEF" w14:textId="77777777" w:rsidR="006E26B2" w:rsidRPr="006E26B2" w:rsidRDefault="006E26B2" w:rsidP="006E26B2">
      <w:pPr>
        <w:spacing w:line="360" w:lineRule="auto"/>
        <w:jc w:val="both"/>
        <w:rPr>
          <w:rFonts w:ascii="Arial" w:hAnsi="Arial" w:cs="Arial"/>
        </w:rPr>
      </w:pPr>
      <w:r w:rsidRPr="006E26B2">
        <w:rPr>
          <w:rFonts w:ascii="Arial" w:hAnsi="Arial" w:cs="Arial"/>
        </w:rPr>
        <w:t xml:space="preserve">Refinancing the firm’s short-term debt obligations using long-term debt, and thus reducing the pressure on the firm's cash flow, may help mitigate the firm's increased use of debt over time. Equity injections to the firm will provide the firm with improved solvency, and will provide the firm with lower weighted average cost of capital (WACC); the firm will have access to future borrowing at a lower cost (Brealey et al., 2020). </w:t>
      </w:r>
    </w:p>
    <w:p w14:paraId="7E2B29EB" w14:textId="77777777" w:rsidR="006E26B2" w:rsidRPr="006E26B2" w:rsidRDefault="006E26B2" w:rsidP="006E26B2">
      <w:pPr>
        <w:spacing w:line="360" w:lineRule="auto"/>
        <w:jc w:val="both"/>
        <w:rPr>
          <w:rFonts w:ascii="Arial" w:hAnsi="Arial" w:cs="Arial"/>
          <w:b/>
          <w:bCs/>
        </w:rPr>
      </w:pPr>
      <w:r w:rsidRPr="006E26B2">
        <w:rPr>
          <w:rFonts w:ascii="Arial" w:hAnsi="Arial" w:cs="Arial"/>
          <w:b/>
          <w:bCs/>
        </w:rPr>
        <w:t>Operational Flexibility Implications:</w:t>
      </w:r>
    </w:p>
    <w:p w14:paraId="58F4245D" w14:textId="77777777" w:rsidR="006E26B2" w:rsidRDefault="006E26B2" w:rsidP="00A900D7">
      <w:pPr>
        <w:spacing w:line="360" w:lineRule="auto"/>
        <w:jc w:val="both"/>
        <w:rPr>
          <w:rFonts w:ascii="Arial" w:hAnsi="Arial" w:cs="Arial"/>
        </w:rPr>
      </w:pPr>
      <w:r w:rsidRPr="006E26B2">
        <w:rPr>
          <w:rFonts w:ascii="Arial" w:hAnsi="Arial" w:cs="Arial"/>
        </w:rPr>
        <w:lastRenderedPageBreak/>
        <w:t>Restructuring will create operational flexibility for the firm as the restructuring process will eliminate most of the prior financial limitations faced by the firm. In addition to creating resources to fund core business functions, divestitures will enable the firm to concentrate on the core competencies of the firm, and take advantage of the opportunities that arise from the creation of new technologies, capabilities, and supply chain arrangements (Johnson et al., 2020).</w:t>
      </w:r>
    </w:p>
    <w:p w14:paraId="2923F7B3" w14:textId="77777777" w:rsidR="006523A8" w:rsidRDefault="005726E8" w:rsidP="006523A8">
      <w:pPr>
        <w:pStyle w:val="Heading2"/>
        <w:rPr>
          <w:rStyle w:val="Heading2Char"/>
          <w:rFonts w:ascii="Arial" w:hAnsi="Arial" w:cs="Arial"/>
          <w:b/>
          <w:bCs/>
          <w:color w:val="000000" w:themeColor="text1"/>
        </w:rPr>
      </w:pPr>
      <w:bookmarkStart w:id="12" w:name="_Toc214577540"/>
      <w:r w:rsidRPr="006523A8">
        <w:rPr>
          <w:rStyle w:val="Heading2Char"/>
          <w:rFonts w:ascii="Arial" w:hAnsi="Arial" w:cs="Arial"/>
          <w:b/>
          <w:bCs/>
          <w:color w:val="000000" w:themeColor="text1"/>
        </w:rPr>
        <w:t>International and Ethical Considerations: Taxation, Currency Risk, Inflation, CSR</w:t>
      </w:r>
      <w:bookmarkEnd w:id="12"/>
      <w:r w:rsidRPr="006523A8">
        <w:rPr>
          <w:rStyle w:val="Heading2Char"/>
          <w:rFonts w:ascii="Arial" w:hAnsi="Arial" w:cs="Arial"/>
          <w:b/>
          <w:bCs/>
          <w:color w:val="000000" w:themeColor="text1"/>
        </w:rPr>
        <w:t xml:space="preserve"> </w:t>
      </w:r>
    </w:p>
    <w:p w14:paraId="63E267CA" w14:textId="77777777" w:rsidR="006E26B2" w:rsidRPr="006E26B2" w:rsidRDefault="006E26B2" w:rsidP="006E26B2">
      <w:pPr>
        <w:spacing w:line="360" w:lineRule="auto"/>
        <w:jc w:val="both"/>
        <w:rPr>
          <w:rFonts w:ascii="Arial" w:hAnsi="Arial" w:cs="Arial"/>
        </w:rPr>
      </w:pPr>
      <w:r w:rsidRPr="006E26B2">
        <w:rPr>
          <w:rFonts w:ascii="Arial" w:hAnsi="Arial" w:cs="Arial"/>
        </w:rPr>
        <w:t>Several other key aspects of the restructuring process include international and ethical factors, that could affect the success of the restructuring effort. These include: taxation; currency risk; inflationary pressures; and corporate social responsibility (CSR).</w:t>
      </w:r>
    </w:p>
    <w:p w14:paraId="7FB4A172" w14:textId="77777777" w:rsidR="006E26B2" w:rsidRPr="006E26B2" w:rsidRDefault="006E26B2" w:rsidP="006E26B2">
      <w:pPr>
        <w:spacing w:line="360" w:lineRule="auto"/>
        <w:jc w:val="both"/>
        <w:rPr>
          <w:rFonts w:ascii="Arial" w:hAnsi="Arial" w:cs="Arial"/>
          <w:b/>
          <w:bCs/>
        </w:rPr>
      </w:pPr>
      <w:r w:rsidRPr="006E26B2">
        <w:rPr>
          <w:rFonts w:ascii="Arial" w:hAnsi="Arial" w:cs="Arial"/>
          <w:b/>
          <w:bCs/>
        </w:rPr>
        <w:t>Taxation considerations:</w:t>
      </w:r>
    </w:p>
    <w:p w14:paraId="4FA2964A" w14:textId="77777777" w:rsidR="006E26B2" w:rsidRPr="006E26B2" w:rsidRDefault="006E26B2" w:rsidP="006E26B2">
      <w:pPr>
        <w:spacing w:line="360" w:lineRule="auto"/>
        <w:jc w:val="both"/>
        <w:rPr>
          <w:rFonts w:ascii="Arial" w:hAnsi="Arial" w:cs="Arial"/>
        </w:rPr>
      </w:pPr>
      <w:r w:rsidRPr="006E26B2">
        <w:rPr>
          <w:rFonts w:ascii="Arial" w:hAnsi="Arial" w:cs="Arial"/>
        </w:rPr>
        <w:t>As a result of the multinationals' operations across multiple countries, corporations may face differing tax laws and regulations in each of those countries. The restructuring process via mergers and acquisitions can result in capital gain tax liabilities, and transfer pricing issues, and withholding taxes in each country in which the corporation operates (OECD, 2022). Equity funding from external investors will also require the corporation to comply with international tax treaties, and report the same according to BEPS guidelines (Scholes et al., 2018).</w:t>
      </w:r>
    </w:p>
    <w:p w14:paraId="2B6C62BC" w14:textId="77777777" w:rsidR="006E26B2" w:rsidRPr="006E26B2" w:rsidRDefault="006E26B2" w:rsidP="006E26B2">
      <w:pPr>
        <w:spacing w:line="360" w:lineRule="auto"/>
        <w:jc w:val="both"/>
        <w:rPr>
          <w:rFonts w:ascii="Arial" w:hAnsi="Arial" w:cs="Arial"/>
          <w:b/>
          <w:bCs/>
        </w:rPr>
      </w:pPr>
      <w:r w:rsidRPr="006E26B2">
        <w:rPr>
          <w:rFonts w:ascii="Arial" w:hAnsi="Arial" w:cs="Arial"/>
          <w:b/>
          <w:bCs/>
        </w:rPr>
        <w:t>Currency Risk:</w:t>
      </w:r>
    </w:p>
    <w:p w14:paraId="78149591" w14:textId="77777777" w:rsidR="006E26B2" w:rsidRPr="006E26B2" w:rsidRDefault="006E26B2" w:rsidP="006E26B2">
      <w:pPr>
        <w:spacing w:line="360" w:lineRule="auto"/>
        <w:jc w:val="both"/>
        <w:rPr>
          <w:rFonts w:ascii="Arial" w:hAnsi="Arial" w:cs="Arial"/>
        </w:rPr>
      </w:pPr>
      <w:r w:rsidRPr="006E26B2">
        <w:rPr>
          <w:rFonts w:ascii="Arial" w:hAnsi="Arial" w:cs="Arial"/>
        </w:rPr>
        <w:t xml:space="preserve">As a result of fluctuating currency exchange rates, the multinational corporation faces significant foreign currency risks associated with the restructuring process of cross border mergers and acquisitions. The lack of liquidity and the corporation's negative earnings before interest and taxes (EBIT), can create a higher likelihood of loss due to currency exchange rate fluctuations. Hedging tools such as forward contracts, currency swaps and natural hedging, by matching the company's revenue and expense currencies, can provide some protection against financial instability caused by currency exchange fluctuations (Madura, 2021). Furthermore, when a corporation issues equity in a foreign market, or when the corporation refinances debt denominated in a foreign currency, </w:t>
      </w:r>
      <w:r w:rsidRPr="006E26B2">
        <w:rPr>
          <w:rFonts w:ascii="Arial" w:hAnsi="Arial" w:cs="Arial"/>
        </w:rPr>
        <w:lastRenderedPageBreak/>
        <w:t>currency risks must be taken into consideration to avoid further increasing financial instability as a result of currency exchange fluctuations.</w:t>
      </w:r>
    </w:p>
    <w:p w14:paraId="48BAE29F" w14:textId="77777777" w:rsidR="006E26B2" w:rsidRPr="006E26B2" w:rsidRDefault="006E26B2" w:rsidP="006E26B2">
      <w:pPr>
        <w:spacing w:line="360" w:lineRule="auto"/>
        <w:jc w:val="both"/>
        <w:rPr>
          <w:rFonts w:ascii="Arial" w:hAnsi="Arial" w:cs="Arial"/>
          <w:b/>
          <w:bCs/>
        </w:rPr>
      </w:pPr>
      <w:r w:rsidRPr="006E26B2">
        <w:rPr>
          <w:rFonts w:ascii="Arial" w:hAnsi="Arial" w:cs="Arial"/>
          <w:b/>
          <w:bCs/>
        </w:rPr>
        <w:t>Inflationary Pressures:</w:t>
      </w:r>
    </w:p>
    <w:p w14:paraId="4494CCD9" w14:textId="77777777" w:rsidR="006E26B2" w:rsidRPr="006E26B2" w:rsidRDefault="006E26B2" w:rsidP="006E26B2">
      <w:pPr>
        <w:spacing w:line="360" w:lineRule="auto"/>
        <w:jc w:val="both"/>
        <w:rPr>
          <w:rFonts w:ascii="Arial" w:hAnsi="Arial" w:cs="Arial"/>
        </w:rPr>
      </w:pPr>
      <w:r w:rsidRPr="006E26B2">
        <w:rPr>
          <w:rFonts w:ascii="Arial" w:hAnsi="Arial" w:cs="Arial"/>
        </w:rPr>
        <w:t xml:space="preserve">Global inflation affects both interest rates and borrowing costs as well as the consumers purchasing power. Therefore, global inflation affects the cost of goods sold for companies. The restructuring process should take into account some level of inflation sensitivity through techniques such as using flexible pricing models to respond to changes in the economy, renegotiating supplier contracts, and investing in technology to improve productivity (IMF, 2023). </w:t>
      </w:r>
    </w:p>
    <w:p w14:paraId="1B836791" w14:textId="77777777" w:rsidR="006E26B2" w:rsidRPr="006E26B2" w:rsidRDefault="006E26B2" w:rsidP="006E26B2">
      <w:pPr>
        <w:spacing w:line="360" w:lineRule="auto"/>
        <w:jc w:val="both"/>
        <w:rPr>
          <w:rFonts w:ascii="Arial" w:hAnsi="Arial" w:cs="Arial"/>
          <w:b/>
          <w:bCs/>
        </w:rPr>
      </w:pPr>
      <w:r w:rsidRPr="006E26B2">
        <w:rPr>
          <w:rFonts w:ascii="Arial" w:hAnsi="Arial" w:cs="Arial"/>
          <w:b/>
          <w:bCs/>
        </w:rPr>
        <w:t>Ethical Considerations and CSR:</w:t>
      </w:r>
    </w:p>
    <w:p w14:paraId="1B28EB23" w14:textId="77777777" w:rsidR="006E26B2" w:rsidRPr="006E26B2" w:rsidRDefault="006E26B2" w:rsidP="006E26B2">
      <w:pPr>
        <w:spacing w:line="360" w:lineRule="auto"/>
        <w:jc w:val="both"/>
        <w:rPr>
          <w:rFonts w:ascii="Arial" w:hAnsi="Arial" w:cs="Arial"/>
        </w:rPr>
      </w:pPr>
      <w:r w:rsidRPr="006E26B2">
        <w:rPr>
          <w:rFonts w:ascii="Arial" w:hAnsi="Arial" w:cs="Arial"/>
        </w:rPr>
        <w:t>Restructuring involves many activities that present ethical risks, such as layoffs, divestment of portions of the company, and outsourcing. To protect the company's reputation and ethics, the company must communicate clearly and transparently to employees about restructuring plans, and provide fair severance packages and training programs to help displaced employees transition to new careers (Carroll, 2016). Ethical restructuring builds trust among all stakeholders and supports long-term value creation (Freeman, 2010).</w:t>
      </w:r>
    </w:p>
    <w:p w14:paraId="0BD15FCE" w14:textId="77777777" w:rsidR="006E26B2" w:rsidRPr="006E26B2" w:rsidRDefault="006E26B2" w:rsidP="006E26B2">
      <w:pPr>
        <w:spacing w:line="360" w:lineRule="auto"/>
        <w:jc w:val="both"/>
        <w:rPr>
          <w:rFonts w:ascii="Arial" w:hAnsi="Arial" w:cs="Arial"/>
        </w:rPr>
      </w:pPr>
      <w:r w:rsidRPr="006E26B2">
        <w:rPr>
          <w:rFonts w:ascii="Arial" w:hAnsi="Arial" w:cs="Arial"/>
        </w:rPr>
        <w:t xml:space="preserve">Additionally, CSR performance in global markets also influences how investors act, specifically institutional investors that are now considering ESG metrics as part of their investment decision-making processes. </w:t>
      </w:r>
    </w:p>
    <w:p w14:paraId="7A551D40" w14:textId="77777777" w:rsidR="006523A8" w:rsidRPr="006523A8" w:rsidRDefault="00306449" w:rsidP="006523A8">
      <w:pPr>
        <w:pStyle w:val="Heading1"/>
        <w:rPr>
          <w:rFonts w:ascii="Arial" w:hAnsi="Arial" w:cs="Arial"/>
          <w:b/>
          <w:bCs/>
          <w:color w:val="000000" w:themeColor="text1"/>
          <w:sz w:val="32"/>
          <w:szCs w:val="32"/>
        </w:rPr>
      </w:pPr>
      <w:bookmarkStart w:id="13" w:name="_Toc214577541"/>
      <w:r w:rsidRPr="006523A8">
        <w:rPr>
          <w:rFonts w:ascii="Arial" w:hAnsi="Arial" w:cs="Arial"/>
          <w:b/>
          <w:bCs/>
          <w:color w:val="000000" w:themeColor="text1"/>
          <w:sz w:val="32"/>
          <w:szCs w:val="32"/>
        </w:rPr>
        <w:t>Investment Appraisal and Capital Budgeting</w:t>
      </w:r>
      <w:bookmarkEnd w:id="13"/>
      <w:r w:rsidRPr="006523A8">
        <w:rPr>
          <w:rFonts w:ascii="Arial" w:hAnsi="Arial" w:cs="Arial"/>
          <w:b/>
          <w:bCs/>
          <w:color w:val="000000" w:themeColor="text1"/>
          <w:sz w:val="32"/>
          <w:szCs w:val="32"/>
        </w:rPr>
        <w:t xml:space="preserve"> </w:t>
      </w:r>
    </w:p>
    <w:p w14:paraId="2E502207" w14:textId="77777777" w:rsidR="00C24FA0" w:rsidRDefault="00C24FA0" w:rsidP="00005668">
      <w:pPr>
        <w:spacing w:line="360" w:lineRule="auto"/>
        <w:jc w:val="both"/>
        <w:rPr>
          <w:rFonts w:ascii="Arial" w:hAnsi="Arial" w:cs="Arial"/>
        </w:rPr>
      </w:pPr>
      <w:r w:rsidRPr="00C24FA0">
        <w:rPr>
          <w:rFonts w:ascii="Arial" w:hAnsi="Arial" w:cs="Arial"/>
        </w:rPr>
        <w:t xml:space="preserve">Capital Budgeting is an essential part of the financial management process for businesses which allows them to identify projects with the highest potential to maximize shareholder value by allocating the business's limited capital resources. Capital Budgeting is also used to appraise investments by evaluating all the key appraisal tools; Payback Period (PBP); Accounting Rate of Return (ARR); Net Present Value (NPV); Profitability Index (PI) and Internal Rate of Return (IRR). An overall recommendation will be made based on the appraisal results along with strategic factors including how </w:t>
      </w:r>
      <w:r w:rsidRPr="00C24FA0">
        <w:rPr>
          <w:rFonts w:ascii="Arial" w:hAnsi="Arial" w:cs="Arial"/>
        </w:rPr>
        <w:lastRenderedPageBreak/>
        <w:t>profitable each project is; the current liquidity position of the Company; the level of risk in terms of cash flows for each project; and the Company's capital rationing constraint of £60m.</w:t>
      </w:r>
    </w:p>
    <w:p w14:paraId="53363119" w14:textId="77777777" w:rsidR="00306449" w:rsidRPr="00005668" w:rsidRDefault="00306449" w:rsidP="00005668">
      <w:pPr>
        <w:spacing w:line="360" w:lineRule="auto"/>
        <w:jc w:val="both"/>
        <w:rPr>
          <w:rFonts w:ascii="Arial" w:hAnsi="Arial" w:cs="Arial"/>
          <w:b/>
          <w:bCs/>
        </w:rPr>
      </w:pPr>
      <w:r w:rsidRPr="00005668">
        <w:rPr>
          <w:rFonts w:ascii="Arial" w:hAnsi="Arial" w:cs="Arial"/>
          <w:b/>
          <w:bCs/>
        </w:rPr>
        <w:t>Evaluation of Project A</w:t>
      </w:r>
    </w:p>
    <w:p w14:paraId="61065BA7" w14:textId="77777777" w:rsidR="00C24FA0" w:rsidRDefault="00C24FA0" w:rsidP="00005668">
      <w:pPr>
        <w:spacing w:line="360" w:lineRule="auto"/>
        <w:jc w:val="both"/>
        <w:rPr>
          <w:rFonts w:ascii="Arial" w:hAnsi="Arial" w:cs="Arial"/>
        </w:rPr>
      </w:pPr>
      <w:r w:rsidRPr="00C24FA0">
        <w:rPr>
          <w:rFonts w:ascii="Arial" w:hAnsi="Arial" w:cs="Arial"/>
        </w:rPr>
        <w:t>The Project A (£40 million) presents a relatively predictable and dependable future income stream of between £10 million and £14 million annually over 5 years. As such, there is a considerable amount of stability to the cash generated by this project. Project A has a Payback Period of 3.40 years which suggests a fairly quick turnaround on the money being put into the project, and therefore contributes to improved short-term liquidity. The net present value of £1.32 million represents a greater-than-cost-of-capital benefit to shareholders; thus, contributing positively to shareholder wealth. The profitability index of 1.033 signifies that for every pound that was invested, the pound will yield £1.033 in terms of present value. With respect to profitability, the accounting return on investment of 14% exceeds the 10% minimum acceptable return; therefore, the returns from Project A are sufficient. The internal rate of return of 11.327% is likewise in excess of the discount rate; hence Project A should be approved. The relative predictability of Project A’s cash flows and their relative lack of volatility make it a low-to-moderate risk investment opportunity that can support both current and future liquidity requirements.</w:t>
      </w:r>
    </w:p>
    <w:p w14:paraId="4BF71220" w14:textId="77777777" w:rsidR="00306449" w:rsidRPr="00005668" w:rsidRDefault="00306449" w:rsidP="00005668">
      <w:pPr>
        <w:spacing w:line="360" w:lineRule="auto"/>
        <w:jc w:val="both"/>
        <w:rPr>
          <w:rFonts w:ascii="Arial" w:hAnsi="Arial" w:cs="Arial"/>
          <w:b/>
          <w:bCs/>
        </w:rPr>
      </w:pPr>
      <w:r w:rsidRPr="00005668">
        <w:rPr>
          <w:rFonts w:ascii="Arial" w:hAnsi="Arial" w:cs="Arial"/>
          <w:b/>
          <w:bCs/>
        </w:rPr>
        <w:t>Evaluation of Project B</w:t>
      </w:r>
    </w:p>
    <w:p w14:paraId="607F2426" w14:textId="77777777" w:rsidR="00C24FA0" w:rsidRDefault="00C24FA0" w:rsidP="00005668">
      <w:pPr>
        <w:spacing w:line="360" w:lineRule="auto"/>
        <w:jc w:val="both"/>
        <w:rPr>
          <w:rFonts w:ascii="Arial" w:hAnsi="Arial" w:cs="Arial"/>
        </w:rPr>
      </w:pPr>
      <w:r w:rsidRPr="00C24FA0">
        <w:rPr>
          <w:rFonts w:ascii="Arial" w:hAnsi="Arial" w:cs="Arial"/>
        </w:rPr>
        <w:t xml:space="preserve">Project B presents a lower level of initial investment of £30 million, compared to Project A, and presents fixed annual cash inflows of £6 million for each year over the 5-year life of the project. In spite of its relative simplicity, the results of all of the various financial evaluation methods reveal that Project B will perform very poorly. The payback period of 5 years is longer than those of Projects A &amp; C; therefore, Project B will create even more liquidity problems for a company whose working capital cycle is already strained. The negative Net Present Value (NPV) of –£7.26 million, demonstrates that the total of the cash inflows after the passage of time, cannot cover the costs of the project. The Profitability Index (PI) of 0.7582, similarly indicates that for every pound of capital invested in Project B, the investor receives only £0.76. Additionally, the Accounting Return on Investment (ROI) of 0% and the Internal Rate of Return (IRR) of 0% demonstrate that the </w:t>
      </w:r>
      <w:r w:rsidRPr="00C24FA0">
        <w:rPr>
          <w:rFonts w:ascii="Arial" w:hAnsi="Arial" w:cs="Arial"/>
        </w:rPr>
        <w:lastRenderedPageBreak/>
        <w:t>investment does not produce either financial or economic returns. Although cash flows are stable, the lack of cash flow is one reason why this project is not viable. Thus, based upon the analysis presented here, Project B is financially unworkable and must be rejected.</w:t>
      </w:r>
    </w:p>
    <w:p w14:paraId="089AAD6F" w14:textId="77777777" w:rsidR="00306449" w:rsidRDefault="00306449" w:rsidP="00005668">
      <w:pPr>
        <w:spacing w:line="360" w:lineRule="auto"/>
        <w:jc w:val="both"/>
        <w:rPr>
          <w:rFonts w:ascii="Arial" w:hAnsi="Arial" w:cs="Arial"/>
          <w:b/>
          <w:bCs/>
        </w:rPr>
      </w:pPr>
      <w:r w:rsidRPr="00005668">
        <w:rPr>
          <w:rFonts w:ascii="Arial" w:hAnsi="Arial" w:cs="Arial"/>
          <w:b/>
          <w:bCs/>
        </w:rPr>
        <w:t>Evaluation of Project C</w:t>
      </w:r>
    </w:p>
    <w:p w14:paraId="30FC36D2" w14:textId="77777777" w:rsidR="00C24FA0" w:rsidRDefault="00C24FA0" w:rsidP="00005668">
      <w:pPr>
        <w:spacing w:line="360" w:lineRule="auto"/>
        <w:jc w:val="both"/>
        <w:rPr>
          <w:rFonts w:ascii="Arial" w:hAnsi="Arial" w:cs="Arial"/>
        </w:rPr>
      </w:pPr>
      <w:r w:rsidRPr="00C24FA0">
        <w:rPr>
          <w:rFonts w:ascii="Arial" w:hAnsi="Arial" w:cs="Arial"/>
        </w:rPr>
        <w:t>Project C has the largest investment (£50 million); however, it has produced the best financial performance. The cash inflows have increased dramatically during the first 4 years from £5 million in Year 1 to £25 million in Year 4 then slightly decreased in Year 5 indicating moderate volatility, yet significant overall growth. In addition, the payback period for Project C of approximately 3.60 years, is only marginally worse than that of Project A despite the larger amount of capital that had to be invested. Project C has the greatest Net Present Value (NPV) of £3.84 million and therefore is superior to the other two projects. Furthermore, the Profitability Index (PI) of 1.0845, indicates that for every pound of capital that is invested in Project C, the investor will receive £1.0845 in terms of present values. Also, the accounting return on investment of 20% is far greater than the 10% cost of capital, and the Internal Rate of Return (IRR) of 12.7% is greater than the discount rate and therefore, the financial viability of Project C is clearly demonstrated. Therefore, Project C has provided the greatest returns and greatest potential for creating value and is therefore the most attractive investment opportunity.</w:t>
      </w:r>
    </w:p>
    <w:p w14:paraId="56CFD24E" w14:textId="77777777" w:rsidR="00306449" w:rsidRPr="00933EE0" w:rsidRDefault="00306449" w:rsidP="00933EE0">
      <w:pPr>
        <w:pStyle w:val="Heading2"/>
        <w:rPr>
          <w:rFonts w:ascii="Arial" w:hAnsi="Arial" w:cs="Arial"/>
          <w:b/>
          <w:bCs/>
          <w:color w:val="000000" w:themeColor="text1"/>
          <w:sz w:val="28"/>
          <w:szCs w:val="28"/>
        </w:rPr>
      </w:pPr>
      <w:bookmarkStart w:id="14" w:name="_Toc214577542"/>
      <w:r w:rsidRPr="00933EE0">
        <w:rPr>
          <w:rFonts w:ascii="Arial" w:hAnsi="Arial" w:cs="Arial"/>
          <w:b/>
          <w:bCs/>
          <w:color w:val="000000" w:themeColor="text1"/>
          <w:sz w:val="28"/>
          <w:szCs w:val="28"/>
        </w:rPr>
        <w:t>Investment Choice Under Capital Rationing (£60 million limit)</w:t>
      </w:r>
      <w:bookmarkEnd w:id="14"/>
    </w:p>
    <w:p w14:paraId="7DC3E721" w14:textId="77777777" w:rsidR="00933EE0" w:rsidRPr="00933EE0" w:rsidRDefault="00306449" w:rsidP="00005668">
      <w:pPr>
        <w:spacing w:line="360" w:lineRule="auto"/>
        <w:jc w:val="both"/>
        <w:rPr>
          <w:rFonts w:ascii="Arial" w:hAnsi="Arial" w:cs="Arial"/>
          <w:b/>
          <w:bCs/>
        </w:rPr>
      </w:pPr>
      <w:r w:rsidRPr="00005668">
        <w:rPr>
          <w:rFonts w:ascii="Arial" w:hAnsi="Arial" w:cs="Arial"/>
        </w:rPr>
        <w:t>Capital available</w:t>
      </w:r>
      <w:r w:rsidRPr="00933EE0">
        <w:rPr>
          <w:rFonts w:ascii="Arial" w:hAnsi="Arial" w:cs="Arial"/>
        </w:rPr>
        <w:t>: £60 million</w:t>
      </w:r>
    </w:p>
    <w:p w14:paraId="5F86D34C" w14:textId="77777777" w:rsidR="00306449" w:rsidRPr="00005668" w:rsidRDefault="00306449" w:rsidP="00005668">
      <w:pPr>
        <w:spacing w:line="360" w:lineRule="auto"/>
        <w:jc w:val="both"/>
        <w:rPr>
          <w:rFonts w:ascii="Arial" w:hAnsi="Arial" w:cs="Arial"/>
        </w:rPr>
      </w:pPr>
      <w:r w:rsidRPr="00005668">
        <w:rPr>
          <w:rFonts w:ascii="Arial" w:hAnsi="Arial" w:cs="Arial"/>
        </w:rPr>
        <w:t>Possible combinations:</w:t>
      </w:r>
    </w:p>
    <w:p w14:paraId="5265039E" w14:textId="77777777" w:rsidR="00306449" w:rsidRPr="00005668" w:rsidRDefault="00306449" w:rsidP="00005668">
      <w:pPr>
        <w:numPr>
          <w:ilvl w:val="0"/>
          <w:numId w:val="3"/>
        </w:numPr>
        <w:spacing w:line="360" w:lineRule="auto"/>
        <w:jc w:val="both"/>
        <w:rPr>
          <w:rFonts w:ascii="Arial" w:hAnsi="Arial" w:cs="Arial"/>
        </w:rPr>
      </w:pPr>
      <w:r w:rsidRPr="00005668">
        <w:rPr>
          <w:rFonts w:ascii="Arial" w:hAnsi="Arial" w:cs="Arial"/>
        </w:rPr>
        <w:t>A (£40m) + B (£30m) = £70m → exceeds limit</w:t>
      </w:r>
    </w:p>
    <w:p w14:paraId="0848ABA7" w14:textId="77777777" w:rsidR="00306449" w:rsidRPr="00005668" w:rsidRDefault="00306449" w:rsidP="00005668">
      <w:pPr>
        <w:numPr>
          <w:ilvl w:val="0"/>
          <w:numId w:val="3"/>
        </w:numPr>
        <w:spacing w:line="360" w:lineRule="auto"/>
        <w:jc w:val="both"/>
        <w:rPr>
          <w:rFonts w:ascii="Arial" w:hAnsi="Arial" w:cs="Arial"/>
        </w:rPr>
      </w:pPr>
      <w:r w:rsidRPr="00005668">
        <w:rPr>
          <w:rFonts w:ascii="Arial" w:hAnsi="Arial" w:cs="Arial"/>
        </w:rPr>
        <w:t>A (£40m) + C (£50m) = £90m → exceeds limit</w:t>
      </w:r>
    </w:p>
    <w:p w14:paraId="66EDE4AE" w14:textId="77777777" w:rsidR="00306449" w:rsidRPr="00005668" w:rsidRDefault="00306449" w:rsidP="00005668">
      <w:pPr>
        <w:numPr>
          <w:ilvl w:val="0"/>
          <w:numId w:val="3"/>
        </w:numPr>
        <w:spacing w:line="360" w:lineRule="auto"/>
        <w:jc w:val="both"/>
        <w:rPr>
          <w:rFonts w:ascii="Arial" w:hAnsi="Arial" w:cs="Arial"/>
        </w:rPr>
      </w:pPr>
      <w:r w:rsidRPr="00005668">
        <w:rPr>
          <w:rFonts w:ascii="Arial" w:hAnsi="Arial" w:cs="Arial"/>
        </w:rPr>
        <w:t>B (£30m) + C (£50m) = £80m → exceeds limit</w:t>
      </w:r>
    </w:p>
    <w:p w14:paraId="4F6ADE32" w14:textId="77777777" w:rsidR="00306449" w:rsidRPr="00005668" w:rsidRDefault="00306449" w:rsidP="00005668">
      <w:pPr>
        <w:numPr>
          <w:ilvl w:val="0"/>
          <w:numId w:val="3"/>
        </w:numPr>
        <w:spacing w:line="360" w:lineRule="auto"/>
        <w:jc w:val="both"/>
        <w:rPr>
          <w:rFonts w:ascii="Arial" w:hAnsi="Arial" w:cs="Arial"/>
        </w:rPr>
      </w:pPr>
      <w:r w:rsidRPr="00005668">
        <w:rPr>
          <w:rFonts w:ascii="Arial" w:hAnsi="Arial" w:cs="Arial"/>
        </w:rPr>
        <w:t>Only A (£40m) or only B (£30m) or only C (£50m) → feasible</w:t>
      </w:r>
    </w:p>
    <w:p w14:paraId="51DB0F16" w14:textId="77777777" w:rsidR="00306449" w:rsidRPr="00005668" w:rsidRDefault="00306449" w:rsidP="00005668">
      <w:pPr>
        <w:numPr>
          <w:ilvl w:val="0"/>
          <w:numId w:val="3"/>
        </w:numPr>
        <w:spacing w:line="360" w:lineRule="auto"/>
        <w:jc w:val="both"/>
        <w:rPr>
          <w:rFonts w:ascii="Arial" w:hAnsi="Arial" w:cs="Arial"/>
        </w:rPr>
      </w:pPr>
      <w:r w:rsidRPr="00005668">
        <w:rPr>
          <w:rFonts w:ascii="Arial" w:hAnsi="Arial" w:cs="Arial"/>
        </w:rPr>
        <w:t>Combination B + (A or C) is impossible</w:t>
      </w:r>
    </w:p>
    <w:p w14:paraId="5BDEA08C" w14:textId="77777777" w:rsidR="00306449" w:rsidRPr="00005668" w:rsidRDefault="00306449" w:rsidP="00005668">
      <w:pPr>
        <w:spacing w:line="360" w:lineRule="auto"/>
        <w:jc w:val="both"/>
        <w:rPr>
          <w:rFonts w:ascii="Arial" w:hAnsi="Arial" w:cs="Arial"/>
        </w:rPr>
      </w:pPr>
      <w:r w:rsidRPr="00933EE0">
        <w:rPr>
          <w:rFonts w:ascii="Arial" w:hAnsi="Arial" w:cs="Arial"/>
        </w:rPr>
        <w:lastRenderedPageBreak/>
        <w:t>Thus, only one project can be selected.</w:t>
      </w:r>
      <w:r w:rsidR="00C74E38">
        <w:rPr>
          <w:rFonts w:ascii="Arial" w:hAnsi="Arial" w:cs="Arial"/>
        </w:rPr>
        <w:t xml:space="preserve"> </w:t>
      </w:r>
      <w:r w:rsidRPr="00005668">
        <w:rPr>
          <w:rFonts w:ascii="Arial" w:hAnsi="Arial" w:cs="Arial"/>
        </w:rPr>
        <w:t xml:space="preserve">Under capital rationing, the decision must </w:t>
      </w:r>
      <w:r w:rsidR="00933EE0" w:rsidRPr="00005668">
        <w:rPr>
          <w:rFonts w:ascii="Arial" w:hAnsi="Arial" w:cs="Arial"/>
        </w:rPr>
        <w:t>maximize</w:t>
      </w:r>
      <w:r w:rsidRPr="00005668">
        <w:rPr>
          <w:rFonts w:ascii="Arial" w:hAnsi="Arial" w:cs="Arial"/>
        </w:rPr>
        <w:t xml:space="preserve"> value per unit of capital while meeting risk and liquidity considerations.</w:t>
      </w:r>
    </w:p>
    <w:p w14:paraId="06C207BC" w14:textId="77777777" w:rsidR="00306449" w:rsidRDefault="00306449" w:rsidP="00005668">
      <w:pPr>
        <w:spacing w:line="360" w:lineRule="auto"/>
        <w:jc w:val="both"/>
        <w:rPr>
          <w:rFonts w:ascii="Arial" w:hAnsi="Arial" w:cs="Arial"/>
          <w:b/>
          <w:bCs/>
        </w:rPr>
      </w:pPr>
      <w:r w:rsidRPr="00005668">
        <w:rPr>
          <w:rFonts w:ascii="Arial" w:hAnsi="Arial" w:cs="Arial"/>
          <w:b/>
          <w:bCs/>
        </w:rPr>
        <w:t>Comparison of Key Metrics</w:t>
      </w:r>
    </w:p>
    <w:p w14:paraId="5CAF67D9" w14:textId="77777777" w:rsidR="005D75B3" w:rsidRPr="005D75B3" w:rsidRDefault="005D75B3" w:rsidP="005D75B3">
      <w:pPr>
        <w:spacing w:line="360" w:lineRule="auto"/>
        <w:jc w:val="center"/>
        <w:rPr>
          <w:rFonts w:ascii="Arial" w:hAnsi="Arial" w:cs="Arial"/>
          <w:b/>
          <w:bCs/>
          <w:i/>
          <w:iCs/>
        </w:rPr>
      </w:pPr>
      <w:r w:rsidRPr="005D75B3">
        <w:rPr>
          <w:rFonts w:ascii="Arial" w:hAnsi="Arial" w:cs="Arial"/>
          <w:b/>
          <w:bCs/>
          <w:i/>
          <w:iCs/>
        </w:rPr>
        <w:t>Table 8: Comparison Table</w:t>
      </w:r>
    </w:p>
    <w:tbl>
      <w:tblPr>
        <w:tblStyle w:val="TableGrid"/>
        <w:tblW w:w="0" w:type="auto"/>
        <w:tblLook w:val="04A0" w:firstRow="1" w:lastRow="0" w:firstColumn="1" w:lastColumn="0" w:noHBand="0" w:noVBand="1"/>
      </w:tblPr>
      <w:tblGrid>
        <w:gridCol w:w="2337"/>
        <w:gridCol w:w="2337"/>
        <w:gridCol w:w="2338"/>
        <w:gridCol w:w="2338"/>
      </w:tblGrid>
      <w:tr w:rsidR="00933EE0" w:rsidRPr="00933EE0" w14:paraId="4F2B04F5" w14:textId="77777777">
        <w:tc>
          <w:tcPr>
            <w:tcW w:w="2337" w:type="dxa"/>
          </w:tcPr>
          <w:p w14:paraId="502FE4A5" w14:textId="77777777" w:rsidR="00933EE0" w:rsidRPr="00933EE0" w:rsidRDefault="00933EE0" w:rsidP="00E858DA">
            <w:pPr>
              <w:spacing w:line="360" w:lineRule="auto"/>
              <w:jc w:val="both"/>
              <w:rPr>
                <w:rFonts w:ascii="Arial" w:hAnsi="Arial" w:cs="Arial"/>
                <w:b/>
                <w:bCs/>
              </w:rPr>
            </w:pPr>
            <w:r w:rsidRPr="00933EE0">
              <w:rPr>
                <w:rFonts w:ascii="Arial" w:hAnsi="Arial" w:cs="Arial"/>
                <w:b/>
                <w:bCs/>
              </w:rPr>
              <w:t>Metric</w:t>
            </w:r>
          </w:p>
        </w:tc>
        <w:tc>
          <w:tcPr>
            <w:tcW w:w="2337" w:type="dxa"/>
          </w:tcPr>
          <w:p w14:paraId="58636E99" w14:textId="77777777" w:rsidR="00933EE0" w:rsidRPr="00933EE0" w:rsidRDefault="00933EE0" w:rsidP="00E858DA">
            <w:pPr>
              <w:spacing w:line="360" w:lineRule="auto"/>
              <w:jc w:val="both"/>
              <w:rPr>
                <w:rFonts w:ascii="Arial" w:hAnsi="Arial" w:cs="Arial"/>
                <w:b/>
                <w:bCs/>
              </w:rPr>
            </w:pPr>
            <w:r w:rsidRPr="00933EE0">
              <w:rPr>
                <w:rFonts w:ascii="Arial" w:hAnsi="Arial" w:cs="Arial"/>
                <w:b/>
                <w:bCs/>
              </w:rPr>
              <w:t>Project A</w:t>
            </w:r>
          </w:p>
        </w:tc>
        <w:tc>
          <w:tcPr>
            <w:tcW w:w="2338" w:type="dxa"/>
          </w:tcPr>
          <w:p w14:paraId="7996C98E" w14:textId="77777777" w:rsidR="00933EE0" w:rsidRPr="00933EE0" w:rsidRDefault="00933EE0" w:rsidP="00E858DA">
            <w:pPr>
              <w:spacing w:line="360" w:lineRule="auto"/>
              <w:jc w:val="both"/>
              <w:rPr>
                <w:rFonts w:ascii="Arial" w:hAnsi="Arial" w:cs="Arial"/>
                <w:b/>
                <w:bCs/>
              </w:rPr>
            </w:pPr>
            <w:r w:rsidRPr="00933EE0">
              <w:rPr>
                <w:rFonts w:ascii="Arial" w:hAnsi="Arial" w:cs="Arial"/>
                <w:b/>
                <w:bCs/>
              </w:rPr>
              <w:t>Project B</w:t>
            </w:r>
          </w:p>
        </w:tc>
        <w:tc>
          <w:tcPr>
            <w:tcW w:w="2338" w:type="dxa"/>
          </w:tcPr>
          <w:p w14:paraId="28BF54F5" w14:textId="77777777" w:rsidR="00933EE0" w:rsidRPr="00933EE0" w:rsidRDefault="00933EE0" w:rsidP="00E858DA">
            <w:pPr>
              <w:spacing w:line="360" w:lineRule="auto"/>
              <w:jc w:val="both"/>
              <w:rPr>
                <w:rFonts w:ascii="Arial" w:hAnsi="Arial" w:cs="Arial"/>
                <w:b/>
                <w:bCs/>
              </w:rPr>
            </w:pPr>
            <w:r w:rsidRPr="00933EE0">
              <w:rPr>
                <w:rFonts w:ascii="Arial" w:hAnsi="Arial" w:cs="Arial"/>
                <w:b/>
                <w:bCs/>
              </w:rPr>
              <w:t>Project C</w:t>
            </w:r>
          </w:p>
        </w:tc>
      </w:tr>
      <w:tr w:rsidR="00933EE0" w:rsidRPr="00933EE0" w14:paraId="59AD78CF" w14:textId="77777777">
        <w:tc>
          <w:tcPr>
            <w:tcW w:w="2337" w:type="dxa"/>
          </w:tcPr>
          <w:p w14:paraId="406A0F8F" w14:textId="77777777" w:rsidR="00933EE0" w:rsidRPr="000A23F6" w:rsidRDefault="00933EE0" w:rsidP="00E858DA">
            <w:pPr>
              <w:spacing w:line="360" w:lineRule="auto"/>
              <w:jc w:val="both"/>
              <w:rPr>
                <w:rFonts w:ascii="Arial" w:hAnsi="Arial" w:cs="Arial"/>
              </w:rPr>
            </w:pPr>
            <w:r w:rsidRPr="000A23F6">
              <w:rPr>
                <w:rFonts w:ascii="Arial" w:hAnsi="Arial" w:cs="Arial"/>
              </w:rPr>
              <w:t>Investment</w:t>
            </w:r>
          </w:p>
        </w:tc>
        <w:tc>
          <w:tcPr>
            <w:tcW w:w="2337" w:type="dxa"/>
          </w:tcPr>
          <w:p w14:paraId="3FE3B1A6" w14:textId="77777777" w:rsidR="00933EE0" w:rsidRPr="000A23F6" w:rsidRDefault="00933EE0" w:rsidP="00E858DA">
            <w:pPr>
              <w:spacing w:line="360" w:lineRule="auto"/>
              <w:jc w:val="both"/>
              <w:rPr>
                <w:rFonts w:ascii="Arial" w:hAnsi="Arial" w:cs="Arial"/>
              </w:rPr>
            </w:pPr>
            <w:r w:rsidRPr="000A23F6">
              <w:rPr>
                <w:rFonts w:ascii="Arial" w:hAnsi="Arial" w:cs="Arial"/>
              </w:rPr>
              <w:t>£40m</w:t>
            </w:r>
          </w:p>
        </w:tc>
        <w:tc>
          <w:tcPr>
            <w:tcW w:w="2338" w:type="dxa"/>
          </w:tcPr>
          <w:p w14:paraId="1D22F8D6" w14:textId="77777777" w:rsidR="00933EE0" w:rsidRPr="000A23F6" w:rsidRDefault="00933EE0" w:rsidP="00E858DA">
            <w:pPr>
              <w:spacing w:line="360" w:lineRule="auto"/>
              <w:jc w:val="both"/>
              <w:rPr>
                <w:rFonts w:ascii="Arial" w:hAnsi="Arial" w:cs="Arial"/>
              </w:rPr>
            </w:pPr>
            <w:r w:rsidRPr="000A23F6">
              <w:rPr>
                <w:rFonts w:ascii="Arial" w:hAnsi="Arial" w:cs="Arial"/>
              </w:rPr>
              <w:t>£30m</w:t>
            </w:r>
          </w:p>
        </w:tc>
        <w:tc>
          <w:tcPr>
            <w:tcW w:w="2338" w:type="dxa"/>
          </w:tcPr>
          <w:p w14:paraId="61B0E0D0" w14:textId="77777777" w:rsidR="00933EE0" w:rsidRPr="000A23F6" w:rsidRDefault="00933EE0" w:rsidP="00E858DA">
            <w:pPr>
              <w:spacing w:line="360" w:lineRule="auto"/>
              <w:jc w:val="both"/>
              <w:rPr>
                <w:rFonts w:ascii="Arial" w:hAnsi="Arial" w:cs="Arial"/>
              </w:rPr>
            </w:pPr>
            <w:r w:rsidRPr="000A23F6">
              <w:rPr>
                <w:rFonts w:ascii="Arial" w:hAnsi="Arial" w:cs="Arial"/>
              </w:rPr>
              <w:t>£50m</w:t>
            </w:r>
          </w:p>
        </w:tc>
      </w:tr>
      <w:tr w:rsidR="00933EE0" w:rsidRPr="00933EE0" w14:paraId="0BD50A01" w14:textId="77777777">
        <w:tc>
          <w:tcPr>
            <w:tcW w:w="2337" w:type="dxa"/>
          </w:tcPr>
          <w:p w14:paraId="6F007098" w14:textId="77777777" w:rsidR="00933EE0" w:rsidRPr="000A23F6" w:rsidRDefault="00933EE0" w:rsidP="00E858DA">
            <w:pPr>
              <w:spacing w:line="360" w:lineRule="auto"/>
              <w:jc w:val="both"/>
              <w:rPr>
                <w:rFonts w:ascii="Arial" w:hAnsi="Arial" w:cs="Arial"/>
              </w:rPr>
            </w:pPr>
            <w:r w:rsidRPr="000A23F6">
              <w:rPr>
                <w:rFonts w:ascii="Arial" w:hAnsi="Arial" w:cs="Arial"/>
              </w:rPr>
              <w:t>NPV</w:t>
            </w:r>
          </w:p>
        </w:tc>
        <w:tc>
          <w:tcPr>
            <w:tcW w:w="2337" w:type="dxa"/>
          </w:tcPr>
          <w:p w14:paraId="7EEC576C" w14:textId="77777777" w:rsidR="00933EE0" w:rsidRPr="000A23F6" w:rsidRDefault="00933EE0" w:rsidP="00E858DA">
            <w:pPr>
              <w:spacing w:line="360" w:lineRule="auto"/>
              <w:jc w:val="both"/>
              <w:rPr>
                <w:rFonts w:ascii="Arial" w:hAnsi="Arial" w:cs="Arial"/>
              </w:rPr>
            </w:pPr>
            <w:r w:rsidRPr="000A23F6">
              <w:rPr>
                <w:rFonts w:ascii="Arial" w:hAnsi="Arial" w:cs="Arial"/>
              </w:rPr>
              <w:t>£1.32m</w:t>
            </w:r>
          </w:p>
        </w:tc>
        <w:tc>
          <w:tcPr>
            <w:tcW w:w="2338" w:type="dxa"/>
          </w:tcPr>
          <w:p w14:paraId="4BE2D321" w14:textId="77777777" w:rsidR="00933EE0" w:rsidRPr="000A23F6" w:rsidRDefault="00933EE0" w:rsidP="00E858DA">
            <w:pPr>
              <w:spacing w:line="360" w:lineRule="auto"/>
              <w:jc w:val="both"/>
              <w:rPr>
                <w:rFonts w:ascii="Arial" w:hAnsi="Arial" w:cs="Arial"/>
              </w:rPr>
            </w:pPr>
            <w:r w:rsidRPr="000A23F6">
              <w:rPr>
                <w:rFonts w:ascii="Arial" w:hAnsi="Arial" w:cs="Arial"/>
              </w:rPr>
              <w:t>–£7.26m</w:t>
            </w:r>
          </w:p>
        </w:tc>
        <w:tc>
          <w:tcPr>
            <w:tcW w:w="2338" w:type="dxa"/>
          </w:tcPr>
          <w:p w14:paraId="57CA6D6E" w14:textId="77777777" w:rsidR="00933EE0" w:rsidRPr="000A23F6" w:rsidRDefault="00933EE0" w:rsidP="00E858DA">
            <w:pPr>
              <w:spacing w:line="360" w:lineRule="auto"/>
              <w:jc w:val="both"/>
              <w:rPr>
                <w:rFonts w:ascii="Arial" w:hAnsi="Arial" w:cs="Arial"/>
              </w:rPr>
            </w:pPr>
            <w:r w:rsidRPr="000A23F6">
              <w:rPr>
                <w:rFonts w:ascii="Arial" w:hAnsi="Arial" w:cs="Arial"/>
              </w:rPr>
              <w:t>£3.84m</w:t>
            </w:r>
          </w:p>
        </w:tc>
      </w:tr>
      <w:tr w:rsidR="00933EE0" w:rsidRPr="00933EE0" w14:paraId="363273D4" w14:textId="77777777">
        <w:tc>
          <w:tcPr>
            <w:tcW w:w="2337" w:type="dxa"/>
          </w:tcPr>
          <w:p w14:paraId="06ED7134" w14:textId="77777777" w:rsidR="00933EE0" w:rsidRPr="000A23F6" w:rsidRDefault="00933EE0" w:rsidP="00E858DA">
            <w:pPr>
              <w:spacing w:line="360" w:lineRule="auto"/>
              <w:jc w:val="both"/>
              <w:rPr>
                <w:rFonts w:ascii="Arial" w:hAnsi="Arial" w:cs="Arial"/>
              </w:rPr>
            </w:pPr>
            <w:r w:rsidRPr="000A23F6">
              <w:rPr>
                <w:rFonts w:ascii="Arial" w:hAnsi="Arial" w:cs="Arial"/>
              </w:rPr>
              <w:t>PI</w:t>
            </w:r>
          </w:p>
        </w:tc>
        <w:tc>
          <w:tcPr>
            <w:tcW w:w="2337" w:type="dxa"/>
          </w:tcPr>
          <w:p w14:paraId="5E1C8B24" w14:textId="77777777" w:rsidR="00933EE0" w:rsidRPr="000A23F6" w:rsidRDefault="00933EE0" w:rsidP="00E858DA">
            <w:pPr>
              <w:spacing w:line="360" w:lineRule="auto"/>
              <w:jc w:val="both"/>
              <w:rPr>
                <w:rFonts w:ascii="Arial" w:hAnsi="Arial" w:cs="Arial"/>
              </w:rPr>
            </w:pPr>
            <w:r w:rsidRPr="000A23F6">
              <w:rPr>
                <w:rFonts w:ascii="Arial" w:hAnsi="Arial" w:cs="Arial"/>
              </w:rPr>
              <w:t>1.033</w:t>
            </w:r>
          </w:p>
        </w:tc>
        <w:tc>
          <w:tcPr>
            <w:tcW w:w="2338" w:type="dxa"/>
          </w:tcPr>
          <w:p w14:paraId="0812C736" w14:textId="77777777" w:rsidR="00933EE0" w:rsidRPr="000A23F6" w:rsidRDefault="00933EE0" w:rsidP="00E858DA">
            <w:pPr>
              <w:spacing w:line="360" w:lineRule="auto"/>
              <w:jc w:val="both"/>
              <w:rPr>
                <w:rFonts w:ascii="Arial" w:hAnsi="Arial" w:cs="Arial"/>
              </w:rPr>
            </w:pPr>
            <w:r w:rsidRPr="000A23F6">
              <w:rPr>
                <w:rFonts w:ascii="Arial" w:hAnsi="Arial" w:cs="Arial"/>
              </w:rPr>
              <w:t>0.758</w:t>
            </w:r>
          </w:p>
        </w:tc>
        <w:tc>
          <w:tcPr>
            <w:tcW w:w="2338" w:type="dxa"/>
          </w:tcPr>
          <w:p w14:paraId="53712201" w14:textId="77777777" w:rsidR="00933EE0" w:rsidRPr="000A23F6" w:rsidRDefault="00933EE0" w:rsidP="00E858DA">
            <w:pPr>
              <w:spacing w:line="360" w:lineRule="auto"/>
              <w:jc w:val="both"/>
              <w:rPr>
                <w:rFonts w:ascii="Arial" w:hAnsi="Arial" w:cs="Arial"/>
              </w:rPr>
            </w:pPr>
            <w:r w:rsidRPr="000A23F6">
              <w:rPr>
                <w:rFonts w:ascii="Arial" w:hAnsi="Arial" w:cs="Arial"/>
              </w:rPr>
              <w:t>1.084</w:t>
            </w:r>
          </w:p>
        </w:tc>
      </w:tr>
      <w:tr w:rsidR="00933EE0" w:rsidRPr="00933EE0" w14:paraId="402D0939" w14:textId="77777777">
        <w:tc>
          <w:tcPr>
            <w:tcW w:w="2337" w:type="dxa"/>
          </w:tcPr>
          <w:p w14:paraId="48926255" w14:textId="77777777" w:rsidR="00933EE0" w:rsidRPr="000A23F6" w:rsidRDefault="00933EE0" w:rsidP="00E858DA">
            <w:pPr>
              <w:spacing w:line="360" w:lineRule="auto"/>
              <w:jc w:val="both"/>
              <w:rPr>
                <w:rFonts w:ascii="Arial" w:hAnsi="Arial" w:cs="Arial"/>
              </w:rPr>
            </w:pPr>
            <w:r w:rsidRPr="000A23F6">
              <w:rPr>
                <w:rFonts w:ascii="Arial" w:hAnsi="Arial" w:cs="Arial"/>
              </w:rPr>
              <w:t>IRR</w:t>
            </w:r>
          </w:p>
        </w:tc>
        <w:tc>
          <w:tcPr>
            <w:tcW w:w="2337" w:type="dxa"/>
          </w:tcPr>
          <w:p w14:paraId="32D33A4F" w14:textId="77777777" w:rsidR="00933EE0" w:rsidRPr="000A23F6" w:rsidRDefault="00933EE0" w:rsidP="00E858DA">
            <w:pPr>
              <w:spacing w:line="360" w:lineRule="auto"/>
              <w:jc w:val="both"/>
              <w:rPr>
                <w:rFonts w:ascii="Arial" w:hAnsi="Arial" w:cs="Arial"/>
              </w:rPr>
            </w:pPr>
            <w:r w:rsidRPr="000A23F6">
              <w:rPr>
                <w:rFonts w:ascii="Arial" w:hAnsi="Arial" w:cs="Arial"/>
              </w:rPr>
              <w:t>11.3%</w:t>
            </w:r>
          </w:p>
        </w:tc>
        <w:tc>
          <w:tcPr>
            <w:tcW w:w="2338" w:type="dxa"/>
          </w:tcPr>
          <w:p w14:paraId="6C70C3F6" w14:textId="77777777" w:rsidR="00933EE0" w:rsidRPr="000A23F6" w:rsidRDefault="00933EE0" w:rsidP="00E858DA">
            <w:pPr>
              <w:spacing w:line="360" w:lineRule="auto"/>
              <w:jc w:val="both"/>
              <w:rPr>
                <w:rFonts w:ascii="Arial" w:hAnsi="Arial" w:cs="Arial"/>
              </w:rPr>
            </w:pPr>
            <w:r w:rsidRPr="000A23F6">
              <w:rPr>
                <w:rFonts w:ascii="Arial" w:hAnsi="Arial" w:cs="Arial"/>
              </w:rPr>
              <w:t>0%</w:t>
            </w:r>
          </w:p>
        </w:tc>
        <w:tc>
          <w:tcPr>
            <w:tcW w:w="2338" w:type="dxa"/>
          </w:tcPr>
          <w:p w14:paraId="3D1A9759" w14:textId="77777777" w:rsidR="00933EE0" w:rsidRPr="000A23F6" w:rsidRDefault="00933EE0" w:rsidP="00E858DA">
            <w:pPr>
              <w:spacing w:line="360" w:lineRule="auto"/>
              <w:jc w:val="both"/>
              <w:rPr>
                <w:rFonts w:ascii="Arial" w:hAnsi="Arial" w:cs="Arial"/>
              </w:rPr>
            </w:pPr>
            <w:r w:rsidRPr="000A23F6">
              <w:rPr>
                <w:rFonts w:ascii="Arial" w:hAnsi="Arial" w:cs="Arial"/>
              </w:rPr>
              <w:t>12.7%</w:t>
            </w:r>
          </w:p>
        </w:tc>
      </w:tr>
      <w:tr w:rsidR="00933EE0" w:rsidRPr="00933EE0" w14:paraId="44CE90EA" w14:textId="77777777">
        <w:tc>
          <w:tcPr>
            <w:tcW w:w="2337" w:type="dxa"/>
          </w:tcPr>
          <w:p w14:paraId="1AC7AC05" w14:textId="77777777" w:rsidR="00933EE0" w:rsidRPr="000A23F6" w:rsidRDefault="00933EE0" w:rsidP="00E858DA">
            <w:pPr>
              <w:spacing w:line="360" w:lineRule="auto"/>
              <w:jc w:val="both"/>
              <w:rPr>
                <w:rFonts w:ascii="Arial" w:hAnsi="Arial" w:cs="Arial"/>
              </w:rPr>
            </w:pPr>
            <w:r w:rsidRPr="000A23F6">
              <w:rPr>
                <w:rFonts w:ascii="Arial" w:hAnsi="Arial" w:cs="Arial"/>
              </w:rPr>
              <w:t>ARR</w:t>
            </w:r>
          </w:p>
        </w:tc>
        <w:tc>
          <w:tcPr>
            <w:tcW w:w="2337" w:type="dxa"/>
          </w:tcPr>
          <w:p w14:paraId="791F0D43" w14:textId="77777777" w:rsidR="00933EE0" w:rsidRPr="000A23F6" w:rsidRDefault="00933EE0" w:rsidP="00E858DA">
            <w:pPr>
              <w:spacing w:line="360" w:lineRule="auto"/>
              <w:jc w:val="both"/>
              <w:rPr>
                <w:rFonts w:ascii="Arial" w:hAnsi="Arial" w:cs="Arial"/>
              </w:rPr>
            </w:pPr>
            <w:r w:rsidRPr="000A23F6">
              <w:rPr>
                <w:rFonts w:ascii="Arial" w:hAnsi="Arial" w:cs="Arial"/>
              </w:rPr>
              <w:t>14%</w:t>
            </w:r>
          </w:p>
        </w:tc>
        <w:tc>
          <w:tcPr>
            <w:tcW w:w="2338" w:type="dxa"/>
          </w:tcPr>
          <w:p w14:paraId="374CAE30" w14:textId="77777777" w:rsidR="00933EE0" w:rsidRPr="000A23F6" w:rsidRDefault="00933EE0" w:rsidP="00E858DA">
            <w:pPr>
              <w:spacing w:line="360" w:lineRule="auto"/>
              <w:jc w:val="both"/>
              <w:rPr>
                <w:rFonts w:ascii="Arial" w:hAnsi="Arial" w:cs="Arial"/>
              </w:rPr>
            </w:pPr>
            <w:r w:rsidRPr="000A23F6">
              <w:rPr>
                <w:rFonts w:ascii="Arial" w:hAnsi="Arial" w:cs="Arial"/>
              </w:rPr>
              <w:t>0%</w:t>
            </w:r>
          </w:p>
        </w:tc>
        <w:tc>
          <w:tcPr>
            <w:tcW w:w="2338" w:type="dxa"/>
          </w:tcPr>
          <w:p w14:paraId="13C3422E" w14:textId="77777777" w:rsidR="00933EE0" w:rsidRPr="000A23F6" w:rsidRDefault="00933EE0" w:rsidP="00E858DA">
            <w:pPr>
              <w:spacing w:line="360" w:lineRule="auto"/>
              <w:jc w:val="both"/>
              <w:rPr>
                <w:rFonts w:ascii="Arial" w:hAnsi="Arial" w:cs="Arial"/>
              </w:rPr>
            </w:pPr>
            <w:r w:rsidRPr="000A23F6">
              <w:rPr>
                <w:rFonts w:ascii="Arial" w:hAnsi="Arial" w:cs="Arial"/>
              </w:rPr>
              <w:t>20%</w:t>
            </w:r>
          </w:p>
        </w:tc>
      </w:tr>
      <w:tr w:rsidR="00933EE0" w:rsidRPr="00933EE0" w14:paraId="01CA1A09" w14:textId="77777777">
        <w:tc>
          <w:tcPr>
            <w:tcW w:w="2337" w:type="dxa"/>
          </w:tcPr>
          <w:p w14:paraId="439A2F4F" w14:textId="77777777" w:rsidR="00933EE0" w:rsidRPr="000A23F6" w:rsidRDefault="00933EE0" w:rsidP="00E858DA">
            <w:pPr>
              <w:spacing w:line="360" w:lineRule="auto"/>
              <w:jc w:val="both"/>
              <w:rPr>
                <w:rFonts w:ascii="Arial" w:hAnsi="Arial" w:cs="Arial"/>
              </w:rPr>
            </w:pPr>
            <w:r w:rsidRPr="000A23F6">
              <w:rPr>
                <w:rFonts w:ascii="Arial" w:hAnsi="Arial" w:cs="Arial"/>
              </w:rPr>
              <w:t>Payback</w:t>
            </w:r>
          </w:p>
        </w:tc>
        <w:tc>
          <w:tcPr>
            <w:tcW w:w="2337" w:type="dxa"/>
          </w:tcPr>
          <w:p w14:paraId="0D15BC6C" w14:textId="77777777" w:rsidR="00933EE0" w:rsidRPr="000A23F6" w:rsidRDefault="00933EE0" w:rsidP="00E858DA">
            <w:pPr>
              <w:spacing w:line="360" w:lineRule="auto"/>
              <w:jc w:val="both"/>
              <w:rPr>
                <w:rFonts w:ascii="Arial" w:hAnsi="Arial" w:cs="Arial"/>
              </w:rPr>
            </w:pPr>
            <w:r w:rsidRPr="000A23F6">
              <w:rPr>
                <w:rFonts w:ascii="Arial" w:hAnsi="Arial" w:cs="Arial"/>
              </w:rPr>
              <w:t>3.4 yrs</w:t>
            </w:r>
          </w:p>
        </w:tc>
        <w:tc>
          <w:tcPr>
            <w:tcW w:w="2338" w:type="dxa"/>
          </w:tcPr>
          <w:p w14:paraId="15EA4318" w14:textId="77777777" w:rsidR="00933EE0" w:rsidRPr="000A23F6" w:rsidRDefault="00933EE0" w:rsidP="00E858DA">
            <w:pPr>
              <w:spacing w:line="360" w:lineRule="auto"/>
              <w:jc w:val="both"/>
              <w:rPr>
                <w:rFonts w:ascii="Arial" w:hAnsi="Arial" w:cs="Arial"/>
              </w:rPr>
            </w:pPr>
            <w:r w:rsidRPr="000A23F6">
              <w:rPr>
                <w:rFonts w:ascii="Arial" w:hAnsi="Arial" w:cs="Arial"/>
              </w:rPr>
              <w:t>5 yrs</w:t>
            </w:r>
          </w:p>
        </w:tc>
        <w:tc>
          <w:tcPr>
            <w:tcW w:w="2338" w:type="dxa"/>
          </w:tcPr>
          <w:p w14:paraId="571CAA9C" w14:textId="77777777" w:rsidR="00933EE0" w:rsidRPr="000A23F6" w:rsidRDefault="00933EE0" w:rsidP="00E858DA">
            <w:pPr>
              <w:spacing w:line="360" w:lineRule="auto"/>
              <w:jc w:val="both"/>
              <w:rPr>
                <w:rFonts w:ascii="Arial" w:hAnsi="Arial" w:cs="Arial"/>
              </w:rPr>
            </w:pPr>
            <w:r w:rsidRPr="000A23F6">
              <w:rPr>
                <w:rFonts w:ascii="Arial" w:hAnsi="Arial" w:cs="Arial"/>
              </w:rPr>
              <w:t>3.6 yrs</w:t>
            </w:r>
          </w:p>
        </w:tc>
      </w:tr>
      <w:tr w:rsidR="00933EE0" w:rsidRPr="00933EE0" w14:paraId="6AA8E3DA" w14:textId="77777777">
        <w:tc>
          <w:tcPr>
            <w:tcW w:w="2337" w:type="dxa"/>
          </w:tcPr>
          <w:p w14:paraId="41558C4F" w14:textId="77777777" w:rsidR="00933EE0" w:rsidRPr="000A23F6" w:rsidRDefault="00933EE0" w:rsidP="00E858DA">
            <w:pPr>
              <w:spacing w:line="360" w:lineRule="auto"/>
              <w:jc w:val="both"/>
              <w:rPr>
                <w:rFonts w:ascii="Arial" w:hAnsi="Arial" w:cs="Arial"/>
              </w:rPr>
            </w:pPr>
            <w:r w:rsidRPr="000A23F6">
              <w:rPr>
                <w:rFonts w:ascii="Arial" w:hAnsi="Arial" w:cs="Arial"/>
              </w:rPr>
              <w:t>Risk</w:t>
            </w:r>
          </w:p>
        </w:tc>
        <w:tc>
          <w:tcPr>
            <w:tcW w:w="2337" w:type="dxa"/>
          </w:tcPr>
          <w:p w14:paraId="09F47FA8" w14:textId="77777777" w:rsidR="00933EE0" w:rsidRPr="000A23F6" w:rsidRDefault="00933EE0" w:rsidP="00E858DA">
            <w:pPr>
              <w:spacing w:line="360" w:lineRule="auto"/>
              <w:jc w:val="both"/>
              <w:rPr>
                <w:rFonts w:ascii="Arial" w:hAnsi="Arial" w:cs="Arial"/>
              </w:rPr>
            </w:pPr>
            <w:r w:rsidRPr="000A23F6">
              <w:rPr>
                <w:rFonts w:ascii="Arial" w:hAnsi="Arial" w:cs="Arial"/>
              </w:rPr>
              <w:t>Low</w:t>
            </w:r>
          </w:p>
        </w:tc>
        <w:tc>
          <w:tcPr>
            <w:tcW w:w="2338" w:type="dxa"/>
          </w:tcPr>
          <w:p w14:paraId="03D2090E" w14:textId="77777777" w:rsidR="00933EE0" w:rsidRPr="000A23F6" w:rsidRDefault="00933EE0" w:rsidP="00E858DA">
            <w:pPr>
              <w:spacing w:line="360" w:lineRule="auto"/>
              <w:jc w:val="both"/>
              <w:rPr>
                <w:rFonts w:ascii="Arial" w:hAnsi="Arial" w:cs="Arial"/>
              </w:rPr>
            </w:pPr>
            <w:r w:rsidRPr="000A23F6">
              <w:rPr>
                <w:rFonts w:ascii="Arial" w:hAnsi="Arial" w:cs="Arial"/>
              </w:rPr>
              <w:t>None but low return</w:t>
            </w:r>
          </w:p>
        </w:tc>
        <w:tc>
          <w:tcPr>
            <w:tcW w:w="2338" w:type="dxa"/>
          </w:tcPr>
          <w:p w14:paraId="2BB21A54" w14:textId="77777777" w:rsidR="00933EE0" w:rsidRPr="000A23F6" w:rsidRDefault="00933EE0" w:rsidP="00E858DA">
            <w:pPr>
              <w:spacing w:line="360" w:lineRule="auto"/>
              <w:jc w:val="both"/>
              <w:rPr>
                <w:rFonts w:ascii="Arial" w:hAnsi="Arial" w:cs="Arial"/>
              </w:rPr>
            </w:pPr>
            <w:r w:rsidRPr="000A23F6">
              <w:rPr>
                <w:rFonts w:ascii="Arial" w:hAnsi="Arial" w:cs="Arial"/>
              </w:rPr>
              <w:t>Moderate</w:t>
            </w:r>
          </w:p>
        </w:tc>
      </w:tr>
    </w:tbl>
    <w:p w14:paraId="6C3A0C24" w14:textId="77777777" w:rsidR="00306449" w:rsidRPr="00005668" w:rsidRDefault="00306449" w:rsidP="00005668">
      <w:pPr>
        <w:spacing w:line="360" w:lineRule="auto"/>
        <w:jc w:val="both"/>
        <w:rPr>
          <w:rFonts w:ascii="Arial" w:hAnsi="Arial" w:cs="Arial"/>
        </w:rPr>
      </w:pPr>
      <w:r w:rsidRPr="00005668">
        <w:rPr>
          <w:rFonts w:ascii="Arial" w:hAnsi="Arial" w:cs="Arial"/>
        </w:rPr>
        <w:t>Project C offers the highest value across almost every metric.</w:t>
      </w:r>
    </w:p>
    <w:p w14:paraId="09F0BB24" w14:textId="77777777" w:rsidR="00306449" w:rsidRPr="00933EE0" w:rsidRDefault="00306449" w:rsidP="00933EE0">
      <w:pPr>
        <w:pStyle w:val="Heading2"/>
        <w:rPr>
          <w:rFonts w:ascii="Arial" w:hAnsi="Arial" w:cs="Arial"/>
          <w:b/>
          <w:bCs/>
          <w:color w:val="000000" w:themeColor="text1"/>
          <w:sz w:val="28"/>
          <w:szCs w:val="28"/>
        </w:rPr>
      </w:pPr>
      <w:bookmarkStart w:id="15" w:name="_Toc214577543"/>
      <w:r w:rsidRPr="00933EE0">
        <w:rPr>
          <w:rFonts w:ascii="Arial" w:hAnsi="Arial" w:cs="Arial"/>
          <w:b/>
          <w:bCs/>
          <w:color w:val="000000" w:themeColor="text1"/>
          <w:sz w:val="28"/>
          <w:szCs w:val="28"/>
        </w:rPr>
        <w:t>Justification Based on Company Financial Performance and Project Risk Characteristics</w:t>
      </w:r>
      <w:bookmarkEnd w:id="15"/>
    </w:p>
    <w:p w14:paraId="73480381" w14:textId="77777777" w:rsidR="0029427C" w:rsidRPr="0029427C" w:rsidRDefault="0029427C" w:rsidP="0029427C">
      <w:pPr>
        <w:spacing w:line="360" w:lineRule="auto"/>
        <w:jc w:val="both"/>
        <w:rPr>
          <w:rFonts w:ascii="Arial" w:hAnsi="Arial" w:cs="Arial"/>
        </w:rPr>
      </w:pPr>
      <w:r w:rsidRPr="0029427C">
        <w:rPr>
          <w:rFonts w:ascii="Arial" w:hAnsi="Arial" w:cs="Arial"/>
        </w:rPr>
        <w:t>Selection of Project C is highly justifiable given the company's declining profitability, increasing leverage, increasing liquidity pressure, and overall unstable financial situation. The company has decreased earnings, increasing liabilities, and an increasing cash conversion cycle over the last five years. Therefore, the company is in need of a project that will help to improve long term performance and value, and Project C fits this requirement better than both projects A and B.</w:t>
      </w:r>
    </w:p>
    <w:p w14:paraId="2CBB6B3E" w14:textId="77777777" w:rsidR="0029427C" w:rsidRPr="0029427C" w:rsidRDefault="0029427C" w:rsidP="0029427C">
      <w:pPr>
        <w:spacing w:line="360" w:lineRule="auto"/>
        <w:jc w:val="both"/>
        <w:rPr>
          <w:rFonts w:ascii="Arial" w:hAnsi="Arial" w:cs="Arial"/>
          <w:b/>
          <w:bCs/>
        </w:rPr>
      </w:pPr>
      <w:r w:rsidRPr="0029427C">
        <w:rPr>
          <w:rFonts w:ascii="Arial" w:hAnsi="Arial" w:cs="Arial"/>
          <w:b/>
          <w:bCs/>
        </w:rPr>
        <w:t>1. Profitability Considerations</w:t>
      </w:r>
    </w:p>
    <w:p w14:paraId="2D0DFB46" w14:textId="77777777" w:rsidR="0029427C" w:rsidRPr="0029427C" w:rsidRDefault="0029427C" w:rsidP="0029427C">
      <w:pPr>
        <w:spacing w:line="360" w:lineRule="auto"/>
        <w:jc w:val="both"/>
        <w:rPr>
          <w:rFonts w:ascii="Arial" w:hAnsi="Arial" w:cs="Arial"/>
        </w:rPr>
      </w:pPr>
      <w:r w:rsidRPr="0029427C">
        <w:rPr>
          <w:rFonts w:ascii="Arial" w:hAnsi="Arial" w:cs="Arial"/>
        </w:rPr>
        <w:t xml:space="preserve">Profitability has been decreasing over time as evidenced by the decrease in net income and operating profit. The decline in the Altman Z-Score </w:t>
      </w:r>
      <w:r>
        <w:rPr>
          <w:rFonts w:ascii="Arial" w:hAnsi="Arial" w:cs="Arial"/>
        </w:rPr>
        <w:t>dropping</w:t>
      </w:r>
      <w:r w:rsidRPr="0029427C">
        <w:rPr>
          <w:rFonts w:ascii="Arial" w:hAnsi="Arial" w:cs="Arial"/>
        </w:rPr>
        <w:t xml:space="preserve"> to 3.38 in 2023 because of a negative EBIT/TA ratio and an increase in debt demonstrates a significant increase in financial risk for the company. As a result, the company is in need of a project that will help to rebuild its earnings base.</w:t>
      </w:r>
    </w:p>
    <w:p w14:paraId="0C6D666D" w14:textId="77777777" w:rsidR="0029427C" w:rsidRPr="0029427C" w:rsidRDefault="0029427C" w:rsidP="0029427C">
      <w:pPr>
        <w:spacing w:line="360" w:lineRule="auto"/>
        <w:jc w:val="both"/>
        <w:rPr>
          <w:rFonts w:ascii="Arial" w:hAnsi="Arial" w:cs="Arial"/>
        </w:rPr>
      </w:pPr>
      <w:r w:rsidRPr="0029427C">
        <w:rPr>
          <w:rFonts w:ascii="Arial" w:hAnsi="Arial" w:cs="Arial"/>
        </w:rPr>
        <w:lastRenderedPageBreak/>
        <w:t>Project C offers the highest level of profitability among the three options with the following characteristics:</w:t>
      </w:r>
    </w:p>
    <w:p w14:paraId="5BFF2DB3" w14:textId="77777777" w:rsidR="0029427C" w:rsidRPr="0029427C" w:rsidRDefault="0029427C" w:rsidP="0029427C">
      <w:pPr>
        <w:spacing w:line="360" w:lineRule="auto"/>
        <w:jc w:val="both"/>
        <w:rPr>
          <w:rFonts w:ascii="Arial" w:hAnsi="Arial" w:cs="Arial"/>
        </w:rPr>
      </w:pPr>
      <w:r w:rsidRPr="0029427C">
        <w:rPr>
          <w:rFonts w:ascii="Arial" w:hAnsi="Arial" w:cs="Arial"/>
        </w:rPr>
        <w:t>• The highest Annual Return Ratio (ARR): 20%</w:t>
      </w:r>
    </w:p>
    <w:p w14:paraId="67891E84" w14:textId="77777777" w:rsidR="0029427C" w:rsidRPr="0029427C" w:rsidRDefault="0029427C" w:rsidP="0029427C">
      <w:pPr>
        <w:spacing w:line="360" w:lineRule="auto"/>
        <w:jc w:val="both"/>
        <w:rPr>
          <w:rFonts w:ascii="Arial" w:hAnsi="Arial" w:cs="Arial"/>
        </w:rPr>
      </w:pPr>
      <w:r w:rsidRPr="0029427C">
        <w:rPr>
          <w:rFonts w:ascii="Arial" w:hAnsi="Arial" w:cs="Arial"/>
        </w:rPr>
        <w:t>• The highest Internal Rate of Return (IRR): 12.7%, which exceeds the company's 10% Cost of Capital</w:t>
      </w:r>
    </w:p>
    <w:p w14:paraId="12649CC6" w14:textId="77777777" w:rsidR="0029427C" w:rsidRPr="0029427C" w:rsidRDefault="0029427C" w:rsidP="0029427C">
      <w:pPr>
        <w:spacing w:line="360" w:lineRule="auto"/>
        <w:jc w:val="both"/>
        <w:rPr>
          <w:rFonts w:ascii="Arial" w:hAnsi="Arial" w:cs="Arial"/>
        </w:rPr>
      </w:pPr>
      <w:r w:rsidRPr="0029427C">
        <w:rPr>
          <w:rFonts w:ascii="Arial" w:hAnsi="Arial" w:cs="Arial"/>
        </w:rPr>
        <w:t>• The largest Total Net Income: £25 million over five years</w:t>
      </w:r>
    </w:p>
    <w:p w14:paraId="38DF2435" w14:textId="77777777" w:rsidR="0029427C" w:rsidRPr="0029427C" w:rsidRDefault="0029427C" w:rsidP="0029427C">
      <w:pPr>
        <w:spacing w:line="360" w:lineRule="auto"/>
        <w:jc w:val="both"/>
        <w:rPr>
          <w:rFonts w:ascii="Arial" w:hAnsi="Arial" w:cs="Arial"/>
        </w:rPr>
      </w:pPr>
      <w:r w:rsidRPr="0029427C">
        <w:rPr>
          <w:rFonts w:ascii="Arial" w:hAnsi="Arial" w:cs="Arial"/>
        </w:rPr>
        <w:t>• Significant increases in inflows of money, with inflows of £5 million growing to £25 million</w:t>
      </w:r>
    </w:p>
    <w:p w14:paraId="637CDBA5" w14:textId="77777777" w:rsidR="0029427C" w:rsidRPr="0029427C" w:rsidRDefault="0029427C" w:rsidP="0029427C">
      <w:pPr>
        <w:spacing w:line="360" w:lineRule="auto"/>
        <w:jc w:val="both"/>
        <w:rPr>
          <w:rFonts w:ascii="Arial" w:hAnsi="Arial" w:cs="Arial"/>
        </w:rPr>
      </w:pPr>
      <w:r w:rsidRPr="0029427C">
        <w:rPr>
          <w:rFonts w:ascii="Arial" w:hAnsi="Arial" w:cs="Arial"/>
        </w:rPr>
        <w:t>This will offer the company a significant positive impact to its earnings power, which has been significantly impacted in recent times. Project A provides a moderate level of profitability compared to Project C with the following characteristics:</w:t>
      </w:r>
    </w:p>
    <w:p w14:paraId="48033357" w14:textId="77777777" w:rsidR="0029427C" w:rsidRPr="0029427C" w:rsidRDefault="0029427C" w:rsidP="0029427C">
      <w:pPr>
        <w:spacing w:line="360" w:lineRule="auto"/>
        <w:jc w:val="both"/>
        <w:rPr>
          <w:rFonts w:ascii="Arial" w:hAnsi="Arial" w:cs="Arial"/>
        </w:rPr>
      </w:pPr>
      <w:r w:rsidRPr="0029427C">
        <w:rPr>
          <w:rFonts w:ascii="Arial" w:hAnsi="Arial" w:cs="Arial"/>
        </w:rPr>
        <w:t>• Moderate ARR: 14%</w:t>
      </w:r>
    </w:p>
    <w:p w14:paraId="3DD567BF" w14:textId="77777777" w:rsidR="0029427C" w:rsidRPr="0029427C" w:rsidRDefault="0029427C" w:rsidP="0029427C">
      <w:pPr>
        <w:spacing w:line="360" w:lineRule="auto"/>
        <w:jc w:val="both"/>
        <w:rPr>
          <w:rFonts w:ascii="Arial" w:hAnsi="Arial" w:cs="Arial"/>
        </w:rPr>
      </w:pPr>
      <w:r w:rsidRPr="0029427C">
        <w:rPr>
          <w:rFonts w:ascii="Arial" w:hAnsi="Arial" w:cs="Arial"/>
        </w:rPr>
        <w:t>• Moderate IRR: 11.3%</w:t>
      </w:r>
    </w:p>
    <w:p w14:paraId="3EF9EDBE" w14:textId="77777777" w:rsidR="0029427C" w:rsidRPr="0029427C" w:rsidRDefault="0029427C" w:rsidP="0029427C">
      <w:pPr>
        <w:spacing w:line="360" w:lineRule="auto"/>
        <w:jc w:val="both"/>
        <w:rPr>
          <w:rFonts w:ascii="Arial" w:hAnsi="Arial" w:cs="Arial"/>
        </w:rPr>
      </w:pPr>
      <w:r w:rsidRPr="0029427C">
        <w:rPr>
          <w:rFonts w:ascii="Arial" w:hAnsi="Arial" w:cs="Arial"/>
        </w:rPr>
        <w:t>• Moderate Total Net Income: £14 million over five years</w:t>
      </w:r>
    </w:p>
    <w:p w14:paraId="15226652" w14:textId="77777777" w:rsidR="0029427C" w:rsidRPr="0029427C" w:rsidRDefault="0029427C" w:rsidP="0029427C">
      <w:pPr>
        <w:spacing w:line="360" w:lineRule="auto"/>
        <w:jc w:val="both"/>
        <w:rPr>
          <w:rFonts w:ascii="Arial" w:hAnsi="Arial" w:cs="Arial"/>
        </w:rPr>
      </w:pPr>
      <w:r w:rsidRPr="0029427C">
        <w:rPr>
          <w:rFonts w:ascii="Arial" w:hAnsi="Arial" w:cs="Arial"/>
        </w:rPr>
        <w:t>Project B does not generate accounting profits and has a negative Net Present Value (NPV) and therefore would be a negative contributor to the company's continuing decline in its income structure. As such, Project C is the best option to restore profitability and create shareholder value.</w:t>
      </w:r>
    </w:p>
    <w:p w14:paraId="63BC1886" w14:textId="77777777" w:rsidR="0029427C" w:rsidRPr="0029427C" w:rsidRDefault="0029427C" w:rsidP="0029427C">
      <w:pPr>
        <w:spacing w:line="360" w:lineRule="auto"/>
        <w:jc w:val="both"/>
        <w:rPr>
          <w:rFonts w:ascii="Arial" w:hAnsi="Arial" w:cs="Arial"/>
          <w:b/>
          <w:bCs/>
        </w:rPr>
      </w:pPr>
      <w:r w:rsidRPr="0029427C">
        <w:rPr>
          <w:rFonts w:ascii="Arial" w:hAnsi="Arial" w:cs="Arial"/>
          <w:b/>
          <w:bCs/>
        </w:rPr>
        <w:t>2. Liquidity and Working Capital Pressure</w:t>
      </w:r>
    </w:p>
    <w:p w14:paraId="4205CA7C" w14:textId="77777777" w:rsidR="0029427C" w:rsidRPr="0029427C" w:rsidRDefault="0029427C" w:rsidP="0029427C">
      <w:pPr>
        <w:spacing w:line="360" w:lineRule="auto"/>
        <w:jc w:val="both"/>
        <w:rPr>
          <w:rFonts w:ascii="Arial" w:hAnsi="Arial" w:cs="Arial"/>
        </w:rPr>
      </w:pPr>
      <w:r w:rsidRPr="0029427C">
        <w:rPr>
          <w:rFonts w:ascii="Arial" w:hAnsi="Arial" w:cs="Arial"/>
        </w:rPr>
        <w:t>The company's liquidity position has also declined due to an increasing cash conversion cycle, which was 107 days in previous years but now is 139 days. This is caused by longer periods of receiving payment from customers and longer periods of holding inventory, resulting in the company having large amounts of capital tied up. In this environment, the company needs a project that will enhance its ability to generate cash flow rather than further exacerbate liquidity issues.</w:t>
      </w:r>
    </w:p>
    <w:p w14:paraId="7335CFE9" w14:textId="77777777" w:rsidR="0029427C" w:rsidRPr="0029427C" w:rsidRDefault="0029427C" w:rsidP="0029427C">
      <w:pPr>
        <w:spacing w:line="360" w:lineRule="auto"/>
        <w:jc w:val="both"/>
        <w:rPr>
          <w:rFonts w:ascii="Arial" w:hAnsi="Arial" w:cs="Arial"/>
        </w:rPr>
      </w:pPr>
      <w:r w:rsidRPr="0029427C">
        <w:rPr>
          <w:rFonts w:ascii="Arial" w:hAnsi="Arial" w:cs="Arial"/>
        </w:rPr>
        <w:t xml:space="preserve">While Project C will require a £50 million investment, it will produce high and increasing levels of cash inflows from Year 2 onwards, with a 3.6-year payback period, only marginally longer than Project A (3.4 years). Project A will produce less long-term returns </w:t>
      </w:r>
      <w:r w:rsidRPr="0029427C">
        <w:rPr>
          <w:rFonts w:ascii="Arial" w:hAnsi="Arial" w:cs="Arial"/>
        </w:rPr>
        <w:lastRenderedPageBreak/>
        <w:t>and therefore is unlikely to provide much assistance in helping to recover the company's liquidity position. Project B, with very weak annual inflows and a 5-year payback, would likely cause further liquidity problems for the company. Therefore, Project C is the best combination of investment size and cash recovery.</w:t>
      </w:r>
    </w:p>
    <w:p w14:paraId="727607D1" w14:textId="77777777" w:rsidR="0029427C" w:rsidRPr="0029427C" w:rsidRDefault="0029427C" w:rsidP="0029427C">
      <w:pPr>
        <w:spacing w:line="360" w:lineRule="auto"/>
        <w:jc w:val="both"/>
        <w:rPr>
          <w:rFonts w:ascii="Arial" w:hAnsi="Arial" w:cs="Arial"/>
          <w:b/>
          <w:bCs/>
        </w:rPr>
      </w:pPr>
      <w:r w:rsidRPr="0029427C">
        <w:rPr>
          <w:rFonts w:ascii="Arial" w:hAnsi="Arial" w:cs="Arial"/>
          <w:b/>
          <w:bCs/>
        </w:rPr>
        <w:t>3. Financial Stability and Default Risk</w:t>
      </w:r>
    </w:p>
    <w:p w14:paraId="3516C59A" w14:textId="77777777" w:rsidR="0029427C" w:rsidRPr="0029427C" w:rsidRDefault="0029427C" w:rsidP="0029427C">
      <w:pPr>
        <w:spacing w:line="360" w:lineRule="auto"/>
        <w:jc w:val="both"/>
        <w:rPr>
          <w:rFonts w:ascii="Arial" w:hAnsi="Arial" w:cs="Arial"/>
        </w:rPr>
      </w:pPr>
      <w:r w:rsidRPr="0029427C">
        <w:rPr>
          <w:rFonts w:ascii="Arial" w:hAnsi="Arial" w:cs="Arial"/>
        </w:rPr>
        <w:t>As the company's solvency indicators have been weakening, the company will need to select a project that will improve the value of its assets and increase the company's long term financial resilience. Project C will achieve this through:</w:t>
      </w:r>
    </w:p>
    <w:p w14:paraId="45A77558" w14:textId="77777777" w:rsidR="0029427C" w:rsidRPr="0029427C" w:rsidRDefault="0029427C" w:rsidP="0029427C">
      <w:pPr>
        <w:spacing w:line="360" w:lineRule="auto"/>
        <w:jc w:val="both"/>
        <w:rPr>
          <w:rFonts w:ascii="Arial" w:hAnsi="Arial" w:cs="Arial"/>
        </w:rPr>
      </w:pPr>
      <w:r w:rsidRPr="0029427C">
        <w:rPr>
          <w:rFonts w:ascii="Arial" w:hAnsi="Arial" w:cs="Arial"/>
        </w:rPr>
        <w:t>• Highest NPV: £3.84 million</w:t>
      </w:r>
    </w:p>
    <w:p w14:paraId="444D86FD" w14:textId="77777777" w:rsidR="0029427C" w:rsidRPr="0029427C" w:rsidRDefault="0029427C" w:rsidP="0029427C">
      <w:pPr>
        <w:spacing w:line="360" w:lineRule="auto"/>
        <w:jc w:val="both"/>
        <w:rPr>
          <w:rFonts w:ascii="Arial" w:hAnsi="Arial" w:cs="Arial"/>
        </w:rPr>
      </w:pPr>
      <w:r w:rsidRPr="0029427C">
        <w:rPr>
          <w:rFonts w:ascii="Arial" w:hAnsi="Arial" w:cs="Arial"/>
        </w:rPr>
        <w:t>• Highest Price-to-Book (PI): 1.084</w:t>
      </w:r>
    </w:p>
    <w:p w14:paraId="6D405F77" w14:textId="77777777" w:rsidR="0029427C" w:rsidRPr="0029427C" w:rsidRDefault="0029427C" w:rsidP="0029427C">
      <w:pPr>
        <w:spacing w:line="360" w:lineRule="auto"/>
        <w:jc w:val="both"/>
        <w:rPr>
          <w:rFonts w:ascii="Arial" w:hAnsi="Arial" w:cs="Arial"/>
        </w:rPr>
      </w:pPr>
      <w:r w:rsidRPr="0029427C">
        <w:rPr>
          <w:rFonts w:ascii="Arial" w:hAnsi="Arial" w:cs="Arial"/>
        </w:rPr>
        <w:t>• Greatest contribution to retained earnings</w:t>
      </w:r>
    </w:p>
    <w:p w14:paraId="599B43FA" w14:textId="77777777" w:rsidR="0029427C" w:rsidRPr="0029427C" w:rsidRDefault="0029427C" w:rsidP="0029427C">
      <w:pPr>
        <w:spacing w:line="360" w:lineRule="auto"/>
        <w:jc w:val="both"/>
        <w:rPr>
          <w:rFonts w:ascii="Arial" w:hAnsi="Arial" w:cs="Arial"/>
        </w:rPr>
      </w:pPr>
      <w:r w:rsidRPr="0029427C">
        <w:rPr>
          <w:rFonts w:ascii="Arial" w:hAnsi="Arial" w:cs="Arial"/>
        </w:rPr>
        <w:t>• High Asset Productivity</w:t>
      </w:r>
    </w:p>
    <w:p w14:paraId="348BAF74" w14:textId="77777777" w:rsidR="0029427C" w:rsidRPr="0029427C" w:rsidRDefault="0029427C" w:rsidP="0029427C">
      <w:pPr>
        <w:spacing w:line="360" w:lineRule="auto"/>
        <w:jc w:val="both"/>
        <w:rPr>
          <w:rFonts w:ascii="Arial" w:hAnsi="Arial" w:cs="Arial"/>
        </w:rPr>
      </w:pPr>
      <w:r w:rsidRPr="0029427C">
        <w:rPr>
          <w:rFonts w:ascii="Arial" w:hAnsi="Arial" w:cs="Arial"/>
        </w:rPr>
        <w:t>Project A will only modestly improve solvency, and Project B will decrease the company's solvency due to its negative NPV. Therefore, Project C is the only project that will meet the company's long term stability needs.</w:t>
      </w:r>
    </w:p>
    <w:p w14:paraId="6DD6C29D" w14:textId="77777777" w:rsidR="0029427C" w:rsidRPr="0029427C" w:rsidRDefault="0029427C" w:rsidP="0029427C">
      <w:pPr>
        <w:spacing w:line="360" w:lineRule="auto"/>
        <w:jc w:val="both"/>
        <w:rPr>
          <w:rFonts w:ascii="Arial" w:hAnsi="Arial" w:cs="Arial"/>
          <w:b/>
          <w:bCs/>
        </w:rPr>
      </w:pPr>
      <w:r w:rsidRPr="0029427C">
        <w:rPr>
          <w:rFonts w:ascii="Arial" w:hAnsi="Arial" w:cs="Arial"/>
          <w:b/>
          <w:bCs/>
        </w:rPr>
        <w:t>4. Cash Flow Risk and Volatility</w:t>
      </w:r>
    </w:p>
    <w:p w14:paraId="62F4FA31" w14:textId="77777777" w:rsidR="0029427C" w:rsidRPr="0029427C" w:rsidRDefault="0029427C" w:rsidP="0029427C">
      <w:pPr>
        <w:spacing w:line="360" w:lineRule="auto"/>
        <w:jc w:val="both"/>
        <w:rPr>
          <w:rFonts w:ascii="Arial" w:hAnsi="Arial" w:cs="Arial"/>
        </w:rPr>
      </w:pPr>
      <w:r w:rsidRPr="0029427C">
        <w:rPr>
          <w:rFonts w:ascii="Arial" w:hAnsi="Arial" w:cs="Arial"/>
        </w:rPr>
        <w:t>Cash flow risk and volatility is relatively low for Project C, as the majority of the inflows are generated by growth rather than volatility. Additionally, the greater IRR, ARR and NPV provided by Project C make it attractive to take on this type of risk. Early inflows will also assist the company in managing its short-term liquidity position. Project A will provide lower returns than Project C, while Project B will destroy value regardless of its low volatility. Therefore, Project C provides the best possible risk-return trade off.</w:t>
      </w:r>
    </w:p>
    <w:p w14:paraId="6B2F1F10" w14:textId="77777777" w:rsidR="0029427C" w:rsidRPr="0029427C" w:rsidRDefault="0029427C" w:rsidP="0029427C">
      <w:pPr>
        <w:spacing w:line="360" w:lineRule="auto"/>
        <w:jc w:val="both"/>
        <w:rPr>
          <w:rFonts w:ascii="Arial" w:hAnsi="Arial" w:cs="Arial"/>
          <w:b/>
          <w:bCs/>
        </w:rPr>
      </w:pPr>
      <w:r w:rsidRPr="0029427C">
        <w:rPr>
          <w:rFonts w:ascii="Arial" w:hAnsi="Arial" w:cs="Arial"/>
          <w:b/>
          <w:bCs/>
        </w:rPr>
        <w:t>Capital Rationing and Strategic Fit</w:t>
      </w:r>
    </w:p>
    <w:p w14:paraId="09C78CEC" w14:textId="77777777" w:rsidR="0029427C" w:rsidRPr="0029427C" w:rsidRDefault="0029427C" w:rsidP="0029427C">
      <w:pPr>
        <w:spacing w:line="360" w:lineRule="auto"/>
        <w:jc w:val="both"/>
        <w:rPr>
          <w:rFonts w:ascii="Arial" w:hAnsi="Arial" w:cs="Arial"/>
        </w:rPr>
      </w:pPr>
      <w:r w:rsidRPr="0029427C">
        <w:rPr>
          <w:rFonts w:ascii="Arial" w:hAnsi="Arial" w:cs="Arial"/>
        </w:rPr>
        <w:t>Due to the £60 million budget limitation, the company must choose only one of the projects. Project C</w:t>
      </w:r>
      <w:r>
        <w:rPr>
          <w:rFonts w:ascii="Arial" w:hAnsi="Arial" w:cs="Arial"/>
        </w:rPr>
        <w:t xml:space="preserve">, </w:t>
      </w:r>
      <w:r w:rsidRPr="0029427C">
        <w:rPr>
          <w:rFonts w:ascii="Arial" w:hAnsi="Arial" w:cs="Arial"/>
        </w:rPr>
        <w:t xml:space="preserve">costing £50 </w:t>
      </w:r>
      <w:r w:rsidR="00C74E38" w:rsidRPr="0029427C">
        <w:rPr>
          <w:rFonts w:ascii="Arial" w:hAnsi="Arial" w:cs="Arial"/>
        </w:rPr>
        <w:t>million fits</w:t>
      </w:r>
      <w:r w:rsidRPr="0029427C">
        <w:rPr>
          <w:rFonts w:ascii="Arial" w:hAnsi="Arial" w:cs="Arial"/>
        </w:rPr>
        <w:t xml:space="preserve"> well within the budget limits and produces the greatest total financial benefit. As such, Project C will help the company to strengthen its </w:t>
      </w:r>
      <w:r w:rsidRPr="0029427C">
        <w:rPr>
          <w:rFonts w:ascii="Arial" w:hAnsi="Arial" w:cs="Arial"/>
        </w:rPr>
        <w:lastRenderedPageBreak/>
        <w:t>profitability, liquidity and solvency at the same time, and thus is the best single investment opportunity to aid in the company's long-term recovery and sustainable value creation.</w:t>
      </w:r>
    </w:p>
    <w:p w14:paraId="4775E09F" w14:textId="77777777" w:rsidR="00AF5C32" w:rsidRPr="00933EE0" w:rsidRDefault="00AF5C32" w:rsidP="00933EE0">
      <w:pPr>
        <w:pStyle w:val="Heading1"/>
        <w:rPr>
          <w:rFonts w:ascii="Arial" w:hAnsi="Arial" w:cs="Arial"/>
          <w:b/>
          <w:bCs/>
        </w:rPr>
      </w:pPr>
      <w:bookmarkStart w:id="16" w:name="_Toc214577544"/>
      <w:r w:rsidRPr="00933EE0">
        <w:rPr>
          <w:rFonts w:ascii="Arial" w:hAnsi="Arial" w:cs="Arial"/>
          <w:b/>
          <w:bCs/>
          <w:color w:val="000000" w:themeColor="text1"/>
          <w:sz w:val="32"/>
          <w:szCs w:val="32"/>
        </w:rPr>
        <w:t>Conclusion</w:t>
      </w:r>
      <w:bookmarkEnd w:id="16"/>
      <w:r w:rsidRPr="00933EE0">
        <w:rPr>
          <w:rFonts w:ascii="Arial" w:hAnsi="Arial" w:cs="Arial"/>
          <w:b/>
          <w:bCs/>
          <w:color w:val="000000" w:themeColor="text1"/>
          <w:sz w:val="32"/>
          <w:szCs w:val="32"/>
        </w:rPr>
        <w:t xml:space="preserve"> </w:t>
      </w:r>
    </w:p>
    <w:p w14:paraId="10371805" w14:textId="77777777" w:rsidR="002B3DDE" w:rsidRDefault="002B3DDE" w:rsidP="00CE1DAE">
      <w:pPr>
        <w:spacing w:line="360" w:lineRule="auto"/>
        <w:jc w:val="both"/>
        <w:rPr>
          <w:rFonts w:ascii="Arial" w:hAnsi="Arial" w:cs="Arial"/>
        </w:rPr>
      </w:pPr>
      <w:r w:rsidRPr="002B3DDE">
        <w:rPr>
          <w:rFonts w:ascii="Arial" w:hAnsi="Arial" w:cs="Arial"/>
        </w:rPr>
        <w:t>This study reveals that overall, the Company is relatively financially stable; however, it has increasing financial risk from a perspective of profitability, liquidity and solvency. The fluctuations in the Altman Z-Score illustrate that an increase in net income and improved leverage (i.e., debt/equity ratio) are required to stabilize the financial condition of the Company. Furthermore, inefficient management of working capital significantly constrains the Company's liquidity position. Strategic alternatives such as equity injection, divestitures and selective merger transactions can improve the capital structure of the Company. The results of the investment appraisal indicate that Project A and C represent the most attractive options available within the £60 million funding constraint.</w:t>
      </w:r>
    </w:p>
    <w:p w14:paraId="2CA12CA4" w14:textId="77777777" w:rsidR="00CE1DAE" w:rsidRDefault="00933EE0" w:rsidP="00CE1DAE">
      <w:pPr>
        <w:rPr>
          <w:rFonts w:ascii="Arial" w:hAnsi="Arial" w:cs="Arial"/>
          <w:b/>
          <w:bCs/>
          <w:color w:val="000000" w:themeColor="text1"/>
          <w:sz w:val="32"/>
          <w:szCs w:val="32"/>
        </w:rPr>
      </w:pPr>
      <w:r>
        <w:rPr>
          <w:rFonts w:ascii="Arial" w:hAnsi="Arial" w:cs="Arial"/>
        </w:rPr>
        <w:br w:type="page"/>
      </w:r>
      <w:r w:rsidRPr="00933EE0">
        <w:rPr>
          <w:rFonts w:ascii="Arial" w:hAnsi="Arial" w:cs="Arial"/>
          <w:b/>
          <w:bCs/>
          <w:color w:val="000000" w:themeColor="text1"/>
          <w:sz w:val="32"/>
          <w:szCs w:val="32"/>
        </w:rPr>
        <w:lastRenderedPageBreak/>
        <w:t>References</w:t>
      </w:r>
    </w:p>
    <w:p w14:paraId="3E3A6B97" w14:textId="77777777" w:rsidR="00CE1DAE" w:rsidRPr="00CE1DAE" w:rsidRDefault="00CE1DAE" w:rsidP="00CE1DAE">
      <w:pPr>
        <w:spacing w:after="0" w:line="480" w:lineRule="auto"/>
        <w:ind w:left="720" w:hanging="720"/>
        <w:rPr>
          <w:rFonts w:ascii="Arial" w:hAnsi="Arial" w:cs="Arial"/>
          <w:color w:val="000000" w:themeColor="text1"/>
        </w:rPr>
      </w:pPr>
      <w:r w:rsidRPr="00CE1DAE">
        <w:rPr>
          <w:rFonts w:ascii="Arial" w:hAnsi="Arial" w:cs="Arial"/>
          <w:color w:val="000000" w:themeColor="text1"/>
        </w:rPr>
        <w:t xml:space="preserve">Altman, E.I. (1968) ‘Financial Ratios, Discriminant Analysis and the Prediction of Corporate Bankruptcy’, </w:t>
      </w:r>
      <w:r w:rsidRPr="00CE1DAE">
        <w:rPr>
          <w:rFonts w:ascii="Arial" w:hAnsi="Arial" w:cs="Arial"/>
          <w:i/>
          <w:iCs/>
          <w:color w:val="000000" w:themeColor="text1"/>
        </w:rPr>
        <w:t>Journal of Finance</w:t>
      </w:r>
      <w:r w:rsidRPr="00CE1DAE">
        <w:rPr>
          <w:rFonts w:ascii="Arial" w:hAnsi="Arial" w:cs="Arial"/>
          <w:color w:val="000000" w:themeColor="text1"/>
        </w:rPr>
        <w:t xml:space="preserve">, 23(4), pp. 589–609. Available at: </w:t>
      </w:r>
      <w:hyperlink r:id="rId9" w:tgtFrame="_new" w:history="1">
        <w:r w:rsidRPr="00CE1DAE">
          <w:rPr>
            <w:rStyle w:val="Hyperlink"/>
            <w:rFonts w:ascii="Arial" w:hAnsi="Arial" w:cs="Arial"/>
          </w:rPr>
          <w:t>https://www.jstor.org/stable/2978933</w:t>
        </w:r>
      </w:hyperlink>
      <w:r w:rsidRPr="00CE1DAE">
        <w:rPr>
          <w:rFonts w:ascii="Arial" w:hAnsi="Arial" w:cs="Arial"/>
          <w:color w:val="000000" w:themeColor="text1"/>
        </w:rPr>
        <w:t xml:space="preserve"> (Accessed: [add date]).</w:t>
      </w:r>
    </w:p>
    <w:p w14:paraId="623E5BCA" w14:textId="77777777" w:rsidR="00CE1DAE" w:rsidRPr="00CE1DAE" w:rsidRDefault="00CE1DAE" w:rsidP="00CE1DAE">
      <w:pPr>
        <w:spacing w:after="0" w:line="480" w:lineRule="auto"/>
        <w:ind w:left="720" w:hanging="720"/>
        <w:rPr>
          <w:rFonts w:ascii="Arial" w:hAnsi="Arial" w:cs="Arial"/>
          <w:color w:val="000000" w:themeColor="text1"/>
        </w:rPr>
      </w:pPr>
      <w:r w:rsidRPr="00CE1DAE">
        <w:rPr>
          <w:rFonts w:ascii="Arial" w:hAnsi="Arial" w:cs="Arial"/>
          <w:color w:val="000000" w:themeColor="text1"/>
        </w:rPr>
        <w:t xml:space="preserve">Arnold, G. (2022) </w:t>
      </w:r>
      <w:r w:rsidRPr="00CE1DAE">
        <w:rPr>
          <w:rFonts w:ascii="Arial" w:hAnsi="Arial" w:cs="Arial"/>
          <w:i/>
          <w:iCs/>
          <w:color w:val="000000" w:themeColor="text1"/>
        </w:rPr>
        <w:t>Corporate Financial Management</w:t>
      </w:r>
      <w:r w:rsidRPr="00CE1DAE">
        <w:rPr>
          <w:rFonts w:ascii="Arial" w:hAnsi="Arial" w:cs="Arial"/>
          <w:color w:val="000000" w:themeColor="text1"/>
        </w:rPr>
        <w:t>. 7th edn. Harlow: Pearson.</w:t>
      </w:r>
    </w:p>
    <w:p w14:paraId="0D544FB8" w14:textId="77777777" w:rsidR="00CE1DAE" w:rsidRPr="00CE1DAE" w:rsidRDefault="00CE1DAE" w:rsidP="00CE1DAE">
      <w:pPr>
        <w:spacing w:after="0" w:line="480" w:lineRule="auto"/>
        <w:ind w:left="720" w:hanging="720"/>
        <w:rPr>
          <w:rFonts w:ascii="Arial" w:hAnsi="Arial" w:cs="Arial"/>
          <w:color w:val="000000" w:themeColor="text1"/>
        </w:rPr>
      </w:pPr>
      <w:r w:rsidRPr="00CE1DAE">
        <w:rPr>
          <w:rFonts w:ascii="Arial" w:hAnsi="Arial" w:cs="Arial"/>
          <w:color w:val="000000" w:themeColor="text1"/>
        </w:rPr>
        <w:t xml:space="preserve">Atrill, P. and McLaney, E. (2020) </w:t>
      </w:r>
      <w:r w:rsidRPr="00CE1DAE">
        <w:rPr>
          <w:rFonts w:ascii="Arial" w:hAnsi="Arial" w:cs="Arial"/>
          <w:i/>
          <w:iCs/>
          <w:color w:val="000000" w:themeColor="text1"/>
        </w:rPr>
        <w:t>Accounting and Finance: An Introduction</w:t>
      </w:r>
      <w:r w:rsidRPr="00CE1DAE">
        <w:rPr>
          <w:rFonts w:ascii="Arial" w:hAnsi="Arial" w:cs="Arial"/>
          <w:color w:val="000000" w:themeColor="text1"/>
        </w:rPr>
        <w:t>. 10th edn. Harlow: Pearson.</w:t>
      </w:r>
    </w:p>
    <w:p w14:paraId="7682F891" w14:textId="77777777" w:rsidR="00CE1DAE" w:rsidRPr="00CE1DAE" w:rsidRDefault="00CE1DAE" w:rsidP="00CE1DAE">
      <w:pPr>
        <w:spacing w:after="0" w:line="480" w:lineRule="auto"/>
        <w:ind w:left="720" w:hanging="720"/>
        <w:rPr>
          <w:rFonts w:ascii="Arial" w:hAnsi="Arial" w:cs="Arial"/>
          <w:color w:val="000000" w:themeColor="text1"/>
        </w:rPr>
      </w:pPr>
      <w:r w:rsidRPr="00CE1DAE">
        <w:rPr>
          <w:rFonts w:ascii="Arial" w:hAnsi="Arial" w:cs="Arial"/>
          <w:color w:val="000000" w:themeColor="text1"/>
        </w:rPr>
        <w:t xml:space="preserve">Brealey, R.A., Myers, S.C. and Allen, F. (2020) </w:t>
      </w:r>
      <w:r w:rsidRPr="00CE1DAE">
        <w:rPr>
          <w:rFonts w:ascii="Arial" w:hAnsi="Arial" w:cs="Arial"/>
          <w:i/>
          <w:iCs/>
          <w:color w:val="000000" w:themeColor="text1"/>
        </w:rPr>
        <w:t>Principles of Corporate Finance</w:t>
      </w:r>
      <w:r w:rsidRPr="00CE1DAE">
        <w:rPr>
          <w:rFonts w:ascii="Arial" w:hAnsi="Arial" w:cs="Arial"/>
          <w:color w:val="000000" w:themeColor="text1"/>
        </w:rPr>
        <w:t>. 13th edn. New York: McGraw-Hill.</w:t>
      </w:r>
    </w:p>
    <w:p w14:paraId="1986D1C2" w14:textId="77777777" w:rsidR="00CE1DAE" w:rsidRPr="00CE1DAE" w:rsidRDefault="00CE1DAE" w:rsidP="00CE1DAE">
      <w:pPr>
        <w:spacing w:after="0" w:line="480" w:lineRule="auto"/>
        <w:ind w:left="720" w:hanging="720"/>
        <w:rPr>
          <w:rFonts w:ascii="Arial" w:hAnsi="Arial" w:cs="Arial"/>
          <w:color w:val="000000" w:themeColor="text1"/>
        </w:rPr>
      </w:pPr>
      <w:r w:rsidRPr="00CE1DAE">
        <w:rPr>
          <w:rFonts w:ascii="Arial" w:hAnsi="Arial" w:cs="Arial"/>
          <w:color w:val="000000" w:themeColor="text1"/>
        </w:rPr>
        <w:t xml:space="preserve">Brigham, E.F. and Ehrhardt, M.C. (2021) </w:t>
      </w:r>
      <w:r w:rsidRPr="00CE1DAE">
        <w:rPr>
          <w:rFonts w:ascii="Arial" w:hAnsi="Arial" w:cs="Arial"/>
          <w:i/>
          <w:iCs/>
          <w:color w:val="000000" w:themeColor="text1"/>
        </w:rPr>
        <w:t>Financial Management: Theory and Practice</w:t>
      </w:r>
      <w:r w:rsidRPr="00CE1DAE">
        <w:rPr>
          <w:rFonts w:ascii="Arial" w:hAnsi="Arial" w:cs="Arial"/>
          <w:color w:val="000000" w:themeColor="text1"/>
        </w:rPr>
        <w:t>. 16th edn. Boston: Cengage Learning.</w:t>
      </w:r>
    </w:p>
    <w:p w14:paraId="6429B559" w14:textId="77777777" w:rsidR="00CE1DAE" w:rsidRPr="00CE1DAE" w:rsidRDefault="00CE1DAE" w:rsidP="00CE1DAE">
      <w:pPr>
        <w:spacing w:after="0" w:line="480" w:lineRule="auto"/>
        <w:ind w:left="720" w:hanging="720"/>
        <w:rPr>
          <w:rFonts w:ascii="Arial" w:hAnsi="Arial" w:cs="Arial"/>
          <w:color w:val="000000" w:themeColor="text1"/>
        </w:rPr>
      </w:pPr>
      <w:r w:rsidRPr="00CE1DAE">
        <w:rPr>
          <w:rFonts w:ascii="Arial" w:hAnsi="Arial" w:cs="Arial"/>
          <w:color w:val="000000" w:themeColor="text1"/>
        </w:rPr>
        <w:t xml:space="preserve">Damodaran, A. (2015) </w:t>
      </w:r>
      <w:r w:rsidRPr="00CE1DAE">
        <w:rPr>
          <w:rFonts w:ascii="Arial" w:hAnsi="Arial" w:cs="Arial"/>
          <w:i/>
          <w:iCs/>
          <w:color w:val="000000" w:themeColor="text1"/>
        </w:rPr>
        <w:t>Applied Corporate Finance</w:t>
      </w:r>
      <w:r w:rsidRPr="00CE1DAE">
        <w:rPr>
          <w:rFonts w:ascii="Arial" w:hAnsi="Arial" w:cs="Arial"/>
          <w:color w:val="000000" w:themeColor="text1"/>
        </w:rPr>
        <w:t>. 4th edn. Hoboken: Wiley.</w:t>
      </w:r>
    </w:p>
    <w:p w14:paraId="2F1F082D" w14:textId="77777777" w:rsidR="00CE1DAE" w:rsidRPr="00CE1DAE" w:rsidRDefault="00CE1DAE" w:rsidP="00CE1DAE">
      <w:pPr>
        <w:spacing w:after="0" w:line="480" w:lineRule="auto"/>
        <w:ind w:left="720" w:hanging="720"/>
        <w:rPr>
          <w:rFonts w:ascii="Arial" w:hAnsi="Arial" w:cs="Arial"/>
          <w:color w:val="000000" w:themeColor="text1"/>
        </w:rPr>
      </w:pPr>
      <w:r w:rsidRPr="00CE1DAE">
        <w:rPr>
          <w:rFonts w:ascii="Arial" w:hAnsi="Arial" w:cs="Arial"/>
          <w:color w:val="000000" w:themeColor="text1"/>
        </w:rPr>
        <w:t xml:space="preserve">Fraser, L. and Ormiston, A. (2016) </w:t>
      </w:r>
      <w:r w:rsidRPr="00CE1DAE">
        <w:rPr>
          <w:rFonts w:ascii="Arial" w:hAnsi="Arial" w:cs="Arial"/>
          <w:i/>
          <w:iCs/>
          <w:color w:val="000000" w:themeColor="text1"/>
        </w:rPr>
        <w:t>Understanding Financial Statements</w:t>
      </w:r>
      <w:r w:rsidRPr="00CE1DAE">
        <w:rPr>
          <w:rFonts w:ascii="Arial" w:hAnsi="Arial" w:cs="Arial"/>
          <w:color w:val="000000" w:themeColor="text1"/>
        </w:rPr>
        <w:t>. 11th edn. Harlow: Pearson.</w:t>
      </w:r>
    </w:p>
    <w:p w14:paraId="54896EF4" w14:textId="77777777" w:rsidR="00CE1DAE" w:rsidRPr="00CE1DAE" w:rsidRDefault="00CE1DAE" w:rsidP="00CE1DAE">
      <w:pPr>
        <w:spacing w:after="0" w:line="480" w:lineRule="auto"/>
        <w:ind w:left="720" w:hanging="720"/>
        <w:rPr>
          <w:rFonts w:ascii="Arial" w:hAnsi="Arial" w:cs="Arial"/>
          <w:color w:val="000000" w:themeColor="text1"/>
        </w:rPr>
      </w:pPr>
      <w:r w:rsidRPr="00CE1DAE">
        <w:rPr>
          <w:rFonts w:ascii="Arial" w:hAnsi="Arial" w:cs="Arial"/>
          <w:color w:val="000000" w:themeColor="text1"/>
        </w:rPr>
        <w:t xml:space="preserve">Gitman, L.J. and Zutter, C. (2018) </w:t>
      </w:r>
      <w:r w:rsidRPr="00CE1DAE">
        <w:rPr>
          <w:rFonts w:ascii="Arial" w:hAnsi="Arial" w:cs="Arial"/>
          <w:i/>
          <w:iCs/>
          <w:color w:val="000000" w:themeColor="text1"/>
        </w:rPr>
        <w:t>Principles of Managerial Finance</w:t>
      </w:r>
      <w:r w:rsidRPr="00CE1DAE">
        <w:rPr>
          <w:rFonts w:ascii="Arial" w:hAnsi="Arial" w:cs="Arial"/>
          <w:color w:val="000000" w:themeColor="text1"/>
        </w:rPr>
        <w:t>. 15th edn. Harlow: Pearson.</w:t>
      </w:r>
    </w:p>
    <w:p w14:paraId="377260DB" w14:textId="77777777" w:rsidR="00CE1DAE" w:rsidRPr="00CE1DAE" w:rsidRDefault="00CE1DAE" w:rsidP="00CE1DAE">
      <w:pPr>
        <w:spacing w:after="0" w:line="480" w:lineRule="auto"/>
        <w:ind w:left="720" w:hanging="720"/>
        <w:rPr>
          <w:rFonts w:ascii="Arial" w:hAnsi="Arial" w:cs="Arial"/>
          <w:color w:val="000000" w:themeColor="text1"/>
        </w:rPr>
      </w:pPr>
      <w:r w:rsidRPr="00CE1DAE">
        <w:rPr>
          <w:rFonts w:ascii="Arial" w:hAnsi="Arial" w:cs="Arial"/>
          <w:color w:val="000000" w:themeColor="text1"/>
        </w:rPr>
        <w:t xml:space="preserve">Kaplan, R.S. and Norton, D.P. (1992) ‘The Balanced Scorecard—Measures that Drive Performance’, </w:t>
      </w:r>
      <w:r w:rsidRPr="00CE1DAE">
        <w:rPr>
          <w:rFonts w:ascii="Arial" w:hAnsi="Arial" w:cs="Arial"/>
          <w:i/>
          <w:iCs/>
          <w:color w:val="000000" w:themeColor="text1"/>
        </w:rPr>
        <w:t>Harvard Business Review</w:t>
      </w:r>
      <w:r w:rsidRPr="00CE1DAE">
        <w:rPr>
          <w:rFonts w:ascii="Arial" w:hAnsi="Arial" w:cs="Arial"/>
          <w:color w:val="000000" w:themeColor="text1"/>
        </w:rPr>
        <w:t>, 70(1), pp. 71–79.</w:t>
      </w:r>
    </w:p>
    <w:p w14:paraId="39FA7FB6" w14:textId="77777777" w:rsidR="00CE1DAE" w:rsidRPr="00CE1DAE" w:rsidRDefault="00CE1DAE" w:rsidP="00CE1DAE">
      <w:pPr>
        <w:spacing w:after="0" w:line="480" w:lineRule="auto"/>
        <w:ind w:left="720" w:hanging="720"/>
        <w:rPr>
          <w:rFonts w:ascii="Arial" w:hAnsi="Arial" w:cs="Arial"/>
          <w:color w:val="000000" w:themeColor="text1"/>
        </w:rPr>
      </w:pPr>
      <w:r w:rsidRPr="00CE1DAE">
        <w:rPr>
          <w:rFonts w:ascii="Arial" w:hAnsi="Arial" w:cs="Arial"/>
          <w:color w:val="000000" w:themeColor="text1"/>
        </w:rPr>
        <w:t xml:space="preserve">Lazaridis, I. and Tryfonidis, D. (2006) ‘Relationship between Working Capital Management and Profitability of Listed Companies in the Athens Stock Exchange’, </w:t>
      </w:r>
      <w:r w:rsidRPr="00CE1DAE">
        <w:rPr>
          <w:rFonts w:ascii="Arial" w:hAnsi="Arial" w:cs="Arial"/>
          <w:i/>
          <w:iCs/>
          <w:color w:val="000000" w:themeColor="text1"/>
        </w:rPr>
        <w:t>Journal of Financial Management and Analysis</w:t>
      </w:r>
      <w:r w:rsidRPr="00CE1DAE">
        <w:rPr>
          <w:rFonts w:ascii="Arial" w:hAnsi="Arial" w:cs="Arial"/>
          <w:color w:val="000000" w:themeColor="text1"/>
        </w:rPr>
        <w:t xml:space="preserve">, 19(1), pp. 26–35. Available at: </w:t>
      </w:r>
      <w:hyperlink r:id="rId10" w:tgtFrame="_new" w:history="1">
        <w:r w:rsidRPr="00CE1DAE">
          <w:rPr>
            <w:rStyle w:val="Hyperlink"/>
            <w:rFonts w:ascii="Arial" w:hAnsi="Arial" w:cs="Arial"/>
          </w:rPr>
          <w:t>https://papers.ssrn.com/sol3/papers.cfm?abstract_id=931591</w:t>
        </w:r>
      </w:hyperlink>
      <w:r w:rsidRPr="00CE1DAE">
        <w:rPr>
          <w:rFonts w:ascii="Arial" w:hAnsi="Arial" w:cs="Arial"/>
          <w:color w:val="000000" w:themeColor="text1"/>
        </w:rPr>
        <w:t xml:space="preserve"> (Accessed: [add date]).</w:t>
      </w:r>
    </w:p>
    <w:p w14:paraId="5A022DE6" w14:textId="77777777" w:rsidR="00CE1DAE" w:rsidRPr="00CE1DAE" w:rsidRDefault="00CE1DAE" w:rsidP="00CE1DAE">
      <w:pPr>
        <w:spacing w:after="0" w:line="480" w:lineRule="auto"/>
        <w:ind w:left="720" w:hanging="720"/>
        <w:rPr>
          <w:rFonts w:ascii="Arial" w:hAnsi="Arial" w:cs="Arial"/>
          <w:color w:val="000000" w:themeColor="text1"/>
        </w:rPr>
      </w:pPr>
      <w:r w:rsidRPr="00CE1DAE">
        <w:rPr>
          <w:rFonts w:ascii="Arial" w:hAnsi="Arial" w:cs="Arial"/>
          <w:color w:val="000000" w:themeColor="text1"/>
        </w:rPr>
        <w:lastRenderedPageBreak/>
        <w:t xml:space="preserve">OECD (2023) </w:t>
      </w:r>
      <w:r w:rsidRPr="00CE1DAE">
        <w:rPr>
          <w:rFonts w:ascii="Arial" w:hAnsi="Arial" w:cs="Arial"/>
          <w:i/>
          <w:iCs/>
          <w:color w:val="000000" w:themeColor="text1"/>
        </w:rPr>
        <w:t>Corporate Governance and Sustainability</w:t>
      </w:r>
      <w:r w:rsidRPr="00CE1DAE">
        <w:rPr>
          <w:rFonts w:ascii="Arial" w:hAnsi="Arial" w:cs="Arial"/>
          <w:color w:val="000000" w:themeColor="text1"/>
        </w:rPr>
        <w:t>. Paris: OECD Publishing.</w:t>
      </w:r>
    </w:p>
    <w:p w14:paraId="20A7C705" w14:textId="77777777" w:rsidR="00CE1DAE" w:rsidRPr="00CE1DAE" w:rsidRDefault="00CE1DAE" w:rsidP="00CE1DAE">
      <w:pPr>
        <w:spacing w:after="0" w:line="480" w:lineRule="auto"/>
        <w:ind w:left="720" w:hanging="720"/>
        <w:rPr>
          <w:rFonts w:ascii="Arial" w:hAnsi="Arial" w:cs="Arial"/>
          <w:color w:val="000000" w:themeColor="text1"/>
        </w:rPr>
      </w:pPr>
      <w:r w:rsidRPr="00CE1DAE">
        <w:rPr>
          <w:rFonts w:ascii="Arial" w:hAnsi="Arial" w:cs="Arial"/>
          <w:color w:val="000000" w:themeColor="text1"/>
        </w:rPr>
        <w:t xml:space="preserve">PwC (2022) </w:t>
      </w:r>
      <w:r w:rsidRPr="00CE1DAE">
        <w:rPr>
          <w:rFonts w:ascii="Arial" w:hAnsi="Arial" w:cs="Arial"/>
          <w:i/>
          <w:iCs/>
          <w:color w:val="000000" w:themeColor="text1"/>
        </w:rPr>
        <w:t>Global Working Capital Report 2022</w:t>
      </w:r>
      <w:r w:rsidRPr="00CE1DAE">
        <w:rPr>
          <w:rFonts w:ascii="Arial" w:hAnsi="Arial" w:cs="Arial"/>
          <w:color w:val="000000" w:themeColor="text1"/>
        </w:rPr>
        <w:t>. London: PricewaterhouseCoopers.</w:t>
      </w:r>
    </w:p>
    <w:p w14:paraId="5F8AC4F6" w14:textId="77777777" w:rsidR="00CE1DAE" w:rsidRPr="00CE1DAE" w:rsidRDefault="00CE1DAE" w:rsidP="00CE1DAE">
      <w:pPr>
        <w:spacing w:after="0" w:line="480" w:lineRule="auto"/>
        <w:ind w:left="720" w:hanging="720"/>
        <w:rPr>
          <w:rFonts w:ascii="Arial" w:hAnsi="Arial" w:cs="Arial"/>
          <w:color w:val="000000" w:themeColor="text1"/>
        </w:rPr>
      </w:pPr>
      <w:r w:rsidRPr="00CE1DAE">
        <w:rPr>
          <w:rFonts w:ascii="Arial" w:hAnsi="Arial" w:cs="Arial"/>
          <w:color w:val="000000" w:themeColor="text1"/>
        </w:rPr>
        <w:t xml:space="preserve">Ross, S.A., Westerfield, R. and Jordan, B.D. (2019) </w:t>
      </w:r>
      <w:r w:rsidRPr="00CE1DAE">
        <w:rPr>
          <w:rFonts w:ascii="Arial" w:hAnsi="Arial" w:cs="Arial"/>
          <w:i/>
          <w:iCs/>
          <w:color w:val="000000" w:themeColor="text1"/>
        </w:rPr>
        <w:t>Fundamentals of Corporate Finance</w:t>
      </w:r>
      <w:r w:rsidRPr="00CE1DAE">
        <w:rPr>
          <w:rFonts w:ascii="Arial" w:hAnsi="Arial" w:cs="Arial"/>
          <w:color w:val="000000" w:themeColor="text1"/>
        </w:rPr>
        <w:t>. 13th edn. New York: McGraw-Hill.</w:t>
      </w:r>
    </w:p>
    <w:p w14:paraId="69B2E968" w14:textId="77777777" w:rsidR="00CE1DAE" w:rsidRPr="00CE1DAE" w:rsidRDefault="00CE1DAE" w:rsidP="00CE1DAE">
      <w:pPr>
        <w:spacing w:after="0" w:line="480" w:lineRule="auto"/>
        <w:ind w:left="720" w:hanging="720"/>
        <w:rPr>
          <w:rFonts w:ascii="Arial" w:hAnsi="Arial" w:cs="Arial"/>
          <w:color w:val="000000" w:themeColor="text1"/>
        </w:rPr>
      </w:pPr>
      <w:r w:rsidRPr="00CE1DAE">
        <w:rPr>
          <w:rFonts w:ascii="Arial" w:hAnsi="Arial" w:cs="Arial"/>
          <w:color w:val="000000" w:themeColor="text1"/>
        </w:rPr>
        <w:t xml:space="preserve">Standard &amp; Poor’s (2021) </w:t>
      </w:r>
      <w:r w:rsidRPr="00CE1DAE">
        <w:rPr>
          <w:rFonts w:ascii="Arial" w:hAnsi="Arial" w:cs="Arial"/>
          <w:i/>
          <w:iCs/>
          <w:color w:val="000000" w:themeColor="text1"/>
        </w:rPr>
        <w:t>Corporate Ratings Methodology</w:t>
      </w:r>
      <w:r w:rsidRPr="00CE1DAE">
        <w:rPr>
          <w:rFonts w:ascii="Arial" w:hAnsi="Arial" w:cs="Arial"/>
          <w:color w:val="000000" w:themeColor="text1"/>
        </w:rPr>
        <w:t>. New York: S&amp;P Global.</w:t>
      </w:r>
    </w:p>
    <w:p w14:paraId="0FB12508" w14:textId="77777777" w:rsidR="00CE1DAE" w:rsidRPr="00CE1DAE" w:rsidRDefault="00CE1DAE" w:rsidP="00CE1DAE">
      <w:pPr>
        <w:spacing w:after="0" w:line="480" w:lineRule="auto"/>
        <w:ind w:left="720" w:hanging="720"/>
        <w:rPr>
          <w:rFonts w:ascii="Arial" w:hAnsi="Arial" w:cs="Arial"/>
          <w:color w:val="000000" w:themeColor="text1"/>
        </w:rPr>
      </w:pPr>
      <w:r w:rsidRPr="00CE1DAE">
        <w:rPr>
          <w:rFonts w:ascii="Arial" w:hAnsi="Arial" w:cs="Arial"/>
          <w:color w:val="000000" w:themeColor="text1"/>
        </w:rPr>
        <w:t xml:space="preserve">Titman, S., Keown, A.J. and Martin, J.D. (2017) </w:t>
      </w:r>
      <w:r w:rsidRPr="00CE1DAE">
        <w:rPr>
          <w:rFonts w:ascii="Arial" w:hAnsi="Arial" w:cs="Arial"/>
          <w:i/>
          <w:iCs/>
          <w:color w:val="000000" w:themeColor="text1"/>
        </w:rPr>
        <w:t>Financial Management: Principles and Applications</w:t>
      </w:r>
      <w:r w:rsidRPr="00CE1DAE">
        <w:rPr>
          <w:rFonts w:ascii="Arial" w:hAnsi="Arial" w:cs="Arial"/>
          <w:color w:val="000000" w:themeColor="text1"/>
        </w:rPr>
        <w:t>. 13th edn. Harlow: Pearson.</w:t>
      </w:r>
    </w:p>
    <w:p w14:paraId="19E66D1D" w14:textId="77777777" w:rsidR="00CE1DAE" w:rsidRPr="00CE1DAE" w:rsidRDefault="00CE1DAE" w:rsidP="00CE1DAE">
      <w:pPr>
        <w:spacing w:after="0" w:line="480" w:lineRule="auto"/>
        <w:ind w:left="720" w:hanging="720"/>
        <w:rPr>
          <w:rFonts w:ascii="Arial" w:hAnsi="Arial" w:cs="Arial"/>
          <w:color w:val="000000" w:themeColor="text1"/>
        </w:rPr>
      </w:pPr>
      <w:r w:rsidRPr="00CE1DAE">
        <w:rPr>
          <w:rFonts w:ascii="Arial" w:hAnsi="Arial" w:cs="Arial"/>
          <w:color w:val="000000" w:themeColor="text1"/>
        </w:rPr>
        <w:t xml:space="preserve">World Bank (2023) </w:t>
      </w:r>
      <w:r w:rsidRPr="00CE1DAE">
        <w:rPr>
          <w:rFonts w:ascii="Arial" w:hAnsi="Arial" w:cs="Arial"/>
          <w:i/>
          <w:iCs/>
          <w:color w:val="000000" w:themeColor="text1"/>
        </w:rPr>
        <w:t>Global Economic Prospects: Inflation and Emerging Markets</w:t>
      </w:r>
      <w:r w:rsidRPr="00CE1DAE">
        <w:rPr>
          <w:rFonts w:ascii="Arial" w:hAnsi="Arial" w:cs="Arial"/>
          <w:color w:val="000000" w:themeColor="text1"/>
        </w:rPr>
        <w:t>. Washington, DC: World Bank.</w:t>
      </w:r>
    </w:p>
    <w:p w14:paraId="37F4B6C5" w14:textId="77777777" w:rsidR="00CE1DAE" w:rsidRPr="00CE1DAE" w:rsidRDefault="00CE1DAE" w:rsidP="00CE1DAE">
      <w:pPr>
        <w:spacing w:after="0" w:line="480" w:lineRule="auto"/>
        <w:ind w:left="720" w:hanging="720"/>
        <w:rPr>
          <w:rFonts w:ascii="Arial" w:hAnsi="Arial" w:cs="Arial"/>
          <w:color w:val="000000" w:themeColor="text1"/>
        </w:rPr>
      </w:pPr>
      <w:r w:rsidRPr="00CE1DAE">
        <w:rPr>
          <w:rFonts w:ascii="Arial" w:hAnsi="Arial" w:cs="Arial"/>
          <w:color w:val="000000" w:themeColor="text1"/>
        </w:rPr>
        <w:t xml:space="preserve">Zainudin, N. (2020) ‘Working Capital Management and Firm Performance: Evidence from Developing Markets’, </w:t>
      </w:r>
      <w:r w:rsidRPr="00CE1DAE">
        <w:rPr>
          <w:rFonts w:ascii="Arial" w:hAnsi="Arial" w:cs="Arial"/>
          <w:i/>
          <w:iCs/>
          <w:color w:val="000000" w:themeColor="text1"/>
        </w:rPr>
        <w:t>International Journal of Economics and Financial Issues</w:t>
      </w:r>
      <w:r w:rsidRPr="00CE1DAE">
        <w:rPr>
          <w:rFonts w:ascii="Arial" w:hAnsi="Arial" w:cs="Arial"/>
          <w:color w:val="000000" w:themeColor="text1"/>
        </w:rPr>
        <w:t>, 10(3), pp. 260–267.</w:t>
      </w:r>
    </w:p>
    <w:p w14:paraId="4214771D" w14:textId="77777777" w:rsidR="00933EE0" w:rsidRPr="00CE1DAE" w:rsidRDefault="00AF5C32" w:rsidP="00CE1DAE">
      <w:pPr>
        <w:rPr>
          <w:rFonts w:ascii="Arial" w:hAnsi="Arial" w:cs="Arial"/>
        </w:rPr>
      </w:pPr>
      <w:r w:rsidRPr="00933EE0">
        <w:rPr>
          <w:rFonts w:ascii="Arial" w:hAnsi="Arial" w:cs="Arial"/>
          <w:b/>
          <w:bCs/>
          <w:color w:val="000000" w:themeColor="text1"/>
          <w:sz w:val="32"/>
          <w:szCs w:val="32"/>
        </w:rPr>
        <w:t xml:space="preserve"> </w:t>
      </w:r>
    </w:p>
    <w:p w14:paraId="262A5B52" w14:textId="77777777" w:rsidR="00CE1DAE" w:rsidRDefault="00CE1DAE">
      <w:pPr>
        <w:rPr>
          <w:rFonts w:ascii="Arial" w:eastAsiaTheme="majorEastAsia" w:hAnsi="Arial" w:cs="Arial"/>
          <w:b/>
          <w:bCs/>
          <w:color w:val="000000" w:themeColor="text1"/>
          <w:sz w:val="32"/>
          <w:szCs w:val="32"/>
        </w:rPr>
      </w:pPr>
      <w:r>
        <w:rPr>
          <w:rFonts w:ascii="Arial" w:hAnsi="Arial" w:cs="Arial"/>
          <w:b/>
          <w:bCs/>
          <w:color w:val="000000" w:themeColor="text1"/>
          <w:sz w:val="32"/>
          <w:szCs w:val="32"/>
        </w:rPr>
        <w:br w:type="page"/>
      </w:r>
    </w:p>
    <w:p w14:paraId="41FE0CB7" w14:textId="77777777" w:rsidR="005726E8" w:rsidRDefault="007E4FAB" w:rsidP="00933EE0">
      <w:pPr>
        <w:pStyle w:val="Heading1"/>
        <w:rPr>
          <w:rFonts w:ascii="Arial" w:hAnsi="Arial" w:cs="Arial"/>
          <w:b/>
          <w:bCs/>
          <w:color w:val="000000" w:themeColor="text1"/>
          <w:sz w:val="32"/>
          <w:szCs w:val="32"/>
        </w:rPr>
      </w:pPr>
      <w:bookmarkStart w:id="17" w:name="_Toc214577545"/>
      <w:r w:rsidRPr="00933EE0">
        <w:rPr>
          <w:rFonts w:ascii="Arial" w:hAnsi="Arial" w:cs="Arial"/>
          <w:b/>
          <w:bCs/>
          <w:color w:val="000000" w:themeColor="text1"/>
          <w:sz w:val="32"/>
          <w:szCs w:val="32"/>
        </w:rPr>
        <w:lastRenderedPageBreak/>
        <w:t>Appendix</w:t>
      </w:r>
      <w:bookmarkEnd w:id="17"/>
      <w:r w:rsidRPr="00933EE0">
        <w:rPr>
          <w:rFonts w:ascii="Arial" w:hAnsi="Arial" w:cs="Arial"/>
          <w:b/>
          <w:bCs/>
          <w:color w:val="000000" w:themeColor="text1"/>
          <w:sz w:val="32"/>
          <w:szCs w:val="32"/>
        </w:rPr>
        <w:t xml:space="preserve"> </w:t>
      </w:r>
    </w:p>
    <w:p w14:paraId="4A3A9D99" w14:textId="77777777" w:rsidR="00E927D3" w:rsidRDefault="00E927D3" w:rsidP="00933EE0">
      <w:pPr>
        <w:jc w:val="center"/>
      </w:pPr>
    </w:p>
    <w:p w14:paraId="45BCDD9C" w14:textId="77777777" w:rsidR="007E4FAB" w:rsidRDefault="007E4FAB" w:rsidP="00933EE0">
      <w:pPr>
        <w:jc w:val="center"/>
      </w:pPr>
      <w:r>
        <w:rPr>
          <w:noProof/>
        </w:rPr>
        <w:drawing>
          <wp:inline distT="0" distB="0" distL="0" distR="0" wp14:anchorId="6A0BE060" wp14:editId="64ABB164">
            <wp:extent cx="3909432" cy="2429450"/>
            <wp:effectExtent l="0" t="0" r="0" b="9525"/>
            <wp:docPr id="6934571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24034" cy="2438524"/>
                    </a:xfrm>
                    <a:prstGeom prst="rect">
                      <a:avLst/>
                    </a:prstGeom>
                    <a:noFill/>
                  </pic:spPr>
                </pic:pic>
              </a:graphicData>
            </a:graphic>
          </wp:inline>
        </w:drawing>
      </w:r>
    </w:p>
    <w:p w14:paraId="798E7A24" w14:textId="77777777" w:rsidR="002A1EAE" w:rsidRDefault="002A1EAE" w:rsidP="00933EE0">
      <w:pPr>
        <w:jc w:val="center"/>
      </w:pPr>
    </w:p>
    <w:p w14:paraId="69F0BA6D" w14:textId="77777777" w:rsidR="002A1EAE" w:rsidRDefault="002A1EAE" w:rsidP="00933EE0">
      <w:pPr>
        <w:jc w:val="center"/>
      </w:pPr>
      <w:r w:rsidRPr="002A1EAE">
        <w:rPr>
          <w:noProof/>
        </w:rPr>
        <w:drawing>
          <wp:inline distT="0" distB="0" distL="0" distR="0" wp14:anchorId="29C14676" wp14:editId="76B8DD61">
            <wp:extent cx="3312160" cy="1391920"/>
            <wp:effectExtent l="0" t="0" r="2540" b="0"/>
            <wp:docPr id="18855426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12160" cy="1391920"/>
                    </a:xfrm>
                    <a:prstGeom prst="rect">
                      <a:avLst/>
                    </a:prstGeom>
                    <a:noFill/>
                    <a:ln>
                      <a:noFill/>
                    </a:ln>
                  </pic:spPr>
                </pic:pic>
              </a:graphicData>
            </a:graphic>
          </wp:inline>
        </w:drawing>
      </w:r>
    </w:p>
    <w:p w14:paraId="532CD178" w14:textId="77777777" w:rsidR="00E927D3" w:rsidRDefault="00E927D3" w:rsidP="00933EE0">
      <w:pPr>
        <w:jc w:val="center"/>
      </w:pPr>
    </w:p>
    <w:p w14:paraId="796CDBAE" w14:textId="77777777" w:rsidR="00E927D3" w:rsidRDefault="00E927D3" w:rsidP="00933EE0">
      <w:pPr>
        <w:jc w:val="center"/>
      </w:pPr>
      <w:r w:rsidRPr="00E927D3">
        <w:rPr>
          <w:noProof/>
        </w:rPr>
        <w:drawing>
          <wp:inline distT="0" distB="0" distL="0" distR="0" wp14:anchorId="2D11BB24" wp14:editId="1C4512F2">
            <wp:extent cx="5943600" cy="2385060"/>
            <wp:effectExtent l="0" t="0" r="0" b="0"/>
            <wp:docPr id="2049987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2385060"/>
                    </a:xfrm>
                    <a:prstGeom prst="rect">
                      <a:avLst/>
                    </a:prstGeom>
                    <a:noFill/>
                    <a:ln>
                      <a:noFill/>
                    </a:ln>
                  </pic:spPr>
                </pic:pic>
              </a:graphicData>
            </a:graphic>
          </wp:inline>
        </w:drawing>
      </w:r>
    </w:p>
    <w:p w14:paraId="6034A269" w14:textId="77777777" w:rsidR="00E927D3" w:rsidRDefault="00E927D3" w:rsidP="00933EE0">
      <w:pPr>
        <w:jc w:val="center"/>
      </w:pPr>
      <w:r w:rsidRPr="00E927D3">
        <w:rPr>
          <w:noProof/>
        </w:rPr>
        <w:lastRenderedPageBreak/>
        <w:drawing>
          <wp:inline distT="0" distB="0" distL="0" distR="0" wp14:anchorId="20F4909A" wp14:editId="615C30BF">
            <wp:extent cx="5943600" cy="2724785"/>
            <wp:effectExtent l="0" t="0" r="0" b="0"/>
            <wp:docPr id="7833436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2724785"/>
                    </a:xfrm>
                    <a:prstGeom prst="rect">
                      <a:avLst/>
                    </a:prstGeom>
                    <a:noFill/>
                    <a:ln>
                      <a:noFill/>
                    </a:ln>
                  </pic:spPr>
                </pic:pic>
              </a:graphicData>
            </a:graphic>
          </wp:inline>
        </w:drawing>
      </w:r>
    </w:p>
    <w:p w14:paraId="5E478E41" w14:textId="77777777" w:rsidR="00E927D3" w:rsidRDefault="00E927D3" w:rsidP="00933EE0">
      <w:pPr>
        <w:jc w:val="center"/>
      </w:pPr>
    </w:p>
    <w:p w14:paraId="7A2933F8" w14:textId="77777777" w:rsidR="00E927D3" w:rsidRDefault="00E927D3" w:rsidP="00933EE0">
      <w:pPr>
        <w:jc w:val="center"/>
      </w:pPr>
      <w:r w:rsidRPr="00E927D3">
        <w:rPr>
          <w:noProof/>
        </w:rPr>
        <w:drawing>
          <wp:inline distT="0" distB="0" distL="0" distR="0" wp14:anchorId="28C6F032" wp14:editId="72F97BB6">
            <wp:extent cx="5943600" cy="2687320"/>
            <wp:effectExtent l="0" t="0" r="0" b="0"/>
            <wp:docPr id="17965040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2687320"/>
                    </a:xfrm>
                    <a:prstGeom prst="rect">
                      <a:avLst/>
                    </a:prstGeom>
                    <a:noFill/>
                    <a:ln>
                      <a:noFill/>
                    </a:ln>
                  </pic:spPr>
                </pic:pic>
              </a:graphicData>
            </a:graphic>
          </wp:inline>
        </w:drawing>
      </w:r>
    </w:p>
    <w:sectPr w:rsidR="00E927D3">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D3B421" w14:textId="77777777" w:rsidR="005E377D" w:rsidRDefault="005E377D" w:rsidP="00DE4952">
      <w:pPr>
        <w:spacing w:after="0" w:line="240" w:lineRule="auto"/>
      </w:pPr>
      <w:r>
        <w:separator/>
      </w:r>
    </w:p>
  </w:endnote>
  <w:endnote w:type="continuationSeparator" w:id="0">
    <w:p w14:paraId="44C20B1C" w14:textId="77777777" w:rsidR="005E377D" w:rsidRDefault="005E377D" w:rsidP="00DE4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477277"/>
      <w:docPartObj>
        <w:docPartGallery w:val="Page Numbers (Bottom of Page)"/>
        <w:docPartUnique/>
      </w:docPartObj>
    </w:sdtPr>
    <w:sdtEndPr>
      <w:rPr>
        <w:noProof/>
      </w:rPr>
    </w:sdtEndPr>
    <w:sdtContent>
      <w:p w14:paraId="29D1B11F" w14:textId="77777777" w:rsidR="00DE4952" w:rsidRDefault="00DE495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84ACB4" w14:textId="77777777" w:rsidR="00DE4952" w:rsidRDefault="00DE49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1C58A5" w14:textId="77777777" w:rsidR="005E377D" w:rsidRDefault="005E377D" w:rsidP="00DE4952">
      <w:pPr>
        <w:spacing w:after="0" w:line="240" w:lineRule="auto"/>
      </w:pPr>
      <w:r>
        <w:separator/>
      </w:r>
    </w:p>
  </w:footnote>
  <w:footnote w:type="continuationSeparator" w:id="0">
    <w:p w14:paraId="18630C3C" w14:textId="77777777" w:rsidR="005E377D" w:rsidRDefault="005E377D" w:rsidP="00DE49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47296"/>
    <w:multiLevelType w:val="multilevel"/>
    <w:tmpl w:val="46C2D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0695F"/>
    <w:multiLevelType w:val="multilevel"/>
    <w:tmpl w:val="77522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FE2BD4"/>
    <w:multiLevelType w:val="multilevel"/>
    <w:tmpl w:val="45785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13353"/>
    <w:multiLevelType w:val="multilevel"/>
    <w:tmpl w:val="5E36A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D80850"/>
    <w:multiLevelType w:val="multilevel"/>
    <w:tmpl w:val="1F5A2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905C57"/>
    <w:multiLevelType w:val="hybridMultilevel"/>
    <w:tmpl w:val="649E9C48"/>
    <w:lvl w:ilvl="0" w:tplc="6538A4D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C2470B"/>
    <w:multiLevelType w:val="hybridMultilevel"/>
    <w:tmpl w:val="5A08553A"/>
    <w:lvl w:ilvl="0" w:tplc="6538A4D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1D1839"/>
    <w:multiLevelType w:val="multilevel"/>
    <w:tmpl w:val="00E23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596A32"/>
    <w:multiLevelType w:val="multilevel"/>
    <w:tmpl w:val="B72ED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F1558D"/>
    <w:multiLevelType w:val="multilevel"/>
    <w:tmpl w:val="8F16B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2F6248"/>
    <w:multiLevelType w:val="multilevel"/>
    <w:tmpl w:val="7D5CD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D943FE"/>
    <w:multiLevelType w:val="hybridMultilevel"/>
    <w:tmpl w:val="3546330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A0C4202"/>
    <w:multiLevelType w:val="multilevel"/>
    <w:tmpl w:val="F36AE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CB6AE2"/>
    <w:multiLevelType w:val="multilevel"/>
    <w:tmpl w:val="66125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595D0D"/>
    <w:multiLevelType w:val="multilevel"/>
    <w:tmpl w:val="1834F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AB2579"/>
    <w:multiLevelType w:val="multilevel"/>
    <w:tmpl w:val="7FDCA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2FB599B"/>
    <w:multiLevelType w:val="multilevel"/>
    <w:tmpl w:val="A7587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8423C5E"/>
    <w:multiLevelType w:val="multilevel"/>
    <w:tmpl w:val="31528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F262C7E"/>
    <w:multiLevelType w:val="multilevel"/>
    <w:tmpl w:val="28780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7"/>
  </w:num>
  <w:num w:numId="3">
    <w:abstractNumId w:val="14"/>
  </w:num>
  <w:num w:numId="4">
    <w:abstractNumId w:val="9"/>
  </w:num>
  <w:num w:numId="5">
    <w:abstractNumId w:val="1"/>
  </w:num>
  <w:num w:numId="6">
    <w:abstractNumId w:val="3"/>
  </w:num>
  <w:num w:numId="7">
    <w:abstractNumId w:val="7"/>
  </w:num>
  <w:num w:numId="8">
    <w:abstractNumId w:val="12"/>
  </w:num>
  <w:num w:numId="9">
    <w:abstractNumId w:val="8"/>
  </w:num>
  <w:num w:numId="10">
    <w:abstractNumId w:val="13"/>
  </w:num>
  <w:num w:numId="11">
    <w:abstractNumId w:val="10"/>
  </w:num>
  <w:num w:numId="12">
    <w:abstractNumId w:val="2"/>
  </w:num>
  <w:num w:numId="13">
    <w:abstractNumId w:val="5"/>
  </w:num>
  <w:num w:numId="14">
    <w:abstractNumId w:val="0"/>
  </w:num>
  <w:num w:numId="15">
    <w:abstractNumId w:val="15"/>
  </w:num>
  <w:num w:numId="16">
    <w:abstractNumId w:val="4"/>
  </w:num>
  <w:num w:numId="17">
    <w:abstractNumId w:val="16"/>
  </w:num>
  <w:num w:numId="18">
    <w:abstractNumId w:val="18"/>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1B3"/>
    <w:rsid w:val="00002B54"/>
    <w:rsid w:val="00005668"/>
    <w:rsid w:val="00064F53"/>
    <w:rsid w:val="000721C5"/>
    <w:rsid w:val="00082D96"/>
    <w:rsid w:val="000A23F6"/>
    <w:rsid w:val="000A5C03"/>
    <w:rsid w:val="00144EEC"/>
    <w:rsid w:val="001F3CEF"/>
    <w:rsid w:val="00235724"/>
    <w:rsid w:val="002846B3"/>
    <w:rsid w:val="0029427C"/>
    <w:rsid w:val="002A1EAE"/>
    <w:rsid w:val="002B3DDE"/>
    <w:rsid w:val="002E3036"/>
    <w:rsid w:val="00306449"/>
    <w:rsid w:val="00326984"/>
    <w:rsid w:val="00342E45"/>
    <w:rsid w:val="003C5DAE"/>
    <w:rsid w:val="00400CCD"/>
    <w:rsid w:val="00424E08"/>
    <w:rsid w:val="00454901"/>
    <w:rsid w:val="00474F56"/>
    <w:rsid w:val="004C3595"/>
    <w:rsid w:val="005726E8"/>
    <w:rsid w:val="005D75B3"/>
    <w:rsid w:val="005E377D"/>
    <w:rsid w:val="00605062"/>
    <w:rsid w:val="0060556B"/>
    <w:rsid w:val="00614D88"/>
    <w:rsid w:val="00616A32"/>
    <w:rsid w:val="006376FA"/>
    <w:rsid w:val="006523A8"/>
    <w:rsid w:val="006631DD"/>
    <w:rsid w:val="006A6DBB"/>
    <w:rsid w:val="006E26B2"/>
    <w:rsid w:val="00714806"/>
    <w:rsid w:val="0071651B"/>
    <w:rsid w:val="007C3BA9"/>
    <w:rsid w:val="007E4FAB"/>
    <w:rsid w:val="0082668A"/>
    <w:rsid w:val="00863D51"/>
    <w:rsid w:val="008978B7"/>
    <w:rsid w:val="008C5358"/>
    <w:rsid w:val="008E10CD"/>
    <w:rsid w:val="00933EE0"/>
    <w:rsid w:val="00935D0E"/>
    <w:rsid w:val="0095786B"/>
    <w:rsid w:val="00990211"/>
    <w:rsid w:val="00995A38"/>
    <w:rsid w:val="00A06C21"/>
    <w:rsid w:val="00A13EED"/>
    <w:rsid w:val="00A2186F"/>
    <w:rsid w:val="00A751B3"/>
    <w:rsid w:val="00A900D7"/>
    <w:rsid w:val="00A90373"/>
    <w:rsid w:val="00AF5C32"/>
    <w:rsid w:val="00B74EFD"/>
    <w:rsid w:val="00BB2843"/>
    <w:rsid w:val="00BC0194"/>
    <w:rsid w:val="00BC0961"/>
    <w:rsid w:val="00C15237"/>
    <w:rsid w:val="00C24FA0"/>
    <w:rsid w:val="00C74E38"/>
    <w:rsid w:val="00CE1DAE"/>
    <w:rsid w:val="00D03204"/>
    <w:rsid w:val="00D03B85"/>
    <w:rsid w:val="00D74827"/>
    <w:rsid w:val="00D769D9"/>
    <w:rsid w:val="00DE4952"/>
    <w:rsid w:val="00E273C2"/>
    <w:rsid w:val="00E574A8"/>
    <w:rsid w:val="00E927D3"/>
    <w:rsid w:val="00EC5D14"/>
    <w:rsid w:val="00F37088"/>
    <w:rsid w:val="00F901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35035"/>
  <w15:chartTrackingRefBased/>
  <w15:docId w15:val="{D00C2C65-A48A-4689-BB0B-D7AF90326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51B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751B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751B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751B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751B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751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51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51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51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51B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751B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751B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751B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751B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751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51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51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51B3"/>
    <w:rPr>
      <w:rFonts w:eastAsiaTheme="majorEastAsia" w:cstheme="majorBidi"/>
      <w:color w:val="272727" w:themeColor="text1" w:themeTint="D8"/>
    </w:rPr>
  </w:style>
  <w:style w:type="paragraph" w:styleId="Title">
    <w:name w:val="Title"/>
    <w:basedOn w:val="Normal"/>
    <w:next w:val="Normal"/>
    <w:link w:val="TitleChar"/>
    <w:uiPriority w:val="10"/>
    <w:qFormat/>
    <w:rsid w:val="00A751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51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51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51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51B3"/>
    <w:pPr>
      <w:spacing w:before="160"/>
      <w:jc w:val="center"/>
    </w:pPr>
    <w:rPr>
      <w:i/>
      <w:iCs/>
      <w:color w:val="404040" w:themeColor="text1" w:themeTint="BF"/>
    </w:rPr>
  </w:style>
  <w:style w:type="character" w:customStyle="1" w:styleId="QuoteChar">
    <w:name w:val="Quote Char"/>
    <w:basedOn w:val="DefaultParagraphFont"/>
    <w:link w:val="Quote"/>
    <w:uiPriority w:val="29"/>
    <w:rsid w:val="00A751B3"/>
    <w:rPr>
      <w:i/>
      <w:iCs/>
      <w:color w:val="404040" w:themeColor="text1" w:themeTint="BF"/>
    </w:rPr>
  </w:style>
  <w:style w:type="paragraph" w:styleId="ListParagraph">
    <w:name w:val="List Paragraph"/>
    <w:basedOn w:val="Normal"/>
    <w:uiPriority w:val="34"/>
    <w:qFormat/>
    <w:rsid w:val="00A751B3"/>
    <w:pPr>
      <w:ind w:left="720"/>
      <w:contextualSpacing/>
    </w:pPr>
  </w:style>
  <w:style w:type="character" w:styleId="IntenseEmphasis">
    <w:name w:val="Intense Emphasis"/>
    <w:basedOn w:val="DefaultParagraphFont"/>
    <w:uiPriority w:val="21"/>
    <w:qFormat/>
    <w:rsid w:val="00A751B3"/>
    <w:rPr>
      <w:i/>
      <w:iCs/>
      <w:color w:val="2F5496" w:themeColor="accent1" w:themeShade="BF"/>
    </w:rPr>
  </w:style>
  <w:style w:type="paragraph" w:styleId="IntenseQuote">
    <w:name w:val="Intense Quote"/>
    <w:basedOn w:val="Normal"/>
    <w:next w:val="Normal"/>
    <w:link w:val="IntenseQuoteChar"/>
    <w:uiPriority w:val="30"/>
    <w:qFormat/>
    <w:rsid w:val="00A751B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751B3"/>
    <w:rPr>
      <w:i/>
      <w:iCs/>
      <w:color w:val="2F5496" w:themeColor="accent1" w:themeShade="BF"/>
    </w:rPr>
  </w:style>
  <w:style w:type="character" w:styleId="IntenseReference">
    <w:name w:val="Intense Reference"/>
    <w:basedOn w:val="DefaultParagraphFont"/>
    <w:uiPriority w:val="32"/>
    <w:qFormat/>
    <w:rsid w:val="00A751B3"/>
    <w:rPr>
      <w:b/>
      <w:bCs/>
      <w:smallCaps/>
      <w:color w:val="2F5496" w:themeColor="accent1" w:themeShade="BF"/>
      <w:spacing w:val="5"/>
    </w:rPr>
  </w:style>
  <w:style w:type="table" w:styleId="TableGrid">
    <w:name w:val="Table Grid"/>
    <w:basedOn w:val="TableNormal"/>
    <w:uiPriority w:val="39"/>
    <w:rsid w:val="00A751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F5C32"/>
    <w:rPr>
      <w:rFonts w:ascii="Times New Roman" w:hAnsi="Times New Roman" w:cs="Times New Roman"/>
    </w:rPr>
  </w:style>
  <w:style w:type="character" w:styleId="Hyperlink">
    <w:name w:val="Hyperlink"/>
    <w:basedOn w:val="DefaultParagraphFont"/>
    <w:uiPriority w:val="99"/>
    <w:unhideWhenUsed/>
    <w:rsid w:val="00AF5C32"/>
    <w:rPr>
      <w:color w:val="0563C1" w:themeColor="hyperlink"/>
      <w:u w:val="single"/>
    </w:rPr>
  </w:style>
  <w:style w:type="character" w:styleId="UnresolvedMention">
    <w:name w:val="Unresolved Mention"/>
    <w:basedOn w:val="DefaultParagraphFont"/>
    <w:uiPriority w:val="99"/>
    <w:semiHidden/>
    <w:unhideWhenUsed/>
    <w:rsid w:val="00AF5C32"/>
    <w:rPr>
      <w:color w:val="605E5C"/>
      <w:shd w:val="clear" w:color="auto" w:fill="E1DFDD"/>
    </w:rPr>
  </w:style>
  <w:style w:type="paragraph" w:styleId="TOCHeading">
    <w:name w:val="TOC Heading"/>
    <w:basedOn w:val="Heading1"/>
    <w:next w:val="Normal"/>
    <w:uiPriority w:val="39"/>
    <w:unhideWhenUsed/>
    <w:qFormat/>
    <w:rsid w:val="000A5C03"/>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0A5C03"/>
    <w:pPr>
      <w:spacing w:after="100"/>
    </w:pPr>
  </w:style>
  <w:style w:type="paragraph" w:styleId="TOC2">
    <w:name w:val="toc 2"/>
    <w:basedOn w:val="Normal"/>
    <w:next w:val="Normal"/>
    <w:autoRedefine/>
    <w:uiPriority w:val="39"/>
    <w:unhideWhenUsed/>
    <w:rsid w:val="000A5C03"/>
    <w:pPr>
      <w:spacing w:after="100"/>
      <w:ind w:left="240"/>
    </w:pPr>
  </w:style>
  <w:style w:type="paragraph" w:styleId="Header">
    <w:name w:val="header"/>
    <w:basedOn w:val="Normal"/>
    <w:link w:val="HeaderChar"/>
    <w:uiPriority w:val="99"/>
    <w:unhideWhenUsed/>
    <w:rsid w:val="00DE49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4952"/>
  </w:style>
  <w:style w:type="paragraph" w:styleId="Footer">
    <w:name w:val="footer"/>
    <w:basedOn w:val="Normal"/>
    <w:link w:val="FooterChar"/>
    <w:uiPriority w:val="99"/>
    <w:unhideWhenUsed/>
    <w:rsid w:val="00DE49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49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4.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emf"/><Relationship Id="rId10" Type="http://schemas.openxmlformats.org/officeDocument/2006/relationships/hyperlink" Target="https://papers.ssrn.com/sol3/papers.cfm?abstract_id=931591&amp;utm_source=chatgpt.com" TargetMode="External"/><Relationship Id="rId4" Type="http://schemas.openxmlformats.org/officeDocument/2006/relationships/settings" Target="settings.xml"/><Relationship Id="rId9" Type="http://schemas.openxmlformats.org/officeDocument/2006/relationships/hyperlink" Target="https://www.jstor.org/stable/2978933?utm_source=chatgpt.com" TargetMode="External"/><Relationship Id="rId14"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EA2232-687F-4D63-AC1B-A68F4FB82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6127</Words>
  <Characters>34929</Characters>
  <Application>Microsoft Office Word</Application>
  <DocSecurity>0</DocSecurity>
  <Lines>291</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Ritu Panna Saha</dc:creator>
  <cp:keywords/>
  <dc:description/>
  <cp:lastModifiedBy>Sadman Hossain</cp:lastModifiedBy>
  <cp:revision>3</cp:revision>
  <dcterms:created xsi:type="dcterms:W3CDTF">2025-11-23T01:03:00Z</dcterms:created>
  <dcterms:modified xsi:type="dcterms:W3CDTF">2025-11-23T01:03:00Z</dcterms:modified>
</cp:coreProperties>
</file>