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41240B" w14:textId="77777777" w:rsidR="000F33A7" w:rsidRPr="005209EB" w:rsidRDefault="000F33A7" w:rsidP="000F33A7">
      <w:pPr>
        <w:pStyle w:val="ListParagraph"/>
        <w:spacing w:after="0" w:line="240" w:lineRule="auto"/>
        <w:ind w:left="567"/>
        <w:rPr>
          <w:rFonts w:ascii="Arial" w:hAnsi="Arial" w:cs="Arial"/>
          <w:sz w:val="24"/>
          <w:szCs w:val="24"/>
        </w:rPr>
      </w:pPr>
      <w:r w:rsidRPr="005209EB">
        <w:rPr>
          <w:rFonts w:ascii="Arial" w:hAnsi="Arial" w:cs="Arial"/>
          <w:sz w:val="24"/>
          <w:szCs w:val="24"/>
        </w:rPr>
        <w:t>Hermes plc ("Hermes") is a public company operating in the leisure sector.</w:t>
      </w:r>
    </w:p>
    <w:p w14:paraId="1E108620" w14:textId="77777777" w:rsidR="000F33A7" w:rsidRPr="007F722B" w:rsidRDefault="000F33A7" w:rsidP="000F33A7">
      <w:pPr>
        <w:pStyle w:val="ListParagraph"/>
        <w:spacing w:after="0" w:line="240" w:lineRule="auto"/>
        <w:ind w:left="567"/>
        <w:rPr>
          <w:rFonts w:ascii="Arial" w:hAnsi="Arial" w:cs="Arial"/>
          <w:sz w:val="24"/>
          <w:szCs w:val="24"/>
        </w:rPr>
      </w:pPr>
      <w:r>
        <w:rPr>
          <w:rFonts w:ascii="Arial" w:hAnsi="Arial" w:cs="Arial"/>
          <w:sz w:val="24"/>
          <w:szCs w:val="24"/>
        </w:rPr>
        <w:t>Hermes</w:t>
      </w:r>
      <w:r w:rsidRPr="007F722B">
        <w:rPr>
          <w:rFonts w:ascii="Arial" w:hAnsi="Arial" w:cs="Arial"/>
          <w:sz w:val="24"/>
          <w:szCs w:val="24"/>
        </w:rPr>
        <w:t xml:space="preserve"> </w:t>
      </w:r>
      <w:r>
        <w:rPr>
          <w:rFonts w:ascii="Arial" w:hAnsi="Arial" w:cs="Arial"/>
          <w:sz w:val="24"/>
          <w:szCs w:val="24"/>
        </w:rPr>
        <w:t>has disclosed in</w:t>
      </w:r>
      <w:r w:rsidRPr="007F722B">
        <w:rPr>
          <w:rFonts w:ascii="Arial" w:hAnsi="Arial" w:cs="Arial"/>
          <w:sz w:val="24"/>
          <w:szCs w:val="24"/>
        </w:rPr>
        <w:t xml:space="preserve"> its financial statements for the year ended 30 November 201</w:t>
      </w:r>
      <w:r>
        <w:rPr>
          <w:rFonts w:ascii="Arial" w:hAnsi="Arial" w:cs="Arial"/>
          <w:sz w:val="24"/>
          <w:szCs w:val="24"/>
        </w:rPr>
        <w:t>9</w:t>
      </w:r>
      <w:r w:rsidRPr="007F722B">
        <w:rPr>
          <w:rFonts w:ascii="Arial" w:hAnsi="Arial" w:cs="Arial"/>
          <w:sz w:val="24"/>
          <w:szCs w:val="24"/>
        </w:rPr>
        <w:t xml:space="preserve"> </w:t>
      </w:r>
      <w:r>
        <w:rPr>
          <w:rFonts w:ascii="Arial" w:hAnsi="Arial" w:cs="Arial"/>
          <w:sz w:val="24"/>
          <w:szCs w:val="24"/>
        </w:rPr>
        <w:t xml:space="preserve">various alternative performance measures (APMs) other than those defined or specified under International Financial Reporting Standards (IFRSs). </w:t>
      </w:r>
      <w:proofErr w:type="gramStart"/>
      <w:r>
        <w:rPr>
          <w:rFonts w:ascii="Arial" w:hAnsi="Arial" w:cs="Arial"/>
          <w:sz w:val="24"/>
          <w:szCs w:val="24"/>
        </w:rPr>
        <w:t>In particular Hermes</w:t>
      </w:r>
      <w:proofErr w:type="gramEnd"/>
      <w:r>
        <w:rPr>
          <w:rFonts w:ascii="Arial" w:hAnsi="Arial" w:cs="Arial"/>
          <w:sz w:val="24"/>
          <w:szCs w:val="24"/>
        </w:rPr>
        <w:t xml:space="preserve"> has disclosed the following APMs</w:t>
      </w:r>
      <w:r w:rsidRPr="007F722B">
        <w:rPr>
          <w:rFonts w:ascii="Arial" w:hAnsi="Arial" w:cs="Arial"/>
          <w:sz w:val="24"/>
          <w:szCs w:val="24"/>
        </w:rPr>
        <w:t>:</w:t>
      </w:r>
    </w:p>
    <w:p w14:paraId="7AF64214" w14:textId="77777777" w:rsidR="000F33A7" w:rsidRDefault="000F33A7" w:rsidP="000F33A7">
      <w:pPr>
        <w:spacing w:after="0" w:line="240" w:lineRule="auto"/>
        <w:ind w:left="567"/>
        <w:rPr>
          <w:rFonts w:ascii="Arial" w:hAnsi="Arial" w:cs="Arial"/>
          <w:sz w:val="24"/>
          <w:szCs w:val="24"/>
        </w:rPr>
      </w:pPr>
    </w:p>
    <w:p w14:paraId="5451EBE8" w14:textId="77777777" w:rsidR="000F33A7" w:rsidRPr="00945D8B" w:rsidRDefault="000F33A7" w:rsidP="000F33A7">
      <w:pPr>
        <w:pStyle w:val="ListParagraph"/>
        <w:numPr>
          <w:ilvl w:val="0"/>
          <w:numId w:val="2"/>
        </w:numPr>
        <w:spacing w:after="0" w:line="240" w:lineRule="auto"/>
        <w:ind w:left="1134" w:hanging="567"/>
        <w:rPr>
          <w:rFonts w:ascii="Arial" w:hAnsi="Arial" w:cs="Arial"/>
          <w:b/>
          <w:sz w:val="24"/>
          <w:szCs w:val="24"/>
        </w:rPr>
      </w:pPr>
      <w:r>
        <w:rPr>
          <w:rFonts w:ascii="Arial" w:hAnsi="Arial" w:cs="Arial"/>
          <w:sz w:val="24"/>
          <w:szCs w:val="24"/>
        </w:rPr>
        <w:t xml:space="preserve">“Adjusted basic earnings per share” is shown on the face of the Statement of Profit and Loss and Other Comprehensive Income below basic earnings per share. It is referred to in the Annual report as the headline measure of the group’s performance. In calculating adjusted basic earnings per share Hermes adjusts its profits for significant income and costs which are deemed to be non-recurring in nature. In the current year adjustments have been made for significant restructuring and impairment costs incurred. Such costs were also incurred in the previous year and are likely to recur in future years. Hermes made a significant gain in the year on the disposal of an investment it had held in another public company, but this had not been adjusted for in reporting adjusted basic earnings per share. There was no reconciliation provided in the financial statements between the calculations of basic earnings per share and adjusted basic earnings per share.    </w:t>
      </w:r>
    </w:p>
    <w:p w14:paraId="65D3F9D2" w14:textId="77777777" w:rsidR="000F33A7" w:rsidRPr="009671CC" w:rsidRDefault="000F33A7" w:rsidP="000F33A7">
      <w:pPr>
        <w:spacing w:after="0" w:line="240" w:lineRule="auto"/>
        <w:ind w:left="567"/>
        <w:rPr>
          <w:rFonts w:ascii="Arial" w:hAnsi="Arial" w:cs="Arial"/>
          <w:sz w:val="24"/>
          <w:szCs w:val="24"/>
        </w:rPr>
      </w:pPr>
    </w:p>
    <w:p w14:paraId="1023E5A1" w14:textId="77777777" w:rsidR="000F33A7" w:rsidRPr="00CC1810" w:rsidRDefault="000F33A7" w:rsidP="000F33A7">
      <w:pPr>
        <w:pStyle w:val="ListParagraph"/>
        <w:numPr>
          <w:ilvl w:val="0"/>
          <w:numId w:val="2"/>
        </w:numPr>
        <w:spacing w:after="0" w:line="240" w:lineRule="auto"/>
        <w:ind w:left="1134" w:hanging="567"/>
        <w:rPr>
          <w:rFonts w:ascii="Arial" w:hAnsi="Arial" w:cs="Arial"/>
          <w:b/>
          <w:sz w:val="24"/>
          <w:szCs w:val="24"/>
        </w:rPr>
      </w:pPr>
      <w:r>
        <w:rPr>
          <w:rFonts w:ascii="Arial" w:hAnsi="Arial" w:cs="Arial"/>
          <w:sz w:val="24"/>
          <w:szCs w:val="24"/>
        </w:rPr>
        <w:t xml:space="preserve">“Operating free cash flow” </w:t>
      </w:r>
      <w:proofErr w:type="gramStart"/>
      <w:r>
        <w:rPr>
          <w:rFonts w:ascii="Arial" w:hAnsi="Arial" w:cs="Arial"/>
          <w:sz w:val="24"/>
          <w:szCs w:val="24"/>
        </w:rPr>
        <w:t>is  calculated</w:t>
      </w:r>
      <w:proofErr w:type="gramEnd"/>
      <w:r>
        <w:rPr>
          <w:rFonts w:ascii="Arial" w:hAnsi="Arial" w:cs="Arial"/>
          <w:sz w:val="24"/>
          <w:szCs w:val="24"/>
        </w:rPr>
        <w:t xml:space="preserve"> as cash generated from operations less the purchase of property, plant and equipment, the purchase of intangible assets, and the purchase of own shares. The directors have described this figure as representing the residual cash flow in the </w:t>
      </w:r>
      <w:proofErr w:type="gramStart"/>
      <w:r>
        <w:rPr>
          <w:rFonts w:ascii="Arial" w:hAnsi="Arial" w:cs="Arial"/>
          <w:sz w:val="24"/>
          <w:szCs w:val="24"/>
        </w:rPr>
        <w:t>business, but</w:t>
      </w:r>
      <w:proofErr w:type="gramEnd"/>
      <w:r>
        <w:rPr>
          <w:rFonts w:ascii="Arial" w:hAnsi="Arial" w:cs="Arial"/>
          <w:sz w:val="24"/>
          <w:szCs w:val="24"/>
        </w:rPr>
        <w:t xml:space="preserve"> have given no detail of its actual calculation. The directors consider the performance measure to be a major indicator of the success of the business and have emphasised its importance by reporting it alongside basic earnings per share. </w:t>
      </w:r>
    </w:p>
    <w:p w14:paraId="4C2CFA06" w14:textId="77777777" w:rsidR="000F33A7" w:rsidRPr="009671CC" w:rsidRDefault="000F33A7" w:rsidP="000F33A7">
      <w:pPr>
        <w:spacing w:after="0" w:line="240" w:lineRule="auto"/>
        <w:ind w:left="567"/>
        <w:rPr>
          <w:rFonts w:ascii="Arial" w:hAnsi="Arial" w:cs="Arial"/>
          <w:sz w:val="24"/>
          <w:szCs w:val="24"/>
        </w:rPr>
      </w:pPr>
    </w:p>
    <w:p w14:paraId="74809C48" w14:textId="77777777" w:rsidR="000F33A7" w:rsidRPr="009671CC" w:rsidRDefault="000F33A7" w:rsidP="000F33A7">
      <w:pPr>
        <w:pStyle w:val="ListParagraph"/>
        <w:spacing w:after="0" w:line="240" w:lineRule="auto"/>
        <w:ind w:left="567"/>
        <w:rPr>
          <w:rFonts w:ascii="Arial" w:hAnsi="Arial" w:cs="Arial"/>
          <w:sz w:val="24"/>
          <w:szCs w:val="24"/>
        </w:rPr>
      </w:pPr>
    </w:p>
    <w:p w14:paraId="04F869C6" w14:textId="77777777" w:rsidR="000F33A7" w:rsidRPr="009671CC" w:rsidRDefault="000F33A7" w:rsidP="000F33A7">
      <w:pPr>
        <w:pStyle w:val="ListParagraph"/>
        <w:spacing w:after="0" w:line="240" w:lineRule="auto"/>
        <w:ind w:left="567"/>
        <w:rPr>
          <w:rFonts w:ascii="Arial" w:hAnsi="Arial" w:cs="Arial"/>
          <w:sz w:val="24"/>
          <w:szCs w:val="24"/>
        </w:rPr>
      </w:pPr>
      <w:r w:rsidRPr="007F722B">
        <w:rPr>
          <w:rFonts w:ascii="Arial" w:hAnsi="Arial" w:cs="Arial"/>
          <w:b/>
          <w:sz w:val="24"/>
          <w:szCs w:val="24"/>
          <w:u w:val="single"/>
        </w:rPr>
        <w:t>Required</w:t>
      </w:r>
      <w:r w:rsidRPr="009671CC">
        <w:rPr>
          <w:rFonts w:ascii="Arial" w:hAnsi="Arial" w:cs="Arial"/>
          <w:sz w:val="24"/>
          <w:szCs w:val="24"/>
        </w:rPr>
        <w:t>:</w:t>
      </w:r>
    </w:p>
    <w:p w14:paraId="48FE8EE5" w14:textId="77777777" w:rsidR="000F33A7" w:rsidRPr="009671CC" w:rsidRDefault="000F33A7" w:rsidP="000F33A7">
      <w:pPr>
        <w:pStyle w:val="ListParagraph"/>
        <w:spacing w:after="0" w:line="240" w:lineRule="auto"/>
        <w:ind w:left="567"/>
        <w:rPr>
          <w:rFonts w:ascii="Arial" w:hAnsi="Arial" w:cs="Arial"/>
          <w:sz w:val="24"/>
          <w:szCs w:val="24"/>
        </w:rPr>
      </w:pPr>
    </w:p>
    <w:p w14:paraId="68BCC958" w14:textId="77777777" w:rsidR="000F33A7" w:rsidRPr="009671CC" w:rsidRDefault="000F33A7" w:rsidP="000F33A7">
      <w:pPr>
        <w:pStyle w:val="ListParagraph"/>
        <w:spacing w:after="0" w:line="240" w:lineRule="auto"/>
        <w:ind w:left="567"/>
        <w:rPr>
          <w:rFonts w:ascii="Arial" w:hAnsi="Arial" w:cs="Arial"/>
          <w:sz w:val="24"/>
          <w:szCs w:val="24"/>
        </w:rPr>
      </w:pPr>
      <w:r w:rsidRPr="009671CC">
        <w:rPr>
          <w:rFonts w:ascii="Arial" w:hAnsi="Arial" w:cs="Arial"/>
          <w:sz w:val="24"/>
          <w:szCs w:val="24"/>
        </w:rPr>
        <w:t xml:space="preserve">Discuss the </w:t>
      </w:r>
      <w:r>
        <w:rPr>
          <w:rFonts w:ascii="Arial" w:hAnsi="Arial" w:cs="Arial"/>
          <w:sz w:val="24"/>
          <w:szCs w:val="24"/>
        </w:rPr>
        <w:t xml:space="preserve">use of Alternative Performance Measures (APMs) by entities and advise whether the above APMs would achieve fair presentation in the financial statements of Hermes for the year ended 30 November 2019. </w:t>
      </w:r>
    </w:p>
    <w:p w14:paraId="4FD516F6"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73286"/>
    <w:multiLevelType w:val="hybridMultilevel"/>
    <w:tmpl w:val="7ED056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D1262"/>
    <w:multiLevelType w:val="hybridMultilevel"/>
    <w:tmpl w:val="20608F42"/>
    <w:lvl w:ilvl="0" w:tplc="67DA9386">
      <w:start w:val="1"/>
      <w:numFmt w:val="lowerRoman"/>
      <w:lvlText w:val="%1)"/>
      <w:lvlJc w:val="left"/>
      <w:pPr>
        <w:ind w:left="1080" w:hanging="72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3A7"/>
    <w:rsid w:val="000F33A7"/>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F4AE9"/>
  <w15:chartTrackingRefBased/>
  <w15:docId w15:val="{4CEDE190-601F-4601-A84D-E25280565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3A7"/>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0F33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311</Words>
  <Characters>1775</Characters>
  <Application>Microsoft Office Word</Application>
  <DocSecurity>0</DocSecurity>
  <Lines>14</Lines>
  <Paragraphs>4</Paragraphs>
  <ScaleCrop>false</ScaleCrop>
  <Company/>
  <LinksUpToDate>false</LinksUpToDate>
  <CharactersWithSpaces>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2021-03-10T11:51:00Z</dcterms:created>
  <dcterms:modified xsi:type="dcterms:W3CDTF">2021-03-10T11:51:00Z</dcterms:modified>
</cp:coreProperties>
</file>