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89480" w14:textId="77777777" w:rsidR="00006CB0" w:rsidRDefault="00006CB0"/>
    <w:p w14:paraId="0997428D" w14:textId="6D4B1634" w:rsidR="00617944" w:rsidRDefault="00617944">
      <w:r>
        <w:t>Student Name:</w:t>
      </w:r>
      <w:r w:rsidR="004F03EC">
        <w:t xml:space="preserve"> Lavinia Anamaria Zamfir</w:t>
      </w:r>
      <w:r>
        <w:br/>
        <w:t>Student Number:</w:t>
      </w:r>
      <w:r w:rsidR="004F03EC">
        <w:t xml:space="preserve"> 2519622</w:t>
      </w:r>
      <w:r>
        <w:br/>
        <w:t>Module Name:</w:t>
      </w:r>
      <w:r w:rsidR="007E3AE8">
        <w:t xml:space="preserve"> Introduction </w:t>
      </w:r>
      <w:r w:rsidR="00D77DF2">
        <w:t xml:space="preserve">to Health and </w:t>
      </w:r>
      <w:r w:rsidR="00D52514">
        <w:t>Social Care</w:t>
      </w:r>
      <w:r>
        <w:br/>
        <w:t>Module Code:</w:t>
      </w:r>
      <w:r w:rsidR="00D52514">
        <w:t xml:space="preserve"> LCHS4003</w:t>
      </w:r>
      <w:r>
        <w:br/>
        <w:t>Assignment Title:</w:t>
      </w:r>
      <w:r w:rsidR="00D52514">
        <w:t xml:space="preserve"> </w:t>
      </w:r>
      <w:r w:rsidR="00310984">
        <w:t xml:space="preserve"> Case Study</w:t>
      </w:r>
      <w:r w:rsidR="000244D0">
        <w:t>: Mrs Thom</w:t>
      </w:r>
      <w:r w:rsidR="00162051">
        <w:t>pson</w:t>
      </w:r>
      <w:r>
        <w:br/>
      </w:r>
    </w:p>
    <w:sdt>
      <w:sdtPr>
        <w:rPr>
          <w:rFonts w:asciiTheme="minorHAnsi" w:eastAsiaTheme="minorHAnsi" w:hAnsiTheme="minorHAnsi" w:cstheme="minorBidi"/>
          <w:b w:val="0"/>
          <w:bCs w:val="0"/>
          <w:color w:val="auto"/>
          <w:kern w:val="2"/>
          <w:sz w:val="24"/>
          <w:szCs w:val="24"/>
          <w:lang w:val="en-GB"/>
          <w14:ligatures w14:val="standardContextual"/>
        </w:rPr>
        <w:id w:val="-355580999"/>
        <w:docPartObj>
          <w:docPartGallery w:val="Table of Contents"/>
          <w:docPartUnique/>
        </w:docPartObj>
      </w:sdtPr>
      <w:sdtEndPr>
        <w:rPr>
          <w:noProof/>
        </w:rPr>
      </w:sdtEndPr>
      <w:sdtContent>
        <w:p w14:paraId="0C233CF4" w14:textId="738FF99B" w:rsidR="00617944" w:rsidRDefault="00617944">
          <w:pPr>
            <w:pStyle w:val="TOCHeading"/>
          </w:pPr>
          <w:r>
            <w:t>Table of Contents</w:t>
          </w:r>
        </w:p>
        <w:p w14:paraId="4ADD51F8" w14:textId="75B4DB02" w:rsidR="00B10289" w:rsidRDefault="0061794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3907512" w:history="1">
            <w:r w:rsidR="00B10289" w:rsidRPr="004F1DFB">
              <w:rPr>
                <w:rStyle w:val="Hyperlink"/>
                <w:noProof/>
              </w:rPr>
              <w:t>Introduction</w:t>
            </w:r>
            <w:r w:rsidR="00B10289">
              <w:rPr>
                <w:noProof/>
                <w:webHidden/>
              </w:rPr>
              <w:tab/>
            </w:r>
            <w:r w:rsidR="00B10289">
              <w:rPr>
                <w:noProof/>
                <w:webHidden/>
              </w:rPr>
              <w:fldChar w:fldCharType="begin"/>
            </w:r>
            <w:r w:rsidR="00B10289">
              <w:rPr>
                <w:noProof/>
                <w:webHidden/>
              </w:rPr>
              <w:instrText xml:space="preserve"> PAGEREF _Toc233907512 \h </w:instrText>
            </w:r>
            <w:r w:rsidR="00B10289">
              <w:rPr>
                <w:noProof/>
                <w:webHidden/>
              </w:rPr>
            </w:r>
            <w:r w:rsidR="00B10289">
              <w:rPr>
                <w:noProof/>
                <w:webHidden/>
              </w:rPr>
              <w:fldChar w:fldCharType="separate"/>
            </w:r>
            <w:r w:rsidR="00B10289">
              <w:rPr>
                <w:noProof/>
                <w:webHidden/>
              </w:rPr>
              <w:t>2</w:t>
            </w:r>
            <w:r w:rsidR="00B10289">
              <w:rPr>
                <w:noProof/>
                <w:webHidden/>
              </w:rPr>
              <w:fldChar w:fldCharType="end"/>
            </w:r>
          </w:hyperlink>
        </w:p>
        <w:p w14:paraId="279E7CD9" w14:textId="3DFC0B35" w:rsidR="00B10289" w:rsidRDefault="00B10289">
          <w:pPr>
            <w:pStyle w:val="TOC1"/>
            <w:tabs>
              <w:tab w:val="right" w:leader="dot" w:pos="9016"/>
            </w:tabs>
            <w:rPr>
              <w:rFonts w:eastAsiaTheme="minorEastAsia"/>
              <w:b w:val="0"/>
              <w:bCs w:val="0"/>
              <w:i w:val="0"/>
              <w:iCs w:val="0"/>
              <w:noProof/>
              <w:lang w:eastAsia="en-GB"/>
            </w:rPr>
          </w:pPr>
          <w:hyperlink w:anchor="_Toc233907513" w:history="1">
            <w:r w:rsidRPr="004F1DFB">
              <w:rPr>
                <w:rStyle w:val="Hyperlink"/>
                <w:noProof/>
              </w:rPr>
              <w:t>1. Effective communication in Mrs Thompson’s care</w:t>
            </w:r>
            <w:r>
              <w:rPr>
                <w:noProof/>
                <w:webHidden/>
              </w:rPr>
              <w:tab/>
            </w:r>
            <w:r>
              <w:rPr>
                <w:noProof/>
                <w:webHidden/>
              </w:rPr>
              <w:fldChar w:fldCharType="begin"/>
            </w:r>
            <w:r>
              <w:rPr>
                <w:noProof/>
                <w:webHidden/>
              </w:rPr>
              <w:instrText xml:space="preserve"> PAGEREF _Toc233907513 \h </w:instrText>
            </w:r>
            <w:r>
              <w:rPr>
                <w:noProof/>
                <w:webHidden/>
              </w:rPr>
            </w:r>
            <w:r>
              <w:rPr>
                <w:noProof/>
                <w:webHidden/>
              </w:rPr>
              <w:fldChar w:fldCharType="separate"/>
            </w:r>
            <w:r>
              <w:rPr>
                <w:noProof/>
                <w:webHidden/>
              </w:rPr>
              <w:t>2</w:t>
            </w:r>
            <w:r>
              <w:rPr>
                <w:noProof/>
                <w:webHidden/>
              </w:rPr>
              <w:fldChar w:fldCharType="end"/>
            </w:r>
          </w:hyperlink>
        </w:p>
        <w:p w14:paraId="06285DF0" w14:textId="7CBDE123" w:rsidR="00B10289" w:rsidRDefault="00B10289">
          <w:pPr>
            <w:pStyle w:val="TOC2"/>
            <w:tabs>
              <w:tab w:val="right" w:leader="dot" w:pos="9016"/>
            </w:tabs>
            <w:rPr>
              <w:rFonts w:eastAsiaTheme="minorEastAsia"/>
              <w:b w:val="0"/>
              <w:bCs w:val="0"/>
              <w:noProof/>
              <w:sz w:val="24"/>
              <w:szCs w:val="24"/>
              <w:lang w:eastAsia="en-GB"/>
            </w:rPr>
          </w:pPr>
          <w:hyperlink w:anchor="_Toc233907514" w:history="1">
            <w:r w:rsidRPr="004F1DFB">
              <w:rPr>
                <w:rStyle w:val="Hyperlink"/>
                <w:noProof/>
              </w:rPr>
              <w:t>Communicating with Mrs Thompson</w:t>
            </w:r>
            <w:r>
              <w:rPr>
                <w:noProof/>
                <w:webHidden/>
              </w:rPr>
              <w:tab/>
            </w:r>
            <w:r>
              <w:rPr>
                <w:noProof/>
                <w:webHidden/>
              </w:rPr>
              <w:fldChar w:fldCharType="begin"/>
            </w:r>
            <w:r>
              <w:rPr>
                <w:noProof/>
                <w:webHidden/>
              </w:rPr>
              <w:instrText xml:space="preserve"> PAGEREF _Toc233907514 \h </w:instrText>
            </w:r>
            <w:r>
              <w:rPr>
                <w:noProof/>
                <w:webHidden/>
              </w:rPr>
            </w:r>
            <w:r>
              <w:rPr>
                <w:noProof/>
                <w:webHidden/>
              </w:rPr>
              <w:fldChar w:fldCharType="separate"/>
            </w:r>
            <w:r>
              <w:rPr>
                <w:noProof/>
                <w:webHidden/>
              </w:rPr>
              <w:t>2</w:t>
            </w:r>
            <w:r>
              <w:rPr>
                <w:noProof/>
                <w:webHidden/>
              </w:rPr>
              <w:fldChar w:fldCharType="end"/>
            </w:r>
          </w:hyperlink>
        </w:p>
        <w:p w14:paraId="55A87024" w14:textId="23292FB6" w:rsidR="00B10289" w:rsidRDefault="00B10289">
          <w:pPr>
            <w:pStyle w:val="TOC2"/>
            <w:tabs>
              <w:tab w:val="right" w:leader="dot" w:pos="9016"/>
            </w:tabs>
            <w:rPr>
              <w:rFonts w:eastAsiaTheme="minorEastAsia"/>
              <w:b w:val="0"/>
              <w:bCs w:val="0"/>
              <w:noProof/>
              <w:sz w:val="24"/>
              <w:szCs w:val="24"/>
              <w:lang w:eastAsia="en-GB"/>
            </w:rPr>
          </w:pPr>
          <w:hyperlink w:anchor="_Toc233907515" w:history="1">
            <w:r w:rsidRPr="004F1DFB">
              <w:rPr>
                <w:rStyle w:val="Hyperlink"/>
                <w:noProof/>
              </w:rPr>
              <w:t>Communicating with family members</w:t>
            </w:r>
            <w:r>
              <w:rPr>
                <w:noProof/>
                <w:webHidden/>
              </w:rPr>
              <w:tab/>
            </w:r>
            <w:r>
              <w:rPr>
                <w:noProof/>
                <w:webHidden/>
              </w:rPr>
              <w:fldChar w:fldCharType="begin"/>
            </w:r>
            <w:r>
              <w:rPr>
                <w:noProof/>
                <w:webHidden/>
              </w:rPr>
              <w:instrText xml:space="preserve"> PAGEREF _Toc233907515 \h </w:instrText>
            </w:r>
            <w:r>
              <w:rPr>
                <w:noProof/>
                <w:webHidden/>
              </w:rPr>
            </w:r>
            <w:r>
              <w:rPr>
                <w:noProof/>
                <w:webHidden/>
              </w:rPr>
              <w:fldChar w:fldCharType="separate"/>
            </w:r>
            <w:r>
              <w:rPr>
                <w:noProof/>
                <w:webHidden/>
              </w:rPr>
              <w:t>3</w:t>
            </w:r>
            <w:r>
              <w:rPr>
                <w:noProof/>
                <w:webHidden/>
              </w:rPr>
              <w:fldChar w:fldCharType="end"/>
            </w:r>
          </w:hyperlink>
        </w:p>
        <w:p w14:paraId="39E2F882" w14:textId="7F5F6A15" w:rsidR="00B10289" w:rsidRDefault="00B10289">
          <w:pPr>
            <w:pStyle w:val="TOC2"/>
            <w:tabs>
              <w:tab w:val="right" w:leader="dot" w:pos="9016"/>
            </w:tabs>
            <w:rPr>
              <w:rFonts w:eastAsiaTheme="minorEastAsia"/>
              <w:b w:val="0"/>
              <w:bCs w:val="0"/>
              <w:noProof/>
              <w:sz w:val="24"/>
              <w:szCs w:val="24"/>
              <w:lang w:eastAsia="en-GB"/>
            </w:rPr>
          </w:pPr>
          <w:hyperlink w:anchor="_Toc233907516" w:history="1">
            <w:r w:rsidRPr="004F1DFB">
              <w:rPr>
                <w:rStyle w:val="Hyperlink"/>
                <w:noProof/>
              </w:rPr>
              <w:t>Communication cycle and equality</w:t>
            </w:r>
            <w:r>
              <w:rPr>
                <w:noProof/>
                <w:webHidden/>
              </w:rPr>
              <w:tab/>
            </w:r>
            <w:r>
              <w:rPr>
                <w:noProof/>
                <w:webHidden/>
              </w:rPr>
              <w:fldChar w:fldCharType="begin"/>
            </w:r>
            <w:r>
              <w:rPr>
                <w:noProof/>
                <w:webHidden/>
              </w:rPr>
              <w:instrText xml:space="preserve"> PAGEREF _Toc233907516 \h </w:instrText>
            </w:r>
            <w:r>
              <w:rPr>
                <w:noProof/>
                <w:webHidden/>
              </w:rPr>
            </w:r>
            <w:r>
              <w:rPr>
                <w:noProof/>
                <w:webHidden/>
              </w:rPr>
              <w:fldChar w:fldCharType="separate"/>
            </w:r>
            <w:r>
              <w:rPr>
                <w:noProof/>
                <w:webHidden/>
              </w:rPr>
              <w:t>3</w:t>
            </w:r>
            <w:r>
              <w:rPr>
                <w:noProof/>
                <w:webHidden/>
              </w:rPr>
              <w:fldChar w:fldCharType="end"/>
            </w:r>
          </w:hyperlink>
        </w:p>
        <w:p w14:paraId="53646E7D" w14:textId="5B72CDA1" w:rsidR="00B10289" w:rsidRDefault="00B10289">
          <w:pPr>
            <w:pStyle w:val="TOC1"/>
            <w:tabs>
              <w:tab w:val="right" w:leader="dot" w:pos="9016"/>
            </w:tabs>
            <w:rPr>
              <w:rFonts w:eastAsiaTheme="minorEastAsia"/>
              <w:b w:val="0"/>
              <w:bCs w:val="0"/>
              <w:i w:val="0"/>
              <w:iCs w:val="0"/>
              <w:noProof/>
              <w:lang w:eastAsia="en-GB"/>
            </w:rPr>
          </w:pPr>
          <w:hyperlink w:anchor="_Toc233907517" w:history="1">
            <w:r w:rsidRPr="004F1DFB">
              <w:rPr>
                <w:rStyle w:val="Hyperlink"/>
                <w:noProof/>
              </w:rPr>
              <w:t>2. Good administrative skills in Mrs Thompson’s care</w:t>
            </w:r>
            <w:r>
              <w:rPr>
                <w:noProof/>
                <w:webHidden/>
              </w:rPr>
              <w:tab/>
            </w:r>
            <w:r>
              <w:rPr>
                <w:noProof/>
                <w:webHidden/>
              </w:rPr>
              <w:fldChar w:fldCharType="begin"/>
            </w:r>
            <w:r>
              <w:rPr>
                <w:noProof/>
                <w:webHidden/>
              </w:rPr>
              <w:instrText xml:space="preserve"> PAGEREF _Toc233907517 \h </w:instrText>
            </w:r>
            <w:r>
              <w:rPr>
                <w:noProof/>
                <w:webHidden/>
              </w:rPr>
            </w:r>
            <w:r>
              <w:rPr>
                <w:noProof/>
                <w:webHidden/>
              </w:rPr>
              <w:fldChar w:fldCharType="separate"/>
            </w:r>
            <w:r>
              <w:rPr>
                <w:noProof/>
                <w:webHidden/>
              </w:rPr>
              <w:t>3</w:t>
            </w:r>
            <w:r>
              <w:rPr>
                <w:noProof/>
                <w:webHidden/>
              </w:rPr>
              <w:fldChar w:fldCharType="end"/>
            </w:r>
          </w:hyperlink>
        </w:p>
        <w:p w14:paraId="4EEF9464" w14:textId="77FA79D8" w:rsidR="00B10289" w:rsidRDefault="00B10289">
          <w:pPr>
            <w:pStyle w:val="TOC2"/>
            <w:tabs>
              <w:tab w:val="right" w:leader="dot" w:pos="9016"/>
            </w:tabs>
            <w:rPr>
              <w:rFonts w:eastAsiaTheme="minorEastAsia"/>
              <w:b w:val="0"/>
              <w:bCs w:val="0"/>
              <w:noProof/>
              <w:sz w:val="24"/>
              <w:szCs w:val="24"/>
              <w:lang w:eastAsia="en-GB"/>
            </w:rPr>
          </w:pPr>
          <w:hyperlink w:anchor="_Toc233907518" w:history="1">
            <w:r w:rsidRPr="004F1DFB">
              <w:rPr>
                <w:rStyle w:val="Hyperlink"/>
                <w:noProof/>
              </w:rPr>
              <w:t>Record keeping in practice</w:t>
            </w:r>
            <w:r>
              <w:rPr>
                <w:noProof/>
                <w:webHidden/>
              </w:rPr>
              <w:tab/>
            </w:r>
            <w:r>
              <w:rPr>
                <w:noProof/>
                <w:webHidden/>
              </w:rPr>
              <w:fldChar w:fldCharType="begin"/>
            </w:r>
            <w:r>
              <w:rPr>
                <w:noProof/>
                <w:webHidden/>
              </w:rPr>
              <w:instrText xml:space="preserve"> PAGEREF _Toc233907518 \h </w:instrText>
            </w:r>
            <w:r>
              <w:rPr>
                <w:noProof/>
                <w:webHidden/>
              </w:rPr>
            </w:r>
            <w:r>
              <w:rPr>
                <w:noProof/>
                <w:webHidden/>
              </w:rPr>
              <w:fldChar w:fldCharType="separate"/>
            </w:r>
            <w:r>
              <w:rPr>
                <w:noProof/>
                <w:webHidden/>
              </w:rPr>
              <w:t>3</w:t>
            </w:r>
            <w:r>
              <w:rPr>
                <w:noProof/>
                <w:webHidden/>
              </w:rPr>
              <w:fldChar w:fldCharType="end"/>
            </w:r>
          </w:hyperlink>
        </w:p>
        <w:p w14:paraId="581C9825" w14:textId="1E17CDB3" w:rsidR="00B10289" w:rsidRDefault="00B10289">
          <w:pPr>
            <w:pStyle w:val="TOC2"/>
            <w:tabs>
              <w:tab w:val="right" w:leader="dot" w:pos="9016"/>
            </w:tabs>
            <w:rPr>
              <w:rFonts w:eastAsiaTheme="minorEastAsia"/>
              <w:b w:val="0"/>
              <w:bCs w:val="0"/>
              <w:noProof/>
              <w:sz w:val="24"/>
              <w:szCs w:val="24"/>
              <w:lang w:eastAsia="en-GB"/>
            </w:rPr>
          </w:pPr>
          <w:hyperlink w:anchor="_Toc233907519" w:history="1">
            <w:r w:rsidRPr="004F1DFB">
              <w:rPr>
                <w:rStyle w:val="Hyperlink"/>
                <w:noProof/>
              </w:rPr>
              <w:t>Data protection</w:t>
            </w:r>
            <w:r>
              <w:rPr>
                <w:noProof/>
                <w:webHidden/>
              </w:rPr>
              <w:tab/>
            </w:r>
            <w:r>
              <w:rPr>
                <w:noProof/>
                <w:webHidden/>
              </w:rPr>
              <w:fldChar w:fldCharType="begin"/>
            </w:r>
            <w:r>
              <w:rPr>
                <w:noProof/>
                <w:webHidden/>
              </w:rPr>
              <w:instrText xml:space="preserve"> PAGEREF _Toc233907519 \h </w:instrText>
            </w:r>
            <w:r>
              <w:rPr>
                <w:noProof/>
                <w:webHidden/>
              </w:rPr>
            </w:r>
            <w:r>
              <w:rPr>
                <w:noProof/>
                <w:webHidden/>
              </w:rPr>
              <w:fldChar w:fldCharType="separate"/>
            </w:r>
            <w:r>
              <w:rPr>
                <w:noProof/>
                <w:webHidden/>
              </w:rPr>
              <w:t>4</w:t>
            </w:r>
            <w:r>
              <w:rPr>
                <w:noProof/>
                <w:webHidden/>
              </w:rPr>
              <w:fldChar w:fldCharType="end"/>
            </w:r>
          </w:hyperlink>
        </w:p>
        <w:p w14:paraId="5C0598C9" w14:textId="7F348954" w:rsidR="00B10289" w:rsidRDefault="00B10289">
          <w:pPr>
            <w:pStyle w:val="TOC2"/>
            <w:tabs>
              <w:tab w:val="right" w:leader="dot" w:pos="9016"/>
            </w:tabs>
            <w:rPr>
              <w:rFonts w:eastAsiaTheme="minorEastAsia"/>
              <w:b w:val="0"/>
              <w:bCs w:val="0"/>
              <w:noProof/>
              <w:sz w:val="24"/>
              <w:szCs w:val="24"/>
              <w:lang w:eastAsia="en-GB"/>
            </w:rPr>
          </w:pPr>
          <w:hyperlink w:anchor="_Toc233907520" w:history="1">
            <w:r w:rsidRPr="004F1DFB">
              <w:rPr>
                <w:rStyle w:val="Hyperlink"/>
                <w:noProof/>
              </w:rPr>
              <w:t>Importance for safe care</w:t>
            </w:r>
            <w:r>
              <w:rPr>
                <w:noProof/>
                <w:webHidden/>
              </w:rPr>
              <w:tab/>
            </w:r>
            <w:r>
              <w:rPr>
                <w:noProof/>
                <w:webHidden/>
              </w:rPr>
              <w:fldChar w:fldCharType="begin"/>
            </w:r>
            <w:r>
              <w:rPr>
                <w:noProof/>
                <w:webHidden/>
              </w:rPr>
              <w:instrText xml:space="preserve"> PAGEREF _Toc233907520 \h </w:instrText>
            </w:r>
            <w:r>
              <w:rPr>
                <w:noProof/>
                <w:webHidden/>
              </w:rPr>
            </w:r>
            <w:r>
              <w:rPr>
                <w:noProof/>
                <w:webHidden/>
              </w:rPr>
              <w:fldChar w:fldCharType="separate"/>
            </w:r>
            <w:r>
              <w:rPr>
                <w:noProof/>
                <w:webHidden/>
              </w:rPr>
              <w:t>4</w:t>
            </w:r>
            <w:r>
              <w:rPr>
                <w:noProof/>
                <w:webHidden/>
              </w:rPr>
              <w:fldChar w:fldCharType="end"/>
            </w:r>
          </w:hyperlink>
        </w:p>
        <w:p w14:paraId="5DC32C96" w14:textId="217E039C" w:rsidR="00B10289" w:rsidRDefault="00B10289">
          <w:pPr>
            <w:pStyle w:val="TOC1"/>
            <w:tabs>
              <w:tab w:val="right" w:leader="dot" w:pos="9016"/>
            </w:tabs>
            <w:rPr>
              <w:rFonts w:eastAsiaTheme="minorEastAsia"/>
              <w:b w:val="0"/>
              <w:bCs w:val="0"/>
              <w:i w:val="0"/>
              <w:iCs w:val="0"/>
              <w:noProof/>
              <w:lang w:eastAsia="en-GB"/>
            </w:rPr>
          </w:pPr>
          <w:hyperlink w:anchor="_Toc233907521" w:history="1">
            <w:r w:rsidRPr="004F1DFB">
              <w:rPr>
                <w:rStyle w:val="Hyperlink"/>
                <w:noProof/>
              </w:rPr>
              <w:t>3. Collaborative working in Mrs Thompson’s care</w:t>
            </w:r>
            <w:r>
              <w:rPr>
                <w:noProof/>
                <w:webHidden/>
              </w:rPr>
              <w:tab/>
            </w:r>
            <w:r>
              <w:rPr>
                <w:noProof/>
                <w:webHidden/>
              </w:rPr>
              <w:fldChar w:fldCharType="begin"/>
            </w:r>
            <w:r>
              <w:rPr>
                <w:noProof/>
                <w:webHidden/>
              </w:rPr>
              <w:instrText xml:space="preserve"> PAGEREF _Toc233907521 \h </w:instrText>
            </w:r>
            <w:r>
              <w:rPr>
                <w:noProof/>
                <w:webHidden/>
              </w:rPr>
            </w:r>
            <w:r>
              <w:rPr>
                <w:noProof/>
                <w:webHidden/>
              </w:rPr>
              <w:fldChar w:fldCharType="separate"/>
            </w:r>
            <w:r>
              <w:rPr>
                <w:noProof/>
                <w:webHidden/>
              </w:rPr>
              <w:t>4</w:t>
            </w:r>
            <w:r>
              <w:rPr>
                <w:noProof/>
                <w:webHidden/>
              </w:rPr>
              <w:fldChar w:fldCharType="end"/>
            </w:r>
          </w:hyperlink>
        </w:p>
        <w:p w14:paraId="239260F8" w14:textId="67C24F22" w:rsidR="00B10289" w:rsidRDefault="00B10289">
          <w:pPr>
            <w:pStyle w:val="TOC1"/>
            <w:tabs>
              <w:tab w:val="right" w:leader="dot" w:pos="9016"/>
            </w:tabs>
            <w:rPr>
              <w:rFonts w:eastAsiaTheme="minorEastAsia"/>
              <w:b w:val="0"/>
              <w:bCs w:val="0"/>
              <w:i w:val="0"/>
              <w:iCs w:val="0"/>
              <w:noProof/>
              <w:lang w:eastAsia="en-GB"/>
            </w:rPr>
          </w:pPr>
          <w:hyperlink w:anchor="_Toc233907522" w:history="1">
            <w:r w:rsidRPr="004F1DFB">
              <w:rPr>
                <w:rStyle w:val="Hyperlink"/>
                <w:noProof/>
              </w:rPr>
              <w:t>Conclusion</w:t>
            </w:r>
            <w:r>
              <w:rPr>
                <w:noProof/>
                <w:webHidden/>
              </w:rPr>
              <w:tab/>
            </w:r>
            <w:r>
              <w:rPr>
                <w:noProof/>
                <w:webHidden/>
              </w:rPr>
              <w:fldChar w:fldCharType="begin"/>
            </w:r>
            <w:r>
              <w:rPr>
                <w:noProof/>
                <w:webHidden/>
              </w:rPr>
              <w:instrText xml:space="preserve"> PAGEREF _Toc233907522 \h </w:instrText>
            </w:r>
            <w:r>
              <w:rPr>
                <w:noProof/>
                <w:webHidden/>
              </w:rPr>
            </w:r>
            <w:r>
              <w:rPr>
                <w:noProof/>
                <w:webHidden/>
              </w:rPr>
              <w:fldChar w:fldCharType="separate"/>
            </w:r>
            <w:r>
              <w:rPr>
                <w:noProof/>
                <w:webHidden/>
              </w:rPr>
              <w:t>5</w:t>
            </w:r>
            <w:r>
              <w:rPr>
                <w:noProof/>
                <w:webHidden/>
              </w:rPr>
              <w:fldChar w:fldCharType="end"/>
            </w:r>
          </w:hyperlink>
        </w:p>
        <w:p w14:paraId="419EC1D7" w14:textId="796203B5" w:rsidR="00B10289" w:rsidRDefault="00B10289">
          <w:pPr>
            <w:pStyle w:val="TOC1"/>
            <w:tabs>
              <w:tab w:val="right" w:leader="dot" w:pos="9016"/>
            </w:tabs>
            <w:rPr>
              <w:rFonts w:eastAsiaTheme="minorEastAsia"/>
              <w:b w:val="0"/>
              <w:bCs w:val="0"/>
              <w:i w:val="0"/>
              <w:iCs w:val="0"/>
              <w:noProof/>
              <w:lang w:eastAsia="en-GB"/>
            </w:rPr>
          </w:pPr>
          <w:hyperlink w:anchor="_Toc233907523" w:history="1">
            <w:r w:rsidRPr="004F1DFB">
              <w:rPr>
                <w:rStyle w:val="Hyperlink"/>
                <w:noProof/>
              </w:rPr>
              <w:t>References</w:t>
            </w:r>
            <w:r>
              <w:rPr>
                <w:noProof/>
                <w:webHidden/>
              </w:rPr>
              <w:tab/>
            </w:r>
            <w:r>
              <w:rPr>
                <w:noProof/>
                <w:webHidden/>
              </w:rPr>
              <w:fldChar w:fldCharType="begin"/>
            </w:r>
            <w:r>
              <w:rPr>
                <w:noProof/>
                <w:webHidden/>
              </w:rPr>
              <w:instrText xml:space="preserve"> PAGEREF _Toc233907523 \h </w:instrText>
            </w:r>
            <w:r>
              <w:rPr>
                <w:noProof/>
                <w:webHidden/>
              </w:rPr>
            </w:r>
            <w:r>
              <w:rPr>
                <w:noProof/>
                <w:webHidden/>
              </w:rPr>
              <w:fldChar w:fldCharType="separate"/>
            </w:r>
            <w:r>
              <w:rPr>
                <w:noProof/>
                <w:webHidden/>
              </w:rPr>
              <w:t>6</w:t>
            </w:r>
            <w:r>
              <w:rPr>
                <w:noProof/>
                <w:webHidden/>
              </w:rPr>
              <w:fldChar w:fldCharType="end"/>
            </w:r>
          </w:hyperlink>
        </w:p>
        <w:p w14:paraId="3EE62373" w14:textId="027F3458" w:rsidR="00617944" w:rsidRDefault="00617944">
          <w:r>
            <w:rPr>
              <w:b/>
              <w:bCs/>
              <w:noProof/>
            </w:rPr>
            <w:fldChar w:fldCharType="end"/>
          </w:r>
        </w:p>
      </w:sdtContent>
    </w:sdt>
    <w:p w14:paraId="7E800909" w14:textId="77777777" w:rsidR="00617944" w:rsidRDefault="00617944"/>
    <w:p w14:paraId="7491DAF9" w14:textId="77777777" w:rsidR="009467C8" w:rsidRDefault="009467C8"/>
    <w:p w14:paraId="14C189AB" w14:textId="77777777" w:rsidR="00B10289" w:rsidRDefault="00B10289"/>
    <w:p w14:paraId="10051A08" w14:textId="77777777" w:rsidR="00B10289" w:rsidRDefault="00B10289"/>
    <w:p w14:paraId="3BD60C6A" w14:textId="77777777" w:rsidR="00B10289" w:rsidRDefault="00B10289"/>
    <w:p w14:paraId="2DB72782" w14:textId="77777777" w:rsidR="00B10289" w:rsidRDefault="00B10289"/>
    <w:p w14:paraId="4DA6CBDE" w14:textId="77777777" w:rsidR="009467C8" w:rsidRDefault="009467C8"/>
    <w:p w14:paraId="67BDCCD3" w14:textId="6E797E67" w:rsidR="009467C8" w:rsidRDefault="009467C8" w:rsidP="009467C8">
      <w:pPr>
        <w:pStyle w:val="Heading1"/>
      </w:pPr>
      <w:bookmarkStart w:id="0" w:name="_Toc233907512"/>
      <w:r>
        <w:lastRenderedPageBreak/>
        <w:t>Introduction</w:t>
      </w:r>
      <w:bookmarkEnd w:id="0"/>
    </w:p>
    <w:p w14:paraId="440038E6" w14:textId="16308CF8" w:rsidR="009467C8" w:rsidRDefault="00B10289" w:rsidP="009467C8">
      <w:r w:rsidRPr="00B10289">
        <w:t>Mrs Thompson's story demonstrates critical challenges in health and social care practice, including communication, record keeping, and cross-agency collaboration. As an 84-year-old lady living alone with moderate dementia following a recent hospital release, she needs care that is safe, person-centred, and sensitive to changes in her health. Her missing medicine and increased disorientation demonstrate how rapidly threats to wellness may arise when support needs are not fulfilled. This is crucial because the Care Act 2014 requires services to promote wellbeing, dignity, and protection from harm in adult social care practice (Legislation.gov.uk, 2014).</w:t>
      </w:r>
    </w:p>
    <w:p w14:paraId="000EF69D" w14:textId="27C9308B" w:rsidR="009467C8" w:rsidRDefault="00B10289" w:rsidP="009467C8">
      <w:r w:rsidRPr="00B10289">
        <w:t>The story also demonstrates the value of including the individual and those who assist them in care planning and evaluation. NICE believes that dementia care should be person-centred and should engage persons living with dementia, as well as their relatives and carers, in choices regarding assistance wherever feasible (National Institute for Health and Care Excellence, 2018). This study will thus investigate the relevance of effective communication in Mrs Thompson's care, the role of excellent administrative practice and record keeping, and the necessity for collaborative working among professionals involved in her assistance.</w:t>
      </w:r>
    </w:p>
    <w:p w14:paraId="5EA4758F" w14:textId="44B35957" w:rsidR="00761359" w:rsidRDefault="00761359" w:rsidP="00B10289">
      <w:pPr>
        <w:pStyle w:val="Heading1"/>
      </w:pPr>
      <w:bookmarkStart w:id="1" w:name="_Toc233907513"/>
      <w:r>
        <w:t>1. Effective communication in Mrs Thompson’s care</w:t>
      </w:r>
      <w:bookmarkEnd w:id="1"/>
    </w:p>
    <w:p w14:paraId="1163E465" w14:textId="2F7738E5" w:rsidR="00617944" w:rsidRDefault="00617944" w:rsidP="00B10289">
      <w:pPr>
        <w:pStyle w:val="Heading2"/>
      </w:pPr>
      <w:bookmarkStart w:id="2" w:name="_Toc233907514"/>
      <w:r>
        <w:t>Communicating with Mrs Thompson</w:t>
      </w:r>
      <w:bookmarkEnd w:id="2"/>
    </w:p>
    <w:p w14:paraId="1A3733F7" w14:textId="1D620C49" w:rsidR="00617944" w:rsidRDefault="00B10289" w:rsidP="00617944">
      <w:r w:rsidRPr="00B10289">
        <w:t>Mrs Thompson's care requires effective communication since her moderate dementia, recent hospital discharge, and missed medicine all raise the risk of confusion and subsequent deterioration. Communication in health and social care is more than just transferring information; it is also about fostering trust, promoting understanding, and facilitating informed decision-making. Mrs Thompson's communication should be clear, patient, and tailored to her cognitive demands so that she may be as active in her care as feasible. This represents person-centred dementia care, which emphasises dignity, respect, and the individual's preferences (National Institute for Health and Care Excellence, 2018).</w:t>
      </w:r>
    </w:p>
    <w:p w14:paraId="52D154FC" w14:textId="716B4F21" w:rsidR="00617944" w:rsidRDefault="00B10289" w:rsidP="00617944">
      <w:r w:rsidRPr="00B10289">
        <w:t>Care professionals should communicate in short words, one topic at a time, with calm body language and a comforting tone. They should give Mrs Thompson time to comprehend information and reply, rather than hurrying her. When addressing medicine, routines, or safety issues, it is helpful to repeat crucial facts, provide prompts, and verify knowledge to avoid misunderstanding.</w:t>
      </w:r>
    </w:p>
    <w:p w14:paraId="43B6219C" w14:textId="77777777" w:rsidR="00617944" w:rsidRDefault="00617944" w:rsidP="00617944"/>
    <w:p w14:paraId="192B1847" w14:textId="3CC797DB" w:rsidR="00617944" w:rsidRDefault="00617944" w:rsidP="00B10289">
      <w:pPr>
        <w:pStyle w:val="Heading2"/>
      </w:pPr>
      <w:bookmarkStart w:id="3" w:name="_Toc233907515"/>
      <w:r>
        <w:lastRenderedPageBreak/>
        <w:t>Communicating with family members</w:t>
      </w:r>
      <w:bookmarkEnd w:id="3"/>
    </w:p>
    <w:p w14:paraId="7169FB60" w14:textId="6C5816B1" w:rsidR="00617944" w:rsidRDefault="00B10289" w:rsidP="00617944">
      <w:r>
        <w:t>Communication with Mrs Thompson's family is also essential since they may notice changes in her memory, habit, or conduct. Their feedback can assist care planners and staff better grasp her requirements. Mrs Thompson's privacy, dignity, and rights must still be respected in all communications.</w:t>
      </w:r>
      <w:r>
        <w:br/>
        <w:t>The Equality Act of 2010 applies because services must offer reasonable accommodations for persons with impairments, including dementia-related requirements (Legislation.gov.uk, 2010). This means that communication should be tailored to her specific circumstances rather than employing a generic strategy that may not be effective for her.</w:t>
      </w:r>
    </w:p>
    <w:p w14:paraId="1142FD28" w14:textId="5FCAB971" w:rsidR="00617944" w:rsidRDefault="00617944" w:rsidP="00B10289">
      <w:pPr>
        <w:pStyle w:val="Heading2"/>
      </w:pPr>
      <w:bookmarkStart w:id="4" w:name="_Toc233907516"/>
      <w:r>
        <w:t>Communication cycle and equality</w:t>
      </w:r>
      <w:bookmarkEnd w:id="4"/>
    </w:p>
    <w:p w14:paraId="0975ED6B" w14:textId="0A6B681C" w:rsidR="00B10289" w:rsidRDefault="00B10289" w:rsidP="00617944">
      <w:r w:rsidRPr="00B10289">
        <w:t>The communication cycle is a valuable model because it portrays communication as a process including a sender, message, receiver and feedback. In Mrs Thompson's case, a care worker may explain her medication routine, and her response indicates whether the message was understood. This is crucial since dementia may impair memory and concentration, so workers cannot assume material has been remembered after a single explanation. Checking comprehension helps to prevent drug mistakes and risky conduct.</w:t>
      </w:r>
      <w:r>
        <w:br/>
      </w:r>
      <w:r w:rsidRPr="00B10289">
        <w:t>The Equality and Human Rights Commission also underscores that individuals should get information in ways they can comprehend and access (Equality and Human Rights Commission, n.d.). For Mrs Thompson, this may involve straightforward verbal explanations, written reminders and the help of trusted family members when appropriate. Overall, strong communication helps preserve her safety, fosters independence and promotes a better coordinated response to her demands.</w:t>
      </w:r>
    </w:p>
    <w:p w14:paraId="7550ADB8" w14:textId="77777777" w:rsidR="00617944" w:rsidRDefault="00617944" w:rsidP="00617944">
      <w:pPr>
        <w:pStyle w:val="Heading1"/>
      </w:pPr>
      <w:bookmarkStart w:id="5" w:name="_Toc233907517"/>
      <w:r>
        <w:t>2. Good administrative skills in Mrs Thompson’s care</w:t>
      </w:r>
      <w:bookmarkEnd w:id="5"/>
    </w:p>
    <w:p w14:paraId="49819133" w14:textId="5585AB8C" w:rsidR="00B10289" w:rsidRDefault="00B10289" w:rsidP="00B10289">
      <w:r w:rsidRPr="00B10289">
        <w:t>Mrs Thompson's care requires strong administrative abilities since she must handle medicines, report incidents, and coordinate with other specialists. In health and social care, administration promotes safe practice by ensuring that care is properly documented and communicated. This is especially critical for Mrs Thompson since she missed two days of medicine, grew increasingly disoriented, and was subsequently discovered outside in improper attire, raising concerns about her safety and well-being (Care Quality Commission, 2024).</w:t>
      </w:r>
    </w:p>
    <w:p w14:paraId="7EBD04CA" w14:textId="2B5A7D31" w:rsidR="00617944" w:rsidRDefault="00617944" w:rsidP="00B10289">
      <w:pPr>
        <w:pStyle w:val="Heading2"/>
      </w:pPr>
      <w:bookmarkStart w:id="6" w:name="_Toc233907518"/>
      <w:r>
        <w:t>Record keeping in practice</w:t>
      </w:r>
      <w:bookmarkEnd w:id="6"/>
    </w:p>
    <w:p w14:paraId="7E074D3A" w14:textId="04130E9A" w:rsidR="00B10289" w:rsidRDefault="00B10289" w:rsidP="00617944">
      <w:r w:rsidRPr="00B10289">
        <w:t xml:space="preserve">Records should be factually correct, dated, and signed. It should be filled as quickly as feasible after an occurrence to avoid missing any vital facts. Mrs Thompson's missing medicine should be documented with the date, time, medication involved, action taken, </w:t>
      </w:r>
      <w:r w:rsidRPr="00B10289">
        <w:lastRenderedPageBreak/>
        <w:t>and who was notified. The event in which she was outside without appropriate clothes should also be documented using the service's incident procedure so that staff may analyse what happened and identify any risk trends.</w:t>
      </w:r>
      <w:r>
        <w:br/>
      </w:r>
      <w:r w:rsidRPr="00B10289">
        <w:t>Clear records assist to guarantee continuity of care by allowing all personnel to know what support has been delivered and what needs to happen next. They are also beneficial for medication evaluations, such as the one she requested after missing her pills. Accurate records allow the GP, community nurse, and domiciliary care staff to make educated choices using the same information.</w:t>
      </w:r>
    </w:p>
    <w:p w14:paraId="0B6FAA52" w14:textId="1A41E8F9" w:rsidR="00617944" w:rsidRDefault="00617944" w:rsidP="00B10289">
      <w:pPr>
        <w:pStyle w:val="Heading2"/>
      </w:pPr>
      <w:bookmarkStart w:id="7" w:name="_Toc233907519"/>
      <w:r>
        <w:t>Data protection</w:t>
      </w:r>
      <w:bookmarkEnd w:id="7"/>
    </w:p>
    <w:p w14:paraId="241C9706" w14:textId="6A23DD45" w:rsidR="00B10289" w:rsidRDefault="00B10289" w:rsidP="00617944">
      <w:r>
        <w:t>The Data Protection Act of 2018 is significant since Mrs Thompson's records contain sensitive personal information regarding her health, medicines, and cognitive function. This information must be treated legally, fairly, and securely (Legislation.gov.uk, 2018). Staff should only access or share it as needed for her care, and sensitive information should be kept safe and not disclosed in public places.</w:t>
      </w:r>
      <w:r>
        <w:br/>
        <w:t>Mrs. Thompson's situation requires need-to-know sharing since she is being supported by a team of specialists. Information may need to be shared with the GP, community nurse, or care coordinator, but only if it is necessary for her care and safety. This preserves her privacy while still allowing for correct professional contact.</w:t>
      </w:r>
    </w:p>
    <w:p w14:paraId="5683A27F" w14:textId="000FA8F1" w:rsidR="00617944" w:rsidRDefault="00617944" w:rsidP="00B10289">
      <w:pPr>
        <w:pStyle w:val="Heading2"/>
      </w:pPr>
      <w:bookmarkStart w:id="8" w:name="_Toc233907520"/>
      <w:r>
        <w:t>Importance for safe care</w:t>
      </w:r>
      <w:bookmarkEnd w:id="8"/>
    </w:p>
    <w:p w14:paraId="40D1D879" w14:textId="7CEC8A29" w:rsidR="00B10289" w:rsidRDefault="00B10289">
      <w:r>
        <w:t>Good administration enables services to respond promptly when threats occur. In Mrs Thompson's situation, reliable records may indicate that her disorientation is worsening or that her pharmaceutical assistance needs to be adjusted. The Care Act 2014 is important because it prioritises wellness in adult social care and provides safeguards against neglect and preventable harm (Legislation.gov.uk, 2014).</w:t>
      </w:r>
      <w:r>
        <w:br/>
        <w:t>The Data Protection Act 2018 and the Care Act 2014 complement one another by protecting confidentiality while promoting safety and well-being (Legislation.gov.uk, 2018; Legislation.gov.uk, 2014). If records are insufficient or incorrect, critical warning indicators may be overlooked. Mrs Thompson benefits from good administrative abilities, which enable her to get safe, coordinated, and responsible care.</w:t>
      </w:r>
    </w:p>
    <w:p w14:paraId="4E93FF55" w14:textId="77777777" w:rsidR="00617944" w:rsidRDefault="00617944" w:rsidP="00617944">
      <w:pPr>
        <w:pStyle w:val="Heading1"/>
      </w:pPr>
      <w:bookmarkStart w:id="9" w:name="_Toc233907521"/>
      <w:r>
        <w:t>3. Collaborative working in Mrs Thompson’s care</w:t>
      </w:r>
      <w:bookmarkEnd w:id="9"/>
    </w:p>
    <w:p w14:paraId="765C1772" w14:textId="2DBF82DD" w:rsidR="00617944" w:rsidRDefault="00B10289" w:rsidP="00617944">
      <w:r w:rsidRPr="00B10289">
        <w:t xml:space="preserve">Mrs Thompson's care requires collaborative working since her needs include many experts, including the GP, community nurse, and domiciliary care staff. No single professional can satisfy all of her requirements on her own, especially as she has dementia, recently left the hospital, and has already demonstrated indicators of missing medicine and potential self-neglect. Working together ensures that care is coordinated, risks are detected early, and choices are made using shared knowledge. </w:t>
      </w:r>
      <w:r w:rsidRPr="00B10289">
        <w:lastRenderedPageBreak/>
        <w:t>The Care Act 2014 also encourages collaboration and integration of services, which is critical when health and social care requirements overlap (Legislation.gov.uk, 2014).</w:t>
      </w:r>
    </w:p>
    <w:p w14:paraId="7C461F82" w14:textId="5C7D494D" w:rsidR="00617944" w:rsidRDefault="00B10289" w:rsidP="00617944">
      <w:r w:rsidRPr="00B10289">
        <w:t>Regular communication, such as care evaluations, handovers, and shared records, is a successful method. Domiciliary care staff may observe daily changes such as disorientation or missing medicine, whereas the doctor and community nurse can respond medically and clinically. When each specialist shares their views, the entire picture of Mrs Thompson's requirements becomes clearer. This decreases the danger of fragmented care and allows experts to make more informed judgements. The NHS Accessible Information Standard is also significant since it specifies how services should identify, record, exchange, and assess people's communication requirements to provide consistent support across agencies (NHS England, 2025).</w:t>
      </w:r>
    </w:p>
    <w:p w14:paraId="431A1CBE" w14:textId="35BB3C72" w:rsidR="00617944" w:rsidRDefault="00B10289" w:rsidP="00617944">
      <w:r w:rsidRPr="00B10289">
        <w:t>However, multi-agency collaboration can be hampered by poor communication, unclear duties, and delays in responding to complaints. These issues may be mitigated by establishing clear roles, identified leaders, and agreed-upon care plans to ensure that everyone understands their obligations. In Mrs Thompson's instance, keeping precise records of medication issues and safeguarding concerns would allow various providers to respond consistently. Trust and respect are also vital because cooperation works best when experts recognise each other's contributions while remaining focused on the service user's well-being.</w:t>
      </w:r>
    </w:p>
    <w:p w14:paraId="49A18125" w14:textId="4D71F4CD" w:rsidR="00B10289" w:rsidRDefault="00B10289" w:rsidP="00617944">
      <w:r w:rsidRPr="00B10289">
        <w:t>Overall, collaborative cooperation ensures that Mrs Thompson receives integrated care rather than individual treatments. It enhances safety, helps with decision-making, and enables experts to respond more effectively to changes in her health. This type of coordination is critical for an older adult with dementia in reducing needless damage while also maintaining dignity and well-being (National Institute for Health and Care Excellence, 2018).</w:t>
      </w:r>
    </w:p>
    <w:p w14:paraId="0144F43B" w14:textId="77777777" w:rsidR="00617944" w:rsidRDefault="00617944" w:rsidP="00617944">
      <w:pPr>
        <w:pStyle w:val="Heading1"/>
      </w:pPr>
      <w:bookmarkStart w:id="10" w:name="_Toc233907522"/>
      <w:r>
        <w:t>Conclusion</w:t>
      </w:r>
      <w:bookmarkEnd w:id="10"/>
    </w:p>
    <w:p w14:paraId="6D18DC66" w14:textId="61AFF0F1" w:rsidR="00617944" w:rsidRDefault="00B10289" w:rsidP="00617944">
      <w:r w:rsidRPr="00B10289">
        <w:t>Finally, Mrs Thompson's story demonstrates how good communication, correct administration, and collaborative teamwork all help to ensure safe and person-centred care. Clear communication allows her to absorb information, participate in choices, and lessen the confusion associated with dementia. Good record keeping and the right treatment of personal information promote continuity, accountability, and legal compliance. Collaboration among the GP, community nurse, and domiciliary care workers ensures that problems such as missing medication and safety hazards are detected early and addressed promptly. Together, these policies safeguard Mrs Thompson's dignity, well-being, and independence while lowering the risk of preventable injury in her care.</w:t>
      </w:r>
    </w:p>
    <w:p w14:paraId="120ADF57" w14:textId="393EFF31" w:rsidR="009467C8" w:rsidRDefault="009467C8" w:rsidP="009467C8">
      <w:pPr>
        <w:pStyle w:val="Heading1"/>
      </w:pPr>
      <w:bookmarkStart w:id="11" w:name="_Toc233907523"/>
      <w:r>
        <w:lastRenderedPageBreak/>
        <w:t>References</w:t>
      </w:r>
      <w:bookmarkEnd w:id="11"/>
    </w:p>
    <w:p w14:paraId="16A20AEB" w14:textId="77777777" w:rsidR="009467C8" w:rsidRDefault="009467C8" w:rsidP="009467C8">
      <w:r>
        <w:t>Adams, T. and Gardiner, P. (2005) ‘Communication and interaction within dementia care triads’, Dementia, 4(2), pp. 185–205.</w:t>
      </w:r>
    </w:p>
    <w:p w14:paraId="78E3E4D9" w14:textId="77777777" w:rsidR="009467C8" w:rsidRDefault="009467C8" w:rsidP="009467C8">
      <w:r>
        <w:t>Adler, R.B., Rosenfeld, L.B. and Proctor, R.F. (2018) Interplay: The process of interpersonal communication. 14th edn. Oxford: Oxford University Press.</w:t>
      </w:r>
    </w:p>
    <w:p w14:paraId="02FC1B6B" w14:textId="3F164678" w:rsidR="009467C8" w:rsidRDefault="009467C8" w:rsidP="009467C8">
      <w:r>
        <w:t xml:space="preserve">Care Quality Commission (2024) Digital record systems - adult social care. Available at: </w:t>
      </w:r>
      <w:hyperlink r:id="rId7" w:history="1">
        <w:r w:rsidRPr="003337CE">
          <w:rPr>
            <w:rStyle w:val="Hyperlink"/>
          </w:rPr>
          <w:t>https://www.cqc.org.uk/guidance-providers/adult-social-care/digital-record-systems-adult-social-care-services</w:t>
        </w:r>
      </w:hyperlink>
      <w:r>
        <w:t xml:space="preserve"> </w:t>
      </w:r>
    </w:p>
    <w:p w14:paraId="56A2F7E0" w14:textId="1F7A2524" w:rsidR="009467C8" w:rsidRDefault="009467C8" w:rsidP="009467C8">
      <w:r>
        <w:t xml:space="preserve">Department of Health and Social Care (2014) Equality and diversity. Available at: </w:t>
      </w:r>
      <w:hyperlink r:id="rId8" w:history="1">
        <w:r w:rsidRPr="003337CE">
          <w:rPr>
            <w:rStyle w:val="Hyperlink"/>
          </w:rPr>
          <w:t>https://www.gov.uk/government/organisations/department-of-health-and-social-care/about/equality-and-diversity</w:t>
        </w:r>
      </w:hyperlink>
      <w:r>
        <w:t xml:space="preserve"> </w:t>
      </w:r>
    </w:p>
    <w:p w14:paraId="7E3F9C5B" w14:textId="2CE9391C" w:rsidR="009467C8" w:rsidRDefault="009467C8" w:rsidP="009467C8">
      <w:r>
        <w:t xml:space="preserve">Equality and Human Rights Commission (n.d.) Your rights to equality from healthcare and social care services. Available at: </w:t>
      </w:r>
      <w:hyperlink r:id="rId9" w:history="1">
        <w:r w:rsidRPr="003337CE">
          <w:rPr>
            <w:rStyle w:val="Hyperlink"/>
          </w:rPr>
          <w:t>https://www.equalityhumanrights.com/sites/default/files/your_rights_to_equality_from_healthcare_and_social_care_services.pdf</w:t>
        </w:r>
      </w:hyperlink>
      <w:r>
        <w:t xml:space="preserve"> </w:t>
      </w:r>
    </w:p>
    <w:p w14:paraId="619514C6" w14:textId="1409C8BF" w:rsidR="009467C8" w:rsidRDefault="009467C8" w:rsidP="009467C8">
      <w:r>
        <w:t xml:space="preserve">Legislation.gov.uk (2010) Equality Act 2010. Available at: </w:t>
      </w:r>
      <w:hyperlink r:id="rId10" w:history="1">
        <w:r w:rsidRPr="003337CE">
          <w:rPr>
            <w:rStyle w:val="Hyperlink"/>
          </w:rPr>
          <w:t>https://www.legislation.gov.uk/ukpga/2010/15/contents</w:t>
        </w:r>
      </w:hyperlink>
      <w:r>
        <w:t xml:space="preserve"> </w:t>
      </w:r>
    </w:p>
    <w:p w14:paraId="6852C0E0" w14:textId="389595A7" w:rsidR="009467C8" w:rsidRDefault="009467C8" w:rsidP="009467C8">
      <w:r>
        <w:t xml:space="preserve">Legislation.gov.uk (2014) Care Act 2014. Available at: </w:t>
      </w:r>
      <w:hyperlink r:id="rId11" w:history="1">
        <w:r w:rsidRPr="003337CE">
          <w:rPr>
            <w:rStyle w:val="Hyperlink"/>
          </w:rPr>
          <w:t>https://www.legislation.gov.uk/ukpga/2014/23/section/1</w:t>
        </w:r>
      </w:hyperlink>
      <w:r>
        <w:t xml:space="preserve"> </w:t>
      </w:r>
    </w:p>
    <w:p w14:paraId="2377E185" w14:textId="305B5C2D" w:rsidR="009467C8" w:rsidRDefault="009467C8" w:rsidP="009467C8">
      <w:r>
        <w:t xml:space="preserve">Legislation.gov.uk (2018) Data Protection Act 2018. Available at: </w:t>
      </w:r>
      <w:hyperlink r:id="rId12" w:history="1">
        <w:r w:rsidRPr="003337CE">
          <w:rPr>
            <w:rStyle w:val="Hyperlink"/>
          </w:rPr>
          <w:t>https://www.legislation.gov.uk/ukpga/2018/12/contents</w:t>
        </w:r>
      </w:hyperlink>
      <w:r>
        <w:t xml:space="preserve"> </w:t>
      </w:r>
    </w:p>
    <w:p w14:paraId="0A056272" w14:textId="74D28133" w:rsidR="009467C8" w:rsidRDefault="009467C8" w:rsidP="009467C8">
      <w:r>
        <w:t xml:space="preserve">National Institute for Health and Care Excellence (2018) Dementia: assessment, management and support for people living with dementia and their carers. Available at: </w:t>
      </w:r>
      <w:hyperlink r:id="rId13" w:history="1">
        <w:r w:rsidRPr="003337CE">
          <w:rPr>
            <w:rStyle w:val="Hyperlink"/>
          </w:rPr>
          <w:t>https://www.nice.org.uk/guidance/ng97</w:t>
        </w:r>
      </w:hyperlink>
      <w:r>
        <w:t xml:space="preserve"> </w:t>
      </w:r>
    </w:p>
    <w:p w14:paraId="53F19145" w14:textId="2640D6AC" w:rsidR="009467C8" w:rsidRDefault="009467C8" w:rsidP="009467C8">
      <w:r>
        <w:t xml:space="preserve">NHS England (2025) About the standard. Available at: </w:t>
      </w:r>
      <w:hyperlink r:id="rId14" w:history="1">
        <w:r w:rsidRPr="003337CE">
          <w:rPr>
            <w:rStyle w:val="Hyperlink"/>
          </w:rPr>
          <w:t>https://www.england.nhs.uk/accessible-information-standard/about-the-standard/</w:t>
        </w:r>
      </w:hyperlink>
      <w:r>
        <w:t xml:space="preserve"> </w:t>
      </w:r>
    </w:p>
    <w:p w14:paraId="277D1D9D" w14:textId="28A603E0" w:rsidR="009467C8" w:rsidRDefault="009467C8" w:rsidP="009467C8">
      <w:r>
        <w:t xml:space="preserve">NHS England (2025) Accessible Information Standard: requirements specification. Available at: </w:t>
      </w:r>
      <w:hyperlink r:id="rId15" w:history="1">
        <w:r w:rsidRPr="003337CE">
          <w:rPr>
            <w:rStyle w:val="Hyperlink"/>
          </w:rPr>
          <w:t>https://www.england.nhs.uk/wp-content/uploads/2025/06/ais-requirements-specification-easy-read-v2.pdf</w:t>
        </w:r>
      </w:hyperlink>
      <w:r>
        <w:t xml:space="preserve"> </w:t>
      </w:r>
    </w:p>
    <w:p w14:paraId="2538B429" w14:textId="77777777" w:rsidR="00617944" w:rsidRDefault="00617944" w:rsidP="009467C8"/>
    <w:p w14:paraId="5F092DA3" w14:textId="222A9BF7" w:rsidR="00617944" w:rsidRPr="009467C8" w:rsidRDefault="00617944" w:rsidP="00617944"/>
    <w:sectPr w:rsidR="00617944" w:rsidRPr="009467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7C8"/>
    <w:rsid w:val="00006CB0"/>
    <w:rsid w:val="000244D0"/>
    <w:rsid w:val="000D6484"/>
    <w:rsid w:val="00162051"/>
    <w:rsid w:val="00310984"/>
    <w:rsid w:val="004F03EC"/>
    <w:rsid w:val="0050393C"/>
    <w:rsid w:val="005B7F2B"/>
    <w:rsid w:val="00617944"/>
    <w:rsid w:val="00630EBC"/>
    <w:rsid w:val="006A5DBA"/>
    <w:rsid w:val="00761359"/>
    <w:rsid w:val="007E3AE8"/>
    <w:rsid w:val="007E5E8A"/>
    <w:rsid w:val="00872261"/>
    <w:rsid w:val="00892B46"/>
    <w:rsid w:val="008F0B1F"/>
    <w:rsid w:val="009467C8"/>
    <w:rsid w:val="00B10289"/>
    <w:rsid w:val="00D52514"/>
    <w:rsid w:val="00D77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0B725"/>
  <w15:chartTrackingRefBased/>
  <w15:docId w15:val="{073A7815-C9F3-7F4E-B1B6-580B7F838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6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6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7C8"/>
    <w:rPr>
      <w:rFonts w:eastAsiaTheme="majorEastAsia" w:cstheme="majorBidi"/>
      <w:color w:val="272727" w:themeColor="text1" w:themeTint="D8"/>
    </w:rPr>
  </w:style>
  <w:style w:type="paragraph" w:styleId="Title">
    <w:name w:val="Title"/>
    <w:basedOn w:val="Normal"/>
    <w:next w:val="Normal"/>
    <w:link w:val="TitleChar"/>
    <w:uiPriority w:val="10"/>
    <w:qFormat/>
    <w:rsid w:val="00946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7C8"/>
    <w:pPr>
      <w:spacing w:before="160"/>
      <w:jc w:val="center"/>
    </w:pPr>
    <w:rPr>
      <w:i/>
      <w:iCs/>
      <w:color w:val="404040" w:themeColor="text1" w:themeTint="BF"/>
    </w:rPr>
  </w:style>
  <w:style w:type="character" w:customStyle="1" w:styleId="QuoteChar">
    <w:name w:val="Quote Char"/>
    <w:basedOn w:val="DefaultParagraphFont"/>
    <w:link w:val="Quote"/>
    <w:uiPriority w:val="29"/>
    <w:rsid w:val="009467C8"/>
    <w:rPr>
      <w:i/>
      <w:iCs/>
      <w:color w:val="404040" w:themeColor="text1" w:themeTint="BF"/>
    </w:rPr>
  </w:style>
  <w:style w:type="paragraph" w:styleId="ListParagraph">
    <w:name w:val="List Paragraph"/>
    <w:basedOn w:val="Normal"/>
    <w:uiPriority w:val="34"/>
    <w:qFormat/>
    <w:rsid w:val="009467C8"/>
    <w:pPr>
      <w:ind w:left="720"/>
      <w:contextualSpacing/>
    </w:pPr>
  </w:style>
  <w:style w:type="character" w:styleId="IntenseEmphasis">
    <w:name w:val="Intense Emphasis"/>
    <w:basedOn w:val="DefaultParagraphFont"/>
    <w:uiPriority w:val="21"/>
    <w:qFormat/>
    <w:rsid w:val="009467C8"/>
    <w:rPr>
      <w:i/>
      <w:iCs/>
      <w:color w:val="0F4761" w:themeColor="accent1" w:themeShade="BF"/>
    </w:rPr>
  </w:style>
  <w:style w:type="paragraph" w:styleId="IntenseQuote">
    <w:name w:val="Intense Quote"/>
    <w:basedOn w:val="Normal"/>
    <w:next w:val="Normal"/>
    <w:link w:val="IntenseQuoteChar"/>
    <w:uiPriority w:val="30"/>
    <w:qFormat/>
    <w:rsid w:val="00946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7C8"/>
    <w:rPr>
      <w:i/>
      <w:iCs/>
      <w:color w:val="0F4761" w:themeColor="accent1" w:themeShade="BF"/>
    </w:rPr>
  </w:style>
  <w:style w:type="character" w:styleId="IntenseReference">
    <w:name w:val="Intense Reference"/>
    <w:basedOn w:val="DefaultParagraphFont"/>
    <w:uiPriority w:val="32"/>
    <w:qFormat/>
    <w:rsid w:val="009467C8"/>
    <w:rPr>
      <w:b/>
      <w:bCs/>
      <w:smallCaps/>
      <w:color w:val="0F4761" w:themeColor="accent1" w:themeShade="BF"/>
      <w:spacing w:val="5"/>
    </w:rPr>
  </w:style>
  <w:style w:type="character" w:styleId="Hyperlink">
    <w:name w:val="Hyperlink"/>
    <w:basedOn w:val="DefaultParagraphFont"/>
    <w:uiPriority w:val="99"/>
    <w:unhideWhenUsed/>
    <w:rsid w:val="009467C8"/>
    <w:rPr>
      <w:color w:val="467886" w:themeColor="hyperlink"/>
      <w:u w:val="single"/>
    </w:rPr>
  </w:style>
  <w:style w:type="character" w:styleId="UnresolvedMention">
    <w:name w:val="Unresolved Mention"/>
    <w:basedOn w:val="DefaultParagraphFont"/>
    <w:uiPriority w:val="99"/>
    <w:semiHidden/>
    <w:unhideWhenUsed/>
    <w:rsid w:val="009467C8"/>
    <w:rPr>
      <w:color w:val="605E5C"/>
      <w:shd w:val="clear" w:color="auto" w:fill="E1DFDD"/>
    </w:rPr>
  </w:style>
  <w:style w:type="character" w:styleId="FollowedHyperlink">
    <w:name w:val="FollowedHyperlink"/>
    <w:basedOn w:val="DefaultParagraphFont"/>
    <w:uiPriority w:val="99"/>
    <w:semiHidden/>
    <w:unhideWhenUsed/>
    <w:rsid w:val="009467C8"/>
    <w:rPr>
      <w:color w:val="96607D" w:themeColor="followedHyperlink"/>
      <w:u w:val="single"/>
    </w:rPr>
  </w:style>
  <w:style w:type="paragraph" w:styleId="TOCHeading">
    <w:name w:val="TOC Heading"/>
    <w:basedOn w:val="Heading1"/>
    <w:next w:val="Normal"/>
    <w:uiPriority w:val="39"/>
    <w:unhideWhenUsed/>
    <w:qFormat/>
    <w:rsid w:val="0061794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17944"/>
    <w:pPr>
      <w:spacing w:before="120" w:after="0"/>
    </w:pPr>
    <w:rPr>
      <w:b/>
      <w:bCs/>
      <w:i/>
      <w:iCs/>
    </w:rPr>
  </w:style>
  <w:style w:type="paragraph" w:styleId="TOC2">
    <w:name w:val="toc 2"/>
    <w:basedOn w:val="Normal"/>
    <w:next w:val="Normal"/>
    <w:autoRedefine/>
    <w:uiPriority w:val="39"/>
    <w:unhideWhenUsed/>
    <w:rsid w:val="00617944"/>
    <w:pPr>
      <w:spacing w:before="120" w:after="0"/>
      <w:ind w:left="240"/>
    </w:pPr>
    <w:rPr>
      <w:b/>
      <w:bCs/>
      <w:sz w:val="22"/>
      <w:szCs w:val="22"/>
    </w:rPr>
  </w:style>
  <w:style w:type="paragraph" w:styleId="TOC3">
    <w:name w:val="toc 3"/>
    <w:basedOn w:val="Normal"/>
    <w:next w:val="Normal"/>
    <w:autoRedefine/>
    <w:uiPriority w:val="39"/>
    <w:semiHidden/>
    <w:unhideWhenUsed/>
    <w:rsid w:val="00617944"/>
    <w:pPr>
      <w:spacing w:after="0"/>
      <w:ind w:left="480"/>
    </w:pPr>
    <w:rPr>
      <w:sz w:val="20"/>
      <w:szCs w:val="20"/>
    </w:rPr>
  </w:style>
  <w:style w:type="paragraph" w:styleId="TOC4">
    <w:name w:val="toc 4"/>
    <w:basedOn w:val="Normal"/>
    <w:next w:val="Normal"/>
    <w:autoRedefine/>
    <w:uiPriority w:val="39"/>
    <w:semiHidden/>
    <w:unhideWhenUsed/>
    <w:rsid w:val="00617944"/>
    <w:pPr>
      <w:spacing w:after="0"/>
      <w:ind w:left="720"/>
    </w:pPr>
    <w:rPr>
      <w:sz w:val="20"/>
      <w:szCs w:val="20"/>
    </w:rPr>
  </w:style>
  <w:style w:type="paragraph" w:styleId="TOC5">
    <w:name w:val="toc 5"/>
    <w:basedOn w:val="Normal"/>
    <w:next w:val="Normal"/>
    <w:autoRedefine/>
    <w:uiPriority w:val="39"/>
    <w:semiHidden/>
    <w:unhideWhenUsed/>
    <w:rsid w:val="00617944"/>
    <w:pPr>
      <w:spacing w:after="0"/>
      <w:ind w:left="960"/>
    </w:pPr>
    <w:rPr>
      <w:sz w:val="20"/>
      <w:szCs w:val="20"/>
    </w:rPr>
  </w:style>
  <w:style w:type="paragraph" w:styleId="TOC6">
    <w:name w:val="toc 6"/>
    <w:basedOn w:val="Normal"/>
    <w:next w:val="Normal"/>
    <w:autoRedefine/>
    <w:uiPriority w:val="39"/>
    <w:semiHidden/>
    <w:unhideWhenUsed/>
    <w:rsid w:val="00617944"/>
    <w:pPr>
      <w:spacing w:after="0"/>
      <w:ind w:left="1200"/>
    </w:pPr>
    <w:rPr>
      <w:sz w:val="20"/>
      <w:szCs w:val="20"/>
    </w:rPr>
  </w:style>
  <w:style w:type="paragraph" w:styleId="TOC7">
    <w:name w:val="toc 7"/>
    <w:basedOn w:val="Normal"/>
    <w:next w:val="Normal"/>
    <w:autoRedefine/>
    <w:uiPriority w:val="39"/>
    <w:semiHidden/>
    <w:unhideWhenUsed/>
    <w:rsid w:val="00617944"/>
    <w:pPr>
      <w:spacing w:after="0"/>
      <w:ind w:left="1440"/>
    </w:pPr>
    <w:rPr>
      <w:sz w:val="20"/>
      <w:szCs w:val="20"/>
    </w:rPr>
  </w:style>
  <w:style w:type="paragraph" w:styleId="TOC8">
    <w:name w:val="toc 8"/>
    <w:basedOn w:val="Normal"/>
    <w:next w:val="Normal"/>
    <w:autoRedefine/>
    <w:uiPriority w:val="39"/>
    <w:semiHidden/>
    <w:unhideWhenUsed/>
    <w:rsid w:val="00617944"/>
    <w:pPr>
      <w:spacing w:after="0"/>
      <w:ind w:left="1680"/>
    </w:pPr>
    <w:rPr>
      <w:sz w:val="20"/>
      <w:szCs w:val="20"/>
    </w:rPr>
  </w:style>
  <w:style w:type="paragraph" w:styleId="TOC9">
    <w:name w:val="toc 9"/>
    <w:basedOn w:val="Normal"/>
    <w:next w:val="Normal"/>
    <w:autoRedefine/>
    <w:uiPriority w:val="39"/>
    <w:semiHidden/>
    <w:unhideWhenUsed/>
    <w:rsid w:val="00617944"/>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department-of-health-and-social-care/about/equality-and-diversity" TargetMode="External"/><Relationship Id="rId13" Type="http://schemas.openxmlformats.org/officeDocument/2006/relationships/hyperlink" Target="https://www.nice.org.uk/guidance/ng97" TargetMode="External"/><Relationship Id="rId3" Type="http://schemas.openxmlformats.org/officeDocument/2006/relationships/customXml" Target="../customXml/item3.xml"/><Relationship Id="rId7" Type="http://schemas.openxmlformats.org/officeDocument/2006/relationships/hyperlink" Target="https://www.cqc.org.uk/guidance-providers/adult-social-care/digital-record-systems-adult-social-care-services" TargetMode="External"/><Relationship Id="rId12" Type="http://schemas.openxmlformats.org/officeDocument/2006/relationships/hyperlink" Target="https://www.legislation.gov.uk/ukpga/2018/12/content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4/23/section/1" TargetMode="External"/><Relationship Id="rId5" Type="http://schemas.openxmlformats.org/officeDocument/2006/relationships/settings" Target="settings.xml"/><Relationship Id="rId15" Type="http://schemas.openxmlformats.org/officeDocument/2006/relationships/hyperlink" Target="https://www.england.nhs.uk/wp-content/uploads/2025/06/ais-requirements-specification-easy-read-v2.pdf" TargetMode="External"/><Relationship Id="rId10" Type="http://schemas.openxmlformats.org/officeDocument/2006/relationships/hyperlink" Target="https://www.legislation.gov.uk/ukpga/2010/15/contents" TargetMode="External"/><Relationship Id="rId4" Type="http://schemas.openxmlformats.org/officeDocument/2006/relationships/styles" Target="styles.xml"/><Relationship Id="rId9" Type="http://schemas.openxmlformats.org/officeDocument/2006/relationships/hyperlink" Target="https://www.equalityhumanrights.com/sites/default/files/your_rights_to_equality_from_healthcare_and_social_care_services.pdf" TargetMode="External"/><Relationship Id="rId14" Type="http://schemas.openxmlformats.org/officeDocument/2006/relationships/hyperlink" Target="https://www.england.nhs.uk/accessible-information-standard/about-the-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724ed8955bcb30d8329edd692db9a407">
  <xsd:schema xmlns:xsd="http://www.w3.org/2001/XMLSchema" xmlns:xs="http://www.w3.org/2001/XMLSchema" xmlns:p="http://schemas.microsoft.com/office/2006/metadata/properties" xmlns:ns3="901b7179-a49d-4669-ab88-101a0e80079b" targetNamespace="http://schemas.microsoft.com/office/2006/metadata/properties" ma:root="true" ma:fieldsID="b499ce4fabf2a36d347276e337cd5925"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F6F7DED-F8B7-46BB-AAE4-8B2FB7B612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39AEF3-9C78-41B8-B5E3-C71BEB0C1F29}">
  <ds:schemaRefs>
    <ds:schemaRef ds:uri="http://schemas.microsoft.com/sharepoint/v3/contenttype/forms"/>
  </ds:schemaRefs>
</ds:datastoreItem>
</file>

<file path=customXml/itemProps3.xml><?xml version="1.0" encoding="utf-8"?>
<ds:datastoreItem xmlns:ds="http://schemas.openxmlformats.org/officeDocument/2006/customXml" ds:itemID="{33037417-EA2A-4B93-A9B9-9ECA2721C5C3}">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2165</Words>
  <Characters>12345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Giuliano Catania (2242264)</dc:creator>
  <cp:keywords/>
  <dc:description/>
  <cp:lastModifiedBy>anamaria zamfir</cp:lastModifiedBy>
  <cp:revision>9</cp:revision>
  <dcterms:created xsi:type="dcterms:W3CDTF">2026-07-18T23:59:00Z</dcterms:created>
  <dcterms:modified xsi:type="dcterms:W3CDTF">2026-07-19T00:03:00Z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