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8EAADB" w:themeFill="accent1" w:themeFillTint="99"/>
        <w:tblLook w:val="04A0" w:firstRow="1" w:lastRow="0" w:firstColumn="1" w:lastColumn="0" w:noHBand="0" w:noVBand="1"/>
      </w:tblPr>
      <w:tblGrid>
        <w:gridCol w:w="4675"/>
        <w:gridCol w:w="4675"/>
      </w:tblGrid>
      <w:tr w:rsidR="001718B7" w14:paraId="409980FB" w14:textId="77777777" w:rsidTr="001718B7">
        <w:tc>
          <w:tcPr>
            <w:tcW w:w="4675" w:type="dxa"/>
            <w:shd w:val="clear" w:color="auto" w:fill="8EAADB" w:themeFill="accent1" w:themeFillTint="99"/>
          </w:tcPr>
          <w:p w14:paraId="563A4BCB" w14:textId="451C9F09" w:rsidR="001718B7" w:rsidRPr="001718B7" w:rsidRDefault="001718B7" w:rsidP="001718B7">
            <w:pPr>
              <w:spacing w:line="360" w:lineRule="auto"/>
              <w:rPr>
                <w:rFonts w:ascii="Arial" w:hAnsi="Arial" w:cs="Arial"/>
                <w:sz w:val="24"/>
                <w:szCs w:val="24"/>
              </w:rPr>
            </w:pPr>
            <w:r w:rsidRPr="001718B7">
              <w:rPr>
                <w:rFonts w:ascii="Arial" w:hAnsi="Arial" w:cs="Arial"/>
                <w:b/>
                <w:sz w:val="24"/>
                <w:szCs w:val="24"/>
              </w:rPr>
              <w:t>Student Name</w:t>
            </w:r>
            <w:r w:rsidRPr="001718B7">
              <w:rPr>
                <w:rFonts w:ascii="Arial" w:hAnsi="Arial" w:cs="Arial"/>
                <w:sz w:val="24"/>
                <w:szCs w:val="24"/>
              </w:rPr>
              <w:t>:</w:t>
            </w:r>
            <w:r w:rsidR="00C14E17">
              <w:rPr>
                <w:rFonts w:ascii="Arial" w:hAnsi="Arial" w:cs="Arial"/>
                <w:sz w:val="24"/>
                <w:szCs w:val="24"/>
              </w:rPr>
              <w:t xml:space="preserve"> Oluwatosin Osoba</w:t>
            </w:r>
          </w:p>
          <w:p w14:paraId="157A9BAA" w14:textId="3B78672C" w:rsidR="001718B7" w:rsidRPr="001718B7" w:rsidRDefault="001718B7" w:rsidP="001718B7">
            <w:pPr>
              <w:spacing w:line="360" w:lineRule="auto"/>
              <w:rPr>
                <w:rFonts w:ascii="Arial" w:hAnsi="Arial" w:cs="Arial"/>
                <w:sz w:val="24"/>
                <w:szCs w:val="24"/>
              </w:rPr>
            </w:pPr>
            <w:r w:rsidRPr="001718B7">
              <w:rPr>
                <w:rFonts w:ascii="Arial" w:hAnsi="Arial" w:cs="Arial"/>
                <w:b/>
                <w:sz w:val="24"/>
                <w:szCs w:val="24"/>
              </w:rPr>
              <w:t>Student Number</w:t>
            </w:r>
            <w:r w:rsidRPr="001718B7">
              <w:rPr>
                <w:rFonts w:ascii="Arial" w:hAnsi="Arial" w:cs="Arial"/>
                <w:sz w:val="24"/>
                <w:szCs w:val="24"/>
              </w:rPr>
              <w:t>:</w:t>
            </w:r>
            <w:r w:rsidR="00C14E17">
              <w:rPr>
                <w:rFonts w:ascii="Arial" w:hAnsi="Arial" w:cs="Arial"/>
                <w:sz w:val="24"/>
                <w:szCs w:val="24"/>
              </w:rPr>
              <w:t>2013493</w:t>
            </w:r>
          </w:p>
        </w:tc>
        <w:tc>
          <w:tcPr>
            <w:tcW w:w="4675" w:type="dxa"/>
            <w:shd w:val="clear" w:color="auto" w:fill="8EAADB" w:themeFill="accent1" w:themeFillTint="99"/>
          </w:tcPr>
          <w:p w14:paraId="1BB29856" w14:textId="3EE94C08" w:rsidR="001718B7" w:rsidRPr="001718B7" w:rsidRDefault="001718B7" w:rsidP="001718B7">
            <w:pPr>
              <w:spacing w:line="360" w:lineRule="auto"/>
              <w:rPr>
                <w:rFonts w:ascii="Arial" w:hAnsi="Arial" w:cs="Arial"/>
                <w:sz w:val="24"/>
                <w:szCs w:val="24"/>
              </w:rPr>
            </w:pPr>
            <w:r w:rsidRPr="001718B7">
              <w:rPr>
                <w:rFonts w:ascii="Arial" w:hAnsi="Arial" w:cs="Arial"/>
                <w:b/>
                <w:sz w:val="24"/>
                <w:szCs w:val="24"/>
              </w:rPr>
              <w:t>Module</w:t>
            </w:r>
            <w:r>
              <w:rPr>
                <w:rFonts w:ascii="Arial" w:hAnsi="Arial" w:cs="Arial"/>
                <w:sz w:val="24"/>
                <w:szCs w:val="24"/>
              </w:rPr>
              <w:t>:</w:t>
            </w:r>
            <w:r w:rsidR="00C14E17">
              <w:t xml:space="preserve"> </w:t>
            </w:r>
            <w:r w:rsidR="00C14E17" w:rsidRPr="00C14E17">
              <w:rPr>
                <w:rFonts w:ascii="Arial" w:hAnsi="Arial" w:cs="Arial"/>
                <w:sz w:val="24"/>
                <w:szCs w:val="24"/>
              </w:rPr>
              <w:t>Hotel Placement - Food &amp; Beverage Operations (BMIH4002)</w:t>
            </w:r>
          </w:p>
          <w:p w14:paraId="2D8ACAF9" w14:textId="77777777" w:rsidR="001718B7" w:rsidRPr="001718B7" w:rsidRDefault="001718B7" w:rsidP="001718B7">
            <w:pPr>
              <w:spacing w:line="360" w:lineRule="auto"/>
              <w:rPr>
                <w:rFonts w:ascii="Arial" w:hAnsi="Arial" w:cs="Arial"/>
                <w:sz w:val="24"/>
                <w:szCs w:val="24"/>
              </w:rPr>
            </w:pPr>
            <w:r w:rsidRPr="001718B7">
              <w:rPr>
                <w:rFonts w:ascii="Arial" w:hAnsi="Arial" w:cs="Arial"/>
                <w:b/>
                <w:sz w:val="24"/>
                <w:szCs w:val="24"/>
              </w:rPr>
              <w:t>Lecturer</w:t>
            </w:r>
            <w:r w:rsidRPr="001718B7">
              <w:rPr>
                <w:rFonts w:ascii="Arial" w:hAnsi="Arial" w:cs="Arial"/>
                <w:sz w:val="24"/>
                <w:szCs w:val="24"/>
              </w:rPr>
              <w:t>:</w:t>
            </w:r>
          </w:p>
        </w:tc>
      </w:tr>
    </w:tbl>
    <w:p w14:paraId="5BF604CF" w14:textId="77777777" w:rsidR="00610132" w:rsidRDefault="00610132"/>
    <w:tbl>
      <w:tblPr>
        <w:tblStyle w:val="TableGrid"/>
        <w:tblW w:w="0" w:type="auto"/>
        <w:tblLook w:val="04A0" w:firstRow="1" w:lastRow="0" w:firstColumn="1" w:lastColumn="0" w:noHBand="0" w:noVBand="1"/>
      </w:tblPr>
      <w:tblGrid>
        <w:gridCol w:w="4551"/>
        <w:gridCol w:w="4799"/>
      </w:tblGrid>
      <w:tr w:rsidR="001718B7" w14:paraId="0BC36408" w14:textId="77777777" w:rsidTr="007B4363">
        <w:tc>
          <w:tcPr>
            <w:tcW w:w="4675" w:type="dxa"/>
            <w:shd w:val="clear" w:color="auto" w:fill="FBE4D5" w:themeFill="accent2" w:themeFillTint="33"/>
          </w:tcPr>
          <w:p w14:paraId="08235B0F" w14:textId="77777777" w:rsidR="001718B7" w:rsidRPr="001718B7" w:rsidRDefault="001718B7" w:rsidP="001718B7">
            <w:pPr>
              <w:spacing w:line="360" w:lineRule="auto"/>
              <w:rPr>
                <w:rFonts w:ascii="Arial" w:hAnsi="Arial" w:cs="Arial"/>
                <w:sz w:val="24"/>
                <w:szCs w:val="24"/>
              </w:rPr>
            </w:pPr>
            <w:r w:rsidRPr="001718B7">
              <w:rPr>
                <w:rFonts w:ascii="Arial" w:hAnsi="Arial" w:cs="Arial"/>
                <w:b/>
                <w:sz w:val="24"/>
                <w:szCs w:val="24"/>
              </w:rPr>
              <w:t>Topic</w:t>
            </w:r>
            <w:r w:rsidRPr="001718B7">
              <w:rPr>
                <w:rFonts w:ascii="Arial" w:hAnsi="Arial" w:cs="Arial"/>
                <w:sz w:val="24"/>
                <w:szCs w:val="24"/>
              </w:rPr>
              <w:t>: Allergy and Intolerance</w:t>
            </w:r>
          </w:p>
        </w:tc>
        <w:tc>
          <w:tcPr>
            <w:tcW w:w="4675" w:type="dxa"/>
            <w:shd w:val="clear" w:color="auto" w:fill="FBE4D5" w:themeFill="accent2" w:themeFillTint="33"/>
          </w:tcPr>
          <w:p w14:paraId="4F690A77" w14:textId="1C2A4BC6" w:rsidR="001718B7" w:rsidRPr="001718B7" w:rsidRDefault="001718B7" w:rsidP="001718B7">
            <w:pPr>
              <w:spacing w:line="360" w:lineRule="auto"/>
              <w:rPr>
                <w:rFonts w:ascii="Arial" w:hAnsi="Arial" w:cs="Arial"/>
                <w:sz w:val="24"/>
                <w:szCs w:val="24"/>
              </w:rPr>
            </w:pPr>
            <w:r w:rsidRPr="001718B7">
              <w:rPr>
                <w:rFonts w:ascii="Arial" w:hAnsi="Arial" w:cs="Arial"/>
                <w:b/>
                <w:sz w:val="24"/>
                <w:szCs w:val="24"/>
              </w:rPr>
              <w:t>Date</w:t>
            </w:r>
            <w:r w:rsidRPr="001718B7">
              <w:rPr>
                <w:rFonts w:ascii="Arial" w:hAnsi="Arial" w:cs="Arial"/>
                <w:sz w:val="24"/>
                <w:szCs w:val="24"/>
              </w:rPr>
              <w:t>:</w:t>
            </w:r>
            <w:r w:rsidR="00C14E17">
              <w:rPr>
                <w:rFonts w:ascii="Arial" w:hAnsi="Arial" w:cs="Arial"/>
                <w:sz w:val="24"/>
                <w:szCs w:val="24"/>
              </w:rPr>
              <w:t>01/06/22</w:t>
            </w:r>
          </w:p>
        </w:tc>
      </w:tr>
      <w:tr w:rsidR="001718B7" w14:paraId="5DD964B4" w14:textId="77777777" w:rsidTr="00A56243">
        <w:tc>
          <w:tcPr>
            <w:tcW w:w="9350" w:type="dxa"/>
            <w:gridSpan w:val="2"/>
          </w:tcPr>
          <w:p w14:paraId="61E1307D" w14:textId="77777777" w:rsidR="001718B7" w:rsidRDefault="001718B7" w:rsidP="001718B7">
            <w:pPr>
              <w:spacing w:line="360" w:lineRule="auto"/>
              <w:jc w:val="both"/>
              <w:rPr>
                <w:rFonts w:ascii="Arial" w:hAnsi="Arial" w:cs="Arial"/>
                <w:sz w:val="24"/>
                <w:szCs w:val="24"/>
              </w:rPr>
            </w:pPr>
            <w:r>
              <w:rPr>
                <w:rFonts w:ascii="Arial" w:hAnsi="Arial" w:cs="Arial"/>
                <w:sz w:val="24"/>
                <w:szCs w:val="24"/>
              </w:rPr>
              <w:t xml:space="preserve">Allergies and intolerance </w:t>
            </w:r>
            <w:proofErr w:type="gramStart"/>
            <w:r>
              <w:rPr>
                <w:rFonts w:ascii="Arial" w:hAnsi="Arial" w:cs="Arial"/>
                <w:sz w:val="24"/>
                <w:szCs w:val="24"/>
              </w:rPr>
              <w:t>is</w:t>
            </w:r>
            <w:proofErr w:type="gramEnd"/>
            <w:r>
              <w:rPr>
                <w:rFonts w:ascii="Arial" w:hAnsi="Arial" w:cs="Arial"/>
                <w:sz w:val="24"/>
                <w:szCs w:val="24"/>
              </w:rPr>
              <w:t xml:space="preserve"> a crucial concept in the hospitality industry. </w:t>
            </w:r>
            <w:proofErr w:type="spellStart"/>
            <w:r>
              <w:rPr>
                <w:rFonts w:ascii="Arial" w:hAnsi="Arial" w:cs="Arial"/>
                <w:sz w:val="24"/>
                <w:szCs w:val="24"/>
              </w:rPr>
              <w:t>Kleine-Tebbe</w:t>
            </w:r>
            <w:proofErr w:type="spellEnd"/>
            <w:r>
              <w:rPr>
                <w:rFonts w:ascii="Arial" w:hAnsi="Arial" w:cs="Arial"/>
                <w:sz w:val="24"/>
                <w:szCs w:val="24"/>
              </w:rPr>
              <w:t xml:space="preserve"> </w:t>
            </w:r>
            <w:proofErr w:type="gramStart"/>
            <w:r>
              <w:rPr>
                <w:rFonts w:ascii="Arial" w:hAnsi="Arial" w:cs="Arial"/>
                <w:sz w:val="24"/>
                <w:szCs w:val="24"/>
              </w:rPr>
              <w:t>et al.(</w:t>
            </w:r>
            <w:proofErr w:type="gramEnd"/>
            <w:r>
              <w:rPr>
                <w:rFonts w:ascii="Arial" w:hAnsi="Arial" w:cs="Arial"/>
                <w:sz w:val="24"/>
                <w:szCs w:val="24"/>
              </w:rPr>
              <w:t xml:space="preserve">2016) define allergy as the immune response and reaction of an individual to harmless food, while intolerance describes the chemical reaction that occurs to a body when they take food or a drink. Food Standard Agency (2021) further explain allergy as a situation where the immune system mistakes the protein in a food as a threat. Food allergies can be categorized into both primary and secondary allergies; while primary allergies can be from animals or plants' protein; secondary allergies can be associated with foods with pollen proteins and food structurally related to protein (Gargano et al., 2021). Food Standard Agency (2021) further explain that allergy is one of the three types of food hypersensitivity aside from intolerance and coeliac disease. The typical response to allergy is; itchiness, hives, vomiting, and swellings, while intolerance may have </w:t>
            </w:r>
            <w:proofErr w:type="spellStart"/>
            <w:r>
              <w:rPr>
                <w:rFonts w:ascii="Arial" w:hAnsi="Arial" w:cs="Arial"/>
                <w:sz w:val="24"/>
                <w:szCs w:val="24"/>
              </w:rPr>
              <w:t>diarrhoea</w:t>
            </w:r>
            <w:proofErr w:type="spellEnd"/>
            <w:r>
              <w:rPr>
                <w:rFonts w:ascii="Arial" w:hAnsi="Arial" w:cs="Arial"/>
                <w:sz w:val="24"/>
                <w:szCs w:val="24"/>
              </w:rPr>
              <w:t xml:space="preserve">, skin rashes, and itching. For the hospitality industry and its workers, sound knowledge about allergies and intolerance is essential to ensure high customer service relations, effective management and profitability. </w:t>
            </w:r>
          </w:p>
          <w:p w14:paraId="170E2459" w14:textId="77777777" w:rsidR="001718B7" w:rsidRDefault="001718B7" w:rsidP="001718B7">
            <w:pPr>
              <w:spacing w:line="360" w:lineRule="auto"/>
              <w:jc w:val="both"/>
              <w:rPr>
                <w:rFonts w:ascii="Arial" w:hAnsi="Arial" w:cs="Arial"/>
                <w:sz w:val="24"/>
                <w:szCs w:val="24"/>
              </w:rPr>
            </w:pPr>
            <w:r>
              <w:rPr>
                <w:rFonts w:ascii="Arial" w:hAnsi="Arial" w:cs="Arial"/>
                <w:sz w:val="24"/>
                <w:szCs w:val="24"/>
              </w:rPr>
              <w:t xml:space="preserve">Globally, the rate of allergy and food intolerance is increasing rapidly. Ackers et al. (2017) reported that among 2.7 million patients, 3.6% are associated with 1 or more food allergies or intolerances. Allergies and intolerance were found to be higher in females and also more peculiar in Asians. The study also identifies shellfish, fruits and vegetables as the most common allergens food group. They concluded that food allergy prevalence is increasing.  </w:t>
            </w:r>
            <w:proofErr w:type="spellStart"/>
            <w:proofErr w:type="gramStart"/>
            <w:r>
              <w:rPr>
                <w:rFonts w:ascii="Arial" w:hAnsi="Arial" w:cs="Arial"/>
                <w:sz w:val="24"/>
                <w:szCs w:val="24"/>
              </w:rPr>
              <w:t>Commins</w:t>
            </w:r>
            <w:proofErr w:type="spellEnd"/>
            <w:r>
              <w:rPr>
                <w:rFonts w:ascii="Arial" w:hAnsi="Arial" w:cs="Arial"/>
                <w:sz w:val="24"/>
                <w:szCs w:val="24"/>
              </w:rPr>
              <w:t>(</w:t>
            </w:r>
            <w:proofErr w:type="gramEnd"/>
            <w:r>
              <w:rPr>
                <w:rFonts w:ascii="Arial" w:hAnsi="Arial" w:cs="Arial"/>
                <w:sz w:val="24"/>
                <w:szCs w:val="24"/>
              </w:rPr>
              <w:t xml:space="preserve">2022) also reported that about 15 to 20 per cent of the population are faced with various food disorders. </w:t>
            </w:r>
          </w:p>
          <w:p w14:paraId="14952441" w14:textId="77777777" w:rsidR="001718B7" w:rsidRDefault="001718B7" w:rsidP="001718B7">
            <w:pPr>
              <w:spacing w:line="360" w:lineRule="auto"/>
              <w:jc w:val="both"/>
              <w:rPr>
                <w:rFonts w:ascii="Arial" w:hAnsi="Arial" w:cs="Arial"/>
                <w:sz w:val="24"/>
                <w:szCs w:val="24"/>
              </w:rPr>
            </w:pPr>
            <w:r>
              <w:rPr>
                <w:rFonts w:ascii="Arial" w:hAnsi="Arial" w:cs="Arial"/>
                <w:sz w:val="24"/>
                <w:szCs w:val="24"/>
              </w:rPr>
              <w:t xml:space="preserve">During the classes, I have learned several procedures, regulations and case studies on allergy and intolerance. The consequence of poor or lack of allergy management may endanger a business and its growth. </w:t>
            </w:r>
            <w:proofErr w:type="gramStart"/>
            <w:r>
              <w:rPr>
                <w:rFonts w:ascii="Arial" w:hAnsi="Arial" w:cs="Arial"/>
                <w:sz w:val="24"/>
                <w:szCs w:val="24"/>
              </w:rPr>
              <w:t>Therefore</w:t>
            </w:r>
            <w:proofErr w:type="gramEnd"/>
            <w:r>
              <w:rPr>
                <w:rFonts w:ascii="Arial" w:hAnsi="Arial" w:cs="Arial"/>
                <w:sz w:val="24"/>
                <w:szCs w:val="24"/>
              </w:rPr>
              <w:t xml:space="preserve"> safer food will bring better business (</w:t>
            </w:r>
            <w:proofErr w:type="spellStart"/>
            <w:r>
              <w:rPr>
                <w:rFonts w:ascii="Arial" w:hAnsi="Arial" w:cs="Arial"/>
                <w:sz w:val="24"/>
                <w:szCs w:val="24"/>
              </w:rPr>
              <w:t>Loh</w:t>
            </w:r>
            <w:proofErr w:type="spellEnd"/>
            <w:r>
              <w:rPr>
                <w:rFonts w:ascii="Arial" w:hAnsi="Arial" w:cs="Arial"/>
                <w:sz w:val="24"/>
                <w:szCs w:val="24"/>
              </w:rPr>
              <w:t xml:space="preserve"> and Tang, 2018). I have also learnt hazard analysis and critical control points for mild or severe cases of allergy reactions from customers. Suppose any organization </w:t>
            </w:r>
            <w:r>
              <w:rPr>
                <w:rFonts w:ascii="Arial" w:hAnsi="Arial" w:cs="Arial"/>
                <w:sz w:val="24"/>
                <w:szCs w:val="24"/>
              </w:rPr>
              <w:lastRenderedPageBreak/>
              <w:t xml:space="preserve">will achieve and maintain high ratings in their business. In that case, they must ensure that there is an effective and workable management plan, a system of hygiene, and well-structured menu development and planning.  </w:t>
            </w:r>
          </w:p>
          <w:p w14:paraId="389C94C0" w14:textId="77777777" w:rsidR="001718B7" w:rsidRDefault="001718B7" w:rsidP="001718B7">
            <w:pPr>
              <w:spacing w:line="360" w:lineRule="auto"/>
              <w:jc w:val="both"/>
              <w:rPr>
                <w:rFonts w:ascii="Arial" w:hAnsi="Arial" w:cs="Arial"/>
                <w:sz w:val="24"/>
                <w:szCs w:val="24"/>
              </w:rPr>
            </w:pPr>
            <w:r>
              <w:rPr>
                <w:rFonts w:ascii="Arial" w:hAnsi="Arial" w:cs="Arial"/>
                <w:sz w:val="24"/>
                <w:szCs w:val="24"/>
              </w:rPr>
              <w:t xml:space="preserve">The hospitality industry must be guided by laws and regulations to ensure that customers and visitors get maximum satisfaction in food services to avoid both mild and severe cases of allergy and intolerance. One of these laws is Natasha's Law; </w:t>
            </w:r>
            <w:proofErr w:type="spellStart"/>
            <w:r>
              <w:rPr>
                <w:rFonts w:ascii="Arial" w:hAnsi="Arial" w:cs="Arial"/>
                <w:sz w:val="24"/>
                <w:szCs w:val="24"/>
              </w:rPr>
              <w:t>Nutritics</w:t>
            </w:r>
            <w:proofErr w:type="spellEnd"/>
            <w:r>
              <w:rPr>
                <w:rFonts w:ascii="Arial" w:hAnsi="Arial" w:cs="Arial"/>
                <w:sz w:val="24"/>
                <w:szCs w:val="24"/>
              </w:rPr>
              <w:t xml:space="preserve"> (2022) describe this law as a UK Food Information Amendment; the law ensures that all ingredients used in producing food are listed, and the possible allergies are labelled on the product during packaging. Individuals with allergies can safely eat and avoid foods based on this description. Foods &amp; Drug </w:t>
            </w:r>
            <w:proofErr w:type="gramStart"/>
            <w:r>
              <w:rPr>
                <w:rFonts w:ascii="Arial" w:hAnsi="Arial" w:cs="Arial"/>
                <w:sz w:val="24"/>
                <w:szCs w:val="24"/>
              </w:rPr>
              <w:t>Administration(</w:t>
            </w:r>
            <w:proofErr w:type="gramEnd"/>
            <w:r>
              <w:rPr>
                <w:rFonts w:ascii="Arial" w:hAnsi="Arial" w:cs="Arial"/>
                <w:sz w:val="24"/>
                <w:szCs w:val="24"/>
              </w:rPr>
              <w:t>2022) also list 9 major food as food allergens: milk, eggs, fish, shellfish, tree nuts, peanuts, wheat, soybeans and sesame, respectively. They stress that the name of the listed food above that are present in any meal must be listed. This practice is also applicable to the hospitality industry.</w:t>
            </w:r>
          </w:p>
          <w:p w14:paraId="6A0359FF" w14:textId="77777777" w:rsidR="001718B7" w:rsidRDefault="001718B7" w:rsidP="001718B7">
            <w:pPr>
              <w:spacing w:line="360" w:lineRule="auto"/>
              <w:jc w:val="both"/>
              <w:rPr>
                <w:rFonts w:ascii="Arial" w:hAnsi="Arial" w:cs="Arial"/>
                <w:sz w:val="24"/>
                <w:szCs w:val="24"/>
              </w:rPr>
            </w:pPr>
            <w:r>
              <w:rPr>
                <w:rFonts w:ascii="Arial" w:hAnsi="Arial" w:cs="Arial"/>
                <w:sz w:val="24"/>
                <w:szCs w:val="24"/>
              </w:rPr>
              <w:t xml:space="preserve">Lo and </w:t>
            </w:r>
            <w:proofErr w:type="spellStart"/>
            <w:r>
              <w:rPr>
                <w:rFonts w:ascii="Arial" w:hAnsi="Arial" w:cs="Arial"/>
                <w:sz w:val="24"/>
                <w:szCs w:val="24"/>
              </w:rPr>
              <w:t>Wnag</w:t>
            </w:r>
            <w:proofErr w:type="spellEnd"/>
            <w:r>
              <w:rPr>
                <w:rFonts w:ascii="Arial" w:hAnsi="Arial" w:cs="Arial"/>
                <w:sz w:val="24"/>
                <w:szCs w:val="24"/>
              </w:rPr>
              <w:t xml:space="preserve"> (2018) reported that there had been no decrease in allergy prevalence in the </w:t>
            </w:r>
            <w:proofErr w:type="spellStart"/>
            <w:r>
              <w:rPr>
                <w:rFonts w:ascii="Arial" w:hAnsi="Arial" w:cs="Arial"/>
                <w:sz w:val="24"/>
                <w:szCs w:val="24"/>
              </w:rPr>
              <w:t>Uk</w:t>
            </w:r>
            <w:proofErr w:type="spellEnd"/>
            <w:r>
              <w:rPr>
                <w:rFonts w:ascii="Arial" w:hAnsi="Arial" w:cs="Arial"/>
                <w:sz w:val="24"/>
                <w:szCs w:val="24"/>
              </w:rPr>
              <w:t>, most countries have reported an increase in food allergy prevalence over the years, and the report showed that the admission rate for food allergy-related cases has increased from 1.2 to 2.4 per 100,000 people over the years. The risk associated has been traced to mutation, chronic disorder and higher admission rate. This incident does not exclude the hospitality industry, and individuals must understand the regulations and the risk associated with allergies and intolerance.</w:t>
            </w:r>
          </w:p>
          <w:p w14:paraId="1DA07A15" w14:textId="77777777" w:rsidR="001718B7" w:rsidRDefault="001718B7" w:rsidP="001718B7">
            <w:pPr>
              <w:spacing w:line="360" w:lineRule="auto"/>
              <w:jc w:val="both"/>
              <w:rPr>
                <w:rFonts w:ascii="Arial" w:hAnsi="Arial" w:cs="Arial"/>
                <w:sz w:val="24"/>
                <w:szCs w:val="24"/>
              </w:rPr>
            </w:pPr>
            <w:r>
              <w:rPr>
                <w:rFonts w:ascii="Arial" w:hAnsi="Arial" w:cs="Arial"/>
                <w:sz w:val="24"/>
                <w:szCs w:val="24"/>
              </w:rPr>
              <w:t xml:space="preserve">Reflecting on what has been taught, I can now clearly understand why the Four C's are important, cooking, chilling, cross-contamination, and cleaning is </w:t>
            </w:r>
            <w:proofErr w:type="gramStart"/>
            <w:r>
              <w:rPr>
                <w:rFonts w:ascii="Arial" w:hAnsi="Arial" w:cs="Arial"/>
                <w:sz w:val="24"/>
                <w:szCs w:val="24"/>
              </w:rPr>
              <w:t>essential(</w:t>
            </w:r>
            <w:proofErr w:type="gramEnd"/>
            <w:r>
              <w:rPr>
                <w:rFonts w:ascii="Arial" w:hAnsi="Arial" w:cs="Arial"/>
                <w:sz w:val="24"/>
                <w:szCs w:val="24"/>
              </w:rPr>
              <w:t xml:space="preserve">Barros and </w:t>
            </w:r>
            <w:proofErr w:type="spellStart"/>
            <w:r>
              <w:rPr>
                <w:rFonts w:ascii="Arial" w:hAnsi="Arial" w:cs="Arial"/>
                <w:sz w:val="24"/>
                <w:szCs w:val="24"/>
              </w:rPr>
              <w:t>Cosme</w:t>
            </w:r>
            <w:proofErr w:type="spellEnd"/>
            <w:r>
              <w:rPr>
                <w:rFonts w:ascii="Arial" w:hAnsi="Arial" w:cs="Arial"/>
                <w:sz w:val="24"/>
                <w:szCs w:val="24"/>
              </w:rPr>
              <w:t xml:space="preserve">, 2013). With the full understanding that the foods and beverages served during hospitality services may contain allergenic protein, I should be able to provide customers and the organization with full details on the allergy and intolerance status of the food they want to consume (for customers) and the food they wish to include in their services (for the Hospitality Industry). I must also identify and keep customers informed about their food's content if it is any allergy-related substances. I will also suggest you adopt or modify an allergy management plan for any organization I may have to work with to offer an effective service as hospitality personnel. I have to develop food </w:t>
            </w:r>
            <w:r>
              <w:rPr>
                <w:rFonts w:ascii="Arial" w:hAnsi="Arial" w:cs="Arial"/>
                <w:sz w:val="24"/>
                <w:szCs w:val="24"/>
              </w:rPr>
              <w:lastRenderedPageBreak/>
              <w:t>communication skills and be ready to take charge of various situations. I must be prepared to guide customers through the different allergen information and labelling. Allergy New Zealand (2016) highlighted that there must be a cross-examination of food to ensure customers' specifications about allergies are met. This implies that I must work with the chef to ensure customers</w:t>
            </w:r>
            <w:r w:rsidR="00273B90">
              <w:rPr>
                <w:rFonts w:ascii="Arial" w:hAnsi="Arial" w:cs="Arial"/>
                <w:sz w:val="24"/>
                <w:szCs w:val="24"/>
              </w:rPr>
              <w:t>'</w:t>
            </w:r>
            <w:r>
              <w:rPr>
                <w:rFonts w:ascii="Arial" w:hAnsi="Arial" w:cs="Arial"/>
                <w:sz w:val="24"/>
                <w:szCs w:val="24"/>
              </w:rPr>
              <w:t xml:space="preserve"> details are strictly followed. It is also important to maintain proper hygiene before, during and after the service rendered to customers.</w:t>
            </w:r>
          </w:p>
          <w:p w14:paraId="3078476E" w14:textId="77777777" w:rsidR="001718B7" w:rsidRPr="00006F49" w:rsidRDefault="001718B7" w:rsidP="001718B7">
            <w:pPr>
              <w:spacing w:line="360" w:lineRule="auto"/>
              <w:jc w:val="both"/>
              <w:rPr>
                <w:rFonts w:ascii="Arial" w:hAnsi="Arial" w:cs="Arial"/>
                <w:b/>
                <w:sz w:val="24"/>
                <w:szCs w:val="24"/>
              </w:rPr>
            </w:pPr>
            <w:r w:rsidRPr="00006F49">
              <w:rPr>
                <w:rFonts w:ascii="Arial" w:hAnsi="Arial" w:cs="Arial"/>
                <w:b/>
                <w:sz w:val="24"/>
                <w:szCs w:val="24"/>
              </w:rPr>
              <w:t xml:space="preserve">Reference List </w:t>
            </w:r>
          </w:p>
          <w:p w14:paraId="11590B99" w14:textId="77777777" w:rsidR="001718B7" w:rsidRDefault="001718B7" w:rsidP="001718B7">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Acker W. W., </w:t>
            </w:r>
            <w:proofErr w:type="spellStart"/>
            <w:r>
              <w:rPr>
                <w:rFonts w:ascii="Arial" w:hAnsi="Arial" w:cs="Arial"/>
                <w:color w:val="222222"/>
                <w:sz w:val="24"/>
                <w:szCs w:val="24"/>
                <w:shd w:val="clear" w:color="auto" w:fill="FFFFFF"/>
              </w:rPr>
              <w:t>Plasek</w:t>
            </w:r>
            <w:proofErr w:type="spellEnd"/>
            <w:r>
              <w:rPr>
                <w:rFonts w:ascii="Arial" w:hAnsi="Arial" w:cs="Arial"/>
                <w:color w:val="222222"/>
                <w:sz w:val="24"/>
                <w:szCs w:val="24"/>
                <w:shd w:val="clear" w:color="auto" w:fill="FFFFFF"/>
              </w:rPr>
              <w:t xml:space="preserve"> J.M., Blumenthal K.G., Lai K. H.., Topaz M., Seger D. L., Goss F. R., Slight S. P., Bates D. W. and Zhou </w:t>
            </w:r>
            <w:proofErr w:type="gramStart"/>
            <w:r>
              <w:rPr>
                <w:rFonts w:ascii="Arial" w:hAnsi="Arial" w:cs="Arial"/>
                <w:color w:val="222222"/>
                <w:sz w:val="24"/>
                <w:szCs w:val="24"/>
                <w:shd w:val="clear" w:color="auto" w:fill="FFFFFF"/>
              </w:rPr>
              <w:t>L(</w:t>
            </w:r>
            <w:proofErr w:type="gramEnd"/>
            <w:r>
              <w:rPr>
                <w:rFonts w:ascii="Arial" w:hAnsi="Arial" w:cs="Arial"/>
                <w:color w:val="222222"/>
                <w:sz w:val="24"/>
                <w:szCs w:val="24"/>
                <w:shd w:val="clear" w:color="auto" w:fill="FFFFFF"/>
              </w:rPr>
              <w:t xml:space="preserve">2017) Prevalence of food allergies and intolerances documented in electronic health records </w:t>
            </w:r>
            <w:r>
              <w:rPr>
                <w:rFonts w:ascii="Arial" w:hAnsi="Arial" w:cs="Arial"/>
                <w:i/>
                <w:color w:val="222222"/>
                <w:sz w:val="24"/>
                <w:szCs w:val="24"/>
                <w:shd w:val="clear" w:color="auto" w:fill="FFFFFF"/>
              </w:rPr>
              <w:t xml:space="preserve">Journal of Allergy Clin. Immune. </w:t>
            </w:r>
            <w:r>
              <w:rPr>
                <w:rFonts w:ascii="Arial" w:hAnsi="Arial" w:cs="Arial"/>
                <w:color w:val="222222"/>
                <w:sz w:val="24"/>
                <w:szCs w:val="24"/>
                <w:shd w:val="clear" w:color="auto" w:fill="FFFFFF"/>
              </w:rPr>
              <w:t>140(6)</w:t>
            </w:r>
            <w:r>
              <w:rPr>
                <w:rFonts w:ascii="Arial" w:hAnsi="Arial" w:cs="Arial"/>
                <w:i/>
                <w:color w:val="222222"/>
                <w:sz w:val="24"/>
                <w:szCs w:val="24"/>
                <w:shd w:val="clear" w:color="auto" w:fill="FFFFFF"/>
              </w:rPr>
              <w:t>:</w:t>
            </w:r>
            <w:r>
              <w:rPr>
                <w:rFonts w:ascii="Arial" w:hAnsi="Arial" w:cs="Arial"/>
                <w:color w:val="222222"/>
                <w:sz w:val="24"/>
                <w:szCs w:val="24"/>
                <w:shd w:val="clear" w:color="auto" w:fill="FFFFFF"/>
              </w:rPr>
              <w:t xml:space="preserve">1587-1591 </w:t>
            </w:r>
          </w:p>
          <w:p w14:paraId="201EAEBF" w14:textId="77777777" w:rsidR="001718B7" w:rsidRDefault="001718B7" w:rsidP="001718B7">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Allergy New Zealand (2016) Allergy Hospitality Training Video [video] Available at:</w:t>
            </w:r>
            <w:r w:rsidRPr="00162194">
              <w:t xml:space="preserve"> </w:t>
            </w:r>
            <w:hyperlink r:id="rId4" w:history="1">
              <w:r w:rsidRPr="008D48F8">
                <w:rPr>
                  <w:rStyle w:val="Hyperlink"/>
                  <w:rFonts w:ascii="Arial" w:hAnsi="Arial" w:cs="Arial"/>
                  <w:sz w:val="24"/>
                  <w:szCs w:val="24"/>
                  <w:shd w:val="clear" w:color="auto" w:fill="FFFFFF"/>
                </w:rPr>
                <w:t>https://www.youtube.com/watch?v=RLD5N37waVI</w:t>
              </w:r>
            </w:hyperlink>
            <w:r>
              <w:rPr>
                <w:rFonts w:ascii="Arial" w:hAnsi="Arial" w:cs="Arial"/>
                <w:color w:val="222222"/>
                <w:sz w:val="24"/>
                <w:szCs w:val="24"/>
                <w:shd w:val="clear" w:color="auto" w:fill="FFFFFF"/>
              </w:rPr>
              <w:t xml:space="preserve"> (Accessed on: 21 May 2021)</w:t>
            </w:r>
          </w:p>
          <w:p w14:paraId="542297C6" w14:textId="77777777" w:rsidR="001718B7" w:rsidRPr="008A5297" w:rsidRDefault="001718B7" w:rsidP="001718B7">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Barros A. and </w:t>
            </w:r>
            <w:proofErr w:type="spellStart"/>
            <w:r>
              <w:rPr>
                <w:rFonts w:ascii="Arial" w:hAnsi="Arial" w:cs="Arial"/>
                <w:color w:val="222222"/>
                <w:sz w:val="24"/>
                <w:szCs w:val="24"/>
                <w:shd w:val="clear" w:color="auto" w:fill="FFFFFF"/>
              </w:rPr>
              <w:t>Cosme</w:t>
            </w:r>
            <w:proofErr w:type="spellEnd"/>
            <w:r>
              <w:rPr>
                <w:rFonts w:ascii="Arial" w:hAnsi="Arial" w:cs="Arial"/>
                <w:color w:val="222222"/>
                <w:sz w:val="24"/>
                <w:szCs w:val="24"/>
                <w:shd w:val="clear" w:color="auto" w:fill="FFFFFF"/>
              </w:rPr>
              <w:t xml:space="preserve"> F. (2013) Allergenic Proteins in Foods and Beverages </w:t>
            </w:r>
            <w:r>
              <w:rPr>
                <w:rFonts w:ascii="Arial" w:hAnsi="Arial" w:cs="Arial"/>
                <w:i/>
                <w:color w:val="222222"/>
                <w:sz w:val="24"/>
                <w:szCs w:val="24"/>
                <w:shd w:val="clear" w:color="auto" w:fill="FFFFFF"/>
              </w:rPr>
              <w:t xml:space="preserve">Food Technol. Biotechnology. </w:t>
            </w:r>
            <w:r>
              <w:rPr>
                <w:rFonts w:ascii="Arial" w:hAnsi="Arial" w:cs="Arial"/>
                <w:color w:val="222222"/>
                <w:sz w:val="24"/>
                <w:szCs w:val="24"/>
                <w:shd w:val="clear" w:color="auto" w:fill="FFFFFF"/>
              </w:rPr>
              <w:t>51(2): 153-158</w:t>
            </w:r>
          </w:p>
          <w:p w14:paraId="4E255E38" w14:textId="77777777" w:rsidR="001718B7" w:rsidRDefault="001718B7" w:rsidP="001718B7">
            <w:pPr>
              <w:spacing w:line="360" w:lineRule="auto"/>
              <w:jc w:val="both"/>
              <w:rPr>
                <w:rFonts w:ascii="Arial" w:hAnsi="Arial" w:cs="Arial"/>
                <w:color w:val="222222"/>
                <w:sz w:val="24"/>
                <w:szCs w:val="24"/>
                <w:shd w:val="clear" w:color="auto" w:fill="FFFFFF"/>
              </w:rPr>
            </w:pPr>
            <w:proofErr w:type="spellStart"/>
            <w:r>
              <w:rPr>
                <w:rFonts w:ascii="Arial" w:hAnsi="Arial" w:cs="Arial"/>
                <w:color w:val="222222"/>
                <w:sz w:val="24"/>
                <w:szCs w:val="24"/>
                <w:shd w:val="clear" w:color="auto" w:fill="FFFFFF"/>
              </w:rPr>
              <w:t>Commins</w:t>
            </w:r>
            <w:proofErr w:type="spellEnd"/>
            <w:r>
              <w:rPr>
                <w:rFonts w:ascii="Arial" w:hAnsi="Arial" w:cs="Arial"/>
                <w:color w:val="222222"/>
                <w:sz w:val="24"/>
                <w:szCs w:val="24"/>
                <w:shd w:val="clear" w:color="auto" w:fill="FFFFFF"/>
              </w:rPr>
              <w:t xml:space="preserve"> S. P. (2022) Food intolerance and </w:t>
            </w:r>
            <w:proofErr w:type="spellStart"/>
            <w:r>
              <w:rPr>
                <w:rFonts w:ascii="Arial" w:hAnsi="Arial" w:cs="Arial"/>
                <w:color w:val="222222"/>
                <w:sz w:val="24"/>
                <w:szCs w:val="24"/>
                <w:shd w:val="clear" w:color="auto" w:fill="FFFFFF"/>
              </w:rPr>
              <w:t>fd</w:t>
            </w:r>
            <w:proofErr w:type="spellEnd"/>
            <w:r>
              <w:rPr>
                <w:rFonts w:ascii="Arial" w:hAnsi="Arial" w:cs="Arial"/>
                <w:color w:val="222222"/>
                <w:sz w:val="24"/>
                <w:szCs w:val="24"/>
                <w:shd w:val="clear" w:color="auto" w:fill="FFFFFF"/>
              </w:rPr>
              <w:t xml:space="preserve"> food allergy in adults: An overview [Online] Available at: </w:t>
            </w:r>
            <w:r w:rsidRPr="00CB29CE">
              <w:rPr>
                <w:rFonts w:ascii="Arial" w:hAnsi="Arial" w:cs="Arial"/>
                <w:color w:val="222222"/>
                <w:sz w:val="24"/>
                <w:szCs w:val="24"/>
                <w:shd w:val="clear" w:color="auto" w:fill="FFFFFF"/>
              </w:rPr>
              <w:t>https://www.uptodate.com/contents/food-intolerance-and-food-allergy-in-adults-an-overview#:~:text=Food%20intolerance%20disorders%20are%20a,of%20the%20population%20%5B6%5D.</w:t>
            </w:r>
          </w:p>
          <w:p w14:paraId="0A9C7BA4" w14:textId="77777777" w:rsidR="001718B7" w:rsidRDefault="001718B7" w:rsidP="001718B7">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Food Standard Agency (2021) Food hypersensitivity [video] Available at: </w:t>
            </w:r>
            <w:hyperlink r:id="rId5" w:history="1">
              <w:r w:rsidRPr="008D48F8">
                <w:rPr>
                  <w:rStyle w:val="Hyperlink"/>
                  <w:rFonts w:ascii="Arial" w:hAnsi="Arial" w:cs="Arial"/>
                  <w:sz w:val="24"/>
                  <w:szCs w:val="24"/>
                  <w:shd w:val="clear" w:color="auto" w:fill="FFFFFF"/>
                </w:rPr>
                <w:t>https://youtu.be/fHo15_MxS4g</w:t>
              </w:r>
            </w:hyperlink>
            <w:r>
              <w:rPr>
                <w:rFonts w:ascii="Arial" w:hAnsi="Arial" w:cs="Arial"/>
                <w:color w:val="222222"/>
                <w:sz w:val="24"/>
                <w:szCs w:val="24"/>
                <w:shd w:val="clear" w:color="auto" w:fill="FFFFFF"/>
              </w:rPr>
              <w:t xml:space="preserve"> (Accessed on: 20 May 2022)</w:t>
            </w:r>
          </w:p>
          <w:p w14:paraId="303FE845" w14:textId="77777777" w:rsidR="001718B7" w:rsidRDefault="001718B7" w:rsidP="001718B7">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Foods &amp; Drug </w:t>
            </w:r>
            <w:proofErr w:type="gramStart"/>
            <w:r>
              <w:rPr>
                <w:rFonts w:ascii="Arial" w:hAnsi="Arial" w:cs="Arial"/>
                <w:color w:val="222222"/>
                <w:sz w:val="24"/>
                <w:szCs w:val="24"/>
                <w:shd w:val="clear" w:color="auto" w:fill="FFFFFF"/>
              </w:rPr>
              <w:t>Administration(</w:t>
            </w:r>
            <w:proofErr w:type="gramEnd"/>
            <w:r>
              <w:rPr>
                <w:rFonts w:ascii="Arial" w:hAnsi="Arial" w:cs="Arial"/>
                <w:color w:val="222222"/>
                <w:sz w:val="24"/>
                <w:szCs w:val="24"/>
                <w:shd w:val="clear" w:color="auto" w:fill="FFFFFF"/>
              </w:rPr>
              <w:t xml:space="preserve">2022) Food </w:t>
            </w:r>
            <w:proofErr w:type="spellStart"/>
            <w:r>
              <w:rPr>
                <w:rFonts w:ascii="Arial" w:hAnsi="Arial" w:cs="Arial"/>
                <w:color w:val="222222"/>
                <w:sz w:val="24"/>
                <w:szCs w:val="24"/>
                <w:shd w:val="clear" w:color="auto" w:fill="FFFFFF"/>
              </w:rPr>
              <w:t>Alergies</w:t>
            </w:r>
            <w:proofErr w:type="spellEnd"/>
            <w:r>
              <w:rPr>
                <w:rFonts w:ascii="Arial" w:hAnsi="Arial" w:cs="Arial"/>
                <w:color w:val="222222"/>
                <w:sz w:val="24"/>
                <w:szCs w:val="24"/>
                <w:shd w:val="clear" w:color="auto" w:fill="FFFFFF"/>
              </w:rPr>
              <w:t xml:space="preserve">  [Online] Available at: </w:t>
            </w:r>
            <w:hyperlink r:id="rId6" w:history="1">
              <w:r w:rsidRPr="008D48F8">
                <w:rPr>
                  <w:rStyle w:val="Hyperlink"/>
                  <w:rFonts w:ascii="Arial" w:hAnsi="Arial" w:cs="Arial"/>
                  <w:sz w:val="24"/>
                  <w:szCs w:val="24"/>
                  <w:shd w:val="clear" w:color="auto" w:fill="FFFFFF"/>
                </w:rPr>
                <w:t>https://www.fda.gov/food/food-labeling-nutrition/food-allergies</w:t>
              </w:r>
            </w:hyperlink>
            <w:r>
              <w:rPr>
                <w:rFonts w:ascii="Arial" w:hAnsi="Arial" w:cs="Arial"/>
                <w:color w:val="222222"/>
                <w:sz w:val="24"/>
                <w:szCs w:val="24"/>
                <w:shd w:val="clear" w:color="auto" w:fill="FFFFFF"/>
              </w:rPr>
              <w:t xml:space="preserve"> (Accessed on: 21 May, 2022)</w:t>
            </w:r>
          </w:p>
          <w:p w14:paraId="1EBE608E" w14:textId="77777777" w:rsidR="001718B7" w:rsidRPr="00006F49" w:rsidRDefault="001718B7" w:rsidP="001718B7">
            <w:pPr>
              <w:spacing w:line="360" w:lineRule="auto"/>
              <w:jc w:val="both"/>
              <w:rPr>
                <w:rFonts w:ascii="Arial" w:hAnsi="Arial" w:cs="Arial"/>
                <w:sz w:val="24"/>
                <w:szCs w:val="24"/>
              </w:rPr>
            </w:pPr>
            <w:r w:rsidRPr="00006F49">
              <w:rPr>
                <w:rFonts w:ascii="Arial" w:hAnsi="Arial" w:cs="Arial"/>
                <w:color w:val="222222"/>
                <w:sz w:val="24"/>
                <w:szCs w:val="24"/>
                <w:shd w:val="clear" w:color="auto" w:fill="FFFFFF"/>
              </w:rPr>
              <w:t xml:space="preserve">Gargano D, </w:t>
            </w:r>
            <w:proofErr w:type="spellStart"/>
            <w:r w:rsidRPr="00006F49">
              <w:rPr>
                <w:rFonts w:ascii="Arial" w:hAnsi="Arial" w:cs="Arial"/>
                <w:color w:val="222222"/>
                <w:sz w:val="24"/>
                <w:szCs w:val="24"/>
                <w:shd w:val="clear" w:color="auto" w:fill="FFFFFF"/>
              </w:rPr>
              <w:t>Appanna</w:t>
            </w:r>
            <w:proofErr w:type="spellEnd"/>
            <w:r w:rsidRPr="00006F49">
              <w:rPr>
                <w:rFonts w:ascii="Arial" w:hAnsi="Arial" w:cs="Arial"/>
                <w:color w:val="222222"/>
                <w:sz w:val="24"/>
                <w:szCs w:val="24"/>
                <w:shd w:val="clear" w:color="auto" w:fill="FFFFFF"/>
              </w:rPr>
              <w:t xml:space="preserve"> R, </w:t>
            </w:r>
            <w:proofErr w:type="spellStart"/>
            <w:r w:rsidRPr="00006F49">
              <w:rPr>
                <w:rFonts w:ascii="Arial" w:hAnsi="Arial" w:cs="Arial"/>
                <w:color w:val="222222"/>
                <w:sz w:val="24"/>
                <w:szCs w:val="24"/>
                <w:shd w:val="clear" w:color="auto" w:fill="FFFFFF"/>
              </w:rPr>
              <w:t>Santonicola</w:t>
            </w:r>
            <w:proofErr w:type="spellEnd"/>
            <w:r w:rsidRPr="00006F49">
              <w:rPr>
                <w:rFonts w:ascii="Arial" w:hAnsi="Arial" w:cs="Arial"/>
                <w:color w:val="222222"/>
                <w:sz w:val="24"/>
                <w:szCs w:val="24"/>
                <w:shd w:val="clear" w:color="auto" w:fill="FFFFFF"/>
              </w:rPr>
              <w:t xml:space="preserve"> A, De </w:t>
            </w:r>
            <w:proofErr w:type="spellStart"/>
            <w:r w:rsidRPr="00006F49">
              <w:rPr>
                <w:rFonts w:ascii="Arial" w:hAnsi="Arial" w:cs="Arial"/>
                <w:color w:val="222222"/>
                <w:sz w:val="24"/>
                <w:szCs w:val="24"/>
                <w:shd w:val="clear" w:color="auto" w:fill="FFFFFF"/>
              </w:rPr>
              <w:t>Bartolomeis</w:t>
            </w:r>
            <w:proofErr w:type="spellEnd"/>
            <w:r w:rsidRPr="00006F49">
              <w:rPr>
                <w:rFonts w:ascii="Arial" w:hAnsi="Arial" w:cs="Arial"/>
                <w:color w:val="222222"/>
                <w:sz w:val="24"/>
                <w:szCs w:val="24"/>
                <w:shd w:val="clear" w:color="auto" w:fill="FFFFFF"/>
              </w:rPr>
              <w:t xml:space="preserve"> F, </w:t>
            </w:r>
            <w:proofErr w:type="spellStart"/>
            <w:r w:rsidRPr="00006F49">
              <w:rPr>
                <w:rFonts w:ascii="Arial" w:hAnsi="Arial" w:cs="Arial"/>
                <w:color w:val="222222"/>
                <w:sz w:val="24"/>
                <w:szCs w:val="24"/>
                <w:shd w:val="clear" w:color="auto" w:fill="FFFFFF"/>
              </w:rPr>
              <w:t>Stellato</w:t>
            </w:r>
            <w:proofErr w:type="spellEnd"/>
            <w:r w:rsidRPr="00006F49">
              <w:rPr>
                <w:rFonts w:ascii="Arial" w:hAnsi="Arial" w:cs="Arial"/>
                <w:color w:val="222222"/>
                <w:sz w:val="24"/>
                <w:szCs w:val="24"/>
                <w:shd w:val="clear" w:color="auto" w:fill="FFFFFF"/>
              </w:rPr>
              <w:t xml:space="preserve"> C, </w:t>
            </w:r>
            <w:proofErr w:type="spellStart"/>
            <w:r w:rsidRPr="00006F49">
              <w:rPr>
                <w:rFonts w:ascii="Arial" w:hAnsi="Arial" w:cs="Arial"/>
                <w:color w:val="222222"/>
                <w:sz w:val="24"/>
                <w:szCs w:val="24"/>
                <w:shd w:val="clear" w:color="auto" w:fill="FFFFFF"/>
              </w:rPr>
              <w:t>Cianferoni</w:t>
            </w:r>
            <w:proofErr w:type="spellEnd"/>
            <w:r w:rsidRPr="00006F49">
              <w:rPr>
                <w:rFonts w:ascii="Arial" w:hAnsi="Arial" w:cs="Arial"/>
                <w:color w:val="222222"/>
                <w:sz w:val="24"/>
                <w:szCs w:val="24"/>
                <w:shd w:val="clear" w:color="auto" w:fill="FFFFFF"/>
              </w:rPr>
              <w:t xml:space="preserve"> A, </w:t>
            </w:r>
            <w:proofErr w:type="spellStart"/>
            <w:r w:rsidRPr="00006F49">
              <w:rPr>
                <w:rFonts w:ascii="Arial" w:hAnsi="Arial" w:cs="Arial"/>
                <w:color w:val="222222"/>
                <w:sz w:val="24"/>
                <w:szCs w:val="24"/>
                <w:shd w:val="clear" w:color="auto" w:fill="FFFFFF"/>
              </w:rPr>
              <w:t>Casolaro</w:t>
            </w:r>
            <w:proofErr w:type="spellEnd"/>
            <w:r w:rsidRPr="00006F49">
              <w:rPr>
                <w:rFonts w:ascii="Arial" w:hAnsi="Arial" w:cs="Arial"/>
                <w:color w:val="222222"/>
                <w:sz w:val="24"/>
                <w:szCs w:val="24"/>
                <w:shd w:val="clear" w:color="auto" w:fill="FFFFFF"/>
              </w:rPr>
              <w:t xml:space="preserve"> V, Iovino P. </w:t>
            </w:r>
            <w:r>
              <w:rPr>
                <w:rFonts w:ascii="Arial" w:hAnsi="Arial" w:cs="Arial"/>
                <w:color w:val="222222"/>
                <w:sz w:val="24"/>
                <w:szCs w:val="24"/>
                <w:shd w:val="clear" w:color="auto" w:fill="FFFFFF"/>
              </w:rPr>
              <w:t xml:space="preserve">(2021) </w:t>
            </w:r>
            <w:r w:rsidRPr="00006F49">
              <w:rPr>
                <w:rFonts w:ascii="Arial" w:hAnsi="Arial" w:cs="Arial"/>
                <w:color w:val="222222"/>
                <w:sz w:val="24"/>
                <w:szCs w:val="24"/>
                <w:shd w:val="clear" w:color="auto" w:fill="FFFFFF"/>
              </w:rPr>
              <w:t>Food Allergy and Intolerance: A Narrative Review on Nutritional Concerns. </w:t>
            </w:r>
            <w:r w:rsidRPr="00006F49">
              <w:rPr>
                <w:rStyle w:val="Emphasis"/>
                <w:rFonts w:ascii="Arial" w:hAnsi="Arial" w:cs="Arial"/>
                <w:color w:val="222222"/>
                <w:sz w:val="24"/>
                <w:szCs w:val="24"/>
                <w:shd w:val="clear" w:color="auto" w:fill="FFFFFF"/>
              </w:rPr>
              <w:t>Nutrients</w:t>
            </w:r>
            <w:r w:rsidRPr="00006F49">
              <w:rPr>
                <w:rFonts w:ascii="Arial" w:hAnsi="Arial" w:cs="Arial"/>
                <w:color w:val="222222"/>
                <w:sz w:val="24"/>
                <w:szCs w:val="24"/>
                <w:shd w:val="clear" w:color="auto" w:fill="FFFFFF"/>
              </w:rPr>
              <w:t xml:space="preserve">. 13(5):1638. </w:t>
            </w:r>
          </w:p>
          <w:p w14:paraId="088AF7FD" w14:textId="77777777" w:rsidR="001718B7" w:rsidRDefault="001718B7" w:rsidP="001718B7">
            <w:pPr>
              <w:spacing w:line="360" w:lineRule="auto"/>
              <w:jc w:val="both"/>
              <w:rPr>
                <w:rFonts w:ascii="Arial" w:hAnsi="Arial" w:cs="Arial"/>
                <w:color w:val="000000" w:themeColor="text1"/>
                <w:sz w:val="24"/>
                <w:szCs w:val="24"/>
                <w:shd w:val="clear" w:color="auto" w:fill="FFFFFF"/>
              </w:rPr>
            </w:pPr>
            <w:proofErr w:type="spellStart"/>
            <w:r>
              <w:rPr>
                <w:rFonts w:ascii="Arial" w:hAnsi="Arial" w:cs="Arial"/>
                <w:sz w:val="24"/>
                <w:szCs w:val="24"/>
              </w:rPr>
              <w:t>Kleine-Tebbe</w:t>
            </w:r>
            <w:proofErr w:type="spellEnd"/>
            <w:r>
              <w:rPr>
                <w:rFonts w:ascii="Arial" w:hAnsi="Arial" w:cs="Arial"/>
                <w:sz w:val="24"/>
                <w:szCs w:val="24"/>
              </w:rPr>
              <w:t xml:space="preserve"> J., </w:t>
            </w:r>
            <w:proofErr w:type="spellStart"/>
            <w:r>
              <w:rPr>
                <w:rFonts w:ascii="Arial" w:hAnsi="Arial" w:cs="Arial"/>
                <w:sz w:val="24"/>
                <w:szCs w:val="24"/>
              </w:rPr>
              <w:t>Wabmann</w:t>
            </w:r>
            <w:proofErr w:type="spellEnd"/>
            <w:r>
              <w:rPr>
                <w:rFonts w:ascii="Arial" w:hAnsi="Arial" w:cs="Arial"/>
                <w:sz w:val="24"/>
                <w:szCs w:val="24"/>
              </w:rPr>
              <w:t xml:space="preserve">-Otto A. and </w:t>
            </w:r>
            <w:proofErr w:type="spellStart"/>
            <w:r>
              <w:rPr>
                <w:rFonts w:ascii="Arial" w:hAnsi="Arial" w:cs="Arial"/>
                <w:sz w:val="24"/>
                <w:szCs w:val="24"/>
              </w:rPr>
              <w:t>Monnikes</w:t>
            </w:r>
            <w:proofErr w:type="spellEnd"/>
            <w:r>
              <w:rPr>
                <w:rFonts w:ascii="Arial" w:hAnsi="Arial" w:cs="Arial"/>
                <w:sz w:val="24"/>
                <w:szCs w:val="24"/>
              </w:rPr>
              <w:t xml:space="preserve"> H. (2016) Food Allergy and </w:t>
            </w:r>
            <w:proofErr w:type="spellStart"/>
            <w:r>
              <w:rPr>
                <w:rFonts w:ascii="Arial" w:hAnsi="Arial" w:cs="Arial"/>
                <w:sz w:val="24"/>
                <w:szCs w:val="24"/>
              </w:rPr>
              <w:t>Intollerance</w:t>
            </w:r>
            <w:proofErr w:type="spellEnd"/>
            <w:r>
              <w:rPr>
                <w:rFonts w:ascii="Arial" w:hAnsi="Arial" w:cs="Arial"/>
                <w:sz w:val="24"/>
                <w:szCs w:val="24"/>
              </w:rPr>
              <w:t xml:space="preserve">: Distinction, Definitions and Delimitation </w:t>
            </w:r>
            <w:proofErr w:type="spellStart"/>
            <w:r w:rsidRPr="000C157A">
              <w:rPr>
                <w:rFonts w:ascii="Arial" w:hAnsi="Arial" w:cs="Arial"/>
                <w:i/>
                <w:color w:val="000000" w:themeColor="text1"/>
                <w:sz w:val="24"/>
                <w:szCs w:val="24"/>
                <w:shd w:val="clear" w:color="auto" w:fill="FFFFFF"/>
              </w:rPr>
              <w:t>Bundesgesundheitsblatt</w:t>
            </w:r>
            <w:proofErr w:type="spellEnd"/>
            <w:r w:rsidRPr="000C157A">
              <w:rPr>
                <w:rFonts w:ascii="Arial" w:hAnsi="Arial" w:cs="Arial"/>
                <w:i/>
                <w:color w:val="000000" w:themeColor="text1"/>
                <w:sz w:val="24"/>
                <w:szCs w:val="24"/>
                <w:shd w:val="clear" w:color="auto" w:fill="FFFFFF"/>
              </w:rPr>
              <w:t xml:space="preserve"> </w:t>
            </w:r>
            <w:proofErr w:type="spellStart"/>
            <w:r w:rsidRPr="000C157A">
              <w:rPr>
                <w:rFonts w:ascii="Arial" w:hAnsi="Arial" w:cs="Arial"/>
                <w:i/>
                <w:color w:val="000000" w:themeColor="text1"/>
                <w:sz w:val="24"/>
                <w:szCs w:val="24"/>
                <w:shd w:val="clear" w:color="auto" w:fill="FFFFFF"/>
              </w:rPr>
              <w:t>Gesundheitsforschung</w:t>
            </w:r>
            <w:proofErr w:type="spellEnd"/>
            <w:r w:rsidRPr="000C157A">
              <w:rPr>
                <w:rFonts w:ascii="Arial" w:hAnsi="Arial" w:cs="Arial"/>
                <w:i/>
                <w:color w:val="000000" w:themeColor="text1"/>
                <w:sz w:val="24"/>
                <w:szCs w:val="24"/>
                <w:shd w:val="clear" w:color="auto" w:fill="FFFFFF"/>
              </w:rPr>
              <w:t xml:space="preserve"> </w:t>
            </w:r>
            <w:proofErr w:type="spellStart"/>
            <w:r w:rsidRPr="000C157A">
              <w:rPr>
                <w:rFonts w:ascii="Arial" w:hAnsi="Arial" w:cs="Arial"/>
                <w:i/>
                <w:color w:val="000000" w:themeColor="text1"/>
                <w:sz w:val="24"/>
                <w:szCs w:val="24"/>
                <w:shd w:val="clear" w:color="auto" w:fill="FFFFFF"/>
              </w:rPr>
              <w:t>Gesundheitsschutz</w:t>
            </w:r>
            <w:proofErr w:type="spellEnd"/>
            <w:r>
              <w:rPr>
                <w:rFonts w:ascii="Arial" w:hAnsi="Arial" w:cs="Arial"/>
                <w:i/>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59(6) 705-722</w:t>
            </w:r>
          </w:p>
          <w:p w14:paraId="56585490" w14:textId="77777777" w:rsidR="001718B7" w:rsidRPr="004235F6" w:rsidRDefault="001718B7" w:rsidP="001718B7">
            <w:pPr>
              <w:spacing w:line="360" w:lineRule="auto"/>
              <w:jc w:val="both"/>
              <w:rPr>
                <w:rFonts w:ascii="Arial" w:hAnsi="Arial" w:cs="Arial"/>
                <w:sz w:val="24"/>
                <w:szCs w:val="24"/>
              </w:rPr>
            </w:pPr>
            <w:proofErr w:type="spellStart"/>
            <w:r>
              <w:rPr>
                <w:rFonts w:ascii="Arial" w:hAnsi="Arial" w:cs="Arial"/>
                <w:sz w:val="24"/>
                <w:szCs w:val="24"/>
              </w:rPr>
              <w:lastRenderedPageBreak/>
              <w:t>Loh</w:t>
            </w:r>
            <w:proofErr w:type="spellEnd"/>
            <w:r>
              <w:rPr>
                <w:rFonts w:ascii="Arial" w:hAnsi="Arial" w:cs="Arial"/>
                <w:sz w:val="24"/>
                <w:szCs w:val="24"/>
              </w:rPr>
              <w:t xml:space="preserve"> W. and Tang M. L.K. (2018) The Epidemiology of Food Allergy in the Global Context </w:t>
            </w:r>
            <w:r>
              <w:rPr>
                <w:rFonts w:ascii="Arial" w:hAnsi="Arial" w:cs="Arial"/>
                <w:i/>
                <w:sz w:val="24"/>
                <w:szCs w:val="24"/>
              </w:rPr>
              <w:t>Int J. Environs. Res Public Health</w:t>
            </w:r>
            <w:r>
              <w:rPr>
                <w:rFonts w:ascii="Arial" w:hAnsi="Arial" w:cs="Arial"/>
                <w:sz w:val="24"/>
                <w:szCs w:val="24"/>
              </w:rPr>
              <w:t xml:space="preserve"> 15(9):2043</w:t>
            </w:r>
          </w:p>
          <w:p w14:paraId="15B1063C" w14:textId="77777777" w:rsidR="001718B7" w:rsidRDefault="001718B7" w:rsidP="001718B7">
            <w:pPr>
              <w:spacing w:line="360" w:lineRule="auto"/>
              <w:jc w:val="both"/>
              <w:rPr>
                <w:rFonts w:ascii="Arial" w:hAnsi="Arial" w:cs="Arial"/>
                <w:sz w:val="24"/>
                <w:szCs w:val="24"/>
              </w:rPr>
            </w:pPr>
            <w:proofErr w:type="spellStart"/>
            <w:r>
              <w:rPr>
                <w:rFonts w:ascii="Arial" w:hAnsi="Arial" w:cs="Arial"/>
                <w:sz w:val="24"/>
                <w:szCs w:val="24"/>
              </w:rPr>
              <w:t>Nutritics</w:t>
            </w:r>
            <w:proofErr w:type="spellEnd"/>
            <w:r>
              <w:rPr>
                <w:rFonts w:ascii="Arial" w:hAnsi="Arial" w:cs="Arial"/>
                <w:sz w:val="24"/>
                <w:szCs w:val="24"/>
              </w:rPr>
              <w:t xml:space="preserve"> (2022) What is Natasha’s Law Available at: </w:t>
            </w:r>
            <w:r w:rsidRPr="00526870">
              <w:rPr>
                <w:rFonts w:ascii="Arial" w:hAnsi="Arial" w:cs="Arial"/>
                <w:sz w:val="24"/>
                <w:szCs w:val="24"/>
              </w:rPr>
              <w:t>https://calorie-labelling.com/natashas-law/#:~:text=What%20Is%20Natasha's%20Law%3F,direct%20sale%20on%20the%20premises</w:t>
            </w:r>
            <w:r>
              <w:rPr>
                <w:rFonts w:ascii="Arial" w:hAnsi="Arial" w:cs="Arial"/>
                <w:sz w:val="24"/>
                <w:szCs w:val="24"/>
              </w:rPr>
              <w:t xml:space="preserve"> (</w:t>
            </w:r>
            <w:proofErr w:type="spellStart"/>
            <w:r>
              <w:rPr>
                <w:rFonts w:ascii="Arial" w:hAnsi="Arial" w:cs="Arial"/>
                <w:sz w:val="24"/>
                <w:szCs w:val="24"/>
              </w:rPr>
              <w:t>Accesssed</w:t>
            </w:r>
            <w:proofErr w:type="spellEnd"/>
            <w:r>
              <w:rPr>
                <w:rFonts w:ascii="Arial" w:hAnsi="Arial" w:cs="Arial"/>
                <w:sz w:val="24"/>
                <w:szCs w:val="24"/>
              </w:rPr>
              <w:t>: 20 May, 2022)</w:t>
            </w:r>
          </w:p>
          <w:p w14:paraId="4348F12E" w14:textId="77777777" w:rsidR="001718B7" w:rsidRPr="000C157A" w:rsidRDefault="001718B7" w:rsidP="001718B7">
            <w:pPr>
              <w:spacing w:line="360" w:lineRule="auto"/>
              <w:jc w:val="both"/>
              <w:rPr>
                <w:rFonts w:ascii="Arial" w:hAnsi="Arial" w:cs="Arial"/>
                <w:sz w:val="24"/>
                <w:szCs w:val="24"/>
              </w:rPr>
            </w:pPr>
          </w:p>
          <w:p w14:paraId="60595331" w14:textId="77777777" w:rsidR="001718B7" w:rsidRDefault="001718B7"/>
        </w:tc>
      </w:tr>
    </w:tbl>
    <w:p w14:paraId="77F9286D" w14:textId="77777777" w:rsidR="001718B7" w:rsidRDefault="001718B7"/>
    <w:sectPr w:rsidR="001718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AwNzMxMDU1NjIzMrVU0lEKTi0uzszPAykwrAUAcNNCwywAAAA="/>
  </w:docVars>
  <w:rsids>
    <w:rsidRoot w:val="001718B7"/>
    <w:rsid w:val="001718B7"/>
    <w:rsid w:val="00273B90"/>
    <w:rsid w:val="004A774B"/>
    <w:rsid w:val="00610132"/>
    <w:rsid w:val="007B4363"/>
    <w:rsid w:val="00C14E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68799"/>
  <w15:chartTrackingRefBased/>
  <w15:docId w15:val="{5B340CFD-D815-402C-A56C-AB375DAD9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8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718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1718B7"/>
    <w:rPr>
      <w:i/>
      <w:iCs/>
    </w:rPr>
  </w:style>
  <w:style w:type="character" w:styleId="Hyperlink">
    <w:name w:val="Hyperlink"/>
    <w:basedOn w:val="DefaultParagraphFont"/>
    <w:uiPriority w:val="99"/>
    <w:unhideWhenUsed/>
    <w:rsid w:val="001718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95487">
      <w:bodyDiv w:val="1"/>
      <w:marLeft w:val="0"/>
      <w:marRight w:val="0"/>
      <w:marTop w:val="0"/>
      <w:marBottom w:val="0"/>
      <w:divBdr>
        <w:top w:val="none" w:sz="0" w:space="0" w:color="auto"/>
        <w:left w:val="none" w:sz="0" w:space="0" w:color="auto"/>
        <w:bottom w:val="none" w:sz="0" w:space="0" w:color="auto"/>
        <w:right w:val="none" w:sz="0" w:space="0" w:color="auto"/>
      </w:divBdr>
      <w:divsChild>
        <w:div w:id="1891458702">
          <w:marLeft w:val="0"/>
          <w:marRight w:val="0"/>
          <w:marTop w:val="0"/>
          <w:marBottom w:val="0"/>
          <w:divBdr>
            <w:top w:val="none" w:sz="0" w:space="0" w:color="auto"/>
            <w:left w:val="none" w:sz="0" w:space="0" w:color="auto"/>
            <w:bottom w:val="none" w:sz="0" w:space="0" w:color="auto"/>
            <w:right w:val="none" w:sz="0" w:space="0" w:color="auto"/>
          </w:divBdr>
          <w:divsChild>
            <w:div w:id="131232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da.gov/food/food-labeling-nutrition/food-allergies" TargetMode="External"/><Relationship Id="rId5" Type="http://schemas.openxmlformats.org/officeDocument/2006/relationships/hyperlink" Target="https://youtu.be/fHo15_MxS4g" TargetMode="External"/><Relationship Id="rId4" Type="http://schemas.openxmlformats.org/officeDocument/2006/relationships/hyperlink" Target="https://www.youtube.com/watch?v=RLD5N37waV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4</Pages>
  <Words>1115</Words>
  <Characters>6358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Oluwatosin Osoba (2013493)</cp:lastModifiedBy>
  <cp:revision>4</cp:revision>
  <dcterms:created xsi:type="dcterms:W3CDTF">2022-05-26T22:06:00Z</dcterms:created>
  <dcterms:modified xsi:type="dcterms:W3CDTF">2022-06-01T15:45:00Z</dcterms:modified>
</cp:coreProperties>
</file>