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CB5DF0" w14:textId="3BCD69CC" w:rsidR="00442E75" w:rsidRDefault="00442E75" w:rsidP="00442E75">
      <w:pPr>
        <w:pStyle w:val="Heading2"/>
      </w:pPr>
      <w:r>
        <w:t>Introduction</w:t>
      </w:r>
    </w:p>
    <w:p w14:paraId="3EB4F5A8" w14:textId="77777777" w:rsidR="00EE2FB3" w:rsidRDefault="00EE2FB3" w:rsidP="00442E75"/>
    <w:p w14:paraId="2F5DD9D6" w14:textId="279FCC08" w:rsidR="00853BF8" w:rsidRDefault="00853BF8" w:rsidP="00442E75">
      <w:r>
        <w:t xml:space="preserve">De Mysteriis was written by the Syrian </w:t>
      </w:r>
      <w:r w:rsidR="00E61358">
        <w:t>Neoplatonist</w:t>
      </w:r>
      <w:r>
        <w:t xml:space="preserve"> philosopher Iamblichus</w:t>
      </w:r>
      <w:r w:rsidR="00522535">
        <w:t xml:space="preserve"> and was positioned </w:t>
      </w:r>
      <w:r w:rsidR="00CC6F47">
        <w:t xml:space="preserve">both </w:t>
      </w:r>
      <w:r w:rsidR="00522535">
        <w:t xml:space="preserve">as a defence of </w:t>
      </w:r>
      <w:r w:rsidR="00CC6F47">
        <w:t xml:space="preserve">divination and also </w:t>
      </w:r>
      <w:r w:rsidR="00522535">
        <w:t xml:space="preserve">the rituals and practices encompassed within Theurgy. </w:t>
      </w:r>
      <w:r>
        <w:t xml:space="preserve">Although details of his life are sketchy it is believed that </w:t>
      </w:r>
      <w:r w:rsidR="00CC6F47">
        <w:t>Iamblichus</w:t>
      </w:r>
      <w:r>
        <w:t xml:space="preserve"> was born around 245CE. and died in 325CE. According to Clarke Iamblichus </w:t>
      </w:r>
      <w:r w:rsidR="00306A90">
        <w:t xml:space="preserve">originated from a wealthy background </w:t>
      </w:r>
      <w:r w:rsidR="00CC6F47">
        <w:t>which</w:t>
      </w:r>
      <w:r w:rsidR="00306A90">
        <w:t xml:space="preserve"> was instrumental in </w:t>
      </w:r>
      <w:r w:rsidR="00851449">
        <w:t xml:space="preserve">his </w:t>
      </w:r>
      <w:r w:rsidR="00306A90">
        <w:t xml:space="preserve">intellectual </w:t>
      </w:r>
      <w:r w:rsidR="00CF773C">
        <w:t xml:space="preserve">and philosophical </w:t>
      </w:r>
      <w:r w:rsidR="00CC6F47">
        <w:t>development</w:t>
      </w:r>
      <w:r w:rsidR="00306A90">
        <w:t xml:space="preserve">. </w:t>
      </w:r>
      <w:r w:rsidR="00306A90">
        <w:rPr>
          <w:rStyle w:val="FootnoteReference"/>
        </w:rPr>
        <w:footnoteReference w:id="1"/>
      </w:r>
      <w:r w:rsidR="00D6057B">
        <w:t xml:space="preserve"> </w:t>
      </w:r>
      <w:r w:rsidR="00676F76">
        <w:t>He</w:t>
      </w:r>
      <w:r w:rsidR="00D6057B">
        <w:t xml:space="preserve"> was a strong advocate of divination and </w:t>
      </w:r>
      <w:r w:rsidR="00851449">
        <w:t xml:space="preserve">more specifically </w:t>
      </w:r>
      <w:r w:rsidR="00D6057B">
        <w:t>divination within Theurgy</w:t>
      </w:r>
      <w:r w:rsidR="00851449">
        <w:t xml:space="preserve">. </w:t>
      </w:r>
      <w:r w:rsidR="002A518F">
        <w:t>His work ‘</w:t>
      </w:r>
      <w:r w:rsidR="00D6057B" w:rsidRPr="002A518F">
        <w:rPr>
          <w:i/>
          <w:iCs/>
        </w:rPr>
        <w:t>De Mysteriis</w:t>
      </w:r>
      <w:r w:rsidR="002A518F">
        <w:t>’</w:t>
      </w:r>
      <w:r w:rsidR="00D6057B">
        <w:t xml:space="preserve"> is composed as a </w:t>
      </w:r>
      <w:r w:rsidR="002A518F">
        <w:t xml:space="preserve">response and </w:t>
      </w:r>
      <w:r w:rsidR="00D6057B">
        <w:t xml:space="preserve">refutation of </w:t>
      </w:r>
      <w:r w:rsidR="002A518F">
        <w:t xml:space="preserve">the questions and arguments conveyed  in </w:t>
      </w:r>
      <w:r w:rsidR="00D6057B">
        <w:t>Porphyry’s</w:t>
      </w:r>
      <w:r w:rsidR="002A518F">
        <w:t xml:space="preserve"> </w:t>
      </w:r>
      <w:r w:rsidR="00D6057B">
        <w:t>‘</w:t>
      </w:r>
      <w:r w:rsidR="00D6057B" w:rsidRPr="00D6057B">
        <w:rPr>
          <w:i/>
          <w:iCs/>
        </w:rPr>
        <w:t>Letter to Anebo’</w:t>
      </w:r>
      <w:r w:rsidR="00D6057B">
        <w:t>.</w:t>
      </w:r>
      <w:r w:rsidR="00153B82">
        <w:t xml:space="preserve"> </w:t>
      </w:r>
      <w:r w:rsidR="00EE2FB3">
        <w:t xml:space="preserve">This essay </w:t>
      </w:r>
      <w:r w:rsidR="00E61358">
        <w:t xml:space="preserve">critically reviews Iamblichus’ arguments for divination and  </w:t>
      </w:r>
      <w:r w:rsidR="00EE2FB3">
        <w:t xml:space="preserve">starts </w:t>
      </w:r>
      <w:r w:rsidR="00851449">
        <w:t xml:space="preserve">by focussing upon </w:t>
      </w:r>
      <w:r>
        <w:t xml:space="preserve">the </w:t>
      </w:r>
      <w:r w:rsidR="00851449">
        <w:t>intellectual</w:t>
      </w:r>
      <w:r w:rsidR="002A518F">
        <w:t xml:space="preserve">, </w:t>
      </w:r>
      <w:r w:rsidR="00851449">
        <w:t>cultural</w:t>
      </w:r>
      <w:r w:rsidR="002A518F">
        <w:t>,</w:t>
      </w:r>
      <w:r w:rsidR="00851449">
        <w:t xml:space="preserve"> historical and religious context within which </w:t>
      </w:r>
      <w:r w:rsidR="002A518F">
        <w:t>‘</w:t>
      </w:r>
      <w:r>
        <w:t>De Mysteriis</w:t>
      </w:r>
      <w:r w:rsidR="002A518F">
        <w:t>’</w:t>
      </w:r>
      <w:r>
        <w:t xml:space="preserve"> is set. </w:t>
      </w:r>
      <w:r w:rsidR="00E61358">
        <w:t xml:space="preserve">It goes on to </w:t>
      </w:r>
      <w:r w:rsidR="000672BC">
        <w:t xml:space="preserve">document </w:t>
      </w:r>
      <w:r>
        <w:t xml:space="preserve">the </w:t>
      </w:r>
      <w:r w:rsidR="005B7AA9">
        <w:t xml:space="preserve">divination </w:t>
      </w:r>
      <w:r w:rsidR="00E61358">
        <w:t xml:space="preserve">arguments </w:t>
      </w:r>
      <w:r w:rsidR="000672BC">
        <w:t xml:space="preserve">expounded </w:t>
      </w:r>
      <w:r>
        <w:t xml:space="preserve">by </w:t>
      </w:r>
      <w:proofErr w:type="gramStart"/>
      <w:r>
        <w:t>Iamblichus</w:t>
      </w:r>
      <w:r w:rsidR="005B7AA9">
        <w:t>, and</w:t>
      </w:r>
      <w:proofErr w:type="gramEnd"/>
      <w:r w:rsidR="005B7AA9">
        <w:t xml:space="preserve"> is</w:t>
      </w:r>
      <w:r w:rsidR="000672BC">
        <w:t xml:space="preserve"> then followed </w:t>
      </w:r>
      <w:r w:rsidR="005B7AA9">
        <w:t xml:space="preserve">both </w:t>
      </w:r>
      <w:r w:rsidR="000672BC">
        <w:t xml:space="preserve">by </w:t>
      </w:r>
      <w:r w:rsidR="00676F76">
        <w:t>a</w:t>
      </w:r>
      <w:r>
        <w:t xml:space="preserve"> critique of </w:t>
      </w:r>
      <w:r w:rsidR="002A518F">
        <w:t xml:space="preserve">divination, and </w:t>
      </w:r>
      <w:r w:rsidR="0069438C">
        <w:t xml:space="preserve">also </w:t>
      </w:r>
      <w:r w:rsidR="002A518F">
        <w:t xml:space="preserve">the specific </w:t>
      </w:r>
      <w:r w:rsidR="000672BC">
        <w:t>modes of divination</w:t>
      </w:r>
      <w:r w:rsidR="002A518F">
        <w:t xml:space="preserve"> posited by Iamblichus.</w:t>
      </w:r>
      <w:r>
        <w:t xml:space="preserve"> </w:t>
      </w:r>
      <w:r w:rsidR="00851449">
        <w:t>The</w:t>
      </w:r>
      <w:r>
        <w:t xml:space="preserve"> essay concludes with an appropriate conclusion based upon the preceding content</w:t>
      </w:r>
      <w:r w:rsidR="002A518F">
        <w:t xml:space="preserve">. </w:t>
      </w:r>
    </w:p>
    <w:p w14:paraId="5169E6B1" w14:textId="071A9B2A" w:rsidR="00095B4C" w:rsidRDefault="00095B4C" w:rsidP="00442E75"/>
    <w:p w14:paraId="07C6BA5D" w14:textId="5D95508A" w:rsidR="00442E75" w:rsidRDefault="001512FF" w:rsidP="001512FF">
      <w:pPr>
        <w:pStyle w:val="Heading2"/>
      </w:pPr>
      <w:r>
        <w:t>Background and context</w:t>
      </w:r>
      <w:r w:rsidR="000672BC">
        <w:t xml:space="preserve"> for De Mysteriis. </w:t>
      </w:r>
    </w:p>
    <w:p w14:paraId="039F3A3F" w14:textId="0E8A44AD" w:rsidR="00064DB1" w:rsidRDefault="00064DB1" w:rsidP="00064DB1"/>
    <w:p w14:paraId="62E95218" w14:textId="6794D59A" w:rsidR="00CC724B" w:rsidRPr="0069438C" w:rsidRDefault="00773639" w:rsidP="00280A18">
      <w:pPr>
        <w:rPr>
          <w:rFonts w:eastAsia="Times New Roman" w:cstheme="minorHAnsi"/>
          <w:lang w:eastAsia="en-GB"/>
        </w:rPr>
      </w:pPr>
      <w:r>
        <w:t xml:space="preserve">Addey confirms that ‘oracles and other types of inspired divination were regarded by </w:t>
      </w:r>
      <w:proofErr w:type="spellStart"/>
      <w:r w:rsidR="00E462D8">
        <w:t>n</w:t>
      </w:r>
      <w:r>
        <w:t>eoplatonists</w:t>
      </w:r>
      <w:proofErr w:type="spellEnd"/>
      <w:r>
        <w:t xml:space="preserve"> as fundamental aspects of their philosophy ‘.</w:t>
      </w:r>
      <w:r>
        <w:rPr>
          <w:rStyle w:val="FootnoteReference"/>
        </w:rPr>
        <w:footnoteReference w:id="2"/>
      </w:r>
      <w:r w:rsidR="00EE1CC5">
        <w:t xml:space="preserve"> </w:t>
      </w:r>
      <w:r w:rsidR="00952269">
        <w:t xml:space="preserve">She goes onto define an ‘oracle’ as ‘an inspired utterance thought to be derived from a supernatural source (usually a deity) and obtained through some sort of ritual…’. </w:t>
      </w:r>
      <w:r w:rsidR="00952269">
        <w:rPr>
          <w:rStyle w:val="FootnoteReference"/>
        </w:rPr>
        <w:footnoteReference w:id="3"/>
      </w:r>
      <w:r w:rsidR="00952269">
        <w:t xml:space="preserve"> </w:t>
      </w:r>
      <w:r w:rsidR="00EE1CC5">
        <w:t>In late antiquity divination was purported to be a mechanism by which the Gods could influence the material world. Cicero in his work “</w:t>
      </w:r>
      <w:r w:rsidR="00EE1CC5" w:rsidRPr="0069438C">
        <w:rPr>
          <w:i/>
          <w:iCs/>
        </w:rPr>
        <w:t>De Divinatione’</w:t>
      </w:r>
      <w:r w:rsidR="00EE1CC5">
        <w:t xml:space="preserve"> had created a frame of reference for considering how divination operated. In thi</w:t>
      </w:r>
      <w:r w:rsidR="0069438C">
        <w:t>s</w:t>
      </w:r>
      <w:r w:rsidR="00C96008">
        <w:t xml:space="preserve"> </w:t>
      </w:r>
      <w:r w:rsidR="00676F76">
        <w:t xml:space="preserve">work </w:t>
      </w:r>
      <w:r w:rsidR="00EE1CC5" w:rsidRPr="00EE1CC5">
        <w:rPr>
          <w:rFonts w:eastAsia="Times New Roman" w:cstheme="minorHAnsi"/>
          <w:color w:val="202122"/>
          <w:shd w:val="clear" w:color="auto" w:fill="FFFFFF"/>
          <w:lang w:eastAsia="en-GB"/>
        </w:rPr>
        <w:t>Quintus offers various accounts of the different kinds of omens</w:t>
      </w:r>
      <w:r w:rsidR="00BC22F5">
        <w:rPr>
          <w:rFonts w:eastAsia="Times New Roman" w:cstheme="minorHAnsi"/>
          <w:color w:val="202122"/>
          <w:shd w:val="clear" w:color="auto" w:fill="FFFFFF"/>
          <w:lang w:eastAsia="en-GB"/>
        </w:rPr>
        <w:t xml:space="preserve"> and </w:t>
      </w:r>
      <w:r w:rsidR="00EE1CC5" w:rsidRPr="00EE1CC5">
        <w:rPr>
          <w:rFonts w:eastAsia="Times New Roman" w:cstheme="minorHAnsi"/>
          <w:color w:val="202122"/>
          <w:shd w:val="clear" w:color="auto" w:fill="FFFFFF"/>
          <w:lang w:eastAsia="en-GB"/>
        </w:rPr>
        <w:t xml:space="preserve">dreams, </w:t>
      </w:r>
      <w:r w:rsidR="0069438C">
        <w:rPr>
          <w:rFonts w:eastAsia="Times New Roman" w:cstheme="minorHAnsi"/>
          <w:color w:val="202122"/>
          <w:shd w:val="clear" w:color="auto" w:fill="FFFFFF"/>
          <w:lang w:eastAsia="en-GB"/>
        </w:rPr>
        <w:t xml:space="preserve">that characterise divination </w:t>
      </w:r>
      <w:r w:rsidR="00EE1CC5">
        <w:rPr>
          <w:rFonts w:eastAsia="Times New Roman" w:cstheme="minorHAnsi"/>
          <w:color w:val="202122"/>
          <w:shd w:val="clear" w:color="auto" w:fill="FFFFFF"/>
          <w:lang w:eastAsia="en-GB"/>
        </w:rPr>
        <w:t xml:space="preserve">and </w:t>
      </w:r>
      <w:r w:rsidR="0069438C">
        <w:rPr>
          <w:rFonts w:eastAsia="Times New Roman" w:cstheme="minorHAnsi"/>
          <w:color w:val="202122"/>
          <w:shd w:val="clear" w:color="auto" w:fill="FFFFFF"/>
          <w:lang w:eastAsia="en-GB"/>
        </w:rPr>
        <w:t xml:space="preserve">suggests that </w:t>
      </w:r>
      <w:r w:rsidR="00EE1CC5">
        <w:rPr>
          <w:rFonts w:eastAsia="Times New Roman" w:cstheme="minorHAnsi"/>
          <w:color w:val="202122"/>
          <w:shd w:val="clear" w:color="auto" w:fill="FFFFFF"/>
          <w:lang w:eastAsia="en-GB"/>
        </w:rPr>
        <w:t xml:space="preserve">we cannot always explain why certain things happen. </w:t>
      </w:r>
      <w:r w:rsidR="00EE1CC5">
        <w:rPr>
          <w:rStyle w:val="FootnoteReference"/>
          <w:rFonts w:eastAsia="Times New Roman" w:cstheme="minorHAnsi"/>
          <w:color w:val="202122"/>
          <w:shd w:val="clear" w:color="auto" w:fill="FFFFFF"/>
          <w:lang w:eastAsia="en-GB"/>
        </w:rPr>
        <w:footnoteReference w:id="4"/>
      </w:r>
      <w:r w:rsidR="00EE1CC5">
        <w:t xml:space="preserve"> </w:t>
      </w:r>
    </w:p>
    <w:p w14:paraId="0A03D541" w14:textId="3F0A0050" w:rsidR="00773639" w:rsidRDefault="00773639" w:rsidP="00CC6F47"/>
    <w:p w14:paraId="37D2CA41" w14:textId="715F5F48" w:rsidR="00B113DE" w:rsidRDefault="00411DF8" w:rsidP="00B113DE">
      <w:r>
        <w:t xml:space="preserve">‘De Mysteriis’ is one of many works produced by the core </w:t>
      </w:r>
      <w:r w:rsidR="00D430ED">
        <w:t xml:space="preserve">Neoplatonist community </w:t>
      </w:r>
      <w:r w:rsidR="00003E01">
        <w:t>from the third to the sixth century CE.</w:t>
      </w:r>
      <w:r w:rsidR="00CA09E2">
        <w:rPr>
          <w:rStyle w:val="FootnoteReference"/>
        </w:rPr>
        <w:footnoteReference w:id="5"/>
      </w:r>
      <w:r w:rsidR="00773639">
        <w:t xml:space="preserve"> </w:t>
      </w:r>
      <w:r>
        <w:t xml:space="preserve"> It is positioned as a response to </w:t>
      </w:r>
      <w:r w:rsidR="00522535">
        <w:t xml:space="preserve">Porphyry’s </w:t>
      </w:r>
      <w:r w:rsidR="00CC6F47">
        <w:t>‘</w:t>
      </w:r>
      <w:r>
        <w:rPr>
          <w:i/>
          <w:iCs/>
        </w:rPr>
        <w:t>L</w:t>
      </w:r>
      <w:r w:rsidR="00522535" w:rsidRPr="00CC6F47">
        <w:rPr>
          <w:i/>
          <w:iCs/>
        </w:rPr>
        <w:t xml:space="preserve">etter </w:t>
      </w:r>
      <w:r w:rsidR="00CC6F47" w:rsidRPr="00CC6F47">
        <w:rPr>
          <w:i/>
          <w:iCs/>
        </w:rPr>
        <w:t xml:space="preserve">to </w:t>
      </w:r>
      <w:proofErr w:type="spellStart"/>
      <w:r>
        <w:rPr>
          <w:i/>
          <w:iCs/>
        </w:rPr>
        <w:t>A</w:t>
      </w:r>
      <w:r w:rsidR="00CC6F47" w:rsidRPr="00CC6F47">
        <w:rPr>
          <w:i/>
          <w:iCs/>
        </w:rPr>
        <w:t>nebo</w:t>
      </w:r>
      <w:proofErr w:type="spellEnd"/>
      <w:r w:rsidR="00CC6F47" w:rsidRPr="00CC6F47">
        <w:rPr>
          <w:i/>
          <w:iCs/>
        </w:rPr>
        <w:t>’</w:t>
      </w:r>
      <w:r w:rsidR="00CC6F47">
        <w:t xml:space="preserve"> </w:t>
      </w:r>
      <w:r>
        <w:t xml:space="preserve"> which </w:t>
      </w:r>
      <w:r w:rsidR="00FC27D2">
        <w:t xml:space="preserve">at face value </w:t>
      </w:r>
      <w:r>
        <w:t xml:space="preserve">contains a </w:t>
      </w:r>
      <w:r w:rsidR="00522535">
        <w:t>detailed</w:t>
      </w:r>
      <w:r w:rsidR="00D430ED">
        <w:t xml:space="preserve"> </w:t>
      </w:r>
      <w:r>
        <w:t>critique of</w:t>
      </w:r>
      <w:r w:rsidR="00D430ED">
        <w:t xml:space="preserve"> divination</w:t>
      </w:r>
      <w:r w:rsidR="0089538B">
        <w:t xml:space="preserve"> and theurg</w:t>
      </w:r>
      <w:r w:rsidR="00952269">
        <w:t>y</w:t>
      </w:r>
      <w:r w:rsidR="00350BCB">
        <w:t xml:space="preserve">. </w:t>
      </w:r>
      <w:r w:rsidR="00B113DE">
        <w:t xml:space="preserve">In his response to Porphyry Iamblichus is keen to distinguish between what constitutes theurgy and what he perceives as </w:t>
      </w:r>
      <w:r w:rsidR="00E462D8">
        <w:t>just</w:t>
      </w:r>
      <w:r w:rsidR="00B113DE">
        <w:t xml:space="preserve"> magic. More specifically the work is a detailed response to Porphyry regarding divinity, the Gods, and how they should be worshipped.</w:t>
      </w:r>
    </w:p>
    <w:p w14:paraId="2CA5EF57" w14:textId="77777777" w:rsidR="00B113DE" w:rsidRDefault="00B113DE" w:rsidP="00B113DE"/>
    <w:p w14:paraId="4A8F3361" w14:textId="52691898" w:rsidR="00D93DC3" w:rsidRDefault="00A976EE" w:rsidP="00D671F3">
      <w:r>
        <w:t>Porphyry’s letter may have been l</w:t>
      </w:r>
      <w:r w:rsidR="00952269">
        <w:t xml:space="preserve">evelled </w:t>
      </w:r>
      <w:r>
        <w:t xml:space="preserve">as </w:t>
      </w:r>
      <w:r w:rsidR="00674EF5">
        <w:t>a response to the criticism</w:t>
      </w:r>
      <w:r w:rsidR="00B7225F">
        <w:t xml:space="preserve"> that Iamblichus had </w:t>
      </w:r>
      <w:r w:rsidR="00952269">
        <w:t xml:space="preserve">previously </w:t>
      </w:r>
      <w:r>
        <w:t>directed</w:t>
      </w:r>
      <w:r w:rsidR="00B7225F">
        <w:t xml:space="preserve"> at Porphyry in other works, such as in his Timaeus commentary. </w:t>
      </w:r>
      <w:r w:rsidR="00B7225F">
        <w:rPr>
          <w:rStyle w:val="FootnoteReference"/>
        </w:rPr>
        <w:footnoteReference w:id="6"/>
      </w:r>
      <w:r w:rsidR="00B7225F">
        <w:t xml:space="preserve"> </w:t>
      </w:r>
      <w:r w:rsidR="00952269">
        <w:t>T</w:t>
      </w:r>
      <w:r w:rsidR="00280A18">
        <w:t xml:space="preserve">his </w:t>
      </w:r>
      <w:r w:rsidR="00674EF5">
        <w:t xml:space="preserve">would </w:t>
      </w:r>
      <w:r w:rsidR="00952269">
        <w:t xml:space="preserve">however </w:t>
      </w:r>
      <w:r w:rsidR="00674EF5">
        <w:t xml:space="preserve">be </w:t>
      </w:r>
      <w:r w:rsidR="00280A18">
        <w:t xml:space="preserve">surprising given </w:t>
      </w:r>
      <w:r w:rsidR="00674EF5">
        <w:t xml:space="preserve">that </w:t>
      </w:r>
      <w:r w:rsidR="00280A18">
        <w:t xml:space="preserve">the </w:t>
      </w:r>
      <w:proofErr w:type="spellStart"/>
      <w:r w:rsidR="00280A18">
        <w:t>neoplatonists</w:t>
      </w:r>
      <w:proofErr w:type="spellEnd"/>
      <w:r w:rsidR="00280A18">
        <w:t xml:space="preserve"> were generally perceived to be supportive of divination. Plato himself suggested that ‘the greatest blessings come through divine mania’ </w:t>
      </w:r>
      <w:r w:rsidR="00280A18">
        <w:rPr>
          <w:rStyle w:val="FootnoteReference"/>
        </w:rPr>
        <w:footnoteReference w:id="7"/>
      </w:r>
      <w:r w:rsidR="008544F9">
        <w:t xml:space="preserve"> </w:t>
      </w:r>
      <w:r w:rsidR="000F2580">
        <w:t xml:space="preserve">It is of note that </w:t>
      </w:r>
      <w:r w:rsidR="008544F9">
        <w:t xml:space="preserve">Addey </w:t>
      </w:r>
      <w:r w:rsidR="000F2580">
        <w:t>p</w:t>
      </w:r>
      <w:r w:rsidR="0089538B">
        <w:t xml:space="preserve">ositions things differently suggesting that the two documents are </w:t>
      </w:r>
      <w:r>
        <w:t xml:space="preserve">actually </w:t>
      </w:r>
      <w:r w:rsidR="0089538B">
        <w:t>a manufactured dialogue</w:t>
      </w:r>
      <w:r w:rsidR="004E3EFE">
        <w:t xml:space="preserve"> designed to explore and justify Iamblichus’ views vis a vis theurgy. </w:t>
      </w:r>
      <w:r w:rsidR="00D430ED">
        <w:t xml:space="preserve">She </w:t>
      </w:r>
      <w:r w:rsidR="00C96008">
        <w:t xml:space="preserve">suggests that </w:t>
      </w:r>
      <w:r w:rsidR="00FC27D2">
        <w:t xml:space="preserve">De Mysteriis is structurally comparable to works such as </w:t>
      </w:r>
      <w:r w:rsidR="00C96008">
        <w:t>H</w:t>
      </w:r>
      <w:r w:rsidR="00D430ED">
        <w:t>ermetica</w:t>
      </w:r>
      <w:r w:rsidR="00C96008">
        <w:t>.</w:t>
      </w:r>
      <w:r w:rsidR="008544F9">
        <w:t xml:space="preserve"> To support </w:t>
      </w:r>
      <w:r w:rsidR="00CF47D8">
        <w:t xml:space="preserve">her </w:t>
      </w:r>
      <w:r w:rsidR="004D6081">
        <w:t>position,</w:t>
      </w:r>
      <w:r w:rsidR="008544F9">
        <w:t xml:space="preserve"> she points to evidence </w:t>
      </w:r>
      <w:r w:rsidR="00D671F3">
        <w:t xml:space="preserve">that Porphyry was himself an advocate of </w:t>
      </w:r>
      <w:r w:rsidR="004E3EFE">
        <w:t>divination and t</w:t>
      </w:r>
      <w:r w:rsidR="00D671F3">
        <w:t>heurgy</w:t>
      </w:r>
      <w:r w:rsidR="004D6081">
        <w:t xml:space="preserve"> commenting that for him ‘philosophy, poetry and religious ritual were complementary and intrinsically linked</w:t>
      </w:r>
      <w:r>
        <w:t>’</w:t>
      </w:r>
      <w:r w:rsidR="004D6081">
        <w:t xml:space="preserve">. </w:t>
      </w:r>
      <w:r w:rsidR="004D6081">
        <w:rPr>
          <w:rStyle w:val="FootnoteReference"/>
        </w:rPr>
        <w:footnoteReference w:id="8"/>
      </w:r>
      <w:r w:rsidR="00B7225F">
        <w:t xml:space="preserve"> The conversation she concludes is an artificial construct designed to facilitate the exploration of </w:t>
      </w:r>
      <w:r w:rsidR="00DC7ED6">
        <w:t>D</w:t>
      </w:r>
      <w:r w:rsidR="00B7225F">
        <w:t xml:space="preserve">ivination and Theurgy </w:t>
      </w:r>
      <w:r w:rsidR="008507FA">
        <w:t xml:space="preserve">primarily as an </w:t>
      </w:r>
      <w:r w:rsidR="00B7225F">
        <w:t xml:space="preserve">educational tool </w:t>
      </w:r>
      <w:r w:rsidR="008507FA">
        <w:t xml:space="preserve">though </w:t>
      </w:r>
      <w:r w:rsidR="00B7225F">
        <w:t xml:space="preserve">also as a defence against emerging </w:t>
      </w:r>
      <w:r>
        <w:t xml:space="preserve">second century </w:t>
      </w:r>
      <w:r w:rsidR="00B7225F">
        <w:t>Christian orthodoxy</w:t>
      </w:r>
      <w:r w:rsidR="00952269">
        <w:t xml:space="preserve"> and </w:t>
      </w:r>
      <w:r w:rsidR="00DC7ED6">
        <w:t>Gnosticism</w:t>
      </w:r>
      <w:r w:rsidR="00B7225F">
        <w:t xml:space="preserve">. </w:t>
      </w:r>
      <w:r w:rsidR="00B7225F">
        <w:rPr>
          <w:rStyle w:val="FootnoteReference"/>
        </w:rPr>
        <w:footnoteReference w:id="9"/>
      </w:r>
      <w:r w:rsidR="00A4292F">
        <w:t>.</w:t>
      </w:r>
    </w:p>
    <w:p w14:paraId="0A3760D1" w14:textId="77777777" w:rsidR="00B113DE" w:rsidRDefault="00B113DE" w:rsidP="00D671F3"/>
    <w:p w14:paraId="5F78352E" w14:textId="77777777" w:rsidR="00C536DE" w:rsidRDefault="00674EF5" w:rsidP="00C96008">
      <w:r>
        <w:t>De Myster</w:t>
      </w:r>
      <w:r w:rsidR="0012044A">
        <w:t>i</w:t>
      </w:r>
      <w:r>
        <w:t>is references two types of divination</w:t>
      </w:r>
      <w:r w:rsidR="00952269">
        <w:t>, labelled</w:t>
      </w:r>
      <w:r>
        <w:t xml:space="preserve"> </w:t>
      </w:r>
      <w:r w:rsidR="00952269">
        <w:t>as ‘</w:t>
      </w:r>
      <w:r>
        <w:t>inductive</w:t>
      </w:r>
      <w:r w:rsidR="00952269">
        <w:t>’</w:t>
      </w:r>
      <w:r>
        <w:t xml:space="preserve"> and </w:t>
      </w:r>
      <w:r w:rsidR="00952269">
        <w:t>‘</w:t>
      </w:r>
      <w:r>
        <w:t>inspired</w:t>
      </w:r>
      <w:r w:rsidR="00952269">
        <w:t>’</w:t>
      </w:r>
      <w:r>
        <w:t>. Additionally</w:t>
      </w:r>
      <w:r w:rsidR="00952269">
        <w:t>,</w:t>
      </w:r>
      <w:r>
        <w:t xml:space="preserve"> it </w:t>
      </w:r>
      <w:r w:rsidR="0012044A">
        <w:t>suggests that divination inspired by the rituals and practices of Theurgy a</w:t>
      </w:r>
      <w:r w:rsidR="00952269">
        <w:t>re</w:t>
      </w:r>
      <w:r w:rsidR="0012044A">
        <w:t xml:space="preserve"> </w:t>
      </w:r>
      <w:r w:rsidR="00B113DE">
        <w:t>its highest example</w:t>
      </w:r>
      <w:r w:rsidR="0012044A">
        <w:t xml:space="preserve">. </w:t>
      </w:r>
      <w:r w:rsidR="00BC22F5">
        <w:t xml:space="preserve">Notably </w:t>
      </w:r>
      <w:r w:rsidR="0012044A">
        <w:t>Iamblichus confirms</w:t>
      </w:r>
      <w:r w:rsidR="00BC22F5">
        <w:t xml:space="preserve"> </w:t>
      </w:r>
      <w:r w:rsidR="0012044A">
        <w:t xml:space="preserve">divination </w:t>
      </w:r>
      <w:r w:rsidR="00BC22F5">
        <w:t xml:space="preserve">to be </w:t>
      </w:r>
      <w:r w:rsidR="00727B38">
        <w:t xml:space="preserve">complementary </w:t>
      </w:r>
      <w:r w:rsidR="00BC22F5">
        <w:t xml:space="preserve">to philosophy, indicative of a context in which revelation and the rational comfortably co-exist. </w:t>
      </w:r>
      <w:r w:rsidR="0012044A">
        <w:t xml:space="preserve">It was </w:t>
      </w:r>
      <w:r w:rsidR="00FC31CF">
        <w:t xml:space="preserve">Proclus who defined </w:t>
      </w:r>
      <w:r w:rsidR="00E56D96">
        <w:t xml:space="preserve">Theurgy </w:t>
      </w:r>
      <w:r w:rsidR="00FC31CF">
        <w:t xml:space="preserve">as ‘greater than </w:t>
      </w:r>
      <w:r w:rsidR="00E56D96">
        <w:t xml:space="preserve">all human wisdom and knowledge embracing the blessings of divination’. </w:t>
      </w:r>
      <w:r w:rsidR="00E56D96">
        <w:rPr>
          <w:rStyle w:val="FootnoteReference"/>
        </w:rPr>
        <w:footnoteReference w:id="10"/>
      </w:r>
      <w:r w:rsidR="00E56D96">
        <w:t xml:space="preserve"> </w:t>
      </w:r>
      <w:r w:rsidR="0012044A">
        <w:t xml:space="preserve"> </w:t>
      </w:r>
      <w:r w:rsidR="00B113DE">
        <w:t xml:space="preserve">Iamblichus suggests that </w:t>
      </w:r>
      <w:r w:rsidR="008507FA">
        <w:t xml:space="preserve">in its highest form </w:t>
      </w:r>
      <w:r w:rsidR="00B113DE">
        <w:t>t</w:t>
      </w:r>
      <w:r w:rsidR="008B0D3C">
        <w:t xml:space="preserve">he adherent is required to develop his ethical and intellectual capacities and in so doing </w:t>
      </w:r>
      <w:r w:rsidR="00F071AF">
        <w:t xml:space="preserve">facilitate </w:t>
      </w:r>
      <w:r w:rsidR="008507FA">
        <w:t xml:space="preserve">his </w:t>
      </w:r>
      <w:proofErr w:type="gramStart"/>
      <w:r w:rsidR="0034736C">
        <w:t>souls</w:t>
      </w:r>
      <w:proofErr w:type="gramEnd"/>
      <w:r w:rsidR="0034736C">
        <w:t xml:space="preserve"> </w:t>
      </w:r>
      <w:r w:rsidR="008D78D2">
        <w:t>ascent to union with the One</w:t>
      </w:r>
      <w:r w:rsidR="00F80C59">
        <w:t>, a process referred to as divinisation.</w:t>
      </w:r>
      <w:r w:rsidR="0034736C">
        <w:t xml:space="preserve"> The idea of </w:t>
      </w:r>
      <w:r w:rsidR="008D78D2">
        <w:t xml:space="preserve">reuniting </w:t>
      </w:r>
      <w:r w:rsidR="0034736C">
        <w:t xml:space="preserve">with the One </w:t>
      </w:r>
      <w:r w:rsidR="00CF47D8">
        <w:t>is an idea that is embedded into the work of Plotinus</w:t>
      </w:r>
      <w:r w:rsidR="008507FA">
        <w:t xml:space="preserve"> which Stace covers in some detail</w:t>
      </w:r>
      <w:r w:rsidR="00CF47D8">
        <w:t>.</w:t>
      </w:r>
      <w:r w:rsidR="008D78D2">
        <w:rPr>
          <w:rStyle w:val="FootnoteReference"/>
        </w:rPr>
        <w:footnoteReference w:id="11"/>
      </w:r>
      <w:r w:rsidR="00CF47D8">
        <w:t xml:space="preserve"> </w:t>
      </w:r>
    </w:p>
    <w:p w14:paraId="21E194EB" w14:textId="77777777" w:rsidR="00C536DE" w:rsidRDefault="00C536DE" w:rsidP="00C96008"/>
    <w:p w14:paraId="3420148F" w14:textId="6AE3EB66" w:rsidR="008D78D2" w:rsidRDefault="00593E05" w:rsidP="00C96008">
      <w:r>
        <w:t xml:space="preserve">Addey suggests that Theurgy </w:t>
      </w:r>
      <w:r w:rsidR="00E7495A">
        <w:t xml:space="preserve">is a way of being and that it was a lifelong endeavour </w:t>
      </w:r>
      <w:r w:rsidR="00E42FEB">
        <w:t xml:space="preserve">focussed upon </w:t>
      </w:r>
      <w:r w:rsidR="002F5240">
        <w:t xml:space="preserve">honing the intellect and attainment of moral virtue. </w:t>
      </w:r>
      <w:r w:rsidR="00C536DE">
        <w:t>Additionally</w:t>
      </w:r>
      <w:r w:rsidR="00BD3A1E">
        <w:t>,</w:t>
      </w:r>
      <w:r w:rsidR="00C536DE">
        <w:t xml:space="preserve"> that it was </w:t>
      </w:r>
      <w:r w:rsidR="005A2797">
        <w:t xml:space="preserve">different from </w:t>
      </w:r>
      <w:r w:rsidR="006B3F62">
        <w:t xml:space="preserve">goeteia </w:t>
      </w:r>
      <w:r w:rsidR="005A63EB">
        <w:t xml:space="preserve">(traditional magic) which was assumed to lack the right appreciation of, and consideration for the divine. </w:t>
      </w:r>
      <w:r w:rsidR="00D10015">
        <w:t>In Theurgi</w:t>
      </w:r>
      <w:r w:rsidR="00BD3A1E">
        <w:t>c</w:t>
      </w:r>
      <w:r w:rsidR="00D10015">
        <w:t xml:space="preserve"> ritual and divination it was the gods that directed the activity </w:t>
      </w:r>
      <w:r w:rsidR="00C546FA">
        <w:t xml:space="preserve">rather than it being directed by humans. </w:t>
      </w:r>
    </w:p>
    <w:p w14:paraId="13566A7E" w14:textId="77777777" w:rsidR="008D78D2" w:rsidRDefault="008D78D2" w:rsidP="00C96008"/>
    <w:p w14:paraId="5E2228BA" w14:textId="15BCE9AF" w:rsidR="00D028EA" w:rsidRDefault="00422081" w:rsidP="00442E75">
      <w:r>
        <w:t xml:space="preserve">It is of note that in De Mysteriis Iamblichus adopts the </w:t>
      </w:r>
      <w:r w:rsidR="0034736C">
        <w:t xml:space="preserve"> pseudonym of</w:t>
      </w:r>
      <w:r w:rsidR="00E9287C">
        <w:t xml:space="preserve"> an Egyptian prophet referenced as</w:t>
      </w:r>
      <w:r w:rsidR="0034736C">
        <w:t xml:space="preserve"> Aba</w:t>
      </w:r>
      <w:r w:rsidR="00E9287C">
        <w:t>m</w:t>
      </w:r>
      <w:r w:rsidR="0034736C">
        <w:t>mon</w:t>
      </w:r>
      <w:r>
        <w:t xml:space="preserve">. </w:t>
      </w:r>
      <w:r w:rsidR="00E9287C">
        <w:t>One suggestion is that the adoption of this pseudonym enables</w:t>
      </w:r>
      <w:r>
        <w:t xml:space="preserve"> </w:t>
      </w:r>
      <w:r w:rsidR="0034736C">
        <w:t xml:space="preserve"> </w:t>
      </w:r>
      <w:r w:rsidR="0034736C">
        <w:lastRenderedPageBreak/>
        <w:t xml:space="preserve">Iamblichus </w:t>
      </w:r>
      <w:r w:rsidR="00E9287C">
        <w:t>to</w:t>
      </w:r>
      <w:r w:rsidR="0034736C">
        <w:t xml:space="preserve"> </w:t>
      </w:r>
      <w:r w:rsidR="00E9287C">
        <w:t>‘</w:t>
      </w:r>
      <w:r w:rsidR="00D46BA6">
        <w:t>mine</w:t>
      </w:r>
      <w:r w:rsidR="00E9287C">
        <w:t>’</w:t>
      </w:r>
      <w:r w:rsidR="00D46BA6">
        <w:t xml:space="preserve"> </w:t>
      </w:r>
      <w:r w:rsidR="00333C18">
        <w:t xml:space="preserve">both the </w:t>
      </w:r>
      <w:r w:rsidR="00D46BA6">
        <w:t>ancient Egyptian wisdom as well as the Greek philosophical tradition.</w:t>
      </w:r>
      <w:r w:rsidR="00333C18">
        <w:rPr>
          <w:rStyle w:val="FootnoteReference"/>
        </w:rPr>
        <w:footnoteReference w:id="12"/>
      </w:r>
      <w:r w:rsidR="00D46BA6">
        <w:t xml:space="preserve"> Clarke </w:t>
      </w:r>
      <w:r w:rsidR="008507FA">
        <w:t>purports</w:t>
      </w:r>
      <w:r w:rsidR="00D46BA6">
        <w:t xml:space="preserve"> that there </w:t>
      </w:r>
      <w:r w:rsidR="008507FA">
        <w:t>is</w:t>
      </w:r>
      <w:r w:rsidR="00D46BA6">
        <w:t xml:space="preserve"> no et</w:t>
      </w:r>
      <w:r w:rsidR="00E9287C">
        <w:t>y</w:t>
      </w:r>
      <w:r w:rsidR="00D46BA6">
        <w:t xml:space="preserve">mological rationale for the adoption of the </w:t>
      </w:r>
      <w:proofErr w:type="gramStart"/>
      <w:r w:rsidR="00D46BA6">
        <w:t>pseudonym, and</w:t>
      </w:r>
      <w:proofErr w:type="gramEnd"/>
      <w:r w:rsidR="00090A40">
        <w:t xml:space="preserve"> goes on to </w:t>
      </w:r>
      <w:r w:rsidR="00853FB2">
        <w:t xml:space="preserve">conclude </w:t>
      </w:r>
      <w:r w:rsidR="00D46BA6">
        <w:t xml:space="preserve">that it is not a reference to the god Ammon. </w:t>
      </w:r>
      <w:r w:rsidR="00D46BA6">
        <w:rPr>
          <w:rStyle w:val="FootnoteReference"/>
        </w:rPr>
        <w:footnoteReference w:id="13"/>
      </w:r>
    </w:p>
    <w:p w14:paraId="50930049" w14:textId="327ECDA8" w:rsidR="00506375" w:rsidRDefault="00506375" w:rsidP="00442E75"/>
    <w:p w14:paraId="45A47767" w14:textId="0340A5BD" w:rsidR="00506375" w:rsidRDefault="00506375" w:rsidP="00442E75">
      <w:r>
        <w:t xml:space="preserve">In </w:t>
      </w:r>
      <w:r w:rsidR="00B113DE">
        <w:t xml:space="preserve">the final book of De Mysteriis, </w:t>
      </w:r>
      <w:r>
        <w:t>Abam</w:t>
      </w:r>
      <w:r w:rsidR="00A4292F">
        <w:t>m</w:t>
      </w:r>
      <w:r>
        <w:t>on summarises his position. He confirms that the only route to that which is good</w:t>
      </w:r>
      <w:r w:rsidR="00B113DE">
        <w:t>,</w:t>
      </w:r>
      <w:r>
        <w:t xml:space="preserve"> is via union with the Gods and the only way of achieving this is through the use of Theurgy. </w:t>
      </w:r>
      <w:r w:rsidR="00AB093C">
        <w:t xml:space="preserve">More specifically on the subject of divination he confirms that ‘only divine mantic prediction, conjoined with the Gods, truly imparts to us a share in the divine life’. </w:t>
      </w:r>
      <w:r w:rsidR="00AB093C">
        <w:rPr>
          <w:rStyle w:val="FootnoteReference"/>
        </w:rPr>
        <w:footnoteReference w:id="14"/>
      </w:r>
      <w:r w:rsidR="00B113DE">
        <w:t xml:space="preserve"> </w:t>
      </w:r>
      <w:r w:rsidR="00AB093C">
        <w:t xml:space="preserve"> summ</w:t>
      </w:r>
      <w:r w:rsidR="00B113DE">
        <w:t xml:space="preserve">ary is </w:t>
      </w:r>
      <w:r w:rsidR="00AB093C">
        <w:t xml:space="preserve">excellent context for considering </w:t>
      </w:r>
      <w:r w:rsidR="008507FA">
        <w:t xml:space="preserve">the </w:t>
      </w:r>
      <w:r w:rsidR="00AB093C">
        <w:t>more detailed observations</w:t>
      </w:r>
      <w:r w:rsidR="008507FA">
        <w:t xml:space="preserve"> in Book Three. </w:t>
      </w:r>
    </w:p>
    <w:p w14:paraId="6222E9B9" w14:textId="706D4289" w:rsidR="0094376D" w:rsidRDefault="0094376D" w:rsidP="00442E75"/>
    <w:p w14:paraId="1CDECB5D" w14:textId="77777777" w:rsidR="0094376D" w:rsidRDefault="0094376D" w:rsidP="0094376D">
      <w:r>
        <w:t xml:space="preserve">‘In vain do you introduce the opinions of the atheists. (Atheists is a code word for the Christians of the time) </w:t>
      </w:r>
    </w:p>
    <w:p w14:paraId="2A9E7AEE" w14:textId="77777777" w:rsidR="0094376D" w:rsidRDefault="0094376D" w:rsidP="00442E75"/>
    <w:p w14:paraId="1A38541F" w14:textId="77777777" w:rsidR="003E3AB5" w:rsidRDefault="003E3AB5" w:rsidP="00442E75"/>
    <w:p w14:paraId="070BF50F" w14:textId="136F91B8" w:rsidR="00442E75" w:rsidRDefault="00442E75" w:rsidP="00442E75">
      <w:pPr>
        <w:pStyle w:val="Heading2"/>
      </w:pPr>
      <w:r>
        <w:t>Iamblichus</w:t>
      </w:r>
      <w:r w:rsidR="002D39E7">
        <w:t xml:space="preserve"> and his arguments for </w:t>
      </w:r>
      <w:r>
        <w:t>Divination</w:t>
      </w:r>
    </w:p>
    <w:p w14:paraId="7A9F04FC" w14:textId="77777777" w:rsidR="003564C2" w:rsidRDefault="003564C2" w:rsidP="001512FF"/>
    <w:p w14:paraId="4D29A917" w14:textId="34492011" w:rsidR="0083321A" w:rsidRDefault="008507FA" w:rsidP="001512FF">
      <w:r>
        <w:t xml:space="preserve">As already stated </w:t>
      </w:r>
      <w:r w:rsidR="007E46FA">
        <w:t>Iamblichus differentiates b</w:t>
      </w:r>
      <w:r w:rsidR="00B113DE">
        <w:t>e</w:t>
      </w:r>
      <w:r w:rsidR="007E46FA">
        <w:t>tween two categories of divination</w:t>
      </w:r>
      <w:r w:rsidR="001938B3">
        <w:t xml:space="preserve"> which he terms </w:t>
      </w:r>
      <w:r w:rsidR="00B113DE">
        <w:t>inductive and inspired.</w:t>
      </w:r>
      <w:r w:rsidR="00A0437E">
        <w:t xml:space="preserve"> He suggests that the inductive form is sourced from examining signs such as entrails, birds, and stars and </w:t>
      </w:r>
      <w:r w:rsidR="00D12C25">
        <w:t>states</w:t>
      </w:r>
      <w:r w:rsidR="00A0437E">
        <w:t xml:space="preserve"> that the Gods produce these signs either by means of nature or ‘through the agency of </w:t>
      </w:r>
      <w:proofErr w:type="gramStart"/>
      <w:r w:rsidR="00A0437E">
        <w:t>daemons’</w:t>
      </w:r>
      <w:proofErr w:type="gramEnd"/>
      <w:r w:rsidR="00A0437E">
        <w:t>.</w:t>
      </w:r>
      <w:r w:rsidR="00A0437E">
        <w:rPr>
          <w:rStyle w:val="FootnoteReference"/>
        </w:rPr>
        <w:footnoteReference w:id="15"/>
      </w:r>
      <w:r w:rsidR="00A0437E">
        <w:t xml:space="preserve"> </w:t>
      </w:r>
      <w:r w:rsidR="00B113DE">
        <w:t xml:space="preserve">Iamblichus </w:t>
      </w:r>
      <w:r w:rsidR="00DF6880">
        <w:t>confirms</w:t>
      </w:r>
      <w:r w:rsidR="00B113DE">
        <w:t xml:space="preserve"> </w:t>
      </w:r>
      <w:r w:rsidR="001938B3">
        <w:t xml:space="preserve">however </w:t>
      </w:r>
      <w:r w:rsidR="00B113DE">
        <w:t>that i</w:t>
      </w:r>
      <w:r w:rsidR="009C3C34">
        <w:t xml:space="preserve">nductive </w:t>
      </w:r>
      <w:r w:rsidR="00012838">
        <w:t>divination</w:t>
      </w:r>
      <w:r w:rsidR="00A0437E">
        <w:t xml:space="preserve"> </w:t>
      </w:r>
      <w:r>
        <w:t>necessarily</w:t>
      </w:r>
      <w:r w:rsidR="00012838">
        <w:t xml:space="preserve"> </w:t>
      </w:r>
      <w:r w:rsidR="00B113DE">
        <w:t>employs</w:t>
      </w:r>
      <w:r w:rsidR="00012838">
        <w:t xml:space="preserve"> ‘guessing and supposition’</w:t>
      </w:r>
      <w:r>
        <w:t xml:space="preserve"> and </w:t>
      </w:r>
      <w:r w:rsidR="00BD3A1E">
        <w:t xml:space="preserve">is </w:t>
      </w:r>
      <w:r>
        <w:t>therefore less reliable than the ‘inspired form.</w:t>
      </w:r>
      <w:r w:rsidR="00012838">
        <w:t xml:space="preserve"> </w:t>
      </w:r>
      <w:r w:rsidR="00012838">
        <w:rPr>
          <w:rStyle w:val="FootnoteReference"/>
        </w:rPr>
        <w:footnoteReference w:id="16"/>
      </w:r>
      <w:r w:rsidR="0083321A">
        <w:t xml:space="preserve"> </w:t>
      </w:r>
      <w:r w:rsidR="00BB70AA">
        <w:t xml:space="preserve"> </w:t>
      </w:r>
    </w:p>
    <w:p w14:paraId="1691DA04" w14:textId="77777777" w:rsidR="007E46FA" w:rsidRDefault="007E46FA" w:rsidP="001512FF"/>
    <w:p w14:paraId="32B14FB5" w14:textId="55E21A37" w:rsidR="00350BCB" w:rsidRDefault="006B5D09" w:rsidP="001512FF">
      <w:r>
        <w:t>Iamblichus confirms that</w:t>
      </w:r>
      <w:r w:rsidR="00686426">
        <w:t xml:space="preserve"> inspired </w:t>
      </w:r>
      <w:r w:rsidR="00A0437E">
        <w:t>divination</w:t>
      </w:r>
      <w:r>
        <w:t xml:space="preserve"> as something altogether different</w:t>
      </w:r>
      <w:r w:rsidR="001938B3">
        <w:t xml:space="preserve">. He rules out </w:t>
      </w:r>
      <w:r>
        <w:t xml:space="preserve">traditional divination categories such as </w:t>
      </w:r>
      <w:r w:rsidR="001938B3">
        <w:t>bodies, human disposition, nature, or powers to do with nature</w:t>
      </w:r>
      <w:r>
        <w:t>, as playing any part in th</w:t>
      </w:r>
      <w:r w:rsidR="00490A81">
        <w:t>is</w:t>
      </w:r>
      <w:r>
        <w:t xml:space="preserve"> inspiration.</w:t>
      </w:r>
      <w:r w:rsidR="001938B3">
        <w:t xml:space="preserve"> </w:t>
      </w:r>
      <w:r w:rsidR="001938B3">
        <w:rPr>
          <w:rStyle w:val="FootnoteReference"/>
        </w:rPr>
        <w:footnoteReference w:id="17"/>
      </w:r>
      <w:r w:rsidR="001938B3">
        <w:t xml:space="preserve">. </w:t>
      </w:r>
      <w:r w:rsidR="004046CE">
        <w:t>Instead,</w:t>
      </w:r>
      <w:r w:rsidR="00270B05">
        <w:t xml:space="preserve"> he suggests that</w:t>
      </w:r>
      <w:r w:rsidR="000004C1">
        <w:t xml:space="preserve"> in </w:t>
      </w:r>
      <w:r>
        <w:t xml:space="preserve">inspired </w:t>
      </w:r>
      <w:r w:rsidR="000004C1">
        <w:t>divination</w:t>
      </w:r>
      <w:r w:rsidR="00270B05">
        <w:t xml:space="preserve"> ‘all of its supreme powers </w:t>
      </w:r>
      <w:r w:rsidR="004046CE">
        <w:t>belong</w:t>
      </w:r>
      <w:r w:rsidR="00270B05">
        <w:t xml:space="preserve"> to the </w:t>
      </w:r>
      <w:r w:rsidR="00BB70AA">
        <w:t>gods and</w:t>
      </w:r>
      <w:r w:rsidR="00270B05">
        <w:t xml:space="preserve"> is bestowed by the gods’</w:t>
      </w:r>
      <w:r w:rsidR="00270B05">
        <w:rPr>
          <w:rStyle w:val="FootnoteReference"/>
        </w:rPr>
        <w:footnoteReference w:id="18"/>
      </w:r>
      <w:r w:rsidR="00686426">
        <w:t>. What is particularly key here is the idea that the prophet(</w:t>
      </w:r>
      <w:proofErr w:type="spellStart"/>
      <w:r w:rsidR="00686426">
        <w:t>ess</w:t>
      </w:r>
      <w:proofErr w:type="spellEnd"/>
      <w:r w:rsidR="00686426">
        <w:t xml:space="preserve">) is not drawing upon their own </w:t>
      </w:r>
      <w:r w:rsidR="00686426">
        <w:lastRenderedPageBreak/>
        <w:t>experience or knowledge to source their il</w:t>
      </w:r>
      <w:r w:rsidR="00BB70AA">
        <w:t>l</w:t>
      </w:r>
      <w:r w:rsidR="00686426">
        <w:t xml:space="preserve">uminations. </w:t>
      </w:r>
      <w:r w:rsidR="00BB70AA">
        <w:t>Rather</w:t>
      </w:r>
      <w:r w:rsidR="00686426">
        <w:t xml:space="preserve"> they </w:t>
      </w:r>
      <w:r w:rsidR="00BB70AA">
        <w:t>access</w:t>
      </w:r>
      <w:r w:rsidR="00686426">
        <w:t xml:space="preserve"> a separate consciousness</w:t>
      </w:r>
      <w:r w:rsidR="000004C1">
        <w:t xml:space="preserve"> that </w:t>
      </w:r>
      <w:r>
        <w:t xml:space="preserve">transcends </w:t>
      </w:r>
      <w:r w:rsidR="00490A81">
        <w:t xml:space="preserve">both </w:t>
      </w:r>
      <w:r w:rsidR="000004C1">
        <w:t>their own ego</w:t>
      </w:r>
      <w:r w:rsidR="008B307C">
        <w:t xml:space="preserve"> and their own experience and knowledge</w:t>
      </w:r>
      <w:r w:rsidR="000004C1">
        <w:t xml:space="preserve"> </w:t>
      </w:r>
      <w:r w:rsidR="008B307C">
        <w:rPr>
          <w:rStyle w:val="FootnoteReference"/>
        </w:rPr>
        <w:footnoteReference w:id="19"/>
      </w:r>
      <w:r w:rsidR="006E5731">
        <w:t>Iamblichus goes on to say that inspired divination in Theurgy is the highest representation of all divination</w:t>
      </w:r>
      <w:r w:rsidR="000004C1">
        <w:t xml:space="preserve"> practice</w:t>
      </w:r>
      <w:r w:rsidR="00DC6673">
        <w:t>.</w:t>
      </w:r>
      <w:r w:rsidR="00DC6673">
        <w:rPr>
          <w:rStyle w:val="FootnoteReference"/>
        </w:rPr>
        <w:footnoteReference w:id="20"/>
      </w:r>
      <w:r w:rsidR="0001441E">
        <w:t xml:space="preserve">. </w:t>
      </w:r>
      <w:proofErr w:type="spellStart"/>
      <w:r w:rsidR="0001441E">
        <w:t>Addey</w:t>
      </w:r>
      <w:proofErr w:type="spellEnd"/>
      <w:r w:rsidR="0001441E">
        <w:t xml:space="preserve"> suggests that the role of inspired divination in Theurgy is soteriological, </w:t>
      </w:r>
      <w:r w:rsidR="00490A81">
        <w:t xml:space="preserve">ultimately </w:t>
      </w:r>
      <w:r w:rsidR="009B2642">
        <w:t xml:space="preserve">enabling the adherent to achieve union with the divine. </w:t>
      </w:r>
      <w:r w:rsidR="009B2642">
        <w:rPr>
          <w:rStyle w:val="FootnoteReference"/>
        </w:rPr>
        <w:footnoteReference w:id="21"/>
      </w:r>
      <w:r w:rsidR="008B307C">
        <w:t xml:space="preserve"> </w:t>
      </w:r>
    </w:p>
    <w:p w14:paraId="3CA0D983" w14:textId="77777777" w:rsidR="003564C2" w:rsidRDefault="003564C2" w:rsidP="001512FF"/>
    <w:p w14:paraId="640E54B9" w14:textId="0BE8DE0F" w:rsidR="004046CE" w:rsidRDefault="00BB70AA" w:rsidP="001512FF">
      <w:r>
        <w:t xml:space="preserve">Iamblichus </w:t>
      </w:r>
      <w:r w:rsidR="00500771">
        <w:t xml:space="preserve">also </w:t>
      </w:r>
      <w:r>
        <w:t>references</w:t>
      </w:r>
      <w:r w:rsidR="000004C1">
        <w:t xml:space="preserve"> </w:t>
      </w:r>
      <w:r>
        <w:t xml:space="preserve">specific types of divination. </w:t>
      </w:r>
      <w:r w:rsidR="004046CE">
        <w:t xml:space="preserve">He starts with dream divination and draws a distinction between </w:t>
      </w:r>
      <w:r>
        <w:t xml:space="preserve">what he terms </w:t>
      </w:r>
      <w:r w:rsidR="009748B9">
        <w:t xml:space="preserve">human dreams and divine dreams. He confirms that divine dreams occur in the liminal land between waking and sleeping when the subject’s intellect is </w:t>
      </w:r>
      <w:r>
        <w:t xml:space="preserve">first </w:t>
      </w:r>
      <w:r w:rsidR="009748B9">
        <w:t>starting to stir</w:t>
      </w:r>
      <w:r w:rsidR="00BD7A23">
        <w:t xml:space="preserve">. </w:t>
      </w:r>
      <w:r w:rsidR="00BD7A23">
        <w:rPr>
          <w:rStyle w:val="FootnoteReference"/>
        </w:rPr>
        <w:footnoteReference w:id="22"/>
      </w:r>
      <w:r w:rsidR="00BD7A23">
        <w:t xml:space="preserve"> Modern </w:t>
      </w:r>
      <w:r>
        <w:t xml:space="preserve">psychologists have </w:t>
      </w:r>
      <w:r w:rsidR="00BD7A23">
        <w:t>term</w:t>
      </w:r>
      <w:r>
        <w:t>ed</w:t>
      </w:r>
      <w:r w:rsidR="00BD7A23">
        <w:t xml:space="preserve"> this the hypnagogic state</w:t>
      </w:r>
      <w:r>
        <w:t>, a place between waking and sleeping.</w:t>
      </w:r>
      <w:r w:rsidR="00FF54D7">
        <w:t xml:space="preserve"> This distinction is key for Iamblichus because it </w:t>
      </w:r>
      <w:r w:rsidR="00490A81">
        <w:t>is a way of confirming</w:t>
      </w:r>
      <w:r w:rsidR="00FF54D7">
        <w:t xml:space="preserve"> that the higher rational mind is instrumental in </w:t>
      </w:r>
      <w:r w:rsidR="00F63136">
        <w:t>inspired divination.</w:t>
      </w:r>
    </w:p>
    <w:p w14:paraId="7016E7BB" w14:textId="77777777" w:rsidR="00BD7A23" w:rsidRDefault="00BD7A23" w:rsidP="001512FF"/>
    <w:p w14:paraId="0C5FDDF2" w14:textId="30A3C7BD" w:rsidR="00350BCB" w:rsidRDefault="00F63136" w:rsidP="001512FF">
      <w:r>
        <w:t xml:space="preserve">He also references </w:t>
      </w:r>
      <w:r w:rsidR="000004C1">
        <w:t>d</w:t>
      </w:r>
      <w:r w:rsidR="009748B9">
        <w:t xml:space="preserve">ivination </w:t>
      </w:r>
      <w:r w:rsidR="00BB70AA">
        <w:t>th</w:t>
      </w:r>
      <w:r w:rsidR="000004C1">
        <w:t>r</w:t>
      </w:r>
      <w:r w:rsidR="00BB70AA">
        <w:t xml:space="preserve">ough </w:t>
      </w:r>
      <w:r w:rsidR="009748B9">
        <w:t xml:space="preserve">possession </w:t>
      </w:r>
      <w:r w:rsidR="00FF54D7">
        <w:t xml:space="preserve">and by oracles </w:t>
      </w:r>
      <w:r>
        <w:t>stressing</w:t>
      </w:r>
      <w:r w:rsidR="009748B9">
        <w:t xml:space="preserve"> the distinction between authentic possession and possession stimulated by lower order natural states. </w:t>
      </w:r>
      <w:r w:rsidR="00BB70AA">
        <w:t xml:space="preserve">He describes </w:t>
      </w:r>
      <w:r w:rsidR="009C4FA0">
        <w:t xml:space="preserve">those </w:t>
      </w:r>
      <w:r w:rsidR="009748B9">
        <w:t xml:space="preserve">who are </w:t>
      </w:r>
      <w:r w:rsidR="000004C1">
        <w:t xml:space="preserve">invalidly </w:t>
      </w:r>
      <w:r w:rsidR="00FF54D7">
        <w:t>possessed as being associated with melancholy and passion</w:t>
      </w:r>
      <w:r w:rsidR="00AE7D5E">
        <w:t xml:space="preserve"> and that their divinations are th</w:t>
      </w:r>
      <w:r w:rsidR="00E1500E">
        <w:t>erefore</w:t>
      </w:r>
      <w:r w:rsidR="00AE7D5E">
        <w:t xml:space="preserve"> compromised</w:t>
      </w:r>
      <w:r w:rsidR="00FF54D7">
        <w:t xml:space="preserve">. </w:t>
      </w:r>
      <w:r w:rsidR="00FF54D7">
        <w:rPr>
          <w:rStyle w:val="FootnoteReference"/>
        </w:rPr>
        <w:footnoteReference w:id="23"/>
      </w:r>
      <w:r w:rsidR="00FF54D7">
        <w:t xml:space="preserve"> Conversely those are legitimately </w:t>
      </w:r>
      <w:r w:rsidR="009748B9">
        <w:t xml:space="preserve">possessed </w:t>
      </w:r>
      <w:r w:rsidR="00FF54D7">
        <w:t>do not feel</w:t>
      </w:r>
      <w:r w:rsidR="009C4FA0">
        <w:t xml:space="preserve"> fire</w:t>
      </w:r>
      <w:r w:rsidR="009748B9">
        <w:t xml:space="preserve">, </w:t>
      </w:r>
      <w:r w:rsidR="009C4FA0">
        <w:t xml:space="preserve">nor </w:t>
      </w:r>
      <w:r w:rsidR="009748B9">
        <w:t>bodily pain</w:t>
      </w:r>
      <w:r w:rsidR="00FF54D7">
        <w:t>,</w:t>
      </w:r>
      <w:r w:rsidR="009748B9">
        <w:t xml:space="preserve"> </w:t>
      </w:r>
      <w:r w:rsidR="00FF54D7">
        <w:t>n</w:t>
      </w:r>
      <w:r w:rsidR="009748B9">
        <w:t>or pleasure.</w:t>
      </w:r>
      <w:r w:rsidR="00FF54D7">
        <w:rPr>
          <w:rStyle w:val="FootnoteReference"/>
        </w:rPr>
        <w:footnoteReference w:id="24"/>
      </w:r>
      <w:r w:rsidR="009748B9">
        <w:t xml:space="preserve"> How is this so? </w:t>
      </w:r>
      <w:r w:rsidR="009C4FA0">
        <w:t>He suggests this is possible because the possessed achieve</w:t>
      </w:r>
      <w:r w:rsidR="009748B9">
        <w:t xml:space="preserve"> a state of consciousness that transcends the body.</w:t>
      </w:r>
      <w:r w:rsidR="001354D1">
        <w:t xml:space="preserve"> He says’ the entire activity of divinity comes to its fulfilment through the God acting by himself’ emphasising the complete dependence upon the involvement of the divine. </w:t>
      </w:r>
      <w:r w:rsidR="001354D1">
        <w:rPr>
          <w:rStyle w:val="FootnoteReference"/>
        </w:rPr>
        <w:footnoteReference w:id="25"/>
      </w:r>
    </w:p>
    <w:p w14:paraId="452F15B6" w14:textId="111EC687" w:rsidR="009748B9" w:rsidRDefault="009748B9" w:rsidP="001512FF"/>
    <w:p w14:paraId="23D6506F" w14:textId="5B840855" w:rsidR="001354D1" w:rsidRDefault="001354D1" w:rsidP="001354D1">
      <w:r>
        <w:t xml:space="preserve">He confirms that divination based </w:t>
      </w:r>
      <w:r w:rsidR="00685AD5">
        <w:t xml:space="preserve">purely </w:t>
      </w:r>
      <w:r>
        <w:t>upon human technical skill</w:t>
      </w:r>
      <w:r w:rsidR="0001441E">
        <w:t xml:space="preserve"> </w:t>
      </w:r>
      <w:r w:rsidR="00685AD5">
        <w:t>as</w:t>
      </w:r>
      <w:r w:rsidR="003709E3">
        <w:t xml:space="preserve"> unreliable. </w:t>
      </w:r>
      <w:r>
        <w:t>He specifically states that</w:t>
      </w:r>
      <w:r w:rsidR="0001278C">
        <w:t>,</w:t>
      </w:r>
      <w:r>
        <w:t xml:space="preserve"> though inferences may be drawn from birds, entrails and astrology</w:t>
      </w:r>
      <w:r w:rsidR="003709E3">
        <w:t>,</w:t>
      </w:r>
      <w:r>
        <w:t xml:space="preserve"> because they arise from the natural world they are</w:t>
      </w:r>
      <w:r w:rsidR="003709E3">
        <w:t xml:space="preserve"> not to be trusted.</w:t>
      </w:r>
      <w:r w:rsidR="003709E3">
        <w:rPr>
          <w:rStyle w:val="FootnoteReference"/>
        </w:rPr>
        <w:footnoteReference w:id="26"/>
      </w:r>
      <w:r>
        <w:t xml:space="preserve"> </w:t>
      </w:r>
      <w:r w:rsidR="003709E3">
        <w:t xml:space="preserve">The roots of this distrust lie in the intermediary </w:t>
      </w:r>
      <w:r w:rsidR="00AE7D5E">
        <w:t>role</w:t>
      </w:r>
      <w:r w:rsidR="003709E3">
        <w:t xml:space="preserve"> of the natural world or ‘daemons’ in </w:t>
      </w:r>
      <w:r w:rsidR="0001278C">
        <w:t>sourcing</w:t>
      </w:r>
      <w:r w:rsidR="003709E3">
        <w:t xml:space="preserve"> the signs that are </w:t>
      </w:r>
      <w:r w:rsidR="00AE7D5E">
        <w:t>used</w:t>
      </w:r>
      <w:r w:rsidR="001F30BB">
        <w:t xml:space="preserve">. These </w:t>
      </w:r>
      <w:r w:rsidR="0001278C">
        <w:t xml:space="preserve">are </w:t>
      </w:r>
      <w:r w:rsidR="001F30BB">
        <w:t xml:space="preserve">signs </w:t>
      </w:r>
      <w:r w:rsidR="0001278C">
        <w:t xml:space="preserve">that </w:t>
      </w:r>
      <w:r w:rsidR="001F30BB">
        <w:t xml:space="preserve">are not directly divinely inspired. </w:t>
      </w:r>
      <w:r w:rsidR="0001278C">
        <w:t>Additionally,</w:t>
      </w:r>
      <w:r w:rsidR="00DC4D83">
        <w:t xml:space="preserve"> he</w:t>
      </w:r>
      <w:r w:rsidR="001F30BB">
        <w:t xml:space="preserve"> asserts </w:t>
      </w:r>
      <w:r w:rsidR="00DC4D83">
        <w:t xml:space="preserve">that </w:t>
      </w:r>
      <w:r w:rsidR="001F30BB">
        <w:t xml:space="preserve"> </w:t>
      </w:r>
      <w:r w:rsidR="00DC4D83">
        <w:t xml:space="preserve">the concept of </w:t>
      </w:r>
      <w:r w:rsidR="001F30BB">
        <w:t>‘sympath</w:t>
      </w:r>
      <w:r w:rsidR="00DC4D83">
        <w:t>eia</w:t>
      </w:r>
      <w:r w:rsidR="001F30BB">
        <w:t xml:space="preserve">’ </w:t>
      </w:r>
      <w:r w:rsidR="00DC4D83">
        <w:t xml:space="preserve">makes no difference </w:t>
      </w:r>
      <w:r w:rsidR="001F30BB">
        <w:t xml:space="preserve">in </w:t>
      </w:r>
      <w:r w:rsidR="0001278C">
        <w:t>this assessment</w:t>
      </w:r>
      <w:r w:rsidR="00AE7D5E">
        <w:t xml:space="preserve"> asserting that he </w:t>
      </w:r>
      <w:r w:rsidR="0001278C">
        <w:t xml:space="preserve">sees no reason why this should be helpful in predicting the future. </w:t>
      </w:r>
      <w:r w:rsidR="0001278C">
        <w:rPr>
          <w:rStyle w:val="FootnoteReference"/>
        </w:rPr>
        <w:footnoteReference w:id="27"/>
      </w:r>
    </w:p>
    <w:p w14:paraId="08B85699" w14:textId="22DEDF5C" w:rsidR="001E055D" w:rsidRDefault="001E055D" w:rsidP="001354D1"/>
    <w:p w14:paraId="5B2B939A" w14:textId="0950D4A0" w:rsidR="001E055D" w:rsidRDefault="001E055D" w:rsidP="001354D1">
      <w:r>
        <w:t>He addresses the difficult problem of intuition in chapter 26. He said ‘we should not</w:t>
      </w:r>
      <w:r w:rsidR="00290336">
        <w:t>,</w:t>
      </w:r>
      <w:r>
        <w:t xml:space="preserve"> if we receive a certain intuition from nature regarding…an apprehension of the future,</w:t>
      </w:r>
      <w:r w:rsidR="00290336">
        <w:t xml:space="preserve"> judge this as divinatory foreknowledge’ </w:t>
      </w:r>
      <w:r w:rsidR="00290336">
        <w:rPr>
          <w:rStyle w:val="FootnoteReference"/>
        </w:rPr>
        <w:footnoteReference w:id="28"/>
      </w:r>
      <w:r>
        <w:t xml:space="preserve"> </w:t>
      </w:r>
      <w:r w:rsidR="00290336">
        <w:t xml:space="preserve"> He goes on to confirm that where intuition works it happens upon the truth</w:t>
      </w:r>
      <w:r w:rsidR="002121D4">
        <w:t xml:space="preserve"> by </w:t>
      </w:r>
      <w:r w:rsidR="004636A1">
        <w:t>chance and</w:t>
      </w:r>
      <w:r w:rsidR="00290336">
        <w:t xml:space="preserve"> is often unreliable. </w:t>
      </w:r>
      <w:r w:rsidR="00B33326">
        <w:t xml:space="preserve">It is of note here that Iamblichus </w:t>
      </w:r>
      <w:r w:rsidR="00B33326">
        <w:lastRenderedPageBreak/>
        <w:t xml:space="preserve">positions this as being the equivalent of divination sourced from the natural signs. It is necessarily subordinate to divination that is </w:t>
      </w:r>
      <w:r w:rsidR="004636A1">
        <w:t xml:space="preserve">divinely </w:t>
      </w:r>
      <w:r w:rsidR="00B33326">
        <w:t xml:space="preserve">inspired. </w:t>
      </w:r>
    </w:p>
    <w:p w14:paraId="4B6F65A5" w14:textId="0B9B447C" w:rsidR="00686426" w:rsidRDefault="00686426" w:rsidP="001512FF"/>
    <w:p w14:paraId="5E9EFED8" w14:textId="703879FE" w:rsidR="00686426" w:rsidRDefault="00CE5A99" w:rsidP="001512FF">
      <w:r>
        <w:t>Iamblichus is dismissive of image</w:t>
      </w:r>
      <w:r w:rsidR="00F26B36">
        <w:t>-makers</w:t>
      </w:r>
      <w:r>
        <w:t xml:space="preserve"> and those that participate in the ‘image making art</w:t>
      </w:r>
      <w:r w:rsidR="00F26B36">
        <w:t>’,</w:t>
      </w:r>
      <w:r w:rsidR="00AD770F">
        <w:t xml:space="preserve"> accusing them of being unable to use theurgic skills. </w:t>
      </w:r>
      <w:r w:rsidR="00F26B36">
        <w:rPr>
          <w:rStyle w:val="FootnoteReference"/>
        </w:rPr>
        <w:footnoteReference w:id="29"/>
      </w:r>
      <w:r w:rsidR="00F26B36">
        <w:t>It is not completely transparent who</w:t>
      </w:r>
      <w:r w:rsidR="008B307C">
        <w:t xml:space="preserve"> and what</w:t>
      </w:r>
      <w:r w:rsidR="00F26B36">
        <w:t xml:space="preserve"> he is referencing </w:t>
      </w:r>
      <w:r w:rsidR="008B307C">
        <w:t xml:space="preserve">via </w:t>
      </w:r>
      <w:r w:rsidR="00F26B36">
        <w:t>this term</w:t>
      </w:r>
      <w:r w:rsidR="008B307C">
        <w:t xml:space="preserve"> though </w:t>
      </w:r>
      <w:proofErr w:type="spellStart"/>
      <w:r w:rsidR="00DE39C0">
        <w:t>Addey</w:t>
      </w:r>
      <w:proofErr w:type="spellEnd"/>
      <w:r w:rsidR="00DE39C0">
        <w:t xml:space="preserve"> </w:t>
      </w:r>
      <w:r w:rsidR="004636A1">
        <w:t>contends</w:t>
      </w:r>
      <w:r w:rsidR="00DE39C0">
        <w:t xml:space="preserve"> that the reference excludes divination by statues and </w:t>
      </w:r>
      <w:r w:rsidR="008B307C">
        <w:t xml:space="preserve">that </w:t>
      </w:r>
      <w:r w:rsidR="00DE39C0">
        <w:t>s</w:t>
      </w:r>
      <w:r w:rsidR="00356B31">
        <w:t>tatue divination</w:t>
      </w:r>
      <w:r w:rsidR="00DE39C0">
        <w:t xml:space="preserve"> was an integral element of Theurgy. </w:t>
      </w:r>
      <w:r w:rsidR="00DE39C0">
        <w:rPr>
          <w:rStyle w:val="FootnoteReference"/>
        </w:rPr>
        <w:footnoteReference w:id="30"/>
      </w:r>
      <w:r w:rsidR="00DE39C0">
        <w:t xml:space="preserve"> </w:t>
      </w:r>
      <w:r w:rsidR="00E90DD8">
        <w:t xml:space="preserve"> </w:t>
      </w:r>
      <w:r w:rsidR="0094376D">
        <w:t>S</w:t>
      </w:r>
      <w:r w:rsidR="00E90DD8">
        <w:t xml:space="preserve">he suggests that he had already covered </w:t>
      </w:r>
      <w:r w:rsidR="008D4528">
        <w:t xml:space="preserve">this </w:t>
      </w:r>
      <w:r w:rsidR="00E90DD8">
        <w:t>in detail in his</w:t>
      </w:r>
      <w:r w:rsidR="00AD770F">
        <w:t xml:space="preserve"> work</w:t>
      </w:r>
      <w:r w:rsidR="006E5731">
        <w:t xml:space="preserve"> ‘O</w:t>
      </w:r>
      <w:r w:rsidR="00AD770F">
        <w:t xml:space="preserve">n </w:t>
      </w:r>
      <w:r w:rsidR="006E5731">
        <w:t>C</w:t>
      </w:r>
      <w:r w:rsidR="00AD770F">
        <w:t>ult Statues’</w:t>
      </w:r>
      <w:r w:rsidR="00E90DD8">
        <w:t>.</w:t>
      </w:r>
      <w:r w:rsidR="00AD770F">
        <w:t xml:space="preserve"> </w:t>
      </w:r>
    </w:p>
    <w:p w14:paraId="16ED4733" w14:textId="27D12EB2" w:rsidR="000B6A6E" w:rsidRDefault="000B6A6E" w:rsidP="001512FF"/>
    <w:p w14:paraId="6DA2D18A" w14:textId="0DCF2D30" w:rsidR="00EE2FB3" w:rsidRDefault="008B307C" w:rsidP="00442E75">
      <w:r>
        <w:t>To conclude this section</w:t>
      </w:r>
      <w:r w:rsidR="00DC5FBA">
        <w:t xml:space="preserve"> Iamblichus is keen to confirm that d</w:t>
      </w:r>
      <w:r w:rsidR="00802B8C">
        <w:t xml:space="preserve">ivination is inextricably located within our rational </w:t>
      </w:r>
      <w:r w:rsidR="006C492B">
        <w:t>faculties</w:t>
      </w:r>
      <w:r w:rsidR="00356B31">
        <w:t xml:space="preserve">. </w:t>
      </w:r>
      <w:r w:rsidR="00DC5FBA">
        <w:t>Theurg</w:t>
      </w:r>
      <w:r w:rsidR="009D56B1">
        <w:t>ic divination</w:t>
      </w:r>
      <w:r w:rsidR="00356B31">
        <w:t>, the highest form of inspired divination.</w:t>
      </w:r>
      <w:r w:rsidR="00DC5FBA">
        <w:t xml:space="preserve"> </w:t>
      </w:r>
      <w:r w:rsidR="009D56B1">
        <w:t>Is fully dependent upon the refined philosophical and rational mind of the practitioner.</w:t>
      </w:r>
      <w:r w:rsidR="009D56B1">
        <w:rPr>
          <w:rStyle w:val="FootnoteReference"/>
        </w:rPr>
        <w:footnoteReference w:id="31"/>
      </w:r>
      <w:r w:rsidR="009D56B1">
        <w:t xml:space="preserve"> What we have therefore is Iamblichus suggesting that </w:t>
      </w:r>
      <w:r w:rsidR="00356B31">
        <w:t xml:space="preserve">revelation and rationality can comfortably co-exist, although he </w:t>
      </w:r>
      <w:r w:rsidR="009D56B1">
        <w:t>later</w:t>
      </w:r>
      <w:r w:rsidR="00356B31">
        <w:t xml:space="preserve"> points out that</w:t>
      </w:r>
      <w:r w:rsidR="009D56B1">
        <w:t xml:space="preserve">  in the divination process itself,</w:t>
      </w:r>
      <w:r w:rsidR="0094376D">
        <w:t xml:space="preserve"> </w:t>
      </w:r>
      <w:r w:rsidR="009D56B1">
        <w:t xml:space="preserve">the intellect is </w:t>
      </w:r>
      <w:r w:rsidR="0094376D">
        <w:t xml:space="preserve">ultimately </w:t>
      </w:r>
      <w:r w:rsidR="009D56B1">
        <w:t xml:space="preserve">transcended. </w:t>
      </w:r>
      <w:r w:rsidR="00356B31">
        <w:t xml:space="preserve"> </w:t>
      </w:r>
    </w:p>
    <w:p w14:paraId="073161BE" w14:textId="77777777" w:rsidR="009D56B1" w:rsidRDefault="009D56B1" w:rsidP="00442E75"/>
    <w:p w14:paraId="0FE23AF5" w14:textId="77777777" w:rsidR="009D56B1" w:rsidRDefault="009D56B1" w:rsidP="00442E75"/>
    <w:p w14:paraId="4258BDB0" w14:textId="1DF0FCE6" w:rsidR="00442E75" w:rsidRDefault="00442E75" w:rsidP="00442E75">
      <w:pPr>
        <w:pStyle w:val="Heading2"/>
      </w:pPr>
      <w:r>
        <w:t>Critique Of Iamblichus Arguments</w:t>
      </w:r>
    </w:p>
    <w:p w14:paraId="4122B2AF" w14:textId="6B2DC714" w:rsidR="00442E75" w:rsidRDefault="00442E75" w:rsidP="00442E75"/>
    <w:p w14:paraId="36AEF973" w14:textId="10EDEE59" w:rsidR="00364BE0" w:rsidRDefault="00500F19" w:rsidP="005B7AA9">
      <w:r>
        <w:t xml:space="preserve">Throughout history people have found themselves knowing things without knowing how they know them. </w:t>
      </w:r>
      <w:r w:rsidR="00196501">
        <w:t xml:space="preserve">In late antiquity Iamblichus attempts to frame how and why this occurs in </w:t>
      </w:r>
      <w:r w:rsidR="000F160B">
        <w:t xml:space="preserve">his work </w:t>
      </w:r>
      <w:r w:rsidR="00196501">
        <w:t xml:space="preserve">‘De </w:t>
      </w:r>
      <w:proofErr w:type="spellStart"/>
      <w:r w:rsidR="00196501">
        <w:t>Mysteriis</w:t>
      </w:r>
      <w:proofErr w:type="spellEnd"/>
      <w:r w:rsidR="00196501">
        <w:t>’</w:t>
      </w:r>
      <w:r w:rsidR="000F160B">
        <w:t xml:space="preserve">. </w:t>
      </w:r>
      <w:r w:rsidR="00196501">
        <w:t xml:space="preserve"> </w:t>
      </w:r>
      <w:r w:rsidR="00364BE0">
        <w:t xml:space="preserve">E.R. </w:t>
      </w:r>
      <w:proofErr w:type="spellStart"/>
      <w:r w:rsidR="00364BE0">
        <w:t>Dodds</w:t>
      </w:r>
      <w:proofErr w:type="spellEnd"/>
      <w:r w:rsidR="00573B26">
        <w:t xml:space="preserve"> </w:t>
      </w:r>
      <w:r w:rsidR="00364BE0">
        <w:t>sugges</w:t>
      </w:r>
      <w:r w:rsidR="00196501">
        <w:t>ts</w:t>
      </w:r>
      <w:r w:rsidR="00364BE0">
        <w:t xml:space="preserve"> that </w:t>
      </w:r>
      <w:r w:rsidR="00573B26">
        <w:t>‘</w:t>
      </w:r>
      <w:r w:rsidR="00364BE0">
        <w:t xml:space="preserve">De </w:t>
      </w:r>
      <w:proofErr w:type="spellStart"/>
      <w:r w:rsidR="00364BE0">
        <w:t>Mysteriis</w:t>
      </w:r>
      <w:proofErr w:type="spellEnd"/>
      <w:r w:rsidR="00573B26">
        <w:t>’</w:t>
      </w:r>
      <w:r w:rsidR="00364BE0">
        <w:t xml:space="preserve"> </w:t>
      </w:r>
      <w:r w:rsidR="00196501">
        <w:t>is</w:t>
      </w:r>
      <w:r w:rsidR="00364BE0">
        <w:t xml:space="preserve"> ‘pungently a manifesto of irrationalism‘</w:t>
      </w:r>
      <w:r w:rsidR="00196501">
        <w:t xml:space="preserve"> </w:t>
      </w:r>
      <w:r w:rsidR="000F160B">
        <w:t xml:space="preserve">even though Iamblichus is at pains to emphasise the importance of the role of the intellect in divination and Theurgy. </w:t>
      </w:r>
      <w:r w:rsidR="00196501">
        <w:t xml:space="preserve"> </w:t>
      </w:r>
      <w:r w:rsidR="00364BE0">
        <w:rPr>
          <w:rStyle w:val="FootnoteReference"/>
        </w:rPr>
        <w:footnoteReference w:id="32"/>
      </w:r>
    </w:p>
    <w:p w14:paraId="2DA5DA14" w14:textId="77777777" w:rsidR="00364BE0" w:rsidRDefault="00364BE0" w:rsidP="00CB4AD8"/>
    <w:p w14:paraId="0C481240" w14:textId="36EEB94D" w:rsidR="00D03F47" w:rsidRPr="00CB4AD8" w:rsidRDefault="000F160B" w:rsidP="00CB4AD8">
      <w:r>
        <w:t xml:space="preserve">With this in mind </w:t>
      </w:r>
      <w:r w:rsidR="0094376D">
        <w:t>any</w:t>
      </w:r>
      <w:r w:rsidR="00C47C5E">
        <w:t xml:space="preserve"> critique of Iamblichus’ views of divination </w:t>
      </w:r>
      <w:r w:rsidR="0094376D">
        <w:t>must first</w:t>
      </w:r>
      <w:r w:rsidR="00C47C5E">
        <w:t xml:space="preserve"> </w:t>
      </w:r>
      <w:r w:rsidR="00F30DC2">
        <w:t>address</w:t>
      </w:r>
      <w:r w:rsidR="00C47C5E">
        <w:t xml:space="preserve"> divination</w:t>
      </w:r>
      <w:r w:rsidR="00E72B37">
        <w:t xml:space="preserve"> in its entirety</w:t>
      </w:r>
      <w:r>
        <w:t>,</w:t>
      </w:r>
      <w:r w:rsidR="00E72B37">
        <w:t xml:space="preserve"> including its ontology. </w:t>
      </w:r>
      <w:r w:rsidR="00B12BEF">
        <w:t>Even if the seer experiences guidance and wisdom can</w:t>
      </w:r>
      <w:r w:rsidR="00E72B37">
        <w:t xml:space="preserve"> we</w:t>
      </w:r>
      <w:r w:rsidR="00B12BEF">
        <w:t xml:space="preserve"> confirm that what he/she receives is real</w:t>
      </w:r>
      <w:r w:rsidR="00F30DC2">
        <w:t>?</w:t>
      </w:r>
      <w:r w:rsidR="00B12BEF">
        <w:t xml:space="preserve"> </w:t>
      </w:r>
      <w:r w:rsidR="00E72B37">
        <w:t>There are two theoretical models that are</w:t>
      </w:r>
      <w:r>
        <w:t xml:space="preserve"> suggested as</w:t>
      </w:r>
      <w:r w:rsidR="00E72B37">
        <w:t xml:space="preserve"> essential context in considering this.</w:t>
      </w:r>
      <w:r w:rsidR="00B12BEF">
        <w:t xml:space="preserve"> </w:t>
      </w:r>
      <w:r w:rsidR="00B12BEF">
        <w:rPr>
          <w:rFonts w:cstheme="minorHAnsi"/>
          <w:sz w:val="22"/>
          <w:szCs w:val="22"/>
        </w:rPr>
        <w:t xml:space="preserve">Charles </w:t>
      </w:r>
      <w:r w:rsidR="00320289">
        <w:rPr>
          <w:rFonts w:cstheme="minorHAnsi"/>
          <w:sz w:val="22"/>
          <w:szCs w:val="22"/>
        </w:rPr>
        <w:t>Fort</w:t>
      </w:r>
      <w:r w:rsidR="005A2FFD">
        <w:rPr>
          <w:rFonts w:cstheme="minorHAnsi"/>
          <w:sz w:val="22"/>
          <w:szCs w:val="22"/>
        </w:rPr>
        <w:t xml:space="preserve">’s </w:t>
      </w:r>
      <w:r w:rsidR="00320289" w:rsidRPr="00E7631E">
        <w:rPr>
          <w:rFonts w:cstheme="minorHAnsi"/>
          <w:sz w:val="22"/>
          <w:szCs w:val="22"/>
        </w:rPr>
        <w:t xml:space="preserve"> concept of intermediatism</w:t>
      </w:r>
      <w:r w:rsidR="00CA6A57">
        <w:rPr>
          <w:rFonts w:cstheme="minorHAnsi"/>
          <w:sz w:val="22"/>
          <w:szCs w:val="22"/>
        </w:rPr>
        <w:t xml:space="preserve"> </w:t>
      </w:r>
      <w:r w:rsidR="00320289" w:rsidRPr="00E7631E">
        <w:rPr>
          <w:rFonts w:cstheme="minorHAnsi"/>
          <w:sz w:val="22"/>
          <w:szCs w:val="22"/>
        </w:rPr>
        <w:t>rejects the idea of absolutes and instead introduces a sliding scale of reality. Intermediatism is a powerful mechanism for explaining experience</w:t>
      </w:r>
      <w:r w:rsidR="00320289">
        <w:rPr>
          <w:rFonts w:cstheme="minorHAnsi"/>
          <w:sz w:val="22"/>
          <w:szCs w:val="22"/>
        </w:rPr>
        <w:t xml:space="preserve"> by</w:t>
      </w:r>
      <w:r w:rsidR="00320289" w:rsidRPr="00E7631E">
        <w:rPr>
          <w:rFonts w:cstheme="minorHAnsi"/>
          <w:sz w:val="22"/>
          <w:szCs w:val="22"/>
        </w:rPr>
        <w:t xml:space="preserve"> assuming that nothing is completely real, and</w:t>
      </w:r>
      <w:r w:rsidR="00F01428">
        <w:rPr>
          <w:rFonts w:cstheme="minorHAnsi"/>
          <w:sz w:val="22"/>
          <w:szCs w:val="22"/>
        </w:rPr>
        <w:t xml:space="preserve"> also that</w:t>
      </w:r>
      <w:r w:rsidR="00FF4E05">
        <w:rPr>
          <w:rFonts w:cstheme="minorHAnsi"/>
          <w:sz w:val="22"/>
          <w:szCs w:val="22"/>
        </w:rPr>
        <w:t xml:space="preserve"> </w:t>
      </w:r>
      <w:r w:rsidR="00320289" w:rsidRPr="00E7631E">
        <w:rPr>
          <w:rFonts w:cstheme="minorHAnsi"/>
          <w:sz w:val="22"/>
          <w:szCs w:val="22"/>
        </w:rPr>
        <w:t>nothing is completely unreal.</w:t>
      </w:r>
      <w:r w:rsidR="005E103E">
        <w:rPr>
          <w:rStyle w:val="FootnoteReference"/>
          <w:rFonts w:cstheme="minorHAnsi"/>
          <w:sz w:val="22"/>
          <w:szCs w:val="22"/>
        </w:rPr>
        <w:footnoteReference w:id="33"/>
      </w:r>
      <w:r w:rsidR="00320289" w:rsidRPr="00E7631E">
        <w:rPr>
          <w:rFonts w:cstheme="minorHAnsi"/>
          <w:sz w:val="22"/>
          <w:szCs w:val="22"/>
        </w:rPr>
        <w:t xml:space="preserve"> </w:t>
      </w:r>
      <w:r w:rsidR="00CA6A57">
        <w:rPr>
          <w:rFonts w:cstheme="minorHAnsi"/>
          <w:sz w:val="22"/>
          <w:szCs w:val="22"/>
        </w:rPr>
        <w:t>Applied to a divinati</w:t>
      </w:r>
      <w:r w:rsidR="00F01428">
        <w:rPr>
          <w:rFonts w:cstheme="minorHAnsi"/>
          <w:sz w:val="22"/>
          <w:szCs w:val="22"/>
        </w:rPr>
        <w:t xml:space="preserve">on experience, intermediatism </w:t>
      </w:r>
      <w:r w:rsidR="00F30DC2">
        <w:rPr>
          <w:rFonts w:cstheme="minorHAnsi"/>
          <w:sz w:val="22"/>
          <w:szCs w:val="22"/>
        </w:rPr>
        <w:t>posits</w:t>
      </w:r>
      <w:r w:rsidR="00F01428">
        <w:rPr>
          <w:rFonts w:cstheme="minorHAnsi"/>
          <w:sz w:val="22"/>
          <w:szCs w:val="22"/>
        </w:rPr>
        <w:t xml:space="preserve"> that</w:t>
      </w:r>
      <w:r>
        <w:rPr>
          <w:rFonts w:cstheme="minorHAnsi"/>
          <w:sz w:val="22"/>
          <w:szCs w:val="22"/>
        </w:rPr>
        <w:t xml:space="preserve"> each</w:t>
      </w:r>
      <w:r w:rsidR="00CB4AD8">
        <w:rPr>
          <w:rFonts w:cstheme="minorHAnsi"/>
          <w:sz w:val="22"/>
          <w:szCs w:val="22"/>
        </w:rPr>
        <w:t xml:space="preserve"> divination experience </w:t>
      </w:r>
      <w:r>
        <w:rPr>
          <w:rFonts w:cstheme="minorHAnsi"/>
          <w:sz w:val="22"/>
          <w:szCs w:val="22"/>
        </w:rPr>
        <w:t xml:space="preserve">would sit somewhere on this scale, </w:t>
      </w:r>
      <w:r w:rsidR="00F30DC2">
        <w:rPr>
          <w:rFonts w:cstheme="minorHAnsi"/>
          <w:sz w:val="22"/>
          <w:szCs w:val="22"/>
        </w:rPr>
        <w:t>avoiding any debate regarding the polarities of its validity</w:t>
      </w:r>
      <w:r w:rsidR="00CB4AD8">
        <w:rPr>
          <w:rFonts w:cstheme="minorHAnsi"/>
          <w:sz w:val="22"/>
          <w:szCs w:val="22"/>
        </w:rPr>
        <w:t xml:space="preserve">. </w:t>
      </w:r>
      <w:r w:rsidR="00CB4AD8">
        <w:t xml:space="preserve"> </w:t>
      </w:r>
      <w:r w:rsidR="00DD5AFA">
        <w:rPr>
          <w:rFonts w:cstheme="minorHAnsi"/>
          <w:sz w:val="22"/>
          <w:szCs w:val="22"/>
        </w:rPr>
        <w:t>Additionally</w:t>
      </w:r>
      <w:r w:rsidR="006D5048">
        <w:rPr>
          <w:rFonts w:cstheme="minorHAnsi"/>
          <w:sz w:val="22"/>
          <w:szCs w:val="22"/>
        </w:rPr>
        <w:t>,</w:t>
      </w:r>
      <w:r w:rsidR="00DD5AFA">
        <w:rPr>
          <w:rFonts w:cstheme="minorHAnsi"/>
          <w:sz w:val="22"/>
          <w:szCs w:val="22"/>
        </w:rPr>
        <w:t xml:space="preserve"> </w:t>
      </w:r>
      <w:r w:rsidR="000C2624">
        <w:rPr>
          <w:rFonts w:cstheme="minorHAnsi"/>
          <w:sz w:val="22"/>
          <w:szCs w:val="22"/>
        </w:rPr>
        <w:t xml:space="preserve">we might also consider utilising Jack </w:t>
      </w:r>
      <w:r w:rsidR="00D03F47" w:rsidRPr="00E7631E">
        <w:rPr>
          <w:rFonts w:cstheme="minorHAnsi"/>
          <w:sz w:val="22"/>
          <w:szCs w:val="22"/>
        </w:rPr>
        <w:t>Hunter</w:t>
      </w:r>
      <w:r w:rsidR="000C2624">
        <w:rPr>
          <w:rFonts w:cstheme="minorHAnsi"/>
          <w:sz w:val="22"/>
          <w:szCs w:val="22"/>
        </w:rPr>
        <w:t xml:space="preserve">’s </w:t>
      </w:r>
      <w:r w:rsidR="00D03F47" w:rsidRPr="00E7631E">
        <w:rPr>
          <w:rFonts w:cstheme="minorHAnsi"/>
          <w:sz w:val="22"/>
          <w:szCs w:val="22"/>
        </w:rPr>
        <w:t>idea of ontological flooding. He recommends the embracing of all alternatives</w:t>
      </w:r>
      <w:r w:rsidR="00CB4AD8">
        <w:rPr>
          <w:rFonts w:cstheme="minorHAnsi"/>
          <w:sz w:val="22"/>
          <w:szCs w:val="22"/>
        </w:rPr>
        <w:t xml:space="preserve"> regarding experiences</w:t>
      </w:r>
      <w:r w:rsidR="00D03F47" w:rsidRPr="00E7631E">
        <w:rPr>
          <w:rFonts w:cstheme="minorHAnsi"/>
          <w:sz w:val="22"/>
          <w:szCs w:val="22"/>
        </w:rPr>
        <w:t xml:space="preserve"> </w:t>
      </w:r>
      <w:r w:rsidR="00D03F47">
        <w:rPr>
          <w:rFonts w:cstheme="minorHAnsi"/>
          <w:sz w:val="22"/>
          <w:szCs w:val="22"/>
        </w:rPr>
        <w:t xml:space="preserve">and </w:t>
      </w:r>
      <w:r w:rsidR="00D03F47" w:rsidRPr="00E7631E">
        <w:rPr>
          <w:rFonts w:cstheme="minorHAnsi"/>
          <w:sz w:val="22"/>
          <w:szCs w:val="22"/>
        </w:rPr>
        <w:lastRenderedPageBreak/>
        <w:t>the possible meanings and explanations behind them.</w:t>
      </w:r>
      <w:r w:rsidR="00D406A7">
        <w:rPr>
          <w:rStyle w:val="FootnoteReference"/>
          <w:rFonts w:cstheme="minorHAnsi"/>
          <w:sz w:val="22"/>
          <w:szCs w:val="22"/>
        </w:rPr>
        <w:footnoteReference w:id="34"/>
      </w:r>
      <w:r w:rsidR="00D406A7" w:rsidRPr="00E7631E">
        <w:rPr>
          <w:rFonts w:cstheme="minorHAnsi"/>
          <w:sz w:val="22"/>
          <w:szCs w:val="22"/>
        </w:rPr>
        <w:t xml:space="preserve"> </w:t>
      </w:r>
      <w:r w:rsidR="00D03F47" w:rsidRPr="00E7631E">
        <w:rPr>
          <w:rFonts w:cstheme="minorHAnsi"/>
          <w:sz w:val="22"/>
          <w:szCs w:val="22"/>
        </w:rPr>
        <w:t xml:space="preserve">In doing this we accept the possibility that the existing models for explaining how and why things occur may not be complete nor correct. Above all else Ontological Flooding encourages us to consider alternatives that are outside of cultural norms and </w:t>
      </w:r>
      <w:r w:rsidR="002C58AE">
        <w:rPr>
          <w:rFonts w:cstheme="minorHAnsi"/>
          <w:sz w:val="22"/>
          <w:szCs w:val="22"/>
        </w:rPr>
        <w:t xml:space="preserve">outside </w:t>
      </w:r>
      <w:r w:rsidR="00D03F47" w:rsidRPr="00E7631E">
        <w:rPr>
          <w:rFonts w:cstheme="minorHAnsi"/>
          <w:sz w:val="22"/>
          <w:szCs w:val="22"/>
        </w:rPr>
        <w:t xml:space="preserve">what we have been taught to believe. </w:t>
      </w:r>
      <w:r w:rsidR="00F30DC2">
        <w:rPr>
          <w:rFonts w:cstheme="minorHAnsi"/>
          <w:sz w:val="22"/>
          <w:szCs w:val="22"/>
        </w:rPr>
        <w:t xml:space="preserve">This feels particularly appropriate </w:t>
      </w:r>
      <w:r w:rsidR="0058335B">
        <w:rPr>
          <w:rFonts w:cstheme="minorHAnsi"/>
          <w:sz w:val="22"/>
          <w:szCs w:val="22"/>
        </w:rPr>
        <w:t xml:space="preserve">in </w:t>
      </w:r>
      <w:r w:rsidR="00F30DC2">
        <w:rPr>
          <w:rFonts w:cstheme="minorHAnsi"/>
          <w:sz w:val="22"/>
          <w:szCs w:val="22"/>
        </w:rPr>
        <w:t xml:space="preserve">the consideration of divination. </w:t>
      </w:r>
    </w:p>
    <w:p w14:paraId="19FB352B" w14:textId="0EB156A6" w:rsidR="00D161B1" w:rsidRPr="0058335B" w:rsidRDefault="002C58AE" w:rsidP="0058335B">
      <w:pPr>
        <w:spacing w:before="100" w:beforeAutospacing="1" w:after="100" w:afterAutospacing="1"/>
        <w:rPr>
          <w:rFonts w:cstheme="minorHAnsi"/>
          <w:sz w:val="22"/>
          <w:szCs w:val="22"/>
        </w:rPr>
      </w:pPr>
      <w:r>
        <w:rPr>
          <w:rFonts w:cstheme="minorHAnsi"/>
          <w:sz w:val="22"/>
          <w:szCs w:val="22"/>
        </w:rPr>
        <w:t>With these concepts in mind the</w:t>
      </w:r>
      <w:r w:rsidR="0091209A">
        <w:rPr>
          <w:rFonts w:cstheme="minorHAnsi"/>
          <w:sz w:val="22"/>
          <w:szCs w:val="22"/>
        </w:rPr>
        <w:t>n</w:t>
      </w:r>
      <w:r>
        <w:rPr>
          <w:rFonts w:cstheme="minorHAnsi"/>
          <w:sz w:val="22"/>
          <w:szCs w:val="22"/>
        </w:rPr>
        <w:t xml:space="preserve"> </w:t>
      </w:r>
      <w:r w:rsidR="00CB4AD8">
        <w:rPr>
          <w:rFonts w:cstheme="minorHAnsi"/>
          <w:sz w:val="22"/>
          <w:szCs w:val="22"/>
        </w:rPr>
        <w:t xml:space="preserve">we are </w:t>
      </w:r>
      <w:r w:rsidR="0091209A">
        <w:rPr>
          <w:rFonts w:cstheme="minorHAnsi"/>
          <w:sz w:val="22"/>
          <w:szCs w:val="22"/>
        </w:rPr>
        <w:t xml:space="preserve">better </w:t>
      </w:r>
      <w:r w:rsidR="00364BE0">
        <w:rPr>
          <w:rFonts w:cstheme="minorHAnsi"/>
          <w:sz w:val="22"/>
          <w:szCs w:val="22"/>
        </w:rPr>
        <w:t>positioned</w:t>
      </w:r>
      <w:r w:rsidR="00CB4AD8">
        <w:rPr>
          <w:rFonts w:cstheme="minorHAnsi"/>
          <w:sz w:val="22"/>
          <w:szCs w:val="22"/>
        </w:rPr>
        <w:t xml:space="preserve"> to </w:t>
      </w:r>
      <w:r w:rsidR="00BE17D2">
        <w:rPr>
          <w:rFonts w:cstheme="minorHAnsi"/>
          <w:sz w:val="22"/>
          <w:szCs w:val="22"/>
        </w:rPr>
        <w:t xml:space="preserve">interpret </w:t>
      </w:r>
      <w:r w:rsidR="0091209A">
        <w:rPr>
          <w:rFonts w:cstheme="minorHAnsi"/>
          <w:sz w:val="22"/>
          <w:szCs w:val="22"/>
        </w:rPr>
        <w:t xml:space="preserve">Iamblichus and his ideas regarding </w:t>
      </w:r>
      <w:r w:rsidR="00CB4AD8">
        <w:rPr>
          <w:rFonts w:cstheme="minorHAnsi"/>
          <w:sz w:val="22"/>
          <w:szCs w:val="22"/>
        </w:rPr>
        <w:t>divination</w:t>
      </w:r>
      <w:r w:rsidR="00364BE0">
        <w:rPr>
          <w:rFonts w:cstheme="minorHAnsi"/>
          <w:sz w:val="22"/>
          <w:szCs w:val="22"/>
        </w:rPr>
        <w:t xml:space="preserve">, and  its </w:t>
      </w:r>
      <w:r w:rsidR="0058335B">
        <w:rPr>
          <w:rFonts w:cstheme="minorHAnsi"/>
          <w:sz w:val="22"/>
          <w:szCs w:val="22"/>
        </w:rPr>
        <w:t>role</w:t>
      </w:r>
      <w:r w:rsidR="00364BE0">
        <w:rPr>
          <w:rFonts w:cstheme="minorHAnsi"/>
          <w:sz w:val="22"/>
          <w:szCs w:val="22"/>
        </w:rPr>
        <w:t xml:space="preserve"> and place </w:t>
      </w:r>
      <w:r w:rsidR="00CB4AD8">
        <w:rPr>
          <w:rFonts w:cstheme="minorHAnsi"/>
          <w:sz w:val="22"/>
          <w:szCs w:val="22"/>
        </w:rPr>
        <w:t xml:space="preserve">in </w:t>
      </w:r>
      <w:r w:rsidR="00364BE0">
        <w:rPr>
          <w:rFonts w:cstheme="minorHAnsi"/>
          <w:sz w:val="22"/>
          <w:szCs w:val="22"/>
        </w:rPr>
        <w:t>human</w:t>
      </w:r>
      <w:r w:rsidR="00573B26">
        <w:rPr>
          <w:rFonts w:cstheme="minorHAnsi"/>
          <w:sz w:val="22"/>
          <w:szCs w:val="22"/>
        </w:rPr>
        <w:t xml:space="preserve"> </w:t>
      </w:r>
      <w:r w:rsidR="0058335B">
        <w:rPr>
          <w:rFonts w:cstheme="minorHAnsi"/>
          <w:sz w:val="22"/>
          <w:szCs w:val="22"/>
        </w:rPr>
        <w:t>purpose.</w:t>
      </w:r>
      <w:r w:rsidR="00364BE0">
        <w:rPr>
          <w:rFonts w:cstheme="minorHAnsi"/>
          <w:sz w:val="22"/>
          <w:szCs w:val="22"/>
        </w:rPr>
        <w:t xml:space="preserve"> </w:t>
      </w:r>
      <w:r w:rsidR="001938B3">
        <w:t xml:space="preserve">Iamblichus </w:t>
      </w:r>
      <w:r w:rsidR="0096581E">
        <w:t xml:space="preserve">invests </w:t>
      </w:r>
      <w:r w:rsidR="00B8176A">
        <w:t>considerable</w:t>
      </w:r>
      <w:r w:rsidR="0096581E">
        <w:t xml:space="preserve"> effort in</w:t>
      </w:r>
      <w:r w:rsidR="001938B3">
        <w:t xml:space="preserve"> </w:t>
      </w:r>
      <w:r w:rsidR="0094376D">
        <w:t>differentiating</w:t>
      </w:r>
      <w:r w:rsidR="001938B3">
        <w:t xml:space="preserve"> authentic and </w:t>
      </w:r>
      <w:r w:rsidR="00D161B1">
        <w:t xml:space="preserve">legitimate divination from that which he believes to be illegitimate. </w:t>
      </w:r>
      <w:r w:rsidR="005B5B2E">
        <w:t xml:space="preserve">In </w:t>
      </w:r>
      <w:r w:rsidR="0096581E">
        <w:t>doing this he presents a model</w:t>
      </w:r>
      <w:r w:rsidR="005B5B2E">
        <w:t xml:space="preserve"> of divination th</w:t>
      </w:r>
      <w:r w:rsidR="00B62D37">
        <w:t xml:space="preserve">at is sourced from a </w:t>
      </w:r>
      <w:r w:rsidR="005B5B2E">
        <w:t xml:space="preserve"> </w:t>
      </w:r>
      <w:r w:rsidR="00B62D37">
        <w:t xml:space="preserve">transcendent </w:t>
      </w:r>
      <w:r w:rsidR="005B5B2E">
        <w:t>divine</w:t>
      </w:r>
      <w:r w:rsidR="00B62D37">
        <w:t xml:space="preserve">, </w:t>
      </w:r>
      <w:r w:rsidR="0058335B">
        <w:t xml:space="preserve">and </w:t>
      </w:r>
      <w:r w:rsidR="00B62D37">
        <w:t xml:space="preserve">one that </w:t>
      </w:r>
      <w:r w:rsidR="00BE17D2">
        <w:t>relegates</w:t>
      </w:r>
      <w:r w:rsidR="00B62D37">
        <w:t xml:space="preserve"> the in</w:t>
      </w:r>
      <w:r w:rsidR="0058335B">
        <w:t>tuitive</w:t>
      </w:r>
      <w:r w:rsidR="00B62D37">
        <w:t xml:space="preserve"> </w:t>
      </w:r>
      <w:r w:rsidR="004A5F30">
        <w:t xml:space="preserve">types of divination that previously occupied the Greek academy. </w:t>
      </w:r>
    </w:p>
    <w:p w14:paraId="2F20076C" w14:textId="707A720D" w:rsidR="00D161B1" w:rsidRDefault="00D161B1" w:rsidP="005B7AA9">
      <w:r>
        <w:t xml:space="preserve">Stuck suggests that in highlighting true dreams as occurring between sleep and waking </w:t>
      </w:r>
      <w:r w:rsidR="0091209A">
        <w:t xml:space="preserve">Iamblichus suppresses any </w:t>
      </w:r>
      <w:r>
        <w:t xml:space="preserve">idea that they emanate from a lower part of the mind. </w:t>
      </w:r>
      <w:r>
        <w:rPr>
          <w:rStyle w:val="FootnoteReference"/>
        </w:rPr>
        <w:footnoteReference w:id="35"/>
      </w:r>
      <w:r w:rsidR="001E55E8">
        <w:t xml:space="preserve"> </w:t>
      </w:r>
      <w:r w:rsidR="0058335B">
        <w:t>This suggestion enables him to retain the coherence of his argument by retaining the link between the higher philosophical mind and true divination.</w:t>
      </w:r>
    </w:p>
    <w:p w14:paraId="495E4BA0" w14:textId="77777777" w:rsidR="005B7AA9" w:rsidRDefault="005B7AA9" w:rsidP="00B602DC"/>
    <w:p w14:paraId="31064DB5" w14:textId="0EA6DD92" w:rsidR="007E46FA" w:rsidRDefault="0058335B" w:rsidP="00B602DC">
      <w:r>
        <w:t>It is no surprise that t</w:t>
      </w:r>
      <w:r w:rsidR="00B602DC">
        <w:t>here is active human agency</w:t>
      </w:r>
      <w:r w:rsidR="0091209A">
        <w:t xml:space="preserve"> and active human development</w:t>
      </w:r>
      <w:r w:rsidR="00B602DC">
        <w:t xml:space="preserve"> in </w:t>
      </w:r>
      <w:r w:rsidR="0091209A">
        <w:t>Iamblichus’</w:t>
      </w:r>
      <w:r w:rsidR="00B602DC">
        <w:t xml:space="preserve"> process of divination. It is incumbent upon the adherent to </w:t>
      </w:r>
      <w:r w:rsidR="007E46FA">
        <w:t xml:space="preserve">cultivate themselves </w:t>
      </w:r>
      <w:r w:rsidR="0091209A">
        <w:t xml:space="preserve">appropriately </w:t>
      </w:r>
      <w:r w:rsidR="007E46FA">
        <w:t xml:space="preserve">so that they are positioned to receive the illuminations that they are given. </w:t>
      </w:r>
      <w:r w:rsidR="00F312C5">
        <w:t xml:space="preserve">The focus upon </w:t>
      </w:r>
      <w:r w:rsidR="00A539E3">
        <w:t>the development of the individual</w:t>
      </w:r>
      <w:r w:rsidR="00302CA3">
        <w:t>, upon their receptivity,</w:t>
      </w:r>
      <w:r w:rsidR="00A539E3">
        <w:t xml:space="preserve"> is integrally part of what Iamblichus </w:t>
      </w:r>
      <w:r w:rsidR="00406920">
        <w:t>advocates</w:t>
      </w:r>
      <w:r w:rsidR="00302CA3">
        <w:t xml:space="preserve"> and</w:t>
      </w:r>
      <w:r w:rsidR="00406920">
        <w:t xml:space="preserve"> includ</w:t>
      </w:r>
      <w:r w:rsidR="00302CA3">
        <w:t>es</w:t>
      </w:r>
      <w:r w:rsidR="00406920">
        <w:t xml:space="preserve"> the development of an ethical life</w:t>
      </w:r>
      <w:r w:rsidR="00A539E3">
        <w:t xml:space="preserve">. </w:t>
      </w:r>
      <w:r w:rsidR="00302CA3">
        <w:t xml:space="preserve">This differentiates the adherent from those that </w:t>
      </w:r>
      <w:r w:rsidR="006A2BE2">
        <w:t xml:space="preserve">purely </w:t>
      </w:r>
      <w:r w:rsidR="00302CA3">
        <w:t>practice magic….</w:t>
      </w:r>
    </w:p>
    <w:p w14:paraId="3FF8C0AD" w14:textId="77777777" w:rsidR="00A539E3" w:rsidRDefault="00A539E3" w:rsidP="00B602DC"/>
    <w:p w14:paraId="083E66AE" w14:textId="3AD69C5F" w:rsidR="00350BCB" w:rsidRDefault="00302CA3" w:rsidP="00442E75">
      <w:r>
        <w:t>The focus upon u</w:t>
      </w:r>
      <w:r w:rsidR="00A529C1">
        <w:t>nion</w:t>
      </w:r>
      <w:r>
        <w:t xml:space="preserve"> with the divine</w:t>
      </w:r>
      <w:r w:rsidR="006A2BE2">
        <w:t>,</w:t>
      </w:r>
      <w:r>
        <w:t xml:space="preserve"> is </w:t>
      </w:r>
      <w:r w:rsidR="006A2BE2">
        <w:t>undoubtedly related to Plotinus and his work…quote</w:t>
      </w:r>
      <w:r w:rsidR="0057161E">
        <w:t xml:space="preserve"> required. </w:t>
      </w:r>
      <w:r w:rsidR="006A2BE2">
        <w:t xml:space="preserve">Having said </w:t>
      </w:r>
      <w:r w:rsidR="00B8176A">
        <w:t xml:space="preserve">this </w:t>
      </w:r>
      <w:r w:rsidR="00350BCB">
        <w:t xml:space="preserve">Iamblichus </w:t>
      </w:r>
      <w:r w:rsidR="006A2BE2">
        <w:t xml:space="preserve">also </w:t>
      </w:r>
      <w:r w:rsidR="00350BCB">
        <w:t xml:space="preserve">confirms </w:t>
      </w:r>
      <w:r w:rsidR="00B8176A">
        <w:t>the</w:t>
      </w:r>
      <w:r w:rsidR="00350BCB">
        <w:t xml:space="preserve"> polarity between the divine and the human world which </w:t>
      </w:r>
      <w:r w:rsidR="0057161E">
        <w:t xml:space="preserve">was to </w:t>
      </w:r>
      <w:r w:rsidR="00B8176A">
        <w:t xml:space="preserve">become </w:t>
      </w:r>
      <w:r w:rsidR="00350BCB">
        <w:t>a characteristic of late antiquity</w:t>
      </w:r>
      <w:r w:rsidR="00B8176A">
        <w:t xml:space="preserve"> philosophy</w:t>
      </w:r>
    </w:p>
    <w:p w14:paraId="575120AD" w14:textId="5E5F69D5" w:rsidR="00406920" w:rsidRDefault="00406920" w:rsidP="00442E75"/>
    <w:p w14:paraId="0D6C0891" w14:textId="1960C9F5" w:rsidR="00406920" w:rsidRDefault="00406920" w:rsidP="00442E75">
      <w:r>
        <w:t xml:space="preserve">His distinction between inductive and inspired </w:t>
      </w:r>
      <w:r w:rsidR="0057161E">
        <w:t xml:space="preserve">divination is an attempt to make divination the sole property of the philosophically and intellectually able. As an argument this is unconvincing simply because divination attracts diviners from all </w:t>
      </w:r>
      <w:proofErr w:type="gramStart"/>
      <w:r w:rsidR="0057161E">
        <w:t>socio economic</w:t>
      </w:r>
      <w:proofErr w:type="gramEnd"/>
      <w:r w:rsidR="0057161E">
        <w:t xml:space="preserve"> classes and all background</w:t>
      </w:r>
      <w:r w:rsidR="005964C9">
        <w:t>s</w:t>
      </w:r>
      <w:r w:rsidR="0057161E">
        <w:t xml:space="preserve"> .To suggest that </w:t>
      </w:r>
      <w:r w:rsidR="005964C9">
        <w:t>a diviner might</w:t>
      </w:r>
      <w:r w:rsidR="0057161E">
        <w:t xml:space="preserve"> only be successful if they </w:t>
      </w:r>
      <w:r w:rsidR="00D7221E">
        <w:t xml:space="preserve">meet </w:t>
      </w:r>
      <w:r w:rsidR="005964C9">
        <w:t>one’s</w:t>
      </w:r>
      <w:r w:rsidR="00D7221E">
        <w:t xml:space="preserve"> criteria is singularly unconvincing. </w:t>
      </w:r>
      <w:r w:rsidR="005964C9">
        <w:t>Similarly,</w:t>
      </w:r>
      <w:r w:rsidR="00D7221E">
        <w:t xml:space="preserve"> the hard demarcation line drawn between legitimate and illegitimate dreams or oracles represents a polarised </w:t>
      </w:r>
      <w:r w:rsidR="005964C9">
        <w:t>position on a subject that simply does not lend itself to polarities.</w:t>
      </w:r>
      <w:r w:rsidR="0057161E">
        <w:t xml:space="preserve"> </w:t>
      </w:r>
      <w:r w:rsidR="005964C9">
        <w:t>Iamblichus presents a valid position but his refusal to appropriately acknowledge other positions, other methods of successful divining</w:t>
      </w:r>
      <w:r w:rsidR="005F45E3">
        <w:t>, this is the weakness in what is present</w:t>
      </w:r>
      <w:r w:rsidR="00A74B72">
        <w:t>e</w:t>
      </w:r>
      <w:r w:rsidR="005F45E3">
        <w:t>d.</w:t>
      </w:r>
    </w:p>
    <w:p w14:paraId="0C70D317" w14:textId="5F5EE029" w:rsidR="00442E75" w:rsidRDefault="00442E75" w:rsidP="00442E75"/>
    <w:p w14:paraId="55CA77AF" w14:textId="7A322096" w:rsidR="00442E75" w:rsidRDefault="00442E75" w:rsidP="00442E75">
      <w:pPr>
        <w:pStyle w:val="Heading2"/>
      </w:pPr>
      <w:r>
        <w:lastRenderedPageBreak/>
        <w:t>Conclusion</w:t>
      </w:r>
    </w:p>
    <w:p w14:paraId="7019038A" w14:textId="0AA9B873" w:rsidR="001A32BB" w:rsidRDefault="001A32BB" w:rsidP="001A32BB"/>
    <w:p w14:paraId="3CEB0704" w14:textId="4C555F78" w:rsidR="00274E50" w:rsidRDefault="00B32BE3" w:rsidP="00A74B72">
      <w:pPr>
        <w:tabs>
          <w:tab w:val="left" w:pos="1935"/>
        </w:tabs>
      </w:pPr>
      <w:r>
        <w:t xml:space="preserve">The essay started by </w:t>
      </w:r>
      <w:r w:rsidR="005F45E3">
        <w:t>agreeing</w:t>
      </w:r>
      <w:r>
        <w:t xml:space="preserve"> that </w:t>
      </w:r>
      <w:r w:rsidRPr="005F45E3">
        <w:rPr>
          <w:i/>
          <w:iCs/>
        </w:rPr>
        <w:t xml:space="preserve">De </w:t>
      </w:r>
      <w:proofErr w:type="spellStart"/>
      <w:r w:rsidRPr="005F45E3">
        <w:rPr>
          <w:i/>
          <w:iCs/>
        </w:rPr>
        <w:t>Mysteriis</w:t>
      </w:r>
      <w:proofErr w:type="spellEnd"/>
      <w:r>
        <w:t xml:space="preserve"> is part of a manufactured dialogue. between </w:t>
      </w:r>
      <w:r w:rsidR="005F45E3">
        <w:t>Porphyry</w:t>
      </w:r>
      <w:r>
        <w:t xml:space="preserve"> and Iamblichus, and that its primary purpose is educational. </w:t>
      </w:r>
      <w:r w:rsidR="005F45E3">
        <w:t xml:space="preserve">It contends that Iamblichus advocates a new ‘inspired’ form of divination, a facet of Theurgy, that requires </w:t>
      </w:r>
      <w:r w:rsidR="00A74B72">
        <w:t xml:space="preserve">individual </w:t>
      </w:r>
      <w:r w:rsidR="005F45E3">
        <w:t>person</w:t>
      </w:r>
      <w:r w:rsidR="00A74B72">
        <w:t>al</w:t>
      </w:r>
      <w:r w:rsidR="005F45E3">
        <w:t xml:space="preserve"> intellectual and philosophical development as a pre-requisite.  </w:t>
      </w:r>
      <w:r w:rsidR="007133F4">
        <w:t xml:space="preserve">The essay </w:t>
      </w:r>
      <w:r w:rsidR="00A74B72">
        <w:t xml:space="preserve">goes on to </w:t>
      </w:r>
      <w:r w:rsidR="007133F4">
        <w:t xml:space="preserve">describe the types of divination that Iamblichus suggests are productive and also those that aren’t. The essay concludes with the idea that divination is a valid cultural and historical concept and that </w:t>
      </w:r>
      <w:r w:rsidR="00A74B72">
        <w:t>frameworks like ‘intermediatism’ and ‘ontological flooding’ are lenses through which it can be viewed more objectively. The essay concludes by agreeing that Iamblichus makes valid referential points regarding Theurgy and divination but that his discrediting of other divination avenues</w:t>
      </w:r>
      <w:r w:rsidR="0027463D">
        <w:t xml:space="preserve"> and processes</w:t>
      </w:r>
      <w:r w:rsidR="00A74B72">
        <w:t xml:space="preserve"> is </w:t>
      </w:r>
      <w:r w:rsidR="0027463D">
        <w:t>less convincing</w:t>
      </w:r>
      <w:r w:rsidR="00A74B72">
        <w:t xml:space="preserve"> and inappropriate.</w:t>
      </w:r>
      <w:proofErr w:type="spellStart"/>
      <w:r w:rsidR="00A74B72">
        <w:t xml:space="preserve"> </w:t>
      </w:r>
      <w:proofErr w:type="spellEnd"/>
      <w:r w:rsidR="00A74B72">
        <w:t xml:space="preserve"> </w:t>
      </w:r>
    </w:p>
    <w:p w14:paraId="128BCD4C" w14:textId="184FA0A6" w:rsidR="001A32BB" w:rsidRDefault="001A32BB" w:rsidP="001A32BB"/>
    <w:p w14:paraId="41D2B115" w14:textId="4AE055FC" w:rsidR="001A32BB" w:rsidRDefault="001A32BB" w:rsidP="001A32BB"/>
    <w:p w14:paraId="1B4F78D8" w14:textId="52DBB735" w:rsidR="001A32BB" w:rsidRDefault="001A32BB" w:rsidP="001A32BB"/>
    <w:p w14:paraId="521043B2" w14:textId="10D9D89D" w:rsidR="001A32BB" w:rsidRDefault="001A32BB" w:rsidP="001A32BB"/>
    <w:p w14:paraId="1057B596" w14:textId="0FDDF7F6" w:rsidR="00A74B72" w:rsidRDefault="00A74B72" w:rsidP="001A32BB"/>
    <w:p w14:paraId="517E623F" w14:textId="788BE878" w:rsidR="00A74B72" w:rsidRDefault="00A74B72" w:rsidP="001A32BB"/>
    <w:p w14:paraId="2A623EC7" w14:textId="160F2373" w:rsidR="00A74B72" w:rsidRDefault="00A74B72" w:rsidP="001A32BB"/>
    <w:p w14:paraId="5DCFAD5F" w14:textId="033AF101" w:rsidR="00A74B72" w:rsidRDefault="00A74B72" w:rsidP="001A32BB"/>
    <w:p w14:paraId="073C5E87" w14:textId="32030623" w:rsidR="00A74B72" w:rsidRDefault="00A74B72" w:rsidP="001A32BB"/>
    <w:p w14:paraId="390F33D0" w14:textId="17438B9E" w:rsidR="00A74B72" w:rsidRDefault="00A74B72" w:rsidP="001A32BB"/>
    <w:p w14:paraId="154FEE7D" w14:textId="70DE8E01" w:rsidR="00A74B72" w:rsidRDefault="00A74B72" w:rsidP="001A32BB"/>
    <w:p w14:paraId="24FAAD22" w14:textId="3FD0B310" w:rsidR="00A74B72" w:rsidRDefault="00A74B72" w:rsidP="001A32BB"/>
    <w:p w14:paraId="4472521E" w14:textId="70C5128D" w:rsidR="00A74B72" w:rsidRDefault="00A74B72" w:rsidP="001A32BB"/>
    <w:p w14:paraId="53659A44" w14:textId="7BDC0408" w:rsidR="00A74B72" w:rsidRDefault="00A74B72" w:rsidP="001A32BB"/>
    <w:p w14:paraId="4293A53C" w14:textId="3536D23A" w:rsidR="00A74B72" w:rsidRDefault="00A74B72" w:rsidP="001A32BB"/>
    <w:p w14:paraId="132BD656" w14:textId="13CA5DDD" w:rsidR="00A74B72" w:rsidRDefault="00A74B72" w:rsidP="001A32BB"/>
    <w:p w14:paraId="557F98BD" w14:textId="1B136002" w:rsidR="00A74B72" w:rsidRDefault="00A74B72" w:rsidP="001A32BB"/>
    <w:p w14:paraId="5156DBEE" w14:textId="0C4023F0" w:rsidR="00A74B72" w:rsidRDefault="00A74B72" w:rsidP="001A32BB"/>
    <w:p w14:paraId="13AF65F0" w14:textId="77777777" w:rsidR="00A74B72" w:rsidRDefault="00A74B72" w:rsidP="001A32BB"/>
    <w:p w14:paraId="71965C6D" w14:textId="3064B284" w:rsidR="00A74B72" w:rsidRDefault="00A74B72" w:rsidP="001A32BB"/>
    <w:p w14:paraId="2221419B" w14:textId="77777777" w:rsidR="00A74B72" w:rsidRDefault="00A74B72" w:rsidP="001A32BB"/>
    <w:p w14:paraId="43761137" w14:textId="237F5395" w:rsidR="001A32BB" w:rsidRDefault="001A32BB" w:rsidP="001A32BB"/>
    <w:p w14:paraId="0326511F" w14:textId="77777777" w:rsidR="00A74B72" w:rsidRDefault="00A74B72" w:rsidP="00A74B72"/>
    <w:p w14:paraId="36DE6486" w14:textId="77777777" w:rsidR="00A74B72" w:rsidRDefault="00A74B72" w:rsidP="00A74B72"/>
    <w:p w14:paraId="37B3D2D2" w14:textId="77777777" w:rsidR="00A74B72" w:rsidRDefault="00A74B72" w:rsidP="00A74B72"/>
    <w:p w14:paraId="38584944" w14:textId="77777777" w:rsidR="00A74B72" w:rsidRDefault="00A74B72" w:rsidP="00A74B72"/>
    <w:p w14:paraId="41AE0819" w14:textId="77777777" w:rsidR="00A74B72" w:rsidRDefault="00A74B72" w:rsidP="00A74B72"/>
    <w:p w14:paraId="6B39FC14" w14:textId="77777777" w:rsidR="00A74B72" w:rsidRDefault="00A74B72" w:rsidP="00A74B72"/>
    <w:p w14:paraId="50926C6A" w14:textId="77777777" w:rsidR="00A74B72" w:rsidRDefault="00A74B72" w:rsidP="00A74B72"/>
    <w:p w14:paraId="280E6C8D" w14:textId="4C67205C" w:rsidR="00A74B72" w:rsidRDefault="00A74B72" w:rsidP="00A74B72"/>
    <w:p w14:paraId="2B5139AC" w14:textId="661E4390" w:rsidR="00A74B72" w:rsidRDefault="00A74B72" w:rsidP="00A74B72"/>
    <w:p w14:paraId="3212E17A" w14:textId="77777777" w:rsidR="00A74B72" w:rsidRDefault="00A74B72" w:rsidP="00A74B72"/>
    <w:p w14:paraId="66B6447B" w14:textId="1C55F115" w:rsidR="001A32BB" w:rsidRDefault="001A32BB" w:rsidP="001A32BB">
      <w:pPr>
        <w:pStyle w:val="Heading2"/>
      </w:pPr>
      <w:r>
        <w:t xml:space="preserve">Bibliography </w:t>
      </w:r>
    </w:p>
    <w:p w14:paraId="23349008" w14:textId="77777777" w:rsidR="007834B3" w:rsidRDefault="007834B3" w:rsidP="001A32BB"/>
    <w:p w14:paraId="67675FA5" w14:textId="3EEDFB4A" w:rsidR="007834B3" w:rsidRDefault="007834B3" w:rsidP="001A32BB">
      <w:r>
        <w:lastRenderedPageBreak/>
        <w:t xml:space="preserve">Addey, Crystal. (2004) </w:t>
      </w:r>
      <w:r w:rsidRPr="007834B3">
        <w:rPr>
          <w:i/>
          <w:iCs/>
        </w:rPr>
        <w:t>Divination and Theurgy in Neoplatonism; Oracles of the Gods,</w:t>
      </w:r>
      <w:r>
        <w:t xml:space="preserve"> Farnham: Ashgate </w:t>
      </w:r>
    </w:p>
    <w:p w14:paraId="4ACE1442" w14:textId="5EEC01AA" w:rsidR="00595432" w:rsidRDefault="00595432" w:rsidP="001A32BB"/>
    <w:p w14:paraId="4446BDB0" w14:textId="2B78A5F7" w:rsidR="00373A9A" w:rsidRDefault="00595432" w:rsidP="001A32BB">
      <w:r>
        <w:t>Cicero, On Divination (De Divinatione) (1923): W.A Falconer (ed and trans), Loeb Classical Library, Cambridge MA: Harvard University Press, vol. XX.</w:t>
      </w:r>
    </w:p>
    <w:p w14:paraId="25FA3E58" w14:textId="4E83CFFE" w:rsidR="00EE1CC5" w:rsidRDefault="00EE1CC5" w:rsidP="00595432">
      <w:pPr>
        <w:pStyle w:val="NormalWeb"/>
        <w:rPr>
          <w:rFonts w:asciiTheme="minorHAnsi" w:hAnsiTheme="minorHAnsi" w:cstheme="minorHAnsi"/>
        </w:rPr>
      </w:pPr>
      <w:proofErr w:type="spellStart"/>
      <w:r w:rsidRPr="00CF773C">
        <w:rPr>
          <w:rFonts w:asciiTheme="minorHAnsi" w:hAnsiTheme="minorHAnsi" w:cstheme="minorHAnsi"/>
        </w:rPr>
        <w:t>D</w:t>
      </w:r>
      <w:r w:rsidR="00CF773C">
        <w:rPr>
          <w:rFonts w:asciiTheme="minorHAnsi" w:hAnsiTheme="minorHAnsi" w:cstheme="minorHAnsi"/>
        </w:rPr>
        <w:t>odds</w:t>
      </w:r>
      <w:proofErr w:type="spellEnd"/>
      <w:r w:rsidRPr="00CF773C">
        <w:rPr>
          <w:rFonts w:asciiTheme="minorHAnsi" w:hAnsiTheme="minorHAnsi" w:cstheme="minorHAnsi"/>
        </w:rPr>
        <w:t>, E.R</w:t>
      </w:r>
      <w:r w:rsidRPr="00CF773C">
        <w:rPr>
          <w:rFonts w:asciiTheme="minorHAnsi" w:hAnsiTheme="minorHAnsi" w:cstheme="minorHAnsi"/>
          <w:i/>
          <w:iCs/>
        </w:rPr>
        <w:t xml:space="preserve">. </w:t>
      </w:r>
      <w:r w:rsidRPr="00CF773C">
        <w:rPr>
          <w:rFonts w:asciiTheme="minorHAnsi" w:hAnsiTheme="minorHAnsi" w:cstheme="minorHAnsi"/>
        </w:rPr>
        <w:t xml:space="preserve">(1951), </w:t>
      </w:r>
      <w:r w:rsidRPr="00CF773C">
        <w:rPr>
          <w:rFonts w:asciiTheme="minorHAnsi" w:hAnsiTheme="minorHAnsi" w:cstheme="minorHAnsi"/>
          <w:i/>
          <w:iCs/>
        </w:rPr>
        <w:t>The Greeks and the Irrational</w:t>
      </w:r>
      <w:r w:rsidRPr="00CF773C">
        <w:rPr>
          <w:rFonts w:asciiTheme="minorHAnsi" w:hAnsiTheme="minorHAnsi" w:cstheme="minorHAnsi"/>
        </w:rPr>
        <w:t xml:space="preserve">, Berkeley and Los Angeles: University of California Press. </w:t>
      </w:r>
    </w:p>
    <w:p w14:paraId="233B32D9" w14:textId="77777777" w:rsidR="00253CD9" w:rsidRPr="006203D9" w:rsidRDefault="00253CD9" w:rsidP="00253CD9">
      <w:pPr>
        <w:rPr>
          <w:rFonts w:cstheme="minorHAnsi"/>
          <w:color w:val="000000"/>
          <w:sz w:val="22"/>
          <w:szCs w:val="22"/>
        </w:rPr>
      </w:pPr>
      <w:r w:rsidRPr="006203D9">
        <w:rPr>
          <w:rFonts w:cstheme="minorHAnsi"/>
          <w:sz w:val="22"/>
          <w:szCs w:val="22"/>
        </w:rPr>
        <w:t xml:space="preserve">Charles Fort, </w:t>
      </w:r>
      <w:r w:rsidRPr="006203D9">
        <w:rPr>
          <w:rFonts w:cstheme="minorHAnsi"/>
          <w:i/>
          <w:iCs/>
          <w:color w:val="000000"/>
          <w:spacing w:val="-15"/>
          <w:sz w:val="22"/>
          <w:szCs w:val="22"/>
          <w:bdr w:val="none" w:sz="0" w:space="0" w:color="auto" w:frame="1"/>
        </w:rPr>
        <w:t>The Book of the Damned: The Collected Works of Charles Fort </w:t>
      </w:r>
    </w:p>
    <w:p w14:paraId="2016BC1C" w14:textId="2A808FFC" w:rsidR="00253CD9" w:rsidRDefault="00253CD9" w:rsidP="00B86B65">
      <w:pPr>
        <w:rPr>
          <w:rFonts w:cstheme="minorHAnsi"/>
          <w:color w:val="000000"/>
          <w:sz w:val="22"/>
          <w:szCs w:val="22"/>
          <w:bdr w:val="none" w:sz="0" w:space="0" w:color="auto" w:frame="1"/>
        </w:rPr>
      </w:pPr>
      <w:r w:rsidRPr="006203D9">
        <w:rPr>
          <w:rFonts w:cstheme="minorHAnsi"/>
          <w:color w:val="000000"/>
          <w:spacing w:val="-15"/>
          <w:sz w:val="22"/>
          <w:szCs w:val="22"/>
          <w:bdr w:val="none" w:sz="0" w:space="0" w:color="auto" w:frame="1"/>
        </w:rPr>
        <w:t> (New York: </w:t>
      </w:r>
      <w:r w:rsidRPr="006203D9">
        <w:rPr>
          <w:rFonts w:cstheme="minorHAnsi"/>
          <w:color w:val="000000"/>
          <w:sz w:val="22"/>
          <w:szCs w:val="22"/>
          <w:bdr w:val="none" w:sz="0" w:space="0" w:color="auto" w:frame="1"/>
        </w:rPr>
        <w:t xml:space="preserve"> Jeremy P. </w:t>
      </w:r>
      <w:proofErr w:type="spellStart"/>
      <w:r w:rsidRPr="006203D9">
        <w:rPr>
          <w:rFonts w:cstheme="minorHAnsi"/>
          <w:color w:val="000000"/>
          <w:sz w:val="22"/>
          <w:szCs w:val="22"/>
          <w:bdr w:val="none" w:sz="0" w:space="0" w:color="auto" w:frame="1"/>
        </w:rPr>
        <w:t>Tarcher</w:t>
      </w:r>
      <w:proofErr w:type="spellEnd"/>
      <w:r w:rsidRPr="006203D9">
        <w:rPr>
          <w:rFonts w:cstheme="minorHAnsi"/>
          <w:color w:val="000000"/>
          <w:sz w:val="22"/>
          <w:szCs w:val="22"/>
          <w:bdr w:val="none" w:sz="0" w:space="0" w:color="auto" w:frame="1"/>
        </w:rPr>
        <w:t>, 2008),</w:t>
      </w:r>
    </w:p>
    <w:p w14:paraId="30FDE34E" w14:textId="77777777" w:rsidR="009C7880" w:rsidRDefault="009C7880" w:rsidP="00B86B65">
      <w:pPr>
        <w:rPr>
          <w:rFonts w:cstheme="minorHAnsi"/>
          <w:color w:val="000000"/>
          <w:sz w:val="22"/>
          <w:szCs w:val="22"/>
          <w:bdr w:val="none" w:sz="0" w:space="0" w:color="auto" w:frame="1"/>
        </w:rPr>
      </w:pPr>
    </w:p>
    <w:p w14:paraId="5B3A1A99" w14:textId="5F1B43AF" w:rsidR="009C7880" w:rsidRDefault="009C7880" w:rsidP="00B86B65">
      <w:pPr>
        <w:rPr>
          <w:rFonts w:cstheme="minorHAnsi"/>
          <w:color w:val="000000"/>
          <w:sz w:val="22"/>
          <w:szCs w:val="22"/>
          <w:bdr w:val="none" w:sz="0" w:space="0" w:color="auto" w:frame="1"/>
        </w:rPr>
      </w:pPr>
      <w:r w:rsidRPr="006203D9">
        <w:rPr>
          <w:rFonts w:cstheme="minorHAnsi"/>
          <w:sz w:val="22"/>
          <w:szCs w:val="22"/>
        </w:rPr>
        <w:t xml:space="preserve">Jack Hunter, Ontological Flooding and Continuing Bonds, In D </w:t>
      </w:r>
      <w:proofErr w:type="spellStart"/>
      <w:r w:rsidRPr="006203D9">
        <w:rPr>
          <w:rFonts w:cstheme="minorHAnsi"/>
          <w:sz w:val="22"/>
          <w:szCs w:val="22"/>
        </w:rPr>
        <w:t>Klass</w:t>
      </w:r>
      <w:proofErr w:type="spellEnd"/>
      <w:r w:rsidRPr="006203D9">
        <w:rPr>
          <w:rFonts w:cstheme="minorHAnsi"/>
          <w:sz w:val="22"/>
          <w:szCs w:val="22"/>
        </w:rPr>
        <w:t xml:space="preserve"> &amp; E.M Steffen (eds) ‘</w:t>
      </w:r>
      <w:r w:rsidRPr="006203D9">
        <w:rPr>
          <w:rFonts w:cstheme="minorHAnsi"/>
          <w:i/>
          <w:iCs/>
          <w:sz w:val="22"/>
          <w:szCs w:val="22"/>
        </w:rPr>
        <w:t>Continuing Bonds in Bereavement: New Directions for Research and Practice</w:t>
      </w:r>
      <w:r w:rsidRPr="006203D9">
        <w:rPr>
          <w:rFonts w:cstheme="minorHAnsi"/>
          <w:sz w:val="22"/>
          <w:szCs w:val="22"/>
        </w:rPr>
        <w:t xml:space="preserve">’. London: </w:t>
      </w:r>
      <w:proofErr w:type="spellStart"/>
      <w:r w:rsidRPr="006203D9">
        <w:rPr>
          <w:rFonts w:cstheme="minorHAnsi"/>
          <w:sz w:val="22"/>
          <w:szCs w:val="22"/>
        </w:rPr>
        <w:t>Routeledge</w:t>
      </w:r>
      <w:proofErr w:type="spellEnd"/>
      <w:r w:rsidRPr="006203D9">
        <w:rPr>
          <w:rFonts w:cstheme="minorHAnsi"/>
          <w:sz w:val="22"/>
          <w:szCs w:val="22"/>
        </w:rPr>
        <w:t xml:space="preserve"> 2017</w:t>
      </w:r>
    </w:p>
    <w:p w14:paraId="797835D3" w14:textId="77777777" w:rsidR="00B86B65" w:rsidRPr="00B86B65" w:rsidRDefault="00B86B65" w:rsidP="00B86B65">
      <w:pPr>
        <w:rPr>
          <w:rFonts w:cstheme="minorHAnsi"/>
          <w:color w:val="000000"/>
          <w:sz w:val="22"/>
          <w:szCs w:val="22"/>
        </w:rPr>
      </w:pPr>
    </w:p>
    <w:p w14:paraId="056ABBA7" w14:textId="03CD1C08" w:rsidR="001A32BB" w:rsidRDefault="001A32BB" w:rsidP="001A32BB">
      <w:r>
        <w:t xml:space="preserve">Iamblichus, </w:t>
      </w:r>
      <w:r w:rsidR="007834B3">
        <w:t xml:space="preserve">(2003) </w:t>
      </w:r>
      <w:r w:rsidRPr="007834B3">
        <w:rPr>
          <w:i/>
          <w:iCs/>
        </w:rPr>
        <w:t xml:space="preserve">On the Mysteries (De </w:t>
      </w:r>
      <w:proofErr w:type="spellStart"/>
      <w:r w:rsidRPr="007834B3">
        <w:rPr>
          <w:i/>
          <w:iCs/>
        </w:rPr>
        <w:t>mysteriis</w:t>
      </w:r>
      <w:proofErr w:type="spellEnd"/>
      <w:r w:rsidRPr="007834B3">
        <w:rPr>
          <w:i/>
          <w:iCs/>
        </w:rPr>
        <w:t>):</w:t>
      </w:r>
      <w:r>
        <w:t xml:space="preserve"> </w:t>
      </w:r>
      <w:r w:rsidR="007834B3">
        <w:t xml:space="preserve">Emma C. Clarke, John M. Dillon, and J.P. </w:t>
      </w:r>
      <w:proofErr w:type="spellStart"/>
      <w:r w:rsidR="007834B3">
        <w:t>Hershell</w:t>
      </w:r>
      <w:proofErr w:type="spellEnd"/>
      <w:r w:rsidR="007834B3">
        <w:t xml:space="preserve"> (eds) Iamblichus: </w:t>
      </w:r>
      <w:r w:rsidR="007834B3" w:rsidRPr="007834B3">
        <w:rPr>
          <w:i/>
          <w:iCs/>
        </w:rPr>
        <w:t>On the mysteries</w:t>
      </w:r>
      <w:r w:rsidR="007834B3">
        <w:t xml:space="preserve">, Atlanta: Society of Biblical Literature </w:t>
      </w:r>
    </w:p>
    <w:p w14:paraId="096AF7F0" w14:textId="67B668A9" w:rsidR="007834B3" w:rsidRDefault="007834B3" w:rsidP="001A32BB"/>
    <w:p w14:paraId="4D301A01" w14:textId="535C13A0" w:rsidR="007E6B43" w:rsidRPr="001D76B5" w:rsidRDefault="007E6B43" w:rsidP="007E6B43">
      <w:pPr>
        <w:pStyle w:val="FootnoteText"/>
        <w:rPr>
          <w:rFonts w:cstheme="minorHAnsi"/>
          <w:sz w:val="22"/>
          <w:szCs w:val="22"/>
        </w:rPr>
      </w:pPr>
      <w:r w:rsidRPr="001D76B5">
        <w:rPr>
          <w:rFonts w:cstheme="minorHAnsi"/>
          <w:sz w:val="22"/>
          <w:szCs w:val="22"/>
        </w:rPr>
        <w:t>Lane</w:t>
      </w:r>
      <w:r w:rsidR="00141ABD">
        <w:rPr>
          <w:rFonts w:cstheme="minorHAnsi"/>
          <w:sz w:val="22"/>
          <w:szCs w:val="22"/>
        </w:rPr>
        <w:t xml:space="preserve"> Belden</w:t>
      </w:r>
      <w:r w:rsidRPr="001D76B5">
        <w:rPr>
          <w:rFonts w:cstheme="minorHAnsi"/>
          <w:sz w:val="22"/>
          <w:szCs w:val="22"/>
        </w:rPr>
        <w:t xml:space="preserve">, </w:t>
      </w:r>
      <w:r w:rsidRPr="001D76B5">
        <w:rPr>
          <w:rFonts w:cstheme="minorHAnsi"/>
          <w:i/>
          <w:iCs/>
          <w:sz w:val="22"/>
          <w:szCs w:val="22"/>
        </w:rPr>
        <w:t>‘Landscapes of the Sacred, Geography and Narrative in American Spirituality’</w:t>
      </w:r>
      <w:r w:rsidRPr="001D76B5">
        <w:rPr>
          <w:rFonts w:cstheme="minorHAnsi"/>
          <w:sz w:val="22"/>
          <w:szCs w:val="22"/>
        </w:rPr>
        <w:t>,(Baltimore: John Hopkins (</w:t>
      </w:r>
      <w:r>
        <w:rPr>
          <w:rFonts w:cstheme="minorHAnsi"/>
          <w:sz w:val="22"/>
          <w:szCs w:val="22"/>
        </w:rPr>
        <w:t>2</w:t>
      </w:r>
      <w:r w:rsidRPr="001D76B5">
        <w:rPr>
          <w:rFonts w:cstheme="minorHAnsi"/>
          <w:sz w:val="22"/>
          <w:szCs w:val="22"/>
        </w:rPr>
        <w:t>002) p.61.</w:t>
      </w:r>
    </w:p>
    <w:p w14:paraId="1DD9F246" w14:textId="77777777" w:rsidR="007E6B43" w:rsidRDefault="007E6B43" w:rsidP="001A32BB"/>
    <w:p w14:paraId="3D862D4A" w14:textId="3CF6CC24" w:rsidR="00CF773C" w:rsidRPr="00CF773C" w:rsidRDefault="00CF773C" w:rsidP="00CF773C">
      <w:pPr>
        <w:spacing w:before="100" w:beforeAutospacing="1" w:after="100" w:afterAutospacing="1"/>
        <w:rPr>
          <w:rFonts w:ascii="Times New Roman" w:eastAsia="Times New Roman" w:hAnsi="Times New Roman" w:cs="Times New Roman"/>
          <w:lang w:eastAsia="en-GB"/>
        </w:rPr>
      </w:pPr>
      <w:r w:rsidRPr="00CF773C">
        <w:rPr>
          <w:rFonts w:eastAsia="Times New Roman" w:cstheme="minorHAnsi"/>
          <w:lang w:eastAsia="en-GB"/>
        </w:rPr>
        <w:t xml:space="preserve">Shaw. G.(1995), </w:t>
      </w:r>
      <w:r w:rsidRPr="00CF773C">
        <w:rPr>
          <w:rFonts w:eastAsia="Times New Roman" w:cstheme="minorHAnsi"/>
          <w:i/>
          <w:iCs/>
          <w:lang w:eastAsia="en-GB"/>
        </w:rPr>
        <w:t>Theurgy and the Soul: The Neoplatonism of Iamblichus</w:t>
      </w:r>
      <w:r w:rsidRPr="00CF773C">
        <w:rPr>
          <w:rFonts w:eastAsia="Times New Roman" w:cstheme="minorHAnsi"/>
          <w:lang w:eastAsia="en-GB"/>
        </w:rPr>
        <w:t>, University Park,</w:t>
      </w:r>
      <w:r>
        <w:rPr>
          <w:rFonts w:eastAsia="Times New Roman" w:cstheme="minorHAnsi"/>
          <w:lang w:eastAsia="en-GB"/>
        </w:rPr>
        <w:t xml:space="preserve"> Pennsylvania: The Pennsylvania State Press</w:t>
      </w:r>
    </w:p>
    <w:p w14:paraId="5BD9F741" w14:textId="12BC8B6E" w:rsidR="007834B3" w:rsidRDefault="008D78D2" w:rsidP="001A32BB">
      <w:r>
        <w:t>Stace Walter (1960</w:t>
      </w:r>
      <w:r w:rsidRPr="008D78D2">
        <w:rPr>
          <w:i/>
          <w:iCs/>
        </w:rPr>
        <w:t>), The Teachings of the Mystics</w:t>
      </w:r>
      <w:r>
        <w:t>, New York: Mentor Books</w:t>
      </w:r>
    </w:p>
    <w:p w14:paraId="663DA43F" w14:textId="65D2E1F2" w:rsidR="00D161B1" w:rsidRDefault="00D161B1" w:rsidP="001A32BB"/>
    <w:p w14:paraId="1F76197D" w14:textId="4997A4FE" w:rsidR="00D161B1" w:rsidRPr="00D161B1" w:rsidRDefault="00D161B1" w:rsidP="00D161B1">
      <w:pPr>
        <w:pStyle w:val="NormalWeb"/>
      </w:pPr>
      <w:r>
        <w:t>Struck Peter. T. (2017</w:t>
      </w:r>
      <w:r w:rsidRPr="00CD0EC2">
        <w:t xml:space="preserve">) </w:t>
      </w:r>
      <w:r w:rsidRPr="00CD0EC2">
        <w:rPr>
          <w:rFonts w:asciiTheme="minorHAnsi" w:hAnsiTheme="minorHAnsi" w:cstheme="minorHAnsi"/>
        </w:rPr>
        <w:t>Iamblichus on Divination: Divine Power and Human Intuition</w:t>
      </w:r>
      <w:r>
        <w:rPr>
          <w:rFonts w:asciiTheme="minorHAnsi" w:hAnsiTheme="minorHAnsi" w:cstheme="minorHAnsi"/>
        </w:rPr>
        <w:t xml:space="preserve">, </w:t>
      </w:r>
      <w:r w:rsidR="00CD0EC2">
        <w:rPr>
          <w:rFonts w:asciiTheme="minorHAnsi" w:hAnsiTheme="minorHAnsi" w:cstheme="minorHAnsi"/>
        </w:rPr>
        <w:t>in ‘</w:t>
      </w:r>
      <w:r w:rsidR="00CD0EC2" w:rsidRPr="00CD0EC2">
        <w:rPr>
          <w:rFonts w:asciiTheme="minorHAnsi" w:hAnsiTheme="minorHAnsi" w:cstheme="minorHAnsi"/>
          <w:i/>
          <w:iCs/>
        </w:rPr>
        <w:t>Divine Powers in Late Antiquity</w:t>
      </w:r>
      <w:r w:rsidR="00CD0EC2">
        <w:rPr>
          <w:rFonts w:asciiTheme="minorHAnsi" w:hAnsiTheme="minorHAnsi" w:cstheme="minorHAnsi"/>
          <w:i/>
          <w:iCs/>
        </w:rPr>
        <w:t>’</w:t>
      </w:r>
      <w:r w:rsidR="00CD0EC2">
        <w:rPr>
          <w:rFonts w:asciiTheme="minorHAnsi" w:hAnsiTheme="minorHAnsi" w:cstheme="minorHAnsi"/>
        </w:rPr>
        <w:t xml:space="preserve"> Edited by </w:t>
      </w:r>
      <w:r w:rsidR="005C3E56">
        <w:rPr>
          <w:rFonts w:asciiTheme="minorHAnsi" w:hAnsiTheme="minorHAnsi" w:cstheme="minorHAnsi"/>
        </w:rPr>
        <w:t xml:space="preserve">Anna Marmarado, Irini-Fotini </w:t>
      </w:r>
      <w:r w:rsidR="009962E3">
        <w:rPr>
          <w:rFonts w:asciiTheme="minorHAnsi" w:hAnsiTheme="minorHAnsi" w:cstheme="minorHAnsi"/>
        </w:rPr>
        <w:t>Viltanioti, Oxford: Oxford Un</w:t>
      </w:r>
      <w:r w:rsidR="00AD69BB">
        <w:rPr>
          <w:rFonts w:asciiTheme="minorHAnsi" w:hAnsiTheme="minorHAnsi" w:cstheme="minorHAnsi"/>
        </w:rPr>
        <w:t xml:space="preserve">iversity </w:t>
      </w:r>
      <w:proofErr w:type="spellStart"/>
      <w:r w:rsidR="00AD69BB">
        <w:rPr>
          <w:rFonts w:asciiTheme="minorHAnsi" w:hAnsiTheme="minorHAnsi" w:cstheme="minorHAnsi"/>
        </w:rPr>
        <w:t>Presss</w:t>
      </w:r>
      <w:proofErr w:type="spellEnd"/>
    </w:p>
    <w:p w14:paraId="6632F1AE" w14:textId="10BCA1C9" w:rsidR="00D161B1" w:rsidRPr="001A32BB" w:rsidRDefault="00D161B1" w:rsidP="001A32BB"/>
    <w:sectPr w:rsidR="00D161B1" w:rsidRPr="001A32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BE6A62" w14:textId="77777777" w:rsidR="008E372C" w:rsidRDefault="008E372C" w:rsidP="00306A90">
      <w:r>
        <w:separator/>
      </w:r>
    </w:p>
  </w:endnote>
  <w:endnote w:type="continuationSeparator" w:id="0">
    <w:p w14:paraId="21DF2644" w14:textId="77777777" w:rsidR="008E372C" w:rsidRDefault="008E372C" w:rsidP="00306A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E4EE6B" w14:textId="77777777" w:rsidR="008E372C" w:rsidRDefault="008E372C" w:rsidP="00306A90">
      <w:r>
        <w:separator/>
      </w:r>
    </w:p>
  </w:footnote>
  <w:footnote w:type="continuationSeparator" w:id="0">
    <w:p w14:paraId="20F1F7F0" w14:textId="77777777" w:rsidR="008E372C" w:rsidRDefault="008E372C" w:rsidP="00306A90">
      <w:r>
        <w:continuationSeparator/>
      </w:r>
    </w:p>
  </w:footnote>
  <w:footnote w:id="1">
    <w:p w14:paraId="2BD4FB72" w14:textId="69B6CED2" w:rsidR="00306A90" w:rsidRDefault="00306A90" w:rsidP="00306A90">
      <w:r>
        <w:rPr>
          <w:rStyle w:val="FootnoteReference"/>
        </w:rPr>
        <w:footnoteRef/>
      </w:r>
      <w:r>
        <w:t xml:space="preserve"> Iamblichus, (2003) </w:t>
      </w:r>
      <w:r w:rsidRPr="007834B3">
        <w:rPr>
          <w:i/>
          <w:iCs/>
        </w:rPr>
        <w:t xml:space="preserve">On the Mysteries (De </w:t>
      </w:r>
      <w:proofErr w:type="spellStart"/>
      <w:r w:rsidRPr="007834B3">
        <w:rPr>
          <w:i/>
          <w:iCs/>
        </w:rPr>
        <w:t>mysteriis</w:t>
      </w:r>
      <w:proofErr w:type="spellEnd"/>
      <w:r w:rsidRPr="007834B3">
        <w:rPr>
          <w:i/>
          <w:iCs/>
        </w:rPr>
        <w:t>):</w:t>
      </w:r>
      <w:r>
        <w:t xml:space="preserve"> Emma C. Clarke, John M. Dillon, and J.P. </w:t>
      </w:r>
      <w:proofErr w:type="spellStart"/>
      <w:r>
        <w:t>Hershell</w:t>
      </w:r>
      <w:proofErr w:type="spellEnd"/>
      <w:r>
        <w:t xml:space="preserve"> (eds) Iamblichus: </w:t>
      </w:r>
      <w:r w:rsidRPr="007834B3">
        <w:rPr>
          <w:i/>
          <w:iCs/>
        </w:rPr>
        <w:t>On the mysteries</w:t>
      </w:r>
      <w:r>
        <w:t xml:space="preserve">, Atlanta: Society of Biblical Literature </w:t>
      </w:r>
      <w:proofErr w:type="spellStart"/>
      <w:r w:rsidR="00D6057B">
        <w:t>p.xx</w:t>
      </w:r>
      <w:proofErr w:type="spellEnd"/>
      <w:r w:rsidR="00D6057B">
        <w:t>.</w:t>
      </w:r>
    </w:p>
    <w:p w14:paraId="5BB3DAF9" w14:textId="380A611E" w:rsidR="00306A90" w:rsidRDefault="00306A90">
      <w:pPr>
        <w:pStyle w:val="FootnoteText"/>
      </w:pPr>
    </w:p>
    <w:p w14:paraId="013C9DFC" w14:textId="77777777" w:rsidR="00CC724B" w:rsidRDefault="00CC724B">
      <w:pPr>
        <w:pStyle w:val="FootnoteText"/>
      </w:pPr>
    </w:p>
  </w:footnote>
  <w:footnote w:id="2">
    <w:p w14:paraId="12EECF60" w14:textId="0819D151" w:rsidR="00773639" w:rsidRDefault="00773639" w:rsidP="00EE1CC5">
      <w:r>
        <w:rPr>
          <w:rStyle w:val="FootnoteReference"/>
        </w:rPr>
        <w:footnoteRef/>
      </w:r>
      <w:r>
        <w:t xml:space="preserve"> Addey, Crystal. (2004) </w:t>
      </w:r>
      <w:r w:rsidRPr="007834B3">
        <w:rPr>
          <w:i/>
          <w:iCs/>
        </w:rPr>
        <w:t>Divination and Theurgy in Neoplatonism; Oracles of the Gods,</w:t>
      </w:r>
      <w:r>
        <w:t xml:space="preserve"> Farnham: Ashgate p.4.</w:t>
      </w:r>
    </w:p>
    <w:p w14:paraId="617FC7F2" w14:textId="77777777" w:rsidR="00EE1CC5" w:rsidRDefault="00EE1CC5" w:rsidP="00EE1CC5"/>
  </w:footnote>
  <w:footnote w:id="3">
    <w:p w14:paraId="5A4506BE" w14:textId="77777777" w:rsidR="00952269" w:rsidRDefault="00952269" w:rsidP="00952269">
      <w:r>
        <w:rPr>
          <w:rStyle w:val="FootnoteReference"/>
        </w:rPr>
        <w:footnoteRef/>
      </w:r>
      <w:r>
        <w:t xml:space="preserve"> Addey, Crystal. (2004) </w:t>
      </w:r>
      <w:r w:rsidRPr="007834B3">
        <w:rPr>
          <w:i/>
          <w:iCs/>
        </w:rPr>
        <w:t>Divination and Theurgy in Neoplatonism; Oracles of the Gods,</w:t>
      </w:r>
      <w:r>
        <w:t xml:space="preserve"> Farnham: Ashgate p.7.</w:t>
      </w:r>
    </w:p>
    <w:p w14:paraId="2520898E" w14:textId="77777777" w:rsidR="00952269" w:rsidRDefault="00952269" w:rsidP="00952269">
      <w:pPr>
        <w:pStyle w:val="FootnoteText"/>
      </w:pPr>
    </w:p>
  </w:footnote>
  <w:footnote w:id="4">
    <w:p w14:paraId="338E2BFD" w14:textId="0A7B1678" w:rsidR="00EE1CC5" w:rsidRDefault="00EE1CC5">
      <w:pPr>
        <w:pStyle w:val="FootnoteText"/>
      </w:pPr>
      <w:r>
        <w:rPr>
          <w:rStyle w:val="FootnoteReference"/>
        </w:rPr>
        <w:footnoteRef/>
      </w:r>
      <w:r>
        <w:t xml:space="preserve"> </w:t>
      </w:r>
    </w:p>
  </w:footnote>
  <w:footnote w:id="5">
    <w:p w14:paraId="603C5111" w14:textId="5EE4B215" w:rsidR="00CA09E2" w:rsidRDefault="00CA09E2">
      <w:pPr>
        <w:pStyle w:val="FootnoteText"/>
      </w:pPr>
      <w:r>
        <w:rPr>
          <w:rStyle w:val="FootnoteReference"/>
        </w:rPr>
        <w:footnoteRef/>
      </w:r>
      <w:r>
        <w:t xml:space="preserve"> Neoplatonist is a term adopted by 18</w:t>
      </w:r>
      <w:r w:rsidRPr="00CA09E2">
        <w:rPr>
          <w:vertAlign w:val="superscript"/>
        </w:rPr>
        <w:t>th</w:t>
      </w:r>
      <w:r>
        <w:t xml:space="preserve"> century German academics </w:t>
      </w:r>
      <w:r w:rsidR="00773639">
        <w:t>to reference the movement inspired by Plotinus.</w:t>
      </w:r>
    </w:p>
  </w:footnote>
  <w:footnote w:id="6">
    <w:p w14:paraId="121924D8" w14:textId="77777777" w:rsidR="00B7225F" w:rsidRDefault="00B7225F" w:rsidP="00B7225F">
      <w:r>
        <w:rPr>
          <w:rStyle w:val="FootnoteReference"/>
        </w:rPr>
        <w:footnoteRef/>
      </w:r>
      <w:r>
        <w:t xml:space="preserve"> Iamblichus, (2003) </w:t>
      </w:r>
      <w:r w:rsidRPr="007834B3">
        <w:rPr>
          <w:i/>
          <w:iCs/>
        </w:rPr>
        <w:t xml:space="preserve">On the Mysteries (De </w:t>
      </w:r>
      <w:proofErr w:type="spellStart"/>
      <w:r w:rsidRPr="007834B3">
        <w:rPr>
          <w:i/>
          <w:iCs/>
        </w:rPr>
        <w:t>mysteriis</w:t>
      </w:r>
      <w:proofErr w:type="spellEnd"/>
      <w:r w:rsidRPr="007834B3">
        <w:rPr>
          <w:i/>
          <w:iCs/>
        </w:rPr>
        <w:t>):</w:t>
      </w:r>
      <w:r>
        <w:t xml:space="preserve"> Emma C. Clarke, John M. Dillon, and J.P. </w:t>
      </w:r>
      <w:proofErr w:type="spellStart"/>
      <w:r>
        <w:t>Hershell</w:t>
      </w:r>
      <w:proofErr w:type="spellEnd"/>
      <w:r>
        <w:t xml:space="preserve"> (eds) Iamblichus: </w:t>
      </w:r>
      <w:r w:rsidRPr="007834B3">
        <w:rPr>
          <w:i/>
          <w:iCs/>
        </w:rPr>
        <w:t>On the mysteries</w:t>
      </w:r>
      <w:r>
        <w:t xml:space="preserve">, Atlanta: Society of Biblical Literature </w:t>
      </w:r>
      <w:proofErr w:type="spellStart"/>
      <w:r>
        <w:t>p.xxii</w:t>
      </w:r>
      <w:proofErr w:type="spellEnd"/>
      <w:r>
        <w:t xml:space="preserve">. </w:t>
      </w:r>
    </w:p>
    <w:p w14:paraId="69A724F8" w14:textId="77777777" w:rsidR="00B7225F" w:rsidRDefault="00B7225F" w:rsidP="00B7225F"/>
    <w:p w14:paraId="4C422844" w14:textId="77777777" w:rsidR="00B7225F" w:rsidRDefault="00B7225F" w:rsidP="00B7225F">
      <w:pPr>
        <w:pStyle w:val="FootnoteText"/>
      </w:pPr>
    </w:p>
  </w:footnote>
  <w:footnote w:id="7">
    <w:p w14:paraId="74D2D5F5" w14:textId="242ACAEF" w:rsidR="00280A18" w:rsidRDefault="00280A18">
      <w:pPr>
        <w:pStyle w:val="FootnoteText"/>
      </w:pPr>
      <w:r>
        <w:rPr>
          <w:rStyle w:val="FootnoteReference"/>
        </w:rPr>
        <w:footnoteRef/>
      </w:r>
      <w:r>
        <w:t xml:space="preserve">  Plato, </w:t>
      </w:r>
      <w:proofErr w:type="spellStart"/>
      <w:r>
        <w:t>Phdr</w:t>
      </w:r>
      <w:proofErr w:type="spellEnd"/>
      <w:r>
        <w:t>, 244a8</w:t>
      </w:r>
      <w:r w:rsidR="00D93DC3">
        <w:t xml:space="preserve">-c3. </w:t>
      </w:r>
    </w:p>
  </w:footnote>
  <w:footnote w:id="8">
    <w:p w14:paraId="24E578BF" w14:textId="298AFF2D" w:rsidR="004D6081" w:rsidRDefault="004D6081" w:rsidP="004D6081">
      <w:r>
        <w:rPr>
          <w:rStyle w:val="FootnoteReference"/>
        </w:rPr>
        <w:footnoteRef/>
      </w:r>
      <w:r>
        <w:t xml:space="preserve"> Addey, Crystal. (2004) </w:t>
      </w:r>
      <w:r w:rsidRPr="007834B3">
        <w:rPr>
          <w:i/>
          <w:iCs/>
        </w:rPr>
        <w:t>Divination and Theurgy in Neoplatonism; Oracles of the Gods,</w:t>
      </w:r>
      <w:r>
        <w:t xml:space="preserve"> Farnham: Ashgate p.16.</w:t>
      </w:r>
    </w:p>
  </w:footnote>
  <w:footnote w:id="9">
    <w:p w14:paraId="4EC07DEF" w14:textId="619A4582" w:rsidR="00B7225F" w:rsidRDefault="00B7225F" w:rsidP="00E9287C">
      <w:r>
        <w:rPr>
          <w:rStyle w:val="FootnoteReference"/>
        </w:rPr>
        <w:footnoteRef/>
      </w:r>
      <w:r>
        <w:t xml:space="preserve"> </w:t>
      </w:r>
      <w:r w:rsidR="00E9287C">
        <w:t xml:space="preserve">Addey, Crystal. (2004) </w:t>
      </w:r>
      <w:r w:rsidR="00E9287C" w:rsidRPr="007834B3">
        <w:rPr>
          <w:i/>
          <w:iCs/>
        </w:rPr>
        <w:t>Divination and Theurgy in Neoplatonism; Oracles of the Gods,</w:t>
      </w:r>
      <w:r w:rsidR="00E9287C">
        <w:t xml:space="preserve"> Farnham: Ashgate p.128.</w:t>
      </w:r>
    </w:p>
  </w:footnote>
  <w:footnote w:id="10">
    <w:p w14:paraId="4FFA842C" w14:textId="7F7D6BCD" w:rsidR="00E56D96" w:rsidRDefault="00E56D96" w:rsidP="00E56D96">
      <w:r>
        <w:rPr>
          <w:rStyle w:val="FootnoteReference"/>
        </w:rPr>
        <w:footnoteRef/>
      </w:r>
      <w:r>
        <w:t xml:space="preserve"> Addey, Crystal. (2004) </w:t>
      </w:r>
      <w:r w:rsidRPr="007834B3">
        <w:rPr>
          <w:i/>
          <w:iCs/>
        </w:rPr>
        <w:t>Divination and Theurgy in Neoplatonism; Oracles of the Gods,</w:t>
      </w:r>
      <w:r>
        <w:t xml:space="preserve"> Farnham: Ashgate p.25.</w:t>
      </w:r>
    </w:p>
  </w:footnote>
  <w:footnote w:id="11">
    <w:p w14:paraId="42A6F737" w14:textId="2649058B" w:rsidR="008D78D2" w:rsidRPr="001A32BB" w:rsidRDefault="008D78D2" w:rsidP="008D78D2">
      <w:r>
        <w:rPr>
          <w:rStyle w:val="FootnoteReference"/>
        </w:rPr>
        <w:footnoteRef/>
      </w:r>
      <w:r>
        <w:t xml:space="preserve"> Stace Walter (1960</w:t>
      </w:r>
      <w:r w:rsidRPr="008D78D2">
        <w:rPr>
          <w:i/>
          <w:iCs/>
        </w:rPr>
        <w:t>), The Teachings of the Mystics</w:t>
      </w:r>
      <w:r>
        <w:t>, New York: Mentor Books P.120.</w:t>
      </w:r>
    </w:p>
    <w:p w14:paraId="5BC85602" w14:textId="1A66E302" w:rsidR="008D78D2" w:rsidRDefault="008D78D2">
      <w:pPr>
        <w:pStyle w:val="FootnoteText"/>
      </w:pPr>
    </w:p>
  </w:footnote>
  <w:footnote w:id="12">
    <w:p w14:paraId="5B3B2092" w14:textId="7BDBA3B1" w:rsidR="00090A40" w:rsidRPr="00CF773C" w:rsidRDefault="00333C18" w:rsidP="00090A40">
      <w:pPr>
        <w:spacing w:before="100" w:beforeAutospacing="1" w:after="100" w:afterAutospacing="1"/>
        <w:rPr>
          <w:rFonts w:ascii="Times New Roman" w:eastAsia="Times New Roman" w:hAnsi="Times New Roman" w:cs="Times New Roman"/>
          <w:lang w:eastAsia="en-GB"/>
        </w:rPr>
      </w:pPr>
      <w:r>
        <w:rPr>
          <w:rStyle w:val="FootnoteReference"/>
        </w:rPr>
        <w:footnoteRef/>
      </w:r>
      <w:r>
        <w:t xml:space="preserve"> </w:t>
      </w:r>
      <w:r w:rsidR="00090A40">
        <w:t xml:space="preserve"> </w:t>
      </w:r>
      <w:r w:rsidR="00090A40" w:rsidRPr="00CF773C">
        <w:rPr>
          <w:rFonts w:eastAsia="Times New Roman" w:cstheme="minorHAnsi"/>
          <w:lang w:eastAsia="en-GB"/>
        </w:rPr>
        <w:t xml:space="preserve">Shaw. G.(1995), </w:t>
      </w:r>
      <w:r w:rsidR="00090A40" w:rsidRPr="00CF773C">
        <w:rPr>
          <w:rFonts w:eastAsia="Times New Roman" w:cstheme="minorHAnsi"/>
          <w:i/>
          <w:iCs/>
          <w:lang w:eastAsia="en-GB"/>
        </w:rPr>
        <w:t>Theurgy and the Soul: The Neoplatonism of Iamblichus</w:t>
      </w:r>
      <w:r w:rsidR="00090A40" w:rsidRPr="00CF773C">
        <w:rPr>
          <w:rFonts w:eastAsia="Times New Roman" w:cstheme="minorHAnsi"/>
          <w:lang w:eastAsia="en-GB"/>
        </w:rPr>
        <w:t>, University Park,</w:t>
      </w:r>
      <w:r w:rsidR="00090A40">
        <w:rPr>
          <w:rFonts w:eastAsia="Times New Roman" w:cstheme="minorHAnsi"/>
          <w:lang w:eastAsia="en-GB"/>
        </w:rPr>
        <w:t xml:space="preserve"> Pennsylvania: The Pennsylvania State Press p.21-22.</w:t>
      </w:r>
    </w:p>
    <w:p w14:paraId="01DAC66E" w14:textId="065D59D5" w:rsidR="00333C18" w:rsidRDefault="00333C18">
      <w:pPr>
        <w:pStyle w:val="FootnoteText"/>
      </w:pPr>
    </w:p>
  </w:footnote>
  <w:footnote w:id="13">
    <w:p w14:paraId="443EFFC4" w14:textId="2BB09B39" w:rsidR="00D46BA6" w:rsidRDefault="00D46BA6" w:rsidP="00D46BA6">
      <w:r>
        <w:rPr>
          <w:rStyle w:val="FootnoteReference"/>
        </w:rPr>
        <w:footnoteRef/>
      </w:r>
      <w:r>
        <w:t xml:space="preserve"> Iamblichus, (2003) </w:t>
      </w:r>
      <w:r w:rsidRPr="007834B3">
        <w:rPr>
          <w:i/>
          <w:iCs/>
        </w:rPr>
        <w:t xml:space="preserve">On the Mysteries (De </w:t>
      </w:r>
      <w:proofErr w:type="spellStart"/>
      <w:r w:rsidRPr="007834B3">
        <w:rPr>
          <w:i/>
          <w:iCs/>
        </w:rPr>
        <w:t>mysteriis</w:t>
      </w:r>
      <w:proofErr w:type="spellEnd"/>
      <w:r w:rsidRPr="007834B3">
        <w:rPr>
          <w:i/>
          <w:iCs/>
        </w:rPr>
        <w:t>):</w:t>
      </w:r>
      <w:r>
        <w:t xml:space="preserve"> Emma C. Clarke, John M. Dillon, and J.P. </w:t>
      </w:r>
      <w:proofErr w:type="spellStart"/>
      <w:r>
        <w:t>Hershell</w:t>
      </w:r>
      <w:proofErr w:type="spellEnd"/>
      <w:r>
        <w:t xml:space="preserve"> (eds) Iamblichus: </w:t>
      </w:r>
      <w:r w:rsidRPr="007834B3">
        <w:rPr>
          <w:i/>
          <w:iCs/>
        </w:rPr>
        <w:t>On the mysteries</w:t>
      </w:r>
      <w:r>
        <w:t xml:space="preserve">, Atlanta: Society of Biblical Literature  </w:t>
      </w:r>
      <w:proofErr w:type="spellStart"/>
      <w:r>
        <w:t>p.xxxiv-pxxxvii</w:t>
      </w:r>
      <w:proofErr w:type="spellEnd"/>
      <w:r>
        <w:t>.</w:t>
      </w:r>
    </w:p>
    <w:p w14:paraId="3FE6EDF1" w14:textId="77777777" w:rsidR="00D46BA6" w:rsidRDefault="00D46BA6" w:rsidP="00D46BA6"/>
    <w:p w14:paraId="2CB3A7C2" w14:textId="194308C0" w:rsidR="00D46BA6" w:rsidRDefault="00D46BA6">
      <w:pPr>
        <w:pStyle w:val="FootnoteText"/>
      </w:pPr>
    </w:p>
  </w:footnote>
  <w:footnote w:id="14">
    <w:p w14:paraId="708521C0" w14:textId="77777777" w:rsidR="00AB093C" w:rsidRDefault="00AB093C" w:rsidP="00AB093C">
      <w:r>
        <w:rPr>
          <w:rStyle w:val="FootnoteReference"/>
        </w:rPr>
        <w:footnoteRef/>
      </w:r>
      <w:r>
        <w:t xml:space="preserve"> Iamblichus, (2003) </w:t>
      </w:r>
      <w:r w:rsidRPr="007834B3">
        <w:rPr>
          <w:i/>
          <w:iCs/>
        </w:rPr>
        <w:t xml:space="preserve">On the Mysteries (De </w:t>
      </w:r>
      <w:proofErr w:type="spellStart"/>
      <w:r w:rsidRPr="007834B3">
        <w:rPr>
          <w:i/>
          <w:iCs/>
        </w:rPr>
        <w:t>mysteriis</w:t>
      </w:r>
      <w:proofErr w:type="spellEnd"/>
      <w:r w:rsidRPr="007834B3">
        <w:rPr>
          <w:i/>
          <w:iCs/>
        </w:rPr>
        <w:t>):</w:t>
      </w:r>
      <w:r>
        <w:t xml:space="preserve"> Emma C. Clarke, John M. Dillon, and J.P. </w:t>
      </w:r>
      <w:proofErr w:type="spellStart"/>
      <w:r>
        <w:t>Hershell</w:t>
      </w:r>
      <w:proofErr w:type="spellEnd"/>
      <w:r>
        <w:t xml:space="preserve"> (eds) Iamblichus: </w:t>
      </w:r>
      <w:r w:rsidRPr="007834B3">
        <w:rPr>
          <w:i/>
          <w:iCs/>
        </w:rPr>
        <w:t>On the mysteries</w:t>
      </w:r>
      <w:r>
        <w:t xml:space="preserve">, Atlanta: Society of Biblical Literature </w:t>
      </w:r>
    </w:p>
    <w:p w14:paraId="3E6CB4CB" w14:textId="2F673027" w:rsidR="00AB093C" w:rsidRDefault="00AB093C" w:rsidP="00AB093C">
      <w:r>
        <w:t>Book X.3.</w:t>
      </w:r>
    </w:p>
    <w:p w14:paraId="5A920858" w14:textId="6B6094E7" w:rsidR="00AB093C" w:rsidRDefault="00AB093C">
      <w:pPr>
        <w:pStyle w:val="FootnoteText"/>
      </w:pPr>
    </w:p>
  </w:footnote>
  <w:footnote w:id="15">
    <w:p w14:paraId="3309E540" w14:textId="77777777" w:rsidR="00A0437E" w:rsidRDefault="00A0437E" w:rsidP="00A0437E">
      <w:pPr>
        <w:pStyle w:val="FootnoteText"/>
      </w:pPr>
      <w:r>
        <w:rPr>
          <w:rStyle w:val="FootnoteReference"/>
        </w:rPr>
        <w:footnoteRef/>
      </w:r>
      <w:r>
        <w:t xml:space="preserve"> DM III.15 p.157</w:t>
      </w:r>
    </w:p>
  </w:footnote>
  <w:footnote w:id="16">
    <w:p w14:paraId="584C4680" w14:textId="561BBDD7" w:rsidR="00012838" w:rsidRDefault="00012838">
      <w:pPr>
        <w:pStyle w:val="FootnoteText"/>
      </w:pPr>
      <w:r>
        <w:rPr>
          <w:rStyle w:val="FootnoteReference"/>
        </w:rPr>
        <w:footnoteRef/>
      </w:r>
      <w:r>
        <w:t xml:space="preserve"> DM III.15 p.157. </w:t>
      </w:r>
    </w:p>
  </w:footnote>
  <w:footnote w:id="17">
    <w:p w14:paraId="1DE557D2" w14:textId="77777777" w:rsidR="001938B3" w:rsidRDefault="001938B3" w:rsidP="001938B3">
      <w:pPr>
        <w:pStyle w:val="FootnoteText"/>
      </w:pPr>
      <w:r>
        <w:rPr>
          <w:rStyle w:val="FootnoteReference"/>
        </w:rPr>
        <w:footnoteRef/>
      </w:r>
      <w:r>
        <w:t xml:space="preserve"> DM III.I 14-20</w:t>
      </w:r>
    </w:p>
  </w:footnote>
  <w:footnote w:id="18">
    <w:p w14:paraId="63C7C638" w14:textId="4CF5FF7D" w:rsidR="00270B05" w:rsidRDefault="00270B05">
      <w:pPr>
        <w:pStyle w:val="FootnoteText"/>
      </w:pPr>
      <w:r>
        <w:rPr>
          <w:rStyle w:val="FootnoteReference"/>
        </w:rPr>
        <w:footnoteRef/>
      </w:r>
      <w:r>
        <w:t xml:space="preserve"> DM III.1 P.119.</w:t>
      </w:r>
    </w:p>
  </w:footnote>
  <w:footnote w:id="19">
    <w:p w14:paraId="79BD8EE1" w14:textId="5298EB08" w:rsidR="008B307C" w:rsidRDefault="008B307C">
      <w:pPr>
        <w:pStyle w:val="FootnoteText"/>
      </w:pPr>
      <w:r>
        <w:rPr>
          <w:rStyle w:val="FootnoteReference"/>
        </w:rPr>
        <w:footnoteRef/>
      </w:r>
      <w:r>
        <w:t xml:space="preserve"> DM III.4.</w:t>
      </w:r>
    </w:p>
  </w:footnote>
  <w:footnote w:id="20">
    <w:p w14:paraId="749B7ACA" w14:textId="459C0C56" w:rsidR="00DC6673" w:rsidRDefault="00DC6673">
      <w:pPr>
        <w:pStyle w:val="FootnoteText"/>
      </w:pPr>
      <w:r>
        <w:rPr>
          <w:rStyle w:val="FootnoteReference"/>
        </w:rPr>
        <w:footnoteRef/>
      </w:r>
      <w:r>
        <w:t xml:space="preserve"> DM III.31</w:t>
      </w:r>
    </w:p>
  </w:footnote>
  <w:footnote w:id="21">
    <w:p w14:paraId="5480280A" w14:textId="2B78F63B" w:rsidR="009B2642" w:rsidRDefault="009B2642" w:rsidP="009B2642">
      <w:r>
        <w:rPr>
          <w:rStyle w:val="FootnoteReference"/>
        </w:rPr>
        <w:footnoteRef/>
      </w:r>
      <w:r>
        <w:t xml:space="preserve"> </w:t>
      </w:r>
      <w:proofErr w:type="spellStart"/>
      <w:r>
        <w:t>Addey</w:t>
      </w:r>
      <w:proofErr w:type="spellEnd"/>
      <w:r>
        <w:t xml:space="preserve">, Crystal. (2004) </w:t>
      </w:r>
      <w:r w:rsidRPr="007834B3">
        <w:rPr>
          <w:i/>
          <w:iCs/>
        </w:rPr>
        <w:t>Divination and Theurgy in Neoplatonism; Oracles of the Gods,</w:t>
      </w:r>
      <w:r>
        <w:t xml:space="preserve"> Farnham: Ashgate p.2</w:t>
      </w:r>
      <w:r>
        <w:t>81.</w:t>
      </w:r>
      <w:r>
        <w:t>.</w:t>
      </w:r>
    </w:p>
  </w:footnote>
  <w:footnote w:id="22">
    <w:p w14:paraId="64A6E483" w14:textId="0A5ECEDD" w:rsidR="00BD7A23" w:rsidRDefault="00BD7A23">
      <w:pPr>
        <w:pStyle w:val="FootnoteText"/>
      </w:pPr>
      <w:r>
        <w:rPr>
          <w:rStyle w:val="FootnoteReference"/>
        </w:rPr>
        <w:footnoteRef/>
      </w:r>
      <w:r>
        <w:t xml:space="preserve"> DM III.2 </w:t>
      </w:r>
    </w:p>
  </w:footnote>
  <w:footnote w:id="23">
    <w:p w14:paraId="16272A87" w14:textId="77865EA1" w:rsidR="00FF54D7" w:rsidRDefault="00FF54D7">
      <w:pPr>
        <w:pStyle w:val="FootnoteText"/>
      </w:pPr>
      <w:r>
        <w:rPr>
          <w:rStyle w:val="FootnoteReference"/>
        </w:rPr>
        <w:footnoteRef/>
      </w:r>
      <w:r>
        <w:t xml:space="preserve"> DM III.8</w:t>
      </w:r>
    </w:p>
  </w:footnote>
  <w:footnote w:id="24">
    <w:p w14:paraId="620266A8" w14:textId="02B41B56" w:rsidR="00FF54D7" w:rsidRDefault="00FF54D7">
      <w:pPr>
        <w:pStyle w:val="FootnoteText"/>
      </w:pPr>
      <w:r>
        <w:rPr>
          <w:rStyle w:val="FootnoteReference"/>
        </w:rPr>
        <w:footnoteRef/>
      </w:r>
      <w:r>
        <w:t xml:space="preserve"> DM III.4</w:t>
      </w:r>
    </w:p>
  </w:footnote>
  <w:footnote w:id="25">
    <w:p w14:paraId="28080AD4" w14:textId="76ADADA6" w:rsidR="001354D1" w:rsidRDefault="001354D1">
      <w:pPr>
        <w:pStyle w:val="FootnoteText"/>
      </w:pPr>
      <w:r>
        <w:rPr>
          <w:rStyle w:val="FootnoteReference"/>
        </w:rPr>
        <w:footnoteRef/>
      </w:r>
      <w:r>
        <w:t xml:space="preserve"> DM III.7.</w:t>
      </w:r>
    </w:p>
  </w:footnote>
  <w:footnote w:id="26">
    <w:p w14:paraId="735FDEE4" w14:textId="5B8D7E32" w:rsidR="003709E3" w:rsidRDefault="003709E3">
      <w:pPr>
        <w:pStyle w:val="FootnoteText"/>
      </w:pPr>
      <w:r>
        <w:rPr>
          <w:rStyle w:val="FootnoteReference"/>
        </w:rPr>
        <w:footnoteRef/>
      </w:r>
      <w:r>
        <w:t xml:space="preserve"> DM III.15</w:t>
      </w:r>
    </w:p>
  </w:footnote>
  <w:footnote w:id="27">
    <w:p w14:paraId="5DD61955" w14:textId="209C9023" w:rsidR="0001278C" w:rsidRDefault="0001278C">
      <w:pPr>
        <w:pStyle w:val="FootnoteText"/>
      </w:pPr>
      <w:r>
        <w:rPr>
          <w:rStyle w:val="FootnoteReference"/>
        </w:rPr>
        <w:footnoteRef/>
      </w:r>
      <w:r>
        <w:t xml:space="preserve"> DM III.</w:t>
      </w:r>
      <w:r w:rsidR="005B5B2E">
        <w:t>22</w:t>
      </w:r>
    </w:p>
  </w:footnote>
  <w:footnote w:id="28">
    <w:p w14:paraId="32D21A7D" w14:textId="4434A899" w:rsidR="00290336" w:rsidRDefault="00290336">
      <w:pPr>
        <w:pStyle w:val="FootnoteText"/>
      </w:pPr>
      <w:r>
        <w:rPr>
          <w:rStyle w:val="FootnoteReference"/>
        </w:rPr>
        <w:footnoteRef/>
      </w:r>
      <w:r>
        <w:t xml:space="preserve"> DM III 26. </w:t>
      </w:r>
    </w:p>
  </w:footnote>
  <w:footnote w:id="29">
    <w:p w14:paraId="2FA1BB5A" w14:textId="41E94CDC" w:rsidR="00F26B36" w:rsidRDefault="00F26B36">
      <w:pPr>
        <w:pStyle w:val="FootnoteText"/>
      </w:pPr>
      <w:r>
        <w:rPr>
          <w:rStyle w:val="FootnoteReference"/>
        </w:rPr>
        <w:footnoteRef/>
      </w:r>
      <w:r>
        <w:t xml:space="preserve"> DM III 28</w:t>
      </w:r>
    </w:p>
  </w:footnote>
  <w:footnote w:id="30">
    <w:p w14:paraId="425CE16B" w14:textId="381399E4" w:rsidR="00DE39C0" w:rsidRDefault="00DE39C0" w:rsidP="00DE39C0">
      <w:r>
        <w:rPr>
          <w:rStyle w:val="FootnoteReference"/>
        </w:rPr>
        <w:footnoteRef/>
      </w:r>
      <w:r>
        <w:t xml:space="preserve"> </w:t>
      </w:r>
      <w:proofErr w:type="spellStart"/>
      <w:r>
        <w:t>Addey</w:t>
      </w:r>
      <w:proofErr w:type="spellEnd"/>
      <w:r>
        <w:t xml:space="preserve">, Crystal. (2004) </w:t>
      </w:r>
      <w:r w:rsidRPr="007834B3">
        <w:rPr>
          <w:i/>
          <w:iCs/>
        </w:rPr>
        <w:t>Divination and Theurgy in Neoplatonism; Oracles of the Gods,</w:t>
      </w:r>
      <w:r>
        <w:t xml:space="preserve"> Farnham: Ashgate p.</w:t>
      </w:r>
      <w:r w:rsidR="00E90DD8">
        <w:t>253.</w:t>
      </w:r>
    </w:p>
    <w:p w14:paraId="0040A928" w14:textId="77777777" w:rsidR="00DE39C0" w:rsidRDefault="00DE39C0" w:rsidP="00DE39C0">
      <w:pPr>
        <w:pStyle w:val="FootnoteText"/>
      </w:pPr>
    </w:p>
    <w:p w14:paraId="4B53012C" w14:textId="4BA60A7E" w:rsidR="00DE39C0" w:rsidRDefault="00DE39C0">
      <w:pPr>
        <w:pStyle w:val="FootnoteText"/>
      </w:pPr>
    </w:p>
  </w:footnote>
  <w:footnote w:id="31">
    <w:p w14:paraId="039B0543" w14:textId="1D8DA689" w:rsidR="009D56B1" w:rsidRDefault="009D56B1">
      <w:pPr>
        <w:pStyle w:val="FootnoteText"/>
      </w:pPr>
      <w:r>
        <w:rPr>
          <w:rStyle w:val="FootnoteReference"/>
        </w:rPr>
        <w:footnoteRef/>
      </w:r>
      <w:r>
        <w:t xml:space="preserve"> DM 10.2</w:t>
      </w:r>
    </w:p>
  </w:footnote>
  <w:footnote w:id="32">
    <w:p w14:paraId="50B15DB5" w14:textId="77777777" w:rsidR="00364BE0" w:rsidRDefault="00364BE0" w:rsidP="00364BE0">
      <w:pPr>
        <w:pStyle w:val="FootnoteText"/>
      </w:pPr>
      <w:r>
        <w:rPr>
          <w:rStyle w:val="FootnoteReference"/>
        </w:rPr>
        <w:footnoteRef/>
      </w:r>
      <w:r>
        <w:t xml:space="preserve"> </w:t>
      </w:r>
      <w:proofErr w:type="spellStart"/>
      <w:r>
        <w:t>Dodds</w:t>
      </w:r>
      <w:proofErr w:type="spellEnd"/>
      <w:r>
        <w:t xml:space="preserve"> 1951 p.287. </w:t>
      </w:r>
    </w:p>
  </w:footnote>
  <w:footnote w:id="33">
    <w:p w14:paraId="53FAFA23" w14:textId="77777777" w:rsidR="000E543C" w:rsidRPr="006203D9" w:rsidRDefault="005E103E" w:rsidP="000E543C">
      <w:pPr>
        <w:rPr>
          <w:rFonts w:cstheme="minorHAnsi"/>
          <w:color w:val="000000"/>
          <w:sz w:val="22"/>
          <w:szCs w:val="22"/>
        </w:rPr>
      </w:pPr>
      <w:r>
        <w:rPr>
          <w:rStyle w:val="FootnoteReference"/>
        </w:rPr>
        <w:footnoteRef/>
      </w:r>
      <w:r>
        <w:t xml:space="preserve"> </w:t>
      </w:r>
      <w:r w:rsidR="000E543C" w:rsidRPr="006203D9">
        <w:rPr>
          <w:rFonts w:cstheme="minorHAnsi"/>
          <w:sz w:val="22"/>
          <w:szCs w:val="22"/>
        </w:rPr>
        <w:t xml:space="preserve">Charles Fort, </w:t>
      </w:r>
      <w:r w:rsidR="000E543C" w:rsidRPr="006203D9">
        <w:rPr>
          <w:rFonts w:cstheme="minorHAnsi"/>
          <w:i/>
          <w:iCs/>
          <w:color w:val="000000"/>
          <w:spacing w:val="-15"/>
          <w:sz w:val="22"/>
          <w:szCs w:val="22"/>
          <w:bdr w:val="none" w:sz="0" w:space="0" w:color="auto" w:frame="1"/>
        </w:rPr>
        <w:t>The Book of the Damned: The Collected Works of Charles Fort </w:t>
      </w:r>
    </w:p>
    <w:p w14:paraId="5E5AE742" w14:textId="77777777" w:rsidR="000E543C" w:rsidRPr="006203D9" w:rsidRDefault="000E543C" w:rsidP="000E543C">
      <w:pPr>
        <w:rPr>
          <w:rFonts w:cstheme="minorHAnsi"/>
          <w:color w:val="000000"/>
          <w:sz w:val="22"/>
          <w:szCs w:val="22"/>
        </w:rPr>
      </w:pPr>
      <w:r w:rsidRPr="006203D9">
        <w:rPr>
          <w:rFonts w:cstheme="minorHAnsi"/>
          <w:color w:val="000000"/>
          <w:spacing w:val="-15"/>
          <w:sz w:val="22"/>
          <w:szCs w:val="22"/>
          <w:bdr w:val="none" w:sz="0" w:space="0" w:color="auto" w:frame="1"/>
        </w:rPr>
        <w:t> (New York: </w:t>
      </w:r>
      <w:r w:rsidRPr="006203D9">
        <w:rPr>
          <w:rFonts w:cstheme="minorHAnsi"/>
          <w:color w:val="000000"/>
          <w:sz w:val="22"/>
          <w:szCs w:val="22"/>
          <w:bdr w:val="none" w:sz="0" w:space="0" w:color="auto" w:frame="1"/>
        </w:rPr>
        <w:t xml:space="preserve"> Jeremy P. </w:t>
      </w:r>
      <w:proofErr w:type="spellStart"/>
      <w:r w:rsidRPr="006203D9">
        <w:rPr>
          <w:rFonts w:cstheme="minorHAnsi"/>
          <w:color w:val="000000"/>
          <w:sz w:val="22"/>
          <w:szCs w:val="22"/>
          <w:bdr w:val="none" w:sz="0" w:space="0" w:color="auto" w:frame="1"/>
        </w:rPr>
        <w:t>Tarcher</w:t>
      </w:r>
      <w:proofErr w:type="spellEnd"/>
      <w:r w:rsidRPr="006203D9">
        <w:rPr>
          <w:rFonts w:cstheme="minorHAnsi"/>
          <w:color w:val="000000"/>
          <w:sz w:val="22"/>
          <w:szCs w:val="22"/>
          <w:bdr w:val="none" w:sz="0" w:space="0" w:color="auto" w:frame="1"/>
        </w:rPr>
        <w:t>, 2008), p.15.</w:t>
      </w:r>
    </w:p>
    <w:p w14:paraId="01A76A2A" w14:textId="6066B7F3" w:rsidR="005E103E" w:rsidRDefault="005E103E">
      <w:pPr>
        <w:pStyle w:val="FootnoteText"/>
      </w:pPr>
    </w:p>
  </w:footnote>
  <w:footnote w:id="34">
    <w:p w14:paraId="5CD419B4" w14:textId="6D31FEFC" w:rsidR="00D406A7" w:rsidRDefault="00D406A7">
      <w:pPr>
        <w:pStyle w:val="FootnoteText"/>
      </w:pPr>
      <w:r>
        <w:rPr>
          <w:rStyle w:val="FootnoteReference"/>
        </w:rPr>
        <w:footnoteRef/>
      </w:r>
      <w:r>
        <w:t xml:space="preserve"> </w:t>
      </w:r>
      <w:r w:rsidR="004557F2" w:rsidRPr="006203D9">
        <w:rPr>
          <w:rFonts w:cstheme="minorHAnsi"/>
          <w:sz w:val="22"/>
          <w:szCs w:val="22"/>
        </w:rPr>
        <w:t xml:space="preserve">Jack Hunter, Ontological Flooding and Continuing Bonds, In D </w:t>
      </w:r>
      <w:proofErr w:type="spellStart"/>
      <w:r w:rsidR="004557F2" w:rsidRPr="006203D9">
        <w:rPr>
          <w:rFonts w:cstheme="minorHAnsi"/>
          <w:sz w:val="22"/>
          <w:szCs w:val="22"/>
        </w:rPr>
        <w:t>Klass</w:t>
      </w:r>
      <w:proofErr w:type="spellEnd"/>
      <w:r w:rsidR="004557F2" w:rsidRPr="006203D9">
        <w:rPr>
          <w:rFonts w:cstheme="minorHAnsi"/>
          <w:sz w:val="22"/>
          <w:szCs w:val="22"/>
        </w:rPr>
        <w:t xml:space="preserve"> &amp; E.M Steffen (eds) ‘</w:t>
      </w:r>
      <w:r w:rsidR="004557F2" w:rsidRPr="006203D9">
        <w:rPr>
          <w:rFonts w:cstheme="minorHAnsi"/>
          <w:i/>
          <w:iCs/>
          <w:sz w:val="22"/>
          <w:szCs w:val="22"/>
        </w:rPr>
        <w:t>Continuing Bonds in Bereavement: New Directions for Research and Practice</w:t>
      </w:r>
      <w:r w:rsidR="004557F2" w:rsidRPr="006203D9">
        <w:rPr>
          <w:rFonts w:cstheme="minorHAnsi"/>
          <w:sz w:val="22"/>
          <w:szCs w:val="22"/>
        </w:rPr>
        <w:t xml:space="preserve">’. London: </w:t>
      </w:r>
      <w:proofErr w:type="spellStart"/>
      <w:r w:rsidR="004557F2" w:rsidRPr="006203D9">
        <w:rPr>
          <w:rFonts w:cstheme="minorHAnsi"/>
          <w:sz w:val="22"/>
          <w:szCs w:val="22"/>
        </w:rPr>
        <w:t>Routeledge</w:t>
      </w:r>
      <w:proofErr w:type="spellEnd"/>
      <w:r w:rsidR="004557F2" w:rsidRPr="006203D9">
        <w:rPr>
          <w:rFonts w:cstheme="minorHAnsi"/>
          <w:sz w:val="22"/>
          <w:szCs w:val="22"/>
        </w:rPr>
        <w:t xml:space="preserve"> 2017</w:t>
      </w:r>
    </w:p>
  </w:footnote>
  <w:footnote w:id="35">
    <w:p w14:paraId="791E192E" w14:textId="2E68FC09" w:rsidR="001E55E8" w:rsidRPr="00D161B1" w:rsidRDefault="00D161B1" w:rsidP="001E55E8">
      <w:pPr>
        <w:pStyle w:val="NormalWeb"/>
      </w:pPr>
      <w:r>
        <w:rPr>
          <w:rStyle w:val="FootnoteReference"/>
        </w:rPr>
        <w:footnoteRef/>
      </w:r>
      <w:r>
        <w:t xml:space="preserve"> </w:t>
      </w:r>
      <w:r w:rsidR="001E55E8">
        <w:t xml:space="preserve">Struck Peter. T. (2017) </w:t>
      </w:r>
      <w:r w:rsidR="001E55E8" w:rsidRPr="00D161B1">
        <w:rPr>
          <w:rFonts w:asciiTheme="minorHAnsi" w:hAnsiTheme="minorHAnsi" w:cstheme="minorHAnsi"/>
          <w:i/>
          <w:iCs/>
        </w:rPr>
        <w:t>Iamblichus on Divination: Divine Power and Human Intuition</w:t>
      </w:r>
      <w:r w:rsidR="001E55E8">
        <w:rPr>
          <w:rFonts w:asciiTheme="minorHAnsi" w:hAnsiTheme="minorHAnsi" w:cstheme="minorHAnsi"/>
        </w:rPr>
        <w:t>, Pennsylvania; Departmental papers (Classical Studies) p.81.</w:t>
      </w:r>
    </w:p>
    <w:p w14:paraId="68F5E42E" w14:textId="12B8F7E5" w:rsidR="00D161B1" w:rsidRDefault="00D161B1">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5B5528"/>
    <w:multiLevelType w:val="multilevel"/>
    <w:tmpl w:val="2A9C1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2E75"/>
    <w:rsid w:val="000004C1"/>
    <w:rsid w:val="00003E01"/>
    <w:rsid w:val="000115DD"/>
    <w:rsid w:val="0001278C"/>
    <w:rsid w:val="00012838"/>
    <w:rsid w:val="0001441E"/>
    <w:rsid w:val="00027ABA"/>
    <w:rsid w:val="00064DB1"/>
    <w:rsid w:val="000672BC"/>
    <w:rsid w:val="00090A40"/>
    <w:rsid w:val="00095B4C"/>
    <w:rsid w:val="000B6A6E"/>
    <w:rsid w:val="000C2624"/>
    <w:rsid w:val="000E113F"/>
    <w:rsid w:val="000E543C"/>
    <w:rsid w:val="000F160B"/>
    <w:rsid w:val="000F2580"/>
    <w:rsid w:val="00102DD3"/>
    <w:rsid w:val="001148BA"/>
    <w:rsid w:val="0012044A"/>
    <w:rsid w:val="001354D1"/>
    <w:rsid w:val="00141ABD"/>
    <w:rsid w:val="001512FF"/>
    <w:rsid w:val="00153B82"/>
    <w:rsid w:val="00163F5F"/>
    <w:rsid w:val="001938B3"/>
    <w:rsid w:val="00196501"/>
    <w:rsid w:val="001A32BB"/>
    <w:rsid w:val="001E055D"/>
    <w:rsid w:val="001E55E8"/>
    <w:rsid w:val="001F30BB"/>
    <w:rsid w:val="0021087F"/>
    <w:rsid w:val="002121D4"/>
    <w:rsid w:val="00232749"/>
    <w:rsid w:val="00253CD9"/>
    <w:rsid w:val="00263400"/>
    <w:rsid w:val="00270B05"/>
    <w:rsid w:val="00271DB0"/>
    <w:rsid w:val="0027463D"/>
    <w:rsid w:val="00274E50"/>
    <w:rsid w:val="00276FF9"/>
    <w:rsid w:val="00280A18"/>
    <w:rsid w:val="00290336"/>
    <w:rsid w:val="002A518F"/>
    <w:rsid w:val="002C58AE"/>
    <w:rsid w:val="002C7B36"/>
    <w:rsid w:val="002C7F37"/>
    <w:rsid w:val="002D39E7"/>
    <w:rsid w:val="002F5240"/>
    <w:rsid w:val="002F6B69"/>
    <w:rsid w:val="00302CA3"/>
    <w:rsid w:val="00306A90"/>
    <w:rsid w:val="00320289"/>
    <w:rsid w:val="00333C18"/>
    <w:rsid w:val="003379CF"/>
    <w:rsid w:val="0034736C"/>
    <w:rsid w:val="00350BCB"/>
    <w:rsid w:val="003564C2"/>
    <w:rsid w:val="00356910"/>
    <w:rsid w:val="00356B31"/>
    <w:rsid w:val="00364BE0"/>
    <w:rsid w:val="003709E3"/>
    <w:rsid w:val="00373A9A"/>
    <w:rsid w:val="003B7BC6"/>
    <w:rsid w:val="003B7D4E"/>
    <w:rsid w:val="003D42AF"/>
    <w:rsid w:val="003E3AB5"/>
    <w:rsid w:val="004046CE"/>
    <w:rsid w:val="00406920"/>
    <w:rsid w:val="00411DF8"/>
    <w:rsid w:val="004135D3"/>
    <w:rsid w:val="00413EF8"/>
    <w:rsid w:val="00422081"/>
    <w:rsid w:val="00442E75"/>
    <w:rsid w:val="00452C71"/>
    <w:rsid w:val="004557F2"/>
    <w:rsid w:val="004636A1"/>
    <w:rsid w:val="00490A81"/>
    <w:rsid w:val="004A2A25"/>
    <w:rsid w:val="004A5F30"/>
    <w:rsid w:val="004C3C3F"/>
    <w:rsid w:val="004C43DB"/>
    <w:rsid w:val="004D6081"/>
    <w:rsid w:val="004D7E80"/>
    <w:rsid w:val="004E3EFE"/>
    <w:rsid w:val="00500771"/>
    <w:rsid w:val="00500F19"/>
    <w:rsid w:val="00506375"/>
    <w:rsid w:val="00522535"/>
    <w:rsid w:val="005267F8"/>
    <w:rsid w:val="0054592E"/>
    <w:rsid w:val="0054758A"/>
    <w:rsid w:val="0057161E"/>
    <w:rsid w:val="00573B26"/>
    <w:rsid w:val="0058335B"/>
    <w:rsid w:val="00593E05"/>
    <w:rsid w:val="00595432"/>
    <w:rsid w:val="005964C9"/>
    <w:rsid w:val="005A2797"/>
    <w:rsid w:val="005A2FFD"/>
    <w:rsid w:val="005A63EB"/>
    <w:rsid w:val="005B4EEE"/>
    <w:rsid w:val="005B5B2E"/>
    <w:rsid w:val="005B7AA9"/>
    <w:rsid w:val="005C3E56"/>
    <w:rsid w:val="005D49A8"/>
    <w:rsid w:val="005E103E"/>
    <w:rsid w:val="005F2C7A"/>
    <w:rsid w:val="005F45E3"/>
    <w:rsid w:val="00620B76"/>
    <w:rsid w:val="00623F9A"/>
    <w:rsid w:val="00674EF5"/>
    <w:rsid w:val="00676F76"/>
    <w:rsid w:val="00685AD5"/>
    <w:rsid w:val="00686426"/>
    <w:rsid w:val="0069438C"/>
    <w:rsid w:val="006A2BE2"/>
    <w:rsid w:val="006B3F62"/>
    <w:rsid w:val="006B5D09"/>
    <w:rsid w:val="006C492B"/>
    <w:rsid w:val="006C7B6B"/>
    <w:rsid w:val="006D5048"/>
    <w:rsid w:val="006E5731"/>
    <w:rsid w:val="007133F4"/>
    <w:rsid w:val="007150CF"/>
    <w:rsid w:val="00727B38"/>
    <w:rsid w:val="00757103"/>
    <w:rsid w:val="00773639"/>
    <w:rsid w:val="00782747"/>
    <w:rsid w:val="007834B3"/>
    <w:rsid w:val="007E46FA"/>
    <w:rsid w:val="007E6B43"/>
    <w:rsid w:val="00802B8C"/>
    <w:rsid w:val="00824BC4"/>
    <w:rsid w:val="0083321A"/>
    <w:rsid w:val="008507FA"/>
    <w:rsid w:val="00851449"/>
    <w:rsid w:val="00853BF8"/>
    <w:rsid w:val="00853FB2"/>
    <w:rsid w:val="008544F9"/>
    <w:rsid w:val="008566EB"/>
    <w:rsid w:val="00861A08"/>
    <w:rsid w:val="0089538B"/>
    <w:rsid w:val="008A5CE1"/>
    <w:rsid w:val="008B0D3C"/>
    <w:rsid w:val="008B307C"/>
    <w:rsid w:val="008B3C84"/>
    <w:rsid w:val="008D32DD"/>
    <w:rsid w:val="008D4528"/>
    <w:rsid w:val="008D4BA2"/>
    <w:rsid w:val="008D78D2"/>
    <w:rsid w:val="008E372C"/>
    <w:rsid w:val="00911553"/>
    <w:rsid w:val="0091209A"/>
    <w:rsid w:val="009306CF"/>
    <w:rsid w:val="0094376D"/>
    <w:rsid w:val="00952269"/>
    <w:rsid w:val="0096581E"/>
    <w:rsid w:val="009748B9"/>
    <w:rsid w:val="009962E3"/>
    <w:rsid w:val="009B2642"/>
    <w:rsid w:val="009C3C34"/>
    <w:rsid w:val="009C4FA0"/>
    <w:rsid w:val="009C7880"/>
    <w:rsid w:val="009D56B1"/>
    <w:rsid w:val="009E106C"/>
    <w:rsid w:val="00A0437E"/>
    <w:rsid w:val="00A14AB4"/>
    <w:rsid w:val="00A4292F"/>
    <w:rsid w:val="00A529C1"/>
    <w:rsid w:val="00A539E3"/>
    <w:rsid w:val="00A562E4"/>
    <w:rsid w:val="00A74B72"/>
    <w:rsid w:val="00A976EE"/>
    <w:rsid w:val="00AB093C"/>
    <w:rsid w:val="00AD69BB"/>
    <w:rsid w:val="00AD770F"/>
    <w:rsid w:val="00AE7D5E"/>
    <w:rsid w:val="00B113DE"/>
    <w:rsid w:val="00B12BEF"/>
    <w:rsid w:val="00B23A8E"/>
    <w:rsid w:val="00B308D7"/>
    <w:rsid w:val="00B32BE3"/>
    <w:rsid w:val="00B33326"/>
    <w:rsid w:val="00B36497"/>
    <w:rsid w:val="00B602DC"/>
    <w:rsid w:val="00B62D37"/>
    <w:rsid w:val="00B7225F"/>
    <w:rsid w:val="00B8176A"/>
    <w:rsid w:val="00B86B65"/>
    <w:rsid w:val="00B95C8C"/>
    <w:rsid w:val="00BB205A"/>
    <w:rsid w:val="00BB70AA"/>
    <w:rsid w:val="00BC22F5"/>
    <w:rsid w:val="00BD3A1E"/>
    <w:rsid w:val="00BD7A23"/>
    <w:rsid w:val="00BE17D2"/>
    <w:rsid w:val="00C12010"/>
    <w:rsid w:val="00C27C3B"/>
    <w:rsid w:val="00C47C5E"/>
    <w:rsid w:val="00C536DE"/>
    <w:rsid w:val="00C546FA"/>
    <w:rsid w:val="00C72366"/>
    <w:rsid w:val="00C96008"/>
    <w:rsid w:val="00CA09E2"/>
    <w:rsid w:val="00CA4630"/>
    <w:rsid w:val="00CA6A57"/>
    <w:rsid w:val="00CB4AD8"/>
    <w:rsid w:val="00CC078A"/>
    <w:rsid w:val="00CC6F47"/>
    <w:rsid w:val="00CC724B"/>
    <w:rsid w:val="00CD0EC2"/>
    <w:rsid w:val="00CD2201"/>
    <w:rsid w:val="00CE5A99"/>
    <w:rsid w:val="00CF47D8"/>
    <w:rsid w:val="00CF773C"/>
    <w:rsid w:val="00D028EA"/>
    <w:rsid w:val="00D03F47"/>
    <w:rsid w:val="00D10015"/>
    <w:rsid w:val="00D12C25"/>
    <w:rsid w:val="00D161B1"/>
    <w:rsid w:val="00D406A7"/>
    <w:rsid w:val="00D430ED"/>
    <w:rsid w:val="00D46BA6"/>
    <w:rsid w:val="00D6057B"/>
    <w:rsid w:val="00D671F3"/>
    <w:rsid w:val="00D70B5E"/>
    <w:rsid w:val="00D7221E"/>
    <w:rsid w:val="00D93DC3"/>
    <w:rsid w:val="00D96A16"/>
    <w:rsid w:val="00DC4D83"/>
    <w:rsid w:val="00DC5FBA"/>
    <w:rsid w:val="00DC6673"/>
    <w:rsid w:val="00DC7ED6"/>
    <w:rsid w:val="00DD41E4"/>
    <w:rsid w:val="00DD5AFA"/>
    <w:rsid w:val="00DD6357"/>
    <w:rsid w:val="00DE2D1C"/>
    <w:rsid w:val="00DE39C0"/>
    <w:rsid w:val="00DF6880"/>
    <w:rsid w:val="00E1500E"/>
    <w:rsid w:val="00E42FEB"/>
    <w:rsid w:val="00E462D8"/>
    <w:rsid w:val="00E56D96"/>
    <w:rsid w:val="00E61358"/>
    <w:rsid w:val="00E72B37"/>
    <w:rsid w:val="00E7495A"/>
    <w:rsid w:val="00E90DD8"/>
    <w:rsid w:val="00E9287C"/>
    <w:rsid w:val="00ED08C0"/>
    <w:rsid w:val="00EE1CC5"/>
    <w:rsid w:val="00EE2FB3"/>
    <w:rsid w:val="00EF7E90"/>
    <w:rsid w:val="00F01428"/>
    <w:rsid w:val="00F071AF"/>
    <w:rsid w:val="00F121A6"/>
    <w:rsid w:val="00F15B71"/>
    <w:rsid w:val="00F26B36"/>
    <w:rsid w:val="00F30DC2"/>
    <w:rsid w:val="00F312C5"/>
    <w:rsid w:val="00F31363"/>
    <w:rsid w:val="00F51C4E"/>
    <w:rsid w:val="00F53E3E"/>
    <w:rsid w:val="00F63136"/>
    <w:rsid w:val="00F80C59"/>
    <w:rsid w:val="00FC27D2"/>
    <w:rsid w:val="00FC31CF"/>
    <w:rsid w:val="00FC4FDA"/>
    <w:rsid w:val="00FE3007"/>
    <w:rsid w:val="00FF4E05"/>
    <w:rsid w:val="00FF54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4C3725A"/>
  <w15:chartTrackingRefBased/>
  <w15:docId w15:val="{7B807EF7-55E4-6A4A-8662-80986ADBE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442E7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2E75"/>
    <w:rPr>
      <w:rFonts w:asciiTheme="majorHAnsi" w:eastAsiaTheme="majorEastAsia" w:hAnsiTheme="majorHAnsi" w:cstheme="majorBidi"/>
      <w:color w:val="2F5496" w:themeColor="accent1" w:themeShade="BF"/>
      <w:sz w:val="26"/>
      <w:szCs w:val="26"/>
    </w:rPr>
  </w:style>
  <w:style w:type="paragraph" w:styleId="FootnoteText">
    <w:name w:val="footnote text"/>
    <w:basedOn w:val="Normal"/>
    <w:link w:val="FootnoteTextChar"/>
    <w:uiPriority w:val="99"/>
    <w:unhideWhenUsed/>
    <w:rsid w:val="00306A90"/>
    <w:rPr>
      <w:sz w:val="20"/>
      <w:szCs w:val="20"/>
    </w:rPr>
  </w:style>
  <w:style w:type="character" w:customStyle="1" w:styleId="FootnoteTextChar">
    <w:name w:val="Footnote Text Char"/>
    <w:basedOn w:val="DefaultParagraphFont"/>
    <w:link w:val="FootnoteText"/>
    <w:uiPriority w:val="99"/>
    <w:rsid w:val="00306A90"/>
    <w:rPr>
      <w:sz w:val="20"/>
      <w:szCs w:val="20"/>
    </w:rPr>
  </w:style>
  <w:style w:type="character" w:styleId="FootnoteReference">
    <w:name w:val="footnote reference"/>
    <w:basedOn w:val="DefaultParagraphFont"/>
    <w:uiPriority w:val="99"/>
    <w:semiHidden/>
    <w:unhideWhenUsed/>
    <w:rsid w:val="00306A90"/>
    <w:rPr>
      <w:vertAlign w:val="superscript"/>
    </w:rPr>
  </w:style>
  <w:style w:type="paragraph" w:styleId="NormalWeb">
    <w:name w:val="Normal (Web)"/>
    <w:basedOn w:val="Normal"/>
    <w:uiPriority w:val="99"/>
    <w:unhideWhenUsed/>
    <w:rsid w:val="00EE1CC5"/>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605016">
      <w:bodyDiv w:val="1"/>
      <w:marLeft w:val="0"/>
      <w:marRight w:val="0"/>
      <w:marTop w:val="0"/>
      <w:marBottom w:val="0"/>
      <w:divBdr>
        <w:top w:val="none" w:sz="0" w:space="0" w:color="auto"/>
        <w:left w:val="none" w:sz="0" w:space="0" w:color="auto"/>
        <w:bottom w:val="none" w:sz="0" w:space="0" w:color="auto"/>
        <w:right w:val="none" w:sz="0" w:space="0" w:color="auto"/>
      </w:divBdr>
    </w:div>
    <w:div w:id="932664346">
      <w:bodyDiv w:val="1"/>
      <w:marLeft w:val="0"/>
      <w:marRight w:val="0"/>
      <w:marTop w:val="0"/>
      <w:marBottom w:val="0"/>
      <w:divBdr>
        <w:top w:val="none" w:sz="0" w:space="0" w:color="auto"/>
        <w:left w:val="none" w:sz="0" w:space="0" w:color="auto"/>
        <w:bottom w:val="none" w:sz="0" w:space="0" w:color="auto"/>
        <w:right w:val="none" w:sz="0" w:space="0" w:color="auto"/>
      </w:divBdr>
      <w:divsChild>
        <w:div w:id="1192957231">
          <w:marLeft w:val="0"/>
          <w:marRight w:val="0"/>
          <w:marTop w:val="0"/>
          <w:marBottom w:val="0"/>
          <w:divBdr>
            <w:top w:val="none" w:sz="0" w:space="0" w:color="auto"/>
            <w:left w:val="none" w:sz="0" w:space="0" w:color="auto"/>
            <w:bottom w:val="none" w:sz="0" w:space="0" w:color="auto"/>
            <w:right w:val="none" w:sz="0" w:space="0" w:color="auto"/>
          </w:divBdr>
          <w:divsChild>
            <w:div w:id="1644116030">
              <w:marLeft w:val="0"/>
              <w:marRight w:val="0"/>
              <w:marTop w:val="0"/>
              <w:marBottom w:val="0"/>
              <w:divBdr>
                <w:top w:val="none" w:sz="0" w:space="0" w:color="auto"/>
                <w:left w:val="none" w:sz="0" w:space="0" w:color="auto"/>
                <w:bottom w:val="none" w:sz="0" w:space="0" w:color="auto"/>
                <w:right w:val="none" w:sz="0" w:space="0" w:color="auto"/>
              </w:divBdr>
              <w:divsChild>
                <w:div w:id="99955274">
                  <w:marLeft w:val="0"/>
                  <w:marRight w:val="0"/>
                  <w:marTop w:val="0"/>
                  <w:marBottom w:val="0"/>
                  <w:divBdr>
                    <w:top w:val="none" w:sz="0" w:space="0" w:color="auto"/>
                    <w:left w:val="none" w:sz="0" w:space="0" w:color="auto"/>
                    <w:bottom w:val="none" w:sz="0" w:space="0" w:color="auto"/>
                    <w:right w:val="none" w:sz="0" w:space="0" w:color="auto"/>
                  </w:divBdr>
                  <w:divsChild>
                    <w:div w:id="202061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6798306">
      <w:bodyDiv w:val="1"/>
      <w:marLeft w:val="0"/>
      <w:marRight w:val="0"/>
      <w:marTop w:val="0"/>
      <w:marBottom w:val="0"/>
      <w:divBdr>
        <w:top w:val="none" w:sz="0" w:space="0" w:color="auto"/>
        <w:left w:val="none" w:sz="0" w:space="0" w:color="auto"/>
        <w:bottom w:val="none" w:sz="0" w:space="0" w:color="auto"/>
        <w:right w:val="none" w:sz="0" w:space="0" w:color="auto"/>
      </w:divBdr>
      <w:divsChild>
        <w:div w:id="1272277258">
          <w:marLeft w:val="0"/>
          <w:marRight w:val="0"/>
          <w:marTop w:val="0"/>
          <w:marBottom w:val="0"/>
          <w:divBdr>
            <w:top w:val="none" w:sz="0" w:space="0" w:color="auto"/>
            <w:left w:val="none" w:sz="0" w:space="0" w:color="auto"/>
            <w:bottom w:val="none" w:sz="0" w:space="0" w:color="auto"/>
            <w:right w:val="none" w:sz="0" w:space="0" w:color="auto"/>
          </w:divBdr>
          <w:divsChild>
            <w:div w:id="473376529">
              <w:marLeft w:val="0"/>
              <w:marRight w:val="0"/>
              <w:marTop w:val="0"/>
              <w:marBottom w:val="0"/>
              <w:divBdr>
                <w:top w:val="none" w:sz="0" w:space="0" w:color="auto"/>
                <w:left w:val="none" w:sz="0" w:space="0" w:color="auto"/>
                <w:bottom w:val="none" w:sz="0" w:space="0" w:color="auto"/>
                <w:right w:val="none" w:sz="0" w:space="0" w:color="auto"/>
              </w:divBdr>
              <w:divsChild>
                <w:div w:id="909195198">
                  <w:marLeft w:val="0"/>
                  <w:marRight w:val="0"/>
                  <w:marTop w:val="0"/>
                  <w:marBottom w:val="0"/>
                  <w:divBdr>
                    <w:top w:val="none" w:sz="0" w:space="0" w:color="auto"/>
                    <w:left w:val="none" w:sz="0" w:space="0" w:color="auto"/>
                    <w:bottom w:val="none" w:sz="0" w:space="0" w:color="auto"/>
                    <w:right w:val="none" w:sz="0" w:space="0" w:color="auto"/>
                  </w:divBdr>
                  <w:divsChild>
                    <w:div w:id="188108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514500">
      <w:bodyDiv w:val="1"/>
      <w:marLeft w:val="0"/>
      <w:marRight w:val="0"/>
      <w:marTop w:val="0"/>
      <w:marBottom w:val="0"/>
      <w:divBdr>
        <w:top w:val="none" w:sz="0" w:space="0" w:color="auto"/>
        <w:left w:val="none" w:sz="0" w:space="0" w:color="auto"/>
        <w:bottom w:val="none" w:sz="0" w:space="0" w:color="auto"/>
        <w:right w:val="none" w:sz="0" w:space="0" w:color="auto"/>
      </w:divBdr>
      <w:divsChild>
        <w:div w:id="383137060">
          <w:marLeft w:val="0"/>
          <w:marRight w:val="0"/>
          <w:marTop w:val="0"/>
          <w:marBottom w:val="0"/>
          <w:divBdr>
            <w:top w:val="none" w:sz="0" w:space="0" w:color="auto"/>
            <w:left w:val="none" w:sz="0" w:space="0" w:color="auto"/>
            <w:bottom w:val="none" w:sz="0" w:space="0" w:color="auto"/>
            <w:right w:val="none" w:sz="0" w:space="0" w:color="auto"/>
          </w:divBdr>
          <w:divsChild>
            <w:div w:id="974749552">
              <w:marLeft w:val="0"/>
              <w:marRight w:val="0"/>
              <w:marTop w:val="0"/>
              <w:marBottom w:val="0"/>
              <w:divBdr>
                <w:top w:val="none" w:sz="0" w:space="0" w:color="auto"/>
                <w:left w:val="none" w:sz="0" w:space="0" w:color="auto"/>
                <w:bottom w:val="none" w:sz="0" w:space="0" w:color="auto"/>
                <w:right w:val="none" w:sz="0" w:space="0" w:color="auto"/>
              </w:divBdr>
              <w:divsChild>
                <w:div w:id="167332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040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10B4863A-1778-8745-A971-B2DE014C3E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2577</Words>
  <Characters>14693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Ladbrooke</dc:creator>
  <cp:keywords/>
  <dc:description/>
  <cp:lastModifiedBy>Martin Ladbrooke</cp:lastModifiedBy>
  <cp:revision>2</cp:revision>
  <dcterms:created xsi:type="dcterms:W3CDTF">2022-03-07T20:46:00Z</dcterms:created>
  <dcterms:modified xsi:type="dcterms:W3CDTF">2022-03-07T20:46:00Z</dcterms:modified>
</cp:coreProperties>
</file>