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1417"/>
        <w:tblW w:w="9776" w:type="dxa"/>
        <w:tblInd w:w="0" w:type="dxa"/>
        <w:tblCellMar>
          <w:top w:w="12" w:type="dxa"/>
          <w:left w:w="106" w:type="dxa"/>
          <w:right w:w="55" w:type="dxa"/>
        </w:tblCellMar>
        <w:tblLook w:val="04A0" w:firstRow="1" w:lastRow="0" w:firstColumn="1" w:lastColumn="0" w:noHBand="0" w:noVBand="1"/>
      </w:tblPr>
      <w:tblGrid>
        <w:gridCol w:w="2091"/>
        <w:gridCol w:w="3297"/>
        <w:gridCol w:w="2120"/>
        <w:gridCol w:w="2268"/>
      </w:tblGrid>
      <w:tr w:rsidR="00026D36" w:rsidRPr="005C70DF" w14:paraId="045F5629" w14:textId="77777777" w:rsidTr="00B40E29">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791D4C0" w14:textId="77777777"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Student name: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9BA3D1" w14:textId="184C6A3B" w:rsidR="008E6425" w:rsidRPr="005C70DF" w:rsidRDefault="008E6425" w:rsidP="00DA0A70">
            <w:pPr>
              <w:spacing w:line="360" w:lineRule="auto"/>
              <w:ind w:left="2" w:right="0" w:firstLine="0"/>
              <w:jc w:val="left"/>
              <w:rPr>
                <w:rFonts w:ascii="Arial" w:hAnsi="Arial" w:cs="Arial"/>
                <w:b/>
                <w:color w:val="000000" w:themeColor="text1"/>
              </w:rPr>
            </w:pPr>
          </w:p>
        </w:tc>
        <w:tc>
          <w:tcPr>
            <w:tcW w:w="2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DE84925" w14:textId="77777777" w:rsidR="008E6425" w:rsidRPr="005C70DF" w:rsidRDefault="008E6425" w:rsidP="00DA0A70">
            <w:pPr>
              <w:spacing w:line="360" w:lineRule="auto"/>
              <w:ind w:left="1" w:right="0" w:firstLine="0"/>
              <w:jc w:val="left"/>
              <w:rPr>
                <w:rFonts w:ascii="Arial" w:hAnsi="Arial" w:cs="Arial"/>
                <w:b/>
                <w:color w:val="000000" w:themeColor="text1"/>
              </w:rPr>
            </w:pPr>
            <w:r w:rsidRPr="005C70DF">
              <w:rPr>
                <w:rFonts w:ascii="Arial" w:hAnsi="Arial" w:cs="Arial"/>
                <w:b/>
                <w:color w:val="000000" w:themeColor="text1"/>
              </w:rPr>
              <w:t>Student ID number:</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34AB71B" w14:textId="71317775" w:rsidR="008E6425" w:rsidRPr="005C70DF" w:rsidRDefault="008E6425" w:rsidP="00DA0A70">
            <w:pPr>
              <w:spacing w:line="360" w:lineRule="auto"/>
              <w:rPr>
                <w:rFonts w:ascii="Arial" w:hAnsi="Arial" w:cs="Arial"/>
                <w:color w:val="000000" w:themeColor="text1"/>
              </w:rPr>
            </w:pPr>
          </w:p>
        </w:tc>
      </w:tr>
      <w:tr w:rsidR="00026D36" w:rsidRPr="005C70DF" w14:paraId="12A1F275" w14:textId="77777777" w:rsidTr="00B40E29">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8792415" w14:textId="77777777"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Programme: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6A1485" w14:textId="77777777" w:rsidR="008E6425" w:rsidRPr="005C70DF" w:rsidRDefault="008E6425" w:rsidP="00DA0A70">
            <w:pPr>
              <w:spacing w:line="360" w:lineRule="auto"/>
              <w:ind w:left="2" w:right="0" w:firstLine="0"/>
              <w:jc w:val="left"/>
              <w:rPr>
                <w:rFonts w:ascii="Arial" w:hAnsi="Arial" w:cs="Arial"/>
                <w:bCs w:val="0"/>
                <w:color w:val="000000" w:themeColor="text1"/>
              </w:rPr>
            </w:pPr>
            <w:r w:rsidRPr="005C70DF">
              <w:rPr>
                <w:rFonts w:ascii="Arial" w:hAnsi="Arial" w:cs="Arial"/>
                <w:bCs w:val="0"/>
                <w:color w:val="000000" w:themeColor="text1"/>
              </w:rPr>
              <w:t>BSc (</w:t>
            </w:r>
            <w:proofErr w:type="spellStart"/>
            <w:r w:rsidRPr="005C70DF">
              <w:rPr>
                <w:rFonts w:ascii="Arial" w:hAnsi="Arial" w:cs="Arial"/>
                <w:bCs w:val="0"/>
                <w:color w:val="000000" w:themeColor="text1"/>
              </w:rPr>
              <w:t>Hons</w:t>
            </w:r>
            <w:proofErr w:type="spellEnd"/>
            <w:r w:rsidRPr="005C70DF">
              <w:rPr>
                <w:rFonts w:ascii="Arial" w:hAnsi="Arial" w:cs="Arial"/>
                <w:bCs w:val="0"/>
                <w:color w:val="000000" w:themeColor="text1"/>
              </w:rPr>
              <w:t>) Health and Social Care</w:t>
            </w:r>
          </w:p>
        </w:tc>
      </w:tr>
      <w:tr w:rsidR="00026D36" w:rsidRPr="005C70DF" w14:paraId="468F42D5" w14:textId="77777777" w:rsidTr="00B40E29">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9DF388F" w14:textId="5E6C302A"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Module: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89BFC9" w14:textId="77777777" w:rsidR="008E6425" w:rsidRPr="005C70DF" w:rsidRDefault="008E6425" w:rsidP="00DA0A70">
            <w:pPr>
              <w:spacing w:line="360" w:lineRule="auto"/>
              <w:ind w:left="2" w:right="0" w:firstLine="0"/>
              <w:jc w:val="left"/>
              <w:rPr>
                <w:rFonts w:ascii="Arial" w:hAnsi="Arial" w:cs="Arial"/>
                <w:bCs w:val="0"/>
                <w:color w:val="000000" w:themeColor="text1"/>
              </w:rPr>
            </w:pPr>
            <w:r w:rsidRPr="005C70DF">
              <w:rPr>
                <w:rFonts w:ascii="Arial" w:hAnsi="Arial" w:cs="Arial"/>
                <w:bCs w:val="0"/>
                <w:color w:val="000000" w:themeColor="text1"/>
              </w:rPr>
              <w:t>Introduction to Independent Research Skills</w:t>
            </w:r>
          </w:p>
        </w:tc>
      </w:tr>
      <w:tr w:rsidR="00026D36" w:rsidRPr="005C70DF" w14:paraId="1DEBDB2B" w14:textId="77777777" w:rsidTr="00B40E29">
        <w:trPr>
          <w:trHeight w:val="770"/>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103C3CB" w14:textId="41709A65"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Module code: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5F8130" w14:textId="037389A3" w:rsidR="008E6425" w:rsidRPr="005C70DF" w:rsidRDefault="008E6425" w:rsidP="00DA0A70">
            <w:pPr>
              <w:spacing w:line="360" w:lineRule="auto"/>
              <w:ind w:left="5" w:right="0" w:firstLine="0"/>
              <w:jc w:val="left"/>
              <w:rPr>
                <w:rFonts w:ascii="Arial" w:hAnsi="Arial" w:cs="Arial"/>
                <w:bCs w:val="0"/>
                <w:color w:val="000000" w:themeColor="text1"/>
              </w:rPr>
            </w:pPr>
            <w:r w:rsidRPr="005C70DF">
              <w:rPr>
                <w:rFonts w:ascii="Arial" w:hAnsi="Arial" w:cs="Arial"/>
                <w:bCs w:val="0"/>
                <w:color w:val="000000" w:themeColor="text1"/>
              </w:rPr>
              <w:t>BMHP5019</w:t>
            </w:r>
          </w:p>
        </w:tc>
      </w:tr>
      <w:tr w:rsidR="00026D36" w:rsidRPr="005C70DF" w14:paraId="153D39E4" w14:textId="77777777" w:rsidTr="00B40E29">
        <w:trPr>
          <w:trHeight w:val="11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C43B418" w14:textId="77777777"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C60F4C1" w14:textId="2187BCEF" w:rsidR="008E6425" w:rsidRPr="00ED2589" w:rsidRDefault="00B40E29" w:rsidP="00DA0A70">
            <w:pPr>
              <w:spacing w:line="360" w:lineRule="auto"/>
              <w:ind w:right="0"/>
              <w:jc w:val="left"/>
              <w:rPr>
                <w:rFonts w:ascii="Arial" w:hAnsi="Arial" w:cs="Arial"/>
                <w:b/>
                <w:bCs w:val="0"/>
                <w:color w:val="000000" w:themeColor="text1"/>
              </w:rPr>
            </w:pPr>
            <w:proofErr w:type="spellStart"/>
            <w:r w:rsidRPr="00ED2589">
              <w:rPr>
                <w:rFonts w:ascii="Source Sans Pro" w:eastAsia="Times New Roman" w:hAnsi="Source Sans Pro"/>
                <w:b/>
                <w:bCs w:val="0"/>
                <w:color w:val="242130"/>
                <w:sz w:val="21"/>
                <w:szCs w:val="21"/>
                <w:shd w:val="clear" w:color="auto" w:fill="FFFFFF"/>
              </w:rPr>
              <w:t>Rizwan</w:t>
            </w:r>
            <w:proofErr w:type="spellEnd"/>
            <w:r>
              <w:rPr>
                <w:rFonts w:ascii="Source Sans Pro" w:eastAsia="Times New Roman" w:hAnsi="Source Sans Pro"/>
                <w:color w:val="242130"/>
                <w:sz w:val="21"/>
                <w:szCs w:val="21"/>
                <w:shd w:val="clear" w:color="auto" w:fill="FFFFFF"/>
              </w:rPr>
              <w:t xml:space="preserve"> </w:t>
            </w:r>
            <w:proofErr w:type="spellStart"/>
            <w:r w:rsidRPr="00ED2589">
              <w:rPr>
                <w:rFonts w:ascii="Source Sans Pro" w:eastAsia="Times New Roman" w:hAnsi="Source Sans Pro"/>
                <w:b/>
                <w:bCs w:val="0"/>
                <w:color w:val="242130"/>
                <w:sz w:val="21"/>
                <w:szCs w:val="21"/>
                <w:shd w:val="clear" w:color="auto" w:fill="FFFFFF"/>
              </w:rPr>
              <w:t>Nadim</w:t>
            </w:r>
            <w:proofErr w:type="spellEnd"/>
          </w:p>
        </w:tc>
        <w:tc>
          <w:tcPr>
            <w:tcW w:w="2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E9A69A7" w14:textId="77777777" w:rsidR="008E6425" w:rsidRPr="005C70DF" w:rsidRDefault="008E6425" w:rsidP="00DA0A70">
            <w:pPr>
              <w:spacing w:line="360" w:lineRule="auto"/>
              <w:ind w:left="1" w:right="0" w:firstLine="0"/>
              <w:jc w:val="left"/>
              <w:rPr>
                <w:rFonts w:ascii="Arial" w:hAnsi="Arial" w:cs="Arial"/>
                <w:b/>
                <w:color w:val="000000" w:themeColor="text1"/>
              </w:rPr>
            </w:pPr>
            <w:r w:rsidRPr="005C70DF">
              <w:rPr>
                <w:rFonts w:ascii="Arial" w:hAnsi="Arial" w:cs="Arial"/>
                <w:b/>
                <w:color w:val="000000" w:themeColor="text1"/>
              </w:rPr>
              <w:t xml:space="preserve">Internal Verifier: </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D407D4" w14:textId="5DFCFE0D" w:rsidR="008E6425" w:rsidRPr="005C70DF" w:rsidRDefault="0071368A" w:rsidP="00DA0A70">
            <w:pPr>
              <w:spacing w:line="360" w:lineRule="auto"/>
              <w:ind w:left="5" w:right="0" w:firstLine="0"/>
              <w:jc w:val="left"/>
              <w:rPr>
                <w:rFonts w:ascii="Arial" w:hAnsi="Arial" w:cs="Arial"/>
                <w:bCs w:val="0"/>
                <w:color w:val="000000" w:themeColor="text1"/>
              </w:rPr>
            </w:pPr>
            <w:r>
              <w:rPr>
                <w:rFonts w:ascii="Arial" w:eastAsia="Times New Roman" w:hAnsi="Arial" w:cs="Arial"/>
                <w:b/>
                <w:bCs w:val="0"/>
                <w:sz w:val="17"/>
                <w:szCs w:val="17"/>
              </w:rPr>
              <w:t>Chloe Harries</w:t>
            </w:r>
          </w:p>
        </w:tc>
      </w:tr>
      <w:tr w:rsidR="00026D36" w:rsidRPr="005C70DF" w14:paraId="050E76BC" w14:textId="77777777" w:rsidTr="00B40E29">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8E2AC8D" w14:textId="77777777" w:rsidR="008E6425" w:rsidRPr="005C70DF" w:rsidRDefault="008E6425" w:rsidP="00DA0A70">
            <w:pPr>
              <w:spacing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Assignment Title: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6EA075" w14:textId="2BC15076" w:rsidR="00DA0A70" w:rsidRPr="005C70DF" w:rsidRDefault="008E6425" w:rsidP="00DA0A70">
            <w:pPr>
              <w:spacing w:line="360" w:lineRule="auto"/>
              <w:ind w:left="5" w:right="0" w:firstLine="0"/>
              <w:jc w:val="left"/>
              <w:rPr>
                <w:rFonts w:ascii="Arial" w:hAnsi="Arial" w:cs="Arial"/>
                <w:bCs w:val="0"/>
                <w:color w:val="000000" w:themeColor="text1"/>
              </w:rPr>
            </w:pPr>
            <w:r w:rsidRPr="005C70DF">
              <w:rPr>
                <w:rFonts w:ascii="Arial" w:hAnsi="Arial" w:cs="Arial"/>
                <w:bCs w:val="0"/>
                <w:color w:val="000000" w:themeColor="text1"/>
              </w:rPr>
              <w:t>Component 2 - Written Assignment (Research report)</w:t>
            </w:r>
          </w:p>
        </w:tc>
      </w:tr>
      <w:tr w:rsidR="00DA0A70" w:rsidRPr="005C70DF" w14:paraId="5A278332" w14:textId="77777777" w:rsidTr="00B40E29">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5D5F379" w14:textId="71EE74E9" w:rsidR="00DA0A70" w:rsidRPr="005C70DF" w:rsidRDefault="00DA0A70" w:rsidP="00DA0A70">
            <w:pPr>
              <w:spacing w:line="360" w:lineRule="auto"/>
              <w:ind w:left="0" w:right="0" w:firstLine="0"/>
              <w:jc w:val="left"/>
              <w:rPr>
                <w:rFonts w:ascii="Arial" w:hAnsi="Arial" w:cs="Arial"/>
                <w:b/>
                <w:color w:val="000000" w:themeColor="text1"/>
              </w:rPr>
            </w:pPr>
            <w:r w:rsidRPr="005C70DF">
              <w:rPr>
                <w:rFonts w:ascii="Arial" w:hAnsi="Arial" w:cs="Arial"/>
                <w:b/>
                <w:color w:val="000000" w:themeColor="text1"/>
              </w:rPr>
              <w:t>Title:</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BEA64BD" w14:textId="3C0A9190" w:rsidR="00DA0A70" w:rsidRPr="005C70DF" w:rsidRDefault="00DA0A70" w:rsidP="00DA0A70">
            <w:pPr>
              <w:spacing w:line="360" w:lineRule="auto"/>
              <w:ind w:left="5" w:right="0" w:firstLine="0"/>
              <w:jc w:val="left"/>
              <w:rPr>
                <w:rFonts w:ascii="Arial" w:hAnsi="Arial" w:cs="Arial"/>
                <w:color w:val="000000" w:themeColor="text1"/>
              </w:rPr>
            </w:pPr>
            <w:r w:rsidRPr="005C70DF">
              <w:rPr>
                <w:rFonts w:ascii="Arial" w:hAnsi="Arial" w:cs="Arial"/>
                <w:color w:val="000000" w:themeColor="text1"/>
              </w:rPr>
              <w:t>Scoping Review of UK Health and Social Care Practitioners’ Experiences of Using WhatsApp for Informal Care Coordination</w:t>
            </w:r>
          </w:p>
        </w:tc>
      </w:tr>
    </w:tbl>
    <w:p w14:paraId="2DAB489A" w14:textId="7780B457" w:rsidR="008E6425" w:rsidRPr="005C70DF" w:rsidRDefault="00D539CC">
      <w:pPr>
        <w:rPr>
          <w:rFonts w:cs="Arial"/>
          <w:color w:val="000000" w:themeColor="text1"/>
        </w:rPr>
      </w:pPr>
      <w:r w:rsidRPr="005C70DF">
        <w:rPr>
          <w:rFonts w:cs="Arial"/>
          <w:noProof/>
          <w:color w:val="000000" w:themeColor="text1"/>
        </w:rPr>
        <w:drawing>
          <wp:anchor distT="0" distB="0" distL="114300" distR="114300" simplePos="0" relativeHeight="251658240" behindDoc="1" locked="0" layoutInCell="1" allowOverlap="1" wp14:anchorId="387ED645" wp14:editId="0FC517BB">
            <wp:simplePos x="0" y="0"/>
            <wp:positionH relativeFrom="column">
              <wp:posOffset>21767</wp:posOffset>
            </wp:positionH>
            <wp:positionV relativeFrom="page">
              <wp:posOffset>781203</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320" name="Picture 320"/>
            <wp:cNvGraphicFramePr/>
            <a:graphic xmlns:a="http://schemas.openxmlformats.org/drawingml/2006/main">
              <a:graphicData uri="http://schemas.openxmlformats.org/drawingml/2006/picture">
                <pic:pic xmlns:pic="http://schemas.openxmlformats.org/drawingml/2006/picture">
                  <pic:nvPicPr>
                    <pic:cNvPr id="320" name="Picture 320"/>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14:sizeRelH relativeFrom="margin">
              <wp14:pctWidth>0</wp14:pctWidth>
            </wp14:sizeRelH>
            <wp14:sizeRelV relativeFrom="margin">
              <wp14:pctHeight>0</wp14:pctHeight>
            </wp14:sizeRelV>
          </wp:anchor>
        </w:drawing>
      </w:r>
    </w:p>
    <w:p w14:paraId="24EB5DC4" w14:textId="7C367B35" w:rsidR="00A268C9" w:rsidRPr="005C70DF" w:rsidRDefault="00A268C9">
      <w:pPr>
        <w:rPr>
          <w:rFonts w:cs="Arial"/>
          <w:color w:val="000000" w:themeColor="text1"/>
        </w:rPr>
      </w:pPr>
    </w:p>
    <w:p w14:paraId="5E481496" w14:textId="009ABED4" w:rsidR="00A268C9" w:rsidRPr="005C70DF" w:rsidRDefault="00A268C9">
      <w:pPr>
        <w:rPr>
          <w:rFonts w:cs="Arial"/>
          <w:color w:val="000000" w:themeColor="text1"/>
        </w:rPr>
      </w:pPr>
    </w:p>
    <w:p w14:paraId="5EB74711" w14:textId="77777777" w:rsidR="00A268C9" w:rsidRPr="005C70DF" w:rsidRDefault="00A268C9">
      <w:pPr>
        <w:rPr>
          <w:rFonts w:cs="Arial"/>
          <w:color w:val="000000" w:themeColor="text1"/>
        </w:rPr>
      </w:pPr>
    </w:p>
    <w:p w14:paraId="61825C73" w14:textId="77777777" w:rsidR="00A268C9" w:rsidRPr="005C70DF" w:rsidRDefault="00A268C9">
      <w:pPr>
        <w:rPr>
          <w:rFonts w:cs="Arial"/>
          <w:color w:val="000000" w:themeColor="text1"/>
        </w:rPr>
      </w:pPr>
    </w:p>
    <w:p w14:paraId="798695A0" w14:textId="77777777" w:rsidR="00F90D5C" w:rsidRPr="005C70DF" w:rsidRDefault="00F90D5C">
      <w:pPr>
        <w:spacing w:after="160" w:line="278" w:lineRule="auto"/>
        <w:ind w:left="0" w:right="0" w:firstLine="0"/>
        <w:jc w:val="left"/>
        <w:rPr>
          <w:rFonts w:cs="Arial"/>
          <w:color w:val="000000" w:themeColor="text1"/>
        </w:rPr>
      </w:pPr>
    </w:p>
    <w:p w14:paraId="644ACE8A" w14:textId="77777777" w:rsidR="00F90D5C" w:rsidRPr="005C70DF" w:rsidRDefault="00F90D5C">
      <w:pPr>
        <w:spacing w:after="160" w:line="278" w:lineRule="auto"/>
        <w:ind w:left="0" w:right="0" w:firstLine="0"/>
        <w:jc w:val="left"/>
        <w:rPr>
          <w:rFonts w:cs="Arial"/>
          <w:color w:val="000000" w:themeColor="text1"/>
        </w:rPr>
      </w:pPr>
    </w:p>
    <w:p w14:paraId="347A5BB4" w14:textId="671E7983" w:rsidR="00F90D5C" w:rsidRPr="005C70DF" w:rsidRDefault="00F90D5C">
      <w:pPr>
        <w:spacing w:after="160" w:line="278" w:lineRule="auto"/>
        <w:ind w:left="0" w:right="0" w:firstLine="0"/>
        <w:jc w:val="left"/>
        <w:rPr>
          <w:rFonts w:cs="Arial"/>
          <w:color w:val="000000" w:themeColor="text1"/>
        </w:rPr>
      </w:pPr>
      <w:r w:rsidRPr="005C70DF">
        <w:rPr>
          <w:rFonts w:cs="Arial"/>
          <w:color w:val="000000" w:themeColor="text1"/>
        </w:rPr>
        <w:br w:type="page"/>
      </w:r>
    </w:p>
    <w:p w14:paraId="5E73BDFA" w14:textId="77777777" w:rsidR="00F90D5C" w:rsidRPr="005C70DF" w:rsidRDefault="00F90D5C">
      <w:pPr>
        <w:spacing w:after="160" w:line="278" w:lineRule="auto"/>
        <w:ind w:left="0" w:right="0" w:firstLine="0"/>
        <w:jc w:val="left"/>
        <w:rPr>
          <w:rFonts w:cs="Arial"/>
          <w:color w:val="000000" w:themeColor="text1"/>
        </w:rPr>
      </w:pPr>
    </w:p>
    <w:sdt>
      <w:sdtPr>
        <w:rPr>
          <w:rFonts w:ascii="Arial" w:hAnsi="Arial" w:cs="Arial"/>
          <w:color w:val="000000" w:themeColor="text1"/>
          <w:sz w:val="22"/>
          <w:szCs w:val="22"/>
          <w:lang w:eastAsia="zh-CN"/>
        </w:rPr>
        <w:id w:val="-887795961"/>
        <w:docPartObj>
          <w:docPartGallery w:val="Table of Contents"/>
          <w:docPartUnique/>
        </w:docPartObj>
      </w:sdtPr>
      <w:sdtEndPr>
        <w:rPr>
          <w:b/>
          <w:bCs/>
        </w:rPr>
      </w:sdtEndPr>
      <w:sdtContent>
        <w:p w14:paraId="3081214E" w14:textId="273502B1" w:rsidR="00F90D5C" w:rsidRPr="005C70DF" w:rsidRDefault="00F90D5C" w:rsidP="003C0ADD">
          <w:pPr>
            <w:pStyle w:val="TOCHeading"/>
            <w:jc w:val="center"/>
            <w:rPr>
              <w:rFonts w:ascii="Arial" w:hAnsi="Arial" w:cs="Arial"/>
              <w:b/>
              <w:bCs/>
              <w:color w:val="000000" w:themeColor="text1"/>
            </w:rPr>
          </w:pPr>
          <w:r w:rsidRPr="005C70DF">
            <w:rPr>
              <w:rFonts w:ascii="Arial" w:hAnsi="Arial" w:cs="Arial"/>
              <w:b/>
              <w:bCs/>
              <w:color w:val="000000" w:themeColor="text1"/>
            </w:rPr>
            <w:t>Table of Contents</w:t>
          </w:r>
        </w:p>
        <w:p w14:paraId="2EFDD36A" w14:textId="0A5C1457" w:rsidR="00AE5597" w:rsidRDefault="00F90D5C">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r w:rsidRPr="005C70DF">
            <w:rPr>
              <w:rFonts w:cs="Arial"/>
              <w:color w:val="000000" w:themeColor="text1"/>
            </w:rPr>
            <w:fldChar w:fldCharType="begin"/>
          </w:r>
          <w:r w:rsidRPr="005C70DF">
            <w:rPr>
              <w:rFonts w:cs="Arial"/>
              <w:color w:val="000000" w:themeColor="text1"/>
            </w:rPr>
            <w:instrText xml:space="preserve"> TOC \o "1-3" \h \z \u </w:instrText>
          </w:r>
          <w:r w:rsidRPr="005C70DF">
            <w:rPr>
              <w:rFonts w:cs="Arial"/>
              <w:color w:val="000000" w:themeColor="text1"/>
            </w:rPr>
            <w:fldChar w:fldCharType="separate"/>
          </w:r>
          <w:hyperlink w:anchor="_Toc223883297" w:history="1">
            <w:r w:rsidR="00AE5597" w:rsidRPr="00900EF3">
              <w:rPr>
                <w:rStyle w:val="Hyperlink"/>
                <w:rFonts w:cs="Arial"/>
                <w:b/>
                <w:bCs/>
                <w:noProof/>
              </w:rPr>
              <w:t>1.</w:t>
            </w:r>
            <w:r w:rsidR="00AE5597">
              <w:rPr>
                <w:rFonts w:asciiTheme="minorHAnsi" w:eastAsiaTheme="minorEastAsia" w:hAnsiTheme="minorHAnsi" w:cstheme="minorBidi"/>
                <w:noProof/>
                <w:color w:val="auto"/>
                <w:kern w:val="2"/>
                <w:sz w:val="24"/>
                <w:szCs w:val="24"/>
                <w:lang w:val="en-US" w:eastAsia="en-US"/>
                <w14:ligatures w14:val="standardContextual"/>
              </w:rPr>
              <w:tab/>
            </w:r>
            <w:r w:rsidR="00AE5597" w:rsidRPr="00900EF3">
              <w:rPr>
                <w:rStyle w:val="Hyperlink"/>
                <w:rFonts w:cs="Arial"/>
                <w:b/>
                <w:bCs/>
                <w:noProof/>
              </w:rPr>
              <w:t>Introduction</w:t>
            </w:r>
            <w:r w:rsidR="00AE5597">
              <w:rPr>
                <w:noProof/>
                <w:webHidden/>
              </w:rPr>
              <w:tab/>
            </w:r>
            <w:r w:rsidR="00AE5597">
              <w:rPr>
                <w:noProof/>
                <w:webHidden/>
              </w:rPr>
              <w:fldChar w:fldCharType="begin"/>
            </w:r>
            <w:r w:rsidR="00AE5597">
              <w:rPr>
                <w:noProof/>
                <w:webHidden/>
              </w:rPr>
              <w:instrText xml:space="preserve"> PAGEREF _Toc223883297 \h </w:instrText>
            </w:r>
            <w:r w:rsidR="00AE5597">
              <w:rPr>
                <w:noProof/>
                <w:webHidden/>
              </w:rPr>
            </w:r>
            <w:r w:rsidR="00AE5597">
              <w:rPr>
                <w:noProof/>
                <w:webHidden/>
              </w:rPr>
              <w:fldChar w:fldCharType="separate"/>
            </w:r>
            <w:r w:rsidR="00AE5597">
              <w:rPr>
                <w:noProof/>
                <w:webHidden/>
              </w:rPr>
              <w:t>1</w:t>
            </w:r>
            <w:r w:rsidR="00AE5597">
              <w:rPr>
                <w:noProof/>
                <w:webHidden/>
              </w:rPr>
              <w:fldChar w:fldCharType="end"/>
            </w:r>
          </w:hyperlink>
        </w:p>
        <w:p w14:paraId="5AA4509D" w14:textId="4CFD8605"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298" w:history="1">
            <w:r w:rsidRPr="00900EF3">
              <w:rPr>
                <w:rStyle w:val="Hyperlink"/>
                <w:rFonts w:cs="Arial"/>
                <w:b/>
                <w:bCs/>
                <w:noProof/>
              </w:rPr>
              <w:t>1.1.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Key Concepts and Definitions</w:t>
            </w:r>
            <w:r>
              <w:rPr>
                <w:noProof/>
                <w:webHidden/>
              </w:rPr>
              <w:tab/>
            </w:r>
            <w:r>
              <w:rPr>
                <w:noProof/>
                <w:webHidden/>
              </w:rPr>
              <w:fldChar w:fldCharType="begin"/>
            </w:r>
            <w:r>
              <w:rPr>
                <w:noProof/>
                <w:webHidden/>
              </w:rPr>
              <w:instrText xml:space="preserve"> PAGEREF _Toc223883298 \h </w:instrText>
            </w:r>
            <w:r>
              <w:rPr>
                <w:noProof/>
                <w:webHidden/>
              </w:rPr>
            </w:r>
            <w:r>
              <w:rPr>
                <w:noProof/>
                <w:webHidden/>
              </w:rPr>
              <w:fldChar w:fldCharType="separate"/>
            </w:r>
            <w:r>
              <w:rPr>
                <w:noProof/>
                <w:webHidden/>
              </w:rPr>
              <w:t>1</w:t>
            </w:r>
            <w:r>
              <w:rPr>
                <w:noProof/>
                <w:webHidden/>
              </w:rPr>
              <w:fldChar w:fldCharType="end"/>
            </w:r>
          </w:hyperlink>
        </w:p>
        <w:p w14:paraId="6CB57F55" w14:textId="0B16BD3C"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299" w:history="1">
            <w:r w:rsidRPr="00900EF3">
              <w:rPr>
                <w:rStyle w:val="Hyperlink"/>
                <w:rFonts w:cs="Arial"/>
                <w:b/>
                <w:bCs/>
                <w:noProof/>
              </w:rPr>
              <w:t>1.2.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Rationale for the Study</w:t>
            </w:r>
            <w:r>
              <w:rPr>
                <w:noProof/>
                <w:webHidden/>
              </w:rPr>
              <w:tab/>
            </w:r>
            <w:r>
              <w:rPr>
                <w:noProof/>
                <w:webHidden/>
              </w:rPr>
              <w:fldChar w:fldCharType="begin"/>
            </w:r>
            <w:r>
              <w:rPr>
                <w:noProof/>
                <w:webHidden/>
              </w:rPr>
              <w:instrText xml:space="preserve"> PAGEREF _Toc223883299 \h </w:instrText>
            </w:r>
            <w:r>
              <w:rPr>
                <w:noProof/>
                <w:webHidden/>
              </w:rPr>
            </w:r>
            <w:r>
              <w:rPr>
                <w:noProof/>
                <w:webHidden/>
              </w:rPr>
              <w:fldChar w:fldCharType="separate"/>
            </w:r>
            <w:r>
              <w:rPr>
                <w:noProof/>
                <w:webHidden/>
              </w:rPr>
              <w:t>1</w:t>
            </w:r>
            <w:r>
              <w:rPr>
                <w:noProof/>
                <w:webHidden/>
              </w:rPr>
              <w:fldChar w:fldCharType="end"/>
            </w:r>
          </w:hyperlink>
        </w:p>
        <w:p w14:paraId="09E2DA17" w14:textId="2CD59344"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0" w:history="1">
            <w:r w:rsidRPr="00900EF3">
              <w:rPr>
                <w:rStyle w:val="Hyperlink"/>
                <w:rFonts w:cs="Arial"/>
                <w:b/>
                <w:bCs/>
                <w:noProof/>
              </w:rPr>
              <w:t>1.3.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Review Question</w:t>
            </w:r>
            <w:r>
              <w:rPr>
                <w:noProof/>
                <w:webHidden/>
              </w:rPr>
              <w:tab/>
            </w:r>
            <w:r>
              <w:rPr>
                <w:noProof/>
                <w:webHidden/>
              </w:rPr>
              <w:fldChar w:fldCharType="begin"/>
            </w:r>
            <w:r>
              <w:rPr>
                <w:noProof/>
                <w:webHidden/>
              </w:rPr>
              <w:instrText xml:space="preserve"> PAGEREF _Toc223883300 \h </w:instrText>
            </w:r>
            <w:r>
              <w:rPr>
                <w:noProof/>
                <w:webHidden/>
              </w:rPr>
            </w:r>
            <w:r>
              <w:rPr>
                <w:noProof/>
                <w:webHidden/>
              </w:rPr>
              <w:fldChar w:fldCharType="separate"/>
            </w:r>
            <w:r>
              <w:rPr>
                <w:noProof/>
                <w:webHidden/>
              </w:rPr>
              <w:t>2</w:t>
            </w:r>
            <w:r>
              <w:rPr>
                <w:noProof/>
                <w:webHidden/>
              </w:rPr>
              <w:fldChar w:fldCharType="end"/>
            </w:r>
          </w:hyperlink>
        </w:p>
        <w:p w14:paraId="5ED561B8" w14:textId="694B4BAA"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1" w:history="1">
            <w:r w:rsidRPr="00900EF3">
              <w:rPr>
                <w:rStyle w:val="Hyperlink"/>
                <w:rFonts w:cs="Arial"/>
                <w:b/>
                <w:bCs/>
                <w:noProof/>
              </w:rPr>
              <w:t>1.4.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Objectives</w:t>
            </w:r>
            <w:r>
              <w:rPr>
                <w:noProof/>
                <w:webHidden/>
              </w:rPr>
              <w:tab/>
            </w:r>
            <w:r>
              <w:rPr>
                <w:noProof/>
                <w:webHidden/>
              </w:rPr>
              <w:fldChar w:fldCharType="begin"/>
            </w:r>
            <w:r>
              <w:rPr>
                <w:noProof/>
                <w:webHidden/>
              </w:rPr>
              <w:instrText xml:space="preserve"> PAGEREF _Toc223883301 \h </w:instrText>
            </w:r>
            <w:r>
              <w:rPr>
                <w:noProof/>
                <w:webHidden/>
              </w:rPr>
            </w:r>
            <w:r>
              <w:rPr>
                <w:noProof/>
                <w:webHidden/>
              </w:rPr>
              <w:fldChar w:fldCharType="separate"/>
            </w:r>
            <w:r>
              <w:rPr>
                <w:noProof/>
                <w:webHidden/>
              </w:rPr>
              <w:t>2</w:t>
            </w:r>
            <w:r>
              <w:rPr>
                <w:noProof/>
                <w:webHidden/>
              </w:rPr>
              <w:fldChar w:fldCharType="end"/>
            </w:r>
          </w:hyperlink>
        </w:p>
        <w:p w14:paraId="3B12C6FB" w14:textId="632BE33B" w:rsidR="00AE5597" w:rsidRDefault="00AE5597">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2" w:history="1">
            <w:r w:rsidRPr="00900EF3">
              <w:rPr>
                <w:rStyle w:val="Hyperlink"/>
                <w:rFonts w:cs="Arial"/>
                <w:b/>
                <w:bCs/>
                <w:noProof/>
              </w:rPr>
              <w:t>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Background</w:t>
            </w:r>
            <w:r>
              <w:rPr>
                <w:noProof/>
                <w:webHidden/>
              </w:rPr>
              <w:tab/>
            </w:r>
            <w:r>
              <w:rPr>
                <w:noProof/>
                <w:webHidden/>
              </w:rPr>
              <w:fldChar w:fldCharType="begin"/>
            </w:r>
            <w:r>
              <w:rPr>
                <w:noProof/>
                <w:webHidden/>
              </w:rPr>
              <w:instrText xml:space="preserve"> PAGEREF _Toc223883302 \h </w:instrText>
            </w:r>
            <w:r>
              <w:rPr>
                <w:noProof/>
                <w:webHidden/>
              </w:rPr>
            </w:r>
            <w:r>
              <w:rPr>
                <w:noProof/>
                <w:webHidden/>
              </w:rPr>
              <w:fldChar w:fldCharType="separate"/>
            </w:r>
            <w:r>
              <w:rPr>
                <w:noProof/>
                <w:webHidden/>
              </w:rPr>
              <w:t>3</w:t>
            </w:r>
            <w:r>
              <w:rPr>
                <w:noProof/>
                <w:webHidden/>
              </w:rPr>
              <w:fldChar w:fldCharType="end"/>
            </w:r>
          </w:hyperlink>
        </w:p>
        <w:p w14:paraId="5A685DAE" w14:textId="4DA0BC34" w:rsidR="00AE5597" w:rsidRDefault="00AE5597">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3" w:history="1">
            <w:r w:rsidRPr="00900EF3">
              <w:rPr>
                <w:rStyle w:val="Hyperlink"/>
                <w:rFonts w:cs="Arial"/>
                <w:b/>
                <w:bCs/>
                <w:noProof/>
              </w:rPr>
              <w:t>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Methods</w:t>
            </w:r>
            <w:r>
              <w:rPr>
                <w:noProof/>
                <w:webHidden/>
              </w:rPr>
              <w:tab/>
            </w:r>
            <w:r>
              <w:rPr>
                <w:noProof/>
                <w:webHidden/>
              </w:rPr>
              <w:fldChar w:fldCharType="begin"/>
            </w:r>
            <w:r>
              <w:rPr>
                <w:noProof/>
                <w:webHidden/>
              </w:rPr>
              <w:instrText xml:space="preserve"> PAGEREF _Toc223883303 \h </w:instrText>
            </w:r>
            <w:r>
              <w:rPr>
                <w:noProof/>
                <w:webHidden/>
              </w:rPr>
            </w:r>
            <w:r>
              <w:rPr>
                <w:noProof/>
                <w:webHidden/>
              </w:rPr>
              <w:fldChar w:fldCharType="separate"/>
            </w:r>
            <w:r>
              <w:rPr>
                <w:noProof/>
                <w:webHidden/>
              </w:rPr>
              <w:t>4</w:t>
            </w:r>
            <w:r>
              <w:rPr>
                <w:noProof/>
                <w:webHidden/>
              </w:rPr>
              <w:fldChar w:fldCharType="end"/>
            </w:r>
          </w:hyperlink>
        </w:p>
        <w:p w14:paraId="70DEB586" w14:textId="61F4DF24"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4" w:history="1">
            <w:r w:rsidRPr="00900EF3">
              <w:rPr>
                <w:rStyle w:val="Hyperlink"/>
                <w:rFonts w:cs="Arial"/>
                <w:b/>
                <w:bCs/>
                <w:noProof/>
              </w:rPr>
              <w:t>3.1.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Scoping Review Framework</w:t>
            </w:r>
            <w:r>
              <w:rPr>
                <w:noProof/>
                <w:webHidden/>
              </w:rPr>
              <w:tab/>
            </w:r>
            <w:r>
              <w:rPr>
                <w:noProof/>
                <w:webHidden/>
              </w:rPr>
              <w:fldChar w:fldCharType="begin"/>
            </w:r>
            <w:r>
              <w:rPr>
                <w:noProof/>
                <w:webHidden/>
              </w:rPr>
              <w:instrText xml:space="preserve"> PAGEREF _Toc223883304 \h </w:instrText>
            </w:r>
            <w:r>
              <w:rPr>
                <w:noProof/>
                <w:webHidden/>
              </w:rPr>
            </w:r>
            <w:r>
              <w:rPr>
                <w:noProof/>
                <w:webHidden/>
              </w:rPr>
              <w:fldChar w:fldCharType="separate"/>
            </w:r>
            <w:r>
              <w:rPr>
                <w:noProof/>
                <w:webHidden/>
              </w:rPr>
              <w:t>4</w:t>
            </w:r>
            <w:r>
              <w:rPr>
                <w:noProof/>
                <w:webHidden/>
              </w:rPr>
              <w:fldChar w:fldCharType="end"/>
            </w:r>
          </w:hyperlink>
        </w:p>
        <w:p w14:paraId="2AE6C34D" w14:textId="3C040259"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5" w:history="1">
            <w:r w:rsidRPr="00900EF3">
              <w:rPr>
                <w:rStyle w:val="Hyperlink"/>
                <w:rFonts w:cs="Arial"/>
                <w:b/>
                <w:bCs/>
                <w:noProof/>
              </w:rPr>
              <w:t>3.2.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Search Strategy</w:t>
            </w:r>
            <w:r>
              <w:rPr>
                <w:noProof/>
                <w:webHidden/>
              </w:rPr>
              <w:tab/>
            </w:r>
            <w:r>
              <w:rPr>
                <w:noProof/>
                <w:webHidden/>
              </w:rPr>
              <w:fldChar w:fldCharType="begin"/>
            </w:r>
            <w:r>
              <w:rPr>
                <w:noProof/>
                <w:webHidden/>
              </w:rPr>
              <w:instrText xml:space="preserve"> PAGEREF _Toc223883305 \h </w:instrText>
            </w:r>
            <w:r>
              <w:rPr>
                <w:noProof/>
                <w:webHidden/>
              </w:rPr>
            </w:r>
            <w:r>
              <w:rPr>
                <w:noProof/>
                <w:webHidden/>
              </w:rPr>
              <w:fldChar w:fldCharType="separate"/>
            </w:r>
            <w:r>
              <w:rPr>
                <w:noProof/>
                <w:webHidden/>
              </w:rPr>
              <w:t>5</w:t>
            </w:r>
            <w:r>
              <w:rPr>
                <w:noProof/>
                <w:webHidden/>
              </w:rPr>
              <w:fldChar w:fldCharType="end"/>
            </w:r>
          </w:hyperlink>
        </w:p>
        <w:p w14:paraId="71DF30EB" w14:textId="6B4A9527"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6" w:history="1">
            <w:r w:rsidRPr="00900EF3">
              <w:rPr>
                <w:rStyle w:val="Hyperlink"/>
                <w:rFonts w:cs="Arial"/>
                <w:b/>
                <w:bCs/>
                <w:noProof/>
              </w:rPr>
              <w:t>3.3.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Inclusion and Exclusion Criteria</w:t>
            </w:r>
            <w:r>
              <w:rPr>
                <w:noProof/>
                <w:webHidden/>
              </w:rPr>
              <w:tab/>
            </w:r>
            <w:r>
              <w:rPr>
                <w:noProof/>
                <w:webHidden/>
              </w:rPr>
              <w:fldChar w:fldCharType="begin"/>
            </w:r>
            <w:r>
              <w:rPr>
                <w:noProof/>
                <w:webHidden/>
              </w:rPr>
              <w:instrText xml:space="preserve"> PAGEREF _Toc223883306 \h </w:instrText>
            </w:r>
            <w:r>
              <w:rPr>
                <w:noProof/>
                <w:webHidden/>
              </w:rPr>
            </w:r>
            <w:r>
              <w:rPr>
                <w:noProof/>
                <w:webHidden/>
              </w:rPr>
              <w:fldChar w:fldCharType="separate"/>
            </w:r>
            <w:r>
              <w:rPr>
                <w:noProof/>
                <w:webHidden/>
              </w:rPr>
              <w:t>5</w:t>
            </w:r>
            <w:r>
              <w:rPr>
                <w:noProof/>
                <w:webHidden/>
              </w:rPr>
              <w:fldChar w:fldCharType="end"/>
            </w:r>
          </w:hyperlink>
        </w:p>
        <w:p w14:paraId="1A64A04F" w14:textId="3188BD5B"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7" w:history="1">
            <w:r w:rsidRPr="00900EF3">
              <w:rPr>
                <w:rStyle w:val="Hyperlink"/>
                <w:rFonts w:cs="Arial"/>
                <w:b/>
                <w:bCs/>
                <w:noProof/>
              </w:rPr>
              <w:t>3.4.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Data Charting</w:t>
            </w:r>
            <w:r>
              <w:rPr>
                <w:noProof/>
                <w:webHidden/>
              </w:rPr>
              <w:tab/>
            </w:r>
            <w:r>
              <w:rPr>
                <w:noProof/>
                <w:webHidden/>
              </w:rPr>
              <w:fldChar w:fldCharType="begin"/>
            </w:r>
            <w:r>
              <w:rPr>
                <w:noProof/>
                <w:webHidden/>
              </w:rPr>
              <w:instrText xml:space="preserve"> PAGEREF _Toc223883307 \h </w:instrText>
            </w:r>
            <w:r>
              <w:rPr>
                <w:noProof/>
                <w:webHidden/>
              </w:rPr>
            </w:r>
            <w:r>
              <w:rPr>
                <w:noProof/>
                <w:webHidden/>
              </w:rPr>
              <w:fldChar w:fldCharType="separate"/>
            </w:r>
            <w:r>
              <w:rPr>
                <w:noProof/>
                <w:webHidden/>
              </w:rPr>
              <w:t>6</w:t>
            </w:r>
            <w:r>
              <w:rPr>
                <w:noProof/>
                <w:webHidden/>
              </w:rPr>
              <w:fldChar w:fldCharType="end"/>
            </w:r>
          </w:hyperlink>
        </w:p>
        <w:p w14:paraId="2166B0C5" w14:textId="3C0AA683"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8" w:history="1">
            <w:r w:rsidRPr="00900EF3">
              <w:rPr>
                <w:rStyle w:val="Hyperlink"/>
                <w:rFonts w:cs="Arial"/>
                <w:b/>
                <w:bCs/>
                <w:noProof/>
              </w:rPr>
              <w:t>3.5.</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Thematic Analysis</w:t>
            </w:r>
            <w:r>
              <w:rPr>
                <w:noProof/>
                <w:webHidden/>
              </w:rPr>
              <w:tab/>
            </w:r>
            <w:r>
              <w:rPr>
                <w:noProof/>
                <w:webHidden/>
              </w:rPr>
              <w:fldChar w:fldCharType="begin"/>
            </w:r>
            <w:r>
              <w:rPr>
                <w:noProof/>
                <w:webHidden/>
              </w:rPr>
              <w:instrText xml:space="preserve"> PAGEREF _Toc223883308 \h </w:instrText>
            </w:r>
            <w:r>
              <w:rPr>
                <w:noProof/>
                <w:webHidden/>
              </w:rPr>
            </w:r>
            <w:r>
              <w:rPr>
                <w:noProof/>
                <w:webHidden/>
              </w:rPr>
              <w:fldChar w:fldCharType="separate"/>
            </w:r>
            <w:r>
              <w:rPr>
                <w:noProof/>
                <w:webHidden/>
              </w:rPr>
              <w:t>6</w:t>
            </w:r>
            <w:r>
              <w:rPr>
                <w:noProof/>
                <w:webHidden/>
              </w:rPr>
              <w:fldChar w:fldCharType="end"/>
            </w:r>
          </w:hyperlink>
        </w:p>
        <w:p w14:paraId="7B9846A3" w14:textId="2432E5D5"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09" w:history="1">
            <w:r w:rsidRPr="00900EF3">
              <w:rPr>
                <w:rStyle w:val="Hyperlink"/>
                <w:rFonts w:cs="Arial"/>
                <w:b/>
                <w:bCs/>
                <w:noProof/>
              </w:rPr>
              <w:t>3.6.</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Ethical Considerations</w:t>
            </w:r>
            <w:r>
              <w:rPr>
                <w:noProof/>
                <w:webHidden/>
              </w:rPr>
              <w:tab/>
            </w:r>
            <w:r>
              <w:rPr>
                <w:noProof/>
                <w:webHidden/>
              </w:rPr>
              <w:fldChar w:fldCharType="begin"/>
            </w:r>
            <w:r>
              <w:rPr>
                <w:noProof/>
                <w:webHidden/>
              </w:rPr>
              <w:instrText xml:space="preserve"> PAGEREF _Toc223883309 \h </w:instrText>
            </w:r>
            <w:r>
              <w:rPr>
                <w:noProof/>
                <w:webHidden/>
              </w:rPr>
            </w:r>
            <w:r>
              <w:rPr>
                <w:noProof/>
                <w:webHidden/>
              </w:rPr>
              <w:fldChar w:fldCharType="separate"/>
            </w:r>
            <w:r>
              <w:rPr>
                <w:noProof/>
                <w:webHidden/>
              </w:rPr>
              <w:t>6</w:t>
            </w:r>
            <w:r>
              <w:rPr>
                <w:noProof/>
                <w:webHidden/>
              </w:rPr>
              <w:fldChar w:fldCharType="end"/>
            </w:r>
          </w:hyperlink>
        </w:p>
        <w:p w14:paraId="1BDAC996" w14:textId="75E8FEB1" w:rsidR="00AE5597" w:rsidRDefault="00AE5597">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0" w:history="1">
            <w:r w:rsidRPr="00900EF3">
              <w:rPr>
                <w:rStyle w:val="Hyperlink"/>
                <w:rFonts w:cs="Arial"/>
                <w:b/>
                <w:bCs/>
                <w:noProof/>
              </w:rPr>
              <w:t>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Results</w:t>
            </w:r>
            <w:r>
              <w:rPr>
                <w:noProof/>
                <w:webHidden/>
              </w:rPr>
              <w:tab/>
            </w:r>
            <w:r>
              <w:rPr>
                <w:noProof/>
                <w:webHidden/>
              </w:rPr>
              <w:fldChar w:fldCharType="begin"/>
            </w:r>
            <w:r>
              <w:rPr>
                <w:noProof/>
                <w:webHidden/>
              </w:rPr>
              <w:instrText xml:space="preserve"> PAGEREF _Toc223883310 \h </w:instrText>
            </w:r>
            <w:r>
              <w:rPr>
                <w:noProof/>
                <w:webHidden/>
              </w:rPr>
            </w:r>
            <w:r>
              <w:rPr>
                <w:noProof/>
                <w:webHidden/>
              </w:rPr>
              <w:fldChar w:fldCharType="separate"/>
            </w:r>
            <w:r>
              <w:rPr>
                <w:noProof/>
                <w:webHidden/>
              </w:rPr>
              <w:t>7</w:t>
            </w:r>
            <w:r>
              <w:rPr>
                <w:noProof/>
                <w:webHidden/>
              </w:rPr>
              <w:fldChar w:fldCharType="end"/>
            </w:r>
          </w:hyperlink>
        </w:p>
        <w:p w14:paraId="33744866" w14:textId="6C9967DA"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1" w:history="1">
            <w:r w:rsidRPr="00900EF3">
              <w:rPr>
                <w:rStyle w:val="Hyperlink"/>
                <w:rFonts w:cs="Arial"/>
                <w:b/>
                <w:bCs/>
                <w:noProof/>
              </w:rPr>
              <w:t>4.1.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Theme 1: Informal Digital Communication Supporting Clinical Coordination</w:t>
            </w:r>
            <w:r>
              <w:rPr>
                <w:noProof/>
                <w:webHidden/>
              </w:rPr>
              <w:tab/>
            </w:r>
            <w:r>
              <w:rPr>
                <w:noProof/>
                <w:webHidden/>
              </w:rPr>
              <w:fldChar w:fldCharType="begin"/>
            </w:r>
            <w:r>
              <w:rPr>
                <w:noProof/>
                <w:webHidden/>
              </w:rPr>
              <w:instrText xml:space="preserve"> PAGEREF _Toc223883311 \h </w:instrText>
            </w:r>
            <w:r>
              <w:rPr>
                <w:noProof/>
                <w:webHidden/>
              </w:rPr>
            </w:r>
            <w:r>
              <w:rPr>
                <w:noProof/>
                <w:webHidden/>
              </w:rPr>
              <w:fldChar w:fldCharType="separate"/>
            </w:r>
            <w:r>
              <w:rPr>
                <w:noProof/>
                <w:webHidden/>
              </w:rPr>
              <w:t>7</w:t>
            </w:r>
            <w:r>
              <w:rPr>
                <w:noProof/>
                <w:webHidden/>
              </w:rPr>
              <w:fldChar w:fldCharType="end"/>
            </w:r>
          </w:hyperlink>
        </w:p>
        <w:p w14:paraId="0F0A40C8" w14:textId="213031C4" w:rsidR="00AE5597" w:rsidRDefault="00AE5597">
          <w:pPr>
            <w:pStyle w:val="TOC2"/>
            <w:tabs>
              <w:tab w:val="left" w:pos="96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2" w:history="1">
            <w:r w:rsidRPr="00900EF3">
              <w:rPr>
                <w:rStyle w:val="Hyperlink"/>
                <w:rFonts w:cs="Arial"/>
                <w:b/>
                <w:bCs/>
                <w:noProof/>
              </w:rPr>
              <w:t>4.2.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Theme 2: Ethical Risks, Data Governance and Professional Boundaries</w:t>
            </w:r>
            <w:r>
              <w:rPr>
                <w:noProof/>
                <w:webHidden/>
              </w:rPr>
              <w:tab/>
            </w:r>
            <w:r>
              <w:rPr>
                <w:noProof/>
                <w:webHidden/>
              </w:rPr>
              <w:fldChar w:fldCharType="begin"/>
            </w:r>
            <w:r>
              <w:rPr>
                <w:noProof/>
                <w:webHidden/>
              </w:rPr>
              <w:instrText xml:space="preserve"> PAGEREF _Toc223883312 \h </w:instrText>
            </w:r>
            <w:r>
              <w:rPr>
                <w:noProof/>
                <w:webHidden/>
              </w:rPr>
            </w:r>
            <w:r>
              <w:rPr>
                <w:noProof/>
                <w:webHidden/>
              </w:rPr>
              <w:fldChar w:fldCharType="separate"/>
            </w:r>
            <w:r>
              <w:rPr>
                <w:noProof/>
                <w:webHidden/>
              </w:rPr>
              <w:t>8</w:t>
            </w:r>
            <w:r>
              <w:rPr>
                <w:noProof/>
                <w:webHidden/>
              </w:rPr>
              <w:fldChar w:fldCharType="end"/>
            </w:r>
          </w:hyperlink>
        </w:p>
        <w:p w14:paraId="1763F653" w14:textId="6CAB6A86" w:rsidR="00AE5597" w:rsidRDefault="00AE5597">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3" w:history="1">
            <w:r w:rsidRPr="00900EF3">
              <w:rPr>
                <w:rStyle w:val="Hyperlink"/>
                <w:rFonts w:cs="Arial"/>
                <w:b/>
                <w:bCs/>
                <w:noProof/>
              </w:rPr>
              <w:t>5.</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Discussion</w:t>
            </w:r>
            <w:r>
              <w:rPr>
                <w:noProof/>
                <w:webHidden/>
              </w:rPr>
              <w:tab/>
            </w:r>
            <w:r>
              <w:rPr>
                <w:noProof/>
                <w:webHidden/>
              </w:rPr>
              <w:fldChar w:fldCharType="begin"/>
            </w:r>
            <w:r>
              <w:rPr>
                <w:noProof/>
                <w:webHidden/>
              </w:rPr>
              <w:instrText xml:space="preserve"> PAGEREF _Toc223883313 \h </w:instrText>
            </w:r>
            <w:r>
              <w:rPr>
                <w:noProof/>
                <w:webHidden/>
              </w:rPr>
            </w:r>
            <w:r>
              <w:rPr>
                <w:noProof/>
                <w:webHidden/>
              </w:rPr>
              <w:fldChar w:fldCharType="separate"/>
            </w:r>
            <w:r>
              <w:rPr>
                <w:noProof/>
                <w:webHidden/>
              </w:rPr>
              <w:t>9</w:t>
            </w:r>
            <w:r>
              <w:rPr>
                <w:noProof/>
                <w:webHidden/>
              </w:rPr>
              <w:fldChar w:fldCharType="end"/>
            </w:r>
          </w:hyperlink>
        </w:p>
        <w:p w14:paraId="70ED946F" w14:textId="52BBA807" w:rsidR="00AE5597" w:rsidRDefault="00AE5597">
          <w:pPr>
            <w:pStyle w:val="TOC1"/>
            <w:tabs>
              <w:tab w:val="left" w:pos="480"/>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4" w:history="1">
            <w:r w:rsidRPr="00900EF3">
              <w:rPr>
                <w:rStyle w:val="Hyperlink"/>
                <w:rFonts w:cs="Arial"/>
                <w:b/>
                <w:bCs/>
                <w:noProof/>
              </w:rPr>
              <w:t>6.</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Conclusion and Recommendations</w:t>
            </w:r>
            <w:r>
              <w:rPr>
                <w:noProof/>
                <w:webHidden/>
              </w:rPr>
              <w:tab/>
            </w:r>
            <w:r>
              <w:rPr>
                <w:noProof/>
                <w:webHidden/>
              </w:rPr>
              <w:fldChar w:fldCharType="begin"/>
            </w:r>
            <w:r>
              <w:rPr>
                <w:noProof/>
                <w:webHidden/>
              </w:rPr>
              <w:instrText xml:space="preserve"> PAGEREF _Toc223883314 \h </w:instrText>
            </w:r>
            <w:r>
              <w:rPr>
                <w:noProof/>
                <w:webHidden/>
              </w:rPr>
            </w:r>
            <w:r>
              <w:rPr>
                <w:noProof/>
                <w:webHidden/>
              </w:rPr>
              <w:fldChar w:fldCharType="separate"/>
            </w:r>
            <w:r>
              <w:rPr>
                <w:noProof/>
                <w:webHidden/>
              </w:rPr>
              <w:t>10</w:t>
            </w:r>
            <w:r>
              <w:rPr>
                <w:noProof/>
                <w:webHidden/>
              </w:rPr>
              <w:fldChar w:fldCharType="end"/>
            </w:r>
          </w:hyperlink>
        </w:p>
        <w:p w14:paraId="65644EB3" w14:textId="567D24DA" w:rsidR="00AE5597" w:rsidRDefault="00AE5597">
          <w:pPr>
            <w:pStyle w:val="TOC1"/>
            <w:tabs>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5" w:history="1">
            <w:r w:rsidRPr="00900EF3">
              <w:rPr>
                <w:rStyle w:val="Hyperlink"/>
                <w:rFonts w:cs="Arial"/>
                <w:b/>
                <w:bCs/>
                <w:noProof/>
              </w:rPr>
              <w:t>References</w:t>
            </w:r>
            <w:r>
              <w:rPr>
                <w:noProof/>
                <w:webHidden/>
              </w:rPr>
              <w:tab/>
            </w:r>
            <w:r>
              <w:rPr>
                <w:noProof/>
                <w:webHidden/>
              </w:rPr>
              <w:fldChar w:fldCharType="begin"/>
            </w:r>
            <w:r>
              <w:rPr>
                <w:noProof/>
                <w:webHidden/>
              </w:rPr>
              <w:instrText xml:space="preserve"> PAGEREF _Toc223883315 \h </w:instrText>
            </w:r>
            <w:r>
              <w:rPr>
                <w:noProof/>
                <w:webHidden/>
              </w:rPr>
            </w:r>
            <w:r>
              <w:rPr>
                <w:noProof/>
                <w:webHidden/>
              </w:rPr>
              <w:fldChar w:fldCharType="separate"/>
            </w:r>
            <w:r>
              <w:rPr>
                <w:noProof/>
                <w:webHidden/>
              </w:rPr>
              <w:t>12</w:t>
            </w:r>
            <w:r>
              <w:rPr>
                <w:noProof/>
                <w:webHidden/>
              </w:rPr>
              <w:fldChar w:fldCharType="end"/>
            </w:r>
          </w:hyperlink>
        </w:p>
        <w:p w14:paraId="542C03EA" w14:textId="65B48E39" w:rsidR="00AE5597" w:rsidRDefault="00AE5597">
          <w:pPr>
            <w:pStyle w:val="TOC1"/>
            <w:tabs>
              <w:tab w:val="right" w:leader="dot" w:pos="9350"/>
            </w:tabs>
            <w:rPr>
              <w:rFonts w:asciiTheme="minorHAnsi" w:eastAsiaTheme="minorEastAsia" w:hAnsiTheme="minorHAnsi" w:cstheme="minorBidi"/>
              <w:noProof/>
              <w:color w:val="auto"/>
              <w:kern w:val="2"/>
              <w:sz w:val="24"/>
              <w:szCs w:val="24"/>
              <w:lang w:val="en-US" w:eastAsia="en-US"/>
              <w14:ligatures w14:val="standardContextual"/>
            </w:rPr>
          </w:pPr>
          <w:hyperlink w:anchor="_Toc223883316" w:history="1">
            <w:r w:rsidRPr="00900EF3">
              <w:rPr>
                <w:rStyle w:val="Hyperlink"/>
                <w:rFonts w:cs="Arial"/>
                <w:b/>
                <w:bCs/>
                <w:noProof/>
              </w:rPr>
              <w:t>Appendix</w:t>
            </w:r>
            <w:r>
              <w:rPr>
                <w:noProof/>
                <w:webHidden/>
              </w:rPr>
              <w:tab/>
            </w:r>
            <w:r>
              <w:rPr>
                <w:noProof/>
                <w:webHidden/>
              </w:rPr>
              <w:fldChar w:fldCharType="begin"/>
            </w:r>
            <w:r>
              <w:rPr>
                <w:noProof/>
                <w:webHidden/>
              </w:rPr>
              <w:instrText xml:space="preserve"> PAGEREF _Toc223883316 \h </w:instrText>
            </w:r>
            <w:r>
              <w:rPr>
                <w:noProof/>
                <w:webHidden/>
              </w:rPr>
            </w:r>
            <w:r>
              <w:rPr>
                <w:noProof/>
                <w:webHidden/>
              </w:rPr>
              <w:fldChar w:fldCharType="separate"/>
            </w:r>
            <w:r>
              <w:rPr>
                <w:noProof/>
                <w:webHidden/>
              </w:rPr>
              <w:t>16</w:t>
            </w:r>
            <w:r>
              <w:rPr>
                <w:noProof/>
                <w:webHidden/>
              </w:rPr>
              <w:fldChar w:fldCharType="end"/>
            </w:r>
          </w:hyperlink>
        </w:p>
        <w:p w14:paraId="64E780A7" w14:textId="379F0E83" w:rsidR="00F90D5C" w:rsidRPr="005C70DF" w:rsidRDefault="00F90D5C">
          <w:pPr>
            <w:rPr>
              <w:rFonts w:cs="Arial"/>
              <w:color w:val="000000" w:themeColor="text1"/>
            </w:rPr>
          </w:pPr>
          <w:r w:rsidRPr="005C70DF">
            <w:rPr>
              <w:rFonts w:cs="Arial"/>
              <w:b/>
              <w:bCs/>
              <w:color w:val="000000" w:themeColor="text1"/>
            </w:rPr>
            <w:fldChar w:fldCharType="end"/>
          </w:r>
        </w:p>
      </w:sdtContent>
    </w:sdt>
    <w:p w14:paraId="5D765C12" w14:textId="75F54C0E" w:rsidR="00D539CC" w:rsidRPr="005C70DF" w:rsidRDefault="00D539CC">
      <w:pPr>
        <w:spacing w:after="160" w:line="278" w:lineRule="auto"/>
        <w:ind w:left="0" w:right="0" w:firstLine="0"/>
        <w:jc w:val="left"/>
        <w:rPr>
          <w:rFonts w:cs="Arial"/>
          <w:color w:val="000000" w:themeColor="text1"/>
        </w:rPr>
      </w:pPr>
      <w:r w:rsidRPr="005C70DF">
        <w:rPr>
          <w:rFonts w:cs="Arial"/>
          <w:color w:val="000000" w:themeColor="text1"/>
        </w:rPr>
        <w:br w:type="page"/>
      </w:r>
    </w:p>
    <w:p w14:paraId="0D55762B" w14:textId="77777777" w:rsidR="00F90D5C" w:rsidRPr="005C70DF" w:rsidRDefault="00F90D5C" w:rsidP="00D539CC">
      <w:pPr>
        <w:pStyle w:val="Heading1"/>
        <w:spacing w:line="360" w:lineRule="auto"/>
        <w:rPr>
          <w:rFonts w:ascii="Arial" w:hAnsi="Arial" w:cs="Arial"/>
          <w:b/>
          <w:bCs/>
          <w:color w:val="000000" w:themeColor="text1"/>
          <w:sz w:val="32"/>
          <w:szCs w:val="32"/>
        </w:rPr>
        <w:sectPr w:rsidR="00F90D5C" w:rsidRPr="005C70DF">
          <w:pgSz w:w="12240" w:h="15840"/>
          <w:pgMar w:top="1440" w:right="1440" w:bottom="1440" w:left="1440" w:header="720" w:footer="720" w:gutter="0"/>
          <w:cols w:space="720"/>
          <w:docGrid w:linePitch="360"/>
        </w:sectPr>
      </w:pPr>
    </w:p>
    <w:p w14:paraId="7A88A492" w14:textId="77777777" w:rsidR="004D734A" w:rsidRPr="005C70DF" w:rsidRDefault="004D734A">
      <w:pPr>
        <w:spacing w:after="160" w:line="278" w:lineRule="auto"/>
        <w:ind w:left="0" w:right="0" w:firstLine="0"/>
        <w:jc w:val="left"/>
        <w:rPr>
          <w:rFonts w:cs="Arial"/>
          <w:b/>
          <w:bCs/>
          <w:color w:val="000000" w:themeColor="text1"/>
          <w:sz w:val="32"/>
          <w:szCs w:val="32"/>
        </w:rPr>
      </w:pPr>
      <w:r w:rsidRPr="005C70DF">
        <w:rPr>
          <w:rFonts w:cs="Arial"/>
          <w:b/>
          <w:bCs/>
          <w:color w:val="000000" w:themeColor="text1"/>
          <w:sz w:val="32"/>
          <w:szCs w:val="32"/>
        </w:rPr>
        <w:br w:type="page"/>
      </w:r>
    </w:p>
    <w:p w14:paraId="1F781C60" w14:textId="2FEB8CE3" w:rsidR="003C0ADD" w:rsidRPr="005C70DF" w:rsidRDefault="003C0ADD" w:rsidP="00CE6917">
      <w:pPr>
        <w:pStyle w:val="Heading1"/>
        <w:numPr>
          <w:ilvl w:val="0"/>
          <w:numId w:val="1"/>
        </w:numPr>
        <w:spacing w:line="360" w:lineRule="auto"/>
        <w:rPr>
          <w:rFonts w:ascii="Arial" w:hAnsi="Arial" w:cs="Arial"/>
          <w:b/>
          <w:bCs/>
          <w:color w:val="000000" w:themeColor="text1"/>
          <w:sz w:val="32"/>
          <w:szCs w:val="32"/>
        </w:rPr>
      </w:pPr>
      <w:bookmarkStart w:id="0" w:name="_Toc223883297"/>
      <w:r w:rsidRPr="005C70DF">
        <w:rPr>
          <w:rFonts w:ascii="Arial" w:hAnsi="Arial" w:cs="Arial"/>
          <w:b/>
          <w:bCs/>
          <w:color w:val="000000" w:themeColor="text1"/>
          <w:sz w:val="32"/>
          <w:szCs w:val="32"/>
        </w:rPr>
        <w:t>Introduction</w:t>
      </w:r>
      <w:bookmarkEnd w:id="0"/>
    </w:p>
    <w:p w14:paraId="447A706C" w14:textId="2C92ECF2" w:rsidR="00F13CDF" w:rsidRPr="005C70DF" w:rsidRDefault="00F13CDF" w:rsidP="00F13CDF">
      <w:pPr>
        <w:pStyle w:val="Heading2"/>
        <w:numPr>
          <w:ilvl w:val="1"/>
          <w:numId w:val="1"/>
        </w:numPr>
        <w:spacing w:line="360" w:lineRule="auto"/>
        <w:rPr>
          <w:rFonts w:ascii="Arial" w:hAnsi="Arial" w:cs="Arial"/>
          <w:b/>
          <w:bCs/>
          <w:color w:val="000000" w:themeColor="text1"/>
          <w:sz w:val="28"/>
          <w:szCs w:val="20"/>
        </w:rPr>
      </w:pPr>
      <w:bookmarkStart w:id="1" w:name="_Toc223883298"/>
      <w:r w:rsidRPr="005C70DF">
        <w:rPr>
          <w:rFonts w:ascii="Arial" w:hAnsi="Arial" w:cs="Arial"/>
          <w:b/>
          <w:bCs/>
          <w:color w:val="000000" w:themeColor="text1"/>
          <w:sz w:val="28"/>
          <w:szCs w:val="20"/>
        </w:rPr>
        <w:t>Key Concepts and Definitions</w:t>
      </w:r>
      <w:bookmarkEnd w:id="1"/>
    </w:p>
    <w:p w14:paraId="54B4F7E4" w14:textId="3E9E622A" w:rsidR="00B801D9" w:rsidRPr="005C70DF" w:rsidRDefault="00B801D9" w:rsidP="00F13CDF">
      <w:pPr>
        <w:spacing w:line="360" w:lineRule="auto"/>
        <w:rPr>
          <w:rFonts w:cs="Arial"/>
          <w:color w:val="000000" w:themeColor="text1"/>
        </w:rPr>
      </w:pPr>
      <w:r w:rsidRPr="005C70DF">
        <w:rPr>
          <w:rFonts w:cs="Arial"/>
          <w:color w:val="000000" w:themeColor="text1"/>
        </w:rPr>
        <w:t>Informal digital communication defines the use of consumer messaging platforms by the practitioners to share information about patient care beyond formal clinical information systems (</w:t>
      </w:r>
      <w:r w:rsidR="00194E9E" w:rsidRPr="004A2B00">
        <w:rPr>
          <w:szCs w:val="18"/>
        </w:rPr>
        <w:t xml:space="preserve">Khan and </w:t>
      </w:r>
      <w:proofErr w:type="spellStart"/>
      <w:r w:rsidR="00194E9E" w:rsidRPr="004A2B00">
        <w:rPr>
          <w:szCs w:val="18"/>
        </w:rPr>
        <w:t>Gladwin</w:t>
      </w:r>
      <w:proofErr w:type="spellEnd"/>
      <w:r w:rsidR="00194E9E" w:rsidRPr="004A2B00">
        <w:rPr>
          <w:szCs w:val="18"/>
        </w:rPr>
        <w:t>, 2025</w:t>
      </w:r>
      <w:r w:rsidRPr="005C70DF">
        <w:rPr>
          <w:rFonts w:cs="Arial"/>
          <w:color w:val="000000" w:themeColor="text1"/>
        </w:rPr>
        <w:t>). This communication is usually reali</w:t>
      </w:r>
      <w:r w:rsidR="00D32DB5">
        <w:rPr>
          <w:rFonts w:cs="Arial"/>
          <w:color w:val="000000" w:themeColor="text1"/>
        </w:rPr>
        <w:t>s</w:t>
      </w:r>
      <w:r w:rsidRPr="005C70DF">
        <w:rPr>
          <w:rFonts w:cs="Arial"/>
          <w:color w:val="000000" w:themeColor="text1"/>
        </w:rPr>
        <w:t>ed by mobile applications that enable fast messaging, multimedia exchanges, and discussions at a group level</w:t>
      </w:r>
      <w:r w:rsidR="00F54FC2">
        <w:rPr>
          <w:rFonts w:cs="Arial"/>
          <w:color w:val="000000" w:themeColor="text1"/>
        </w:rPr>
        <w:t xml:space="preserve"> (</w:t>
      </w:r>
      <w:r w:rsidR="00F54FC2" w:rsidRPr="004A2B00">
        <w:rPr>
          <w:szCs w:val="18"/>
        </w:rPr>
        <w:t xml:space="preserve">Johns, Matamoros-Fernández and </w:t>
      </w:r>
      <w:proofErr w:type="spellStart"/>
      <w:r w:rsidR="00F54FC2" w:rsidRPr="004A2B00">
        <w:rPr>
          <w:szCs w:val="18"/>
        </w:rPr>
        <w:t>Baulch</w:t>
      </w:r>
      <w:proofErr w:type="spellEnd"/>
      <w:r w:rsidR="00F54FC2" w:rsidRPr="004A2B00">
        <w:rPr>
          <w:szCs w:val="18"/>
        </w:rPr>
        <w:t>, 2023</w:t>
      </w:r>
      <w:r w:rsidR="00F54FC2">
        <w:rPr>
          <w:szCs w:val="18"/>
        </w:rPr>
        <w:t>)</w:t>
      </w:r>
      <w:r w:rsidRPr="005C70DF">
        <w:rPr>
          <w:rFonts w:cs="Arial"/>
          <w:color w:val="000000" w:themeColor="text1"/>
        </w:rPr>
        <w:t>. The tools are often not a part of formal healthcare records, and they often serve to assist ordinary communication between professionals.</w:t>
      </w:r>
    </w:p>
    <w:p w14:paraId="635F4C8A" w14:textId="43072AD9" w:rsidR="00B801D9" w:rsidRPr="005C70DF" w:rsidRDefault="00B801D9" w:rsidP="00F13CDF">
      <w:pPr>
        <w:spacing w:line="360" w:lineRule="auto"/>
        <w:rPr>
          <w:rFonts w:cs="Arial"/>
          <w:color w:val="000000" w:themeColor="text1"/>
        </w:rPr>
      </w:pPr>
      <w:r w:rsidRPr="005C70DF">
        <w:rPr>
          <w:rFonts w:cs="Arial"/>
          <w:color w:val="000000" w:themeColor="text1"/>
        </w:rPr>
        <w:t>The term care coordination can be described as the planning and coordination of patient care across various healthcare providers in providing services in an effective and timely manner (</w:t>
      </w:r>
      <w:proofErr w:type="spellStart"/>
      <w:r w:rsidR="002F570B" w:rsidRPr="004A2B00">
        <w:rPr>
          <w:szCs w:val="18"/>
        </w:rPr>
        <w:t>Khatri</w:t>
      </w:r>
      <w:proofErr w:type="spellEnd"/>
      <w:r w:rsidR="002F570B" w:rsidRPr="005C70DF">
        <w:rPr>
          <w:rFonts w:cs="Arial"/>
          <w:color w:val="000000" w:themeColor="text1"/>
        </w:rPr>
        <w:t xml:space="preserve"> </w:t>
      </w:r>
      <w:r w:rsidR="002F570B">
        <w:rPr>
          <w:rFonts w:cs="Arial"/>
          <w:color w:val="000000" w:themeColor="text1"/>
        </w:rPr>
        <w:t xml:space="preserve">et al., </w:t>
      </w:r>
      <w:r w:rsidRPr="005C70DF">
        <w:rPr>
          <w:rFonts w:cs="Arial"/>
          <w:color w:val="000000" w:themeColor="text1"/>
        </w:rPr>
        <w:t>202</w:t>
      </w:r>
      <w:r w:rsidR="002F570B">
        <w:rPr>
          <w:rFonts w:cs="Arial"/>
          <w:color w:val="000000" w:themeColor="text1"/>
        </w:rPr>
        <w:t>3</w:t>
      </w:r>
      <w:r w:rsidRPr="005C70DF">
        <w:rPr>
          <w:rFonts w:cs="Arial"/>
          <w:color w:val="000000" w:themeColor="text1"/>
        </w:rPr>
        <w:t>). This is especially true in the more complex systems of health and social care where patients can be assisted by several professionals over organisational boundaries.</w:t>
      </w:r>
    </w:p>
    <w:p w14:paraId="3A8C1F76" w14:textId="69CEACCF" w:rsidR="00B801D9" w:rsidRPr="005C70DF" w:rsidRDefault="00B801D9" w:rsidP="00F13CDF">
      <w:pPr>
        <w:spacing w:line="360" w:lineRule="auto"/>
        <w:rPr>
          <w:rFonts w:cs="Arial"/>
          <w:color w:val="000000" w:themeColor="text1"/>
        </w:rPr>
      </w:pPr>
      <w:r w:rsidRPr="005C70DF">
        <w:rPr>
          <w:rFonts w:cs="Arial"/>
          <w:color w:val="000000" w:themeColor="text1"/>
        </w:rPr>
        <w:t>WhatsApp is one of the most popular encrypted messaging applications that started as a mobile application that gives users the ability to share messages, images, documents, and voice messages in real-time</w:t>
      </w:r>
      <w:r w:rsidR="003C6432">
        <w:rPr>
          <w:rFonts w:cs="Arial"/>
          <w:color w:val="000000" w:themeColor="text1"/>
        </w:rPr>
        <w:t xml:space="preserve"> (</w:t>
      </w:r>
      <w:r w:rsidR="003C6432" w:rsidRPr="004A2B00">
        <w:rPr>
          <w:szCs w:val="18"/>
        </w:rPr>
        <w:t xml:space="preserve">Johns, Matamoros-Fernández and </w:t>
      </w:r>
      <w:proofErr w:type="spellStart"/>
      <w:r w:rsidR="003C6432" w:rsidRPr="004A2B00">
        <w:rPr>
          <w:szCs w:val="18"/>
        </w:rPr>
        <w:t>Baulch</w:t>
      </w:r>
      <w:proofErr w:type="spellEnd"/>
      <w:r w:rsidR="003C6432" w:rsidRPr="004A2B00">
        <w:rPr>
          <w:szCs w:val="18"/>
        </w:rPr>
        <w:t>, 2023</w:t>
      </w:r>
      <w:r w:rsidR="003C6432">
        <w:rPr>
          <w:szCs w:val="18"/>
        </w:rPr>
        <w:t>)</w:t>
      </w:r>
      <w:r w:rsidRPr="005C70DF">
        <w:rPr>
          <w:rFonts w:cs="Arial"/>
          <w:color w:val="000000" w:themeColor="text1"/>
        </w:rPr>
        <w:t>. Even though WhatsApp was not initially aimed at clinical communication, it has emerged as the tool that healthcare professionals rely on to distribute the information quickly within a team.</w:t>
      </w:r>
    </w:p>
    <w:p w14:paraId="3BE9EF70" w14:textId="468D8474" w:rsidR="00B801D9" w:rsidRPr="005C70DF" w:rsidRDefault="00B801D9" w:rsidP="00F13CDF">
      <w:pPr>
        <w:spacing w:line="360" w:lineRule="auto"/>
        <w:rPr>
          <w:rFonts w:cs="Arial"/>
          <w:color w:val="000000" w:themeColor="text1"/>
        </w:rPr>
      </w:pPr>
      <w:r w:rsidRPr="005C70DF">
        <w:rPr>
          <w:rFonts w:cs="Arial"/>
          <w:color w:val="000000" w:themeColor="text1"/>
        </w:rPr>
        <w:t>In the UK, secure digital structures employed by the NHS are anticipated to be used in formulating formal communication among health care professionals</w:t>
      </w:r>
      <w:r w:rsidR="006B551B">
        <w:rPr>
          <w:rFonts w:ascii="Roboto" w:hAnsi="Roboto"/>
          <w:color w:val="2C3E50"/>
          <w:sz w:val="23"/>
          <w:szCs w:val="23"/>
          <w:shd w:val="clear" w:color="auto" w:fill="FFFFFF"/>
        </w:rPr>
        <w:t xml:space="preserve"> </w:t>
      </w:r>
      <w:r w:rsidR="006B551B" w:rsidRPr="006B551B">
        <w:rPr>
          <w:rFonts w:cs="Arial"/>
          <w:color w:val="000000" w:themeColor="text1"/>
        </w:rPr>
        <w:t>(NHS Confederation, 2025)</w:t>
      </w:r>
      <w:r w:rsidRPr="005C70DF">
        <w:rPr>
          <w:rFonts w:cs="Arial"/>
          <w:color w:val="000000" w:themeColor="text1"/>
        </w:rPr>
        <w:t>. Nonetheless, it has been found that practitioners frequently resort to informal communication tools when they find official systems to be slow or inefficient (</w:t>
      </w:r>
      <w:proofErr w:type="spellStart"/>
      <w:r w:rsidR="00B3284F" w:rsidRPr="004A2B00">
        <w:rPr>
          <w:szCs w:val="18"/>
        </w:rPr>
        <w:t>Tso</w:t>
      </w:r>
      <w:proofErr w:type="spellEnd"/>
      <w:r w:rsidR="00B3284F" w:rsidRPr="004A2B00">
        <w:rPr>
          <w:szCs w:val="18"/>
        </w:rPr>
        <w:t>, 2022</w:t>
      </w:r>
      <w:r w:rsidRPr="005C70DF">
        <w:rPr>
          <w:rFonts w:cs="Arial"/>
          <w:color w:val="000000" w:themeColor="text1"/>
        </w:rPr>
        <w:t>). Messaging apps thus can be used as additional communication platforms through which professionals can organi</w:t>
      </w:r>
      <w:r w:rsidR="00D32DB5">
        <w:rPr>
          <w:rFonts w:cs="Arial"/>
          <w:color w:val="000000" w:themeColor="text1"/>
        </w:rPr>
        <w:t>s</w:t>
      </w:r>
      <w:r w:rsidRPr="005C70DF">
        <w:rPr>
          <w:rFonts w:cs="Arial"/>
          <w:color w:val="000000" w:themeColor="text1"/>
        </w:rPr>
        <w:t>e care faster.</w:t>
      </w:r>
    </w:p>
    <w:p w14:paraId="4708A68A" w14:textId="1A5FA987" w:rsidR="00F13CDF" w:rsidRPr="00F13CDF" w:rsidRDefault="00B801D9" w:rsidP="00F13CDF">
      <w:pPr>
        <w:spacing w:line="360" w:lineRule="auto"/>
        <w:rPr>
          <w:rFonts w:cs="Arial"/>
          <w:color w:val="000000" w:themeColor="text1"/>
        </w:rPr>
      </w:pPr>
      <w:r w:rsidRPr="005C70DF">
        <w:rPr>
          <w:rFonts w:cs="Arial"/>
          <w:color w:val="000000" w:themeColor="text1"/>
        </w:rPr>
        <w:t>With these practical advantages come some ethical and professional issues with the use of informal messaging platforms. These are the problems of patient confidentiality, data control, and professional responsibility</w:t>
      </w:r>
      <w:r w:rsidR="00A17FFD">
        <w:rPr>
          <w:rFonts w:cs="Arial"/>
          <w:color w:val="000000" w:themeColor="text1"/>
        </w:rPr>
        <w:t xml:space="preserve"> (</w:t>
      </w:r>
      <w:proofErr w:type="spellStart"/>
      <w:r w:rsidR="00A17FFD" w:rsidRPr="004A2B00">
        <w:rPr>
          <w:szCs w:val="18"/>
        </w:rPr>
        <w:t>Jeyaraman</w:t>
      </w:r>
      <w:proofErr w:type="spellEnd"/>
      <w:r w:rsidR="00A17FFD">
        <w:rPr>
          <w:szCs w:val="18"/>
        </w:rPr>
        <w:t xml:space="preserve"> et al., 2023)</w:t>
      </w:r>
      <w:r w:rsidRPr="005C70DF">
        <w:rPr>
          <w:rFonts w:cs="Arial"/>
          <w:color w:val="000000" w:themeColor="text1"/>
        </w:rPr>
        <w:t>. Consequently, the growing adoption of WhatsApp in medical practice has brought about controversy on determining whether these communication activities are consistent with professional and regulatory practices</w:t>
      </w:r>
      <w:r w:rsidR="00F13CDF" w:rsidRPr="00F13CDF">
        <w:rPr>
          <w:rFonts w:cs="Arial"/>
          <w:color w:val="000000" w:themeColor="text1"/>
        </w:rPr>
        <w:t>.</w:t>
      </w:r>
    </w:p>
    <w:p w14:paraId="31E9D287" w14:textId="386371D0" w:rsidR="00F13CDF" w:rsidRPr="005C70DF" w:rsidRDefault="00F13CDF" w:rsidP="00F13CDF">
      <w:pPr>
        <w:pStyle w:val="Heading2"/>
        <w:numPr>
          <w:ilvl w:val="1"/>
          <w:numId w:val="1"/>
        </w:numPr>
        <w:spacing w:line="360" w:lineRule="auto"/>
        <w:rPr>
          <w:rFonts w:ascii="Arial" w:hAnsi="Arial" w:cs="Arial"/>
          <w:b/>
          <w:bCs/>
          <w:color w:val="000000" w:themeColor="text1"/>
          <w:sz w:val="28"/>
          <w:szCs w:val="20"/>
        </w:rPr>
      </w:pPr>
      <w:bookmarkStart w:id="2" w:name="_Toc223883299"/>
      <w:r w:rsidRPr="005C70DF">
        <w:rPr>
          <w:rFonts w:ascii="Arial" w:hAnsi="Arial" w:cs="Arial"/>
          <w:b/>
          <w:bCs/>
          <w:color w:val="000000" w:themeColor="text1"/>
          <w:sz w:val="28"/>
          <w:szCs w:val="20"/>
        </w:rPr>
        <w:t>Rationale for the Study</w:t>
      </w:r>
      <w:bookmarkEnd w:id="2"/>
    </w:p>
    <w:p w14:paraId="54C5AA62" w14:textId="74D4617A" w:rsidR="004077F4" w:rsidRPr="005C70DF" w:rsidRDefault="004077F4" w:rsidP="00F13CDF">
      <w:pPr>
        <w:spacing w:line="360" w:lineRule="auto"/>
        <w:rPr>
          <w:rFonts w:cs="Arial"/>
          <w:color w:val="000000" w:themeColor="text1"/>
        </w:rPr>
      </w:pPr>
      <w:r w:rsidRPr="005C70DF">
        <w:rPr>
          <w:rFonts w:cs="Arial"/>
          <w:color w:val="000000" w:themeColor="text1"/>
        </w:rPr>
        <w:t>The increased use of digital communication technologies in healthcare practice has brought both opportunities and ethical issues. Social networking applications like WhatsApp can provide practitioners with a fast way of sharing information, which could enhance collaboration and decision-making among multidisciplinary teams</w:t>
      </w:r>
      <w:r w:rsidR="00333D54">
        <w:rPr>
          <w:rFonts w:cs="Arial"/>
          <w:color w:val="000000" w:themeColor="text1"/>
        </w:rPr>
        <w:t xml:space="preserve"> (</w:t>
      </w:r>
      <w:proofErr w:type="spellStart"/>
      <w:r w:rsidR="00333D54" w:rsidRPr="004A2B00">
        <w:rPr>
          <w:szCs w:val="18"/>
        </w:rPr>
        <w:t>Hazra</w:t>
      </w:r>
      <w:proofErr w:type="spellEnd"/>
      <w:r w:rsidR="00333D54">
        <w:rPr>
          <w:szCs w:val="18"/>
        </w:rPr>
        <w:t xml:space="preserve"> </w:t>
      </w:r>
      <w:r w:rsidR="00333D54" w:rsidRPr="004A2B00">
        <w:rPr>
          <w:szCs w:val="18"/>
        </w:rPr>
        <w:t>and Stephen, 2024</w:t>
      </w:r>
      <w:r w:rsidR="00333D54">
        <w:rPr>
          <w:szCs w:val="18"/>
        </w:rPr>
        <w:t>)</w:t>
      </w:r>
      <w:r w:rsidRPr="005C70DF">
        <w:rPr>
          <w:rFonts w:cs="Arial"/>
          <w:color w:val="000000" w:themeColor="text1"/>
        </w:rPr>
        <w:t xml:space="preserve">. </w:t>
      </w:r>
      <w:r w:rsidR="000D600C" w:rsidRPr="006A1FED">
        <w:rPr>
          <w:szCs w:val="18"/>
        </w:rPr>
        <w:t>Khan</w:t>
      </w:r>
      <w:r w:rsidR="000D600C">
        <w:rPr>
          <w:szCs w:val="18"/>
        </w:rPr>
        <w:t xml:space="preserve"> </w:t>
      </w:r>
      <w:r w:rsidR="000D600C" w:rsidRPr="006A1FED">
        <w:rPr>
          <w:szCs w:val="18"/>
        </w:rPr>
        <w:t xml:space="preserve">and </w:t>
      </w:r>
      <w:proofErr w:type="spellStart"/>
      <w:r w:rsidR="000D600C" w:rsidRPr="006A1FED">
        <w:rPr>
          <w:szCs w:val="18"/>
        </w:rPr>
        <w:t>Loh</w:t>
      </w:r>
      <w:proofErr w:type="spellEnd"/>
      <w:r w:rsidR="000D600C" w:rsidRPr="006A1FED">
        <w:rPr>
          <w:szCs w:val="18"/>
        </w:rPr>
        <w:t xml:space="preserve"> </w:t>
      </w:r>
      <w:r w:rsidR="000D600C">
        <w:rPr>
          <w:szCs w:val="18"/>
        </w:rPr>
        <w:t>(</w:t>
      </w:r>
      <w:r w:rsidR="000D600C" w:rsidRPr="006A1FED">
        <w:rPr>
          <w:szCs w:val="18"/>
        </w:rPr>
        <w:t>2022</w:t>
      </w:r>
      <w:r w:rsidRPr="005C70DF">
        <w:rPr>
          <w:rFonts w:cs="Arial"/>
          <w:color w:val="000000" w:themeColor="text1"/>
        </w:rPr>
        <w:t>) claim that informal digital communication has the potential to make healthcare delivery more efficient through mitigating the delays in the professional consultation and information exchange.</w:t>
      </w:r>
    </w:p>
    <w:p w14:paraId="6F1E3CFB" w14:textId="3923E238" w:rsidR="004077F4" w:rsidRPr="005C70DF" w:rsidRDefault="00764C17" w:rsidP="00F13CDF">
      <w:pPr>
        <w:spacing w:line="360" w:lineRule="auto"/>
        <w:rPr>
          <w:rFonts w:cs="Arial"/>
          <w:color w:val="000000" w:themeColor="text1"/>
        </w:rPr>
      </w:pPr>
      <w:proofErr w:type="spellStart"/>
      <w:r w:rsidRPr="006A1FED">
        <w:rPr>
          <w:szCs w:val="18"/>
        </w:rPr>
        <w:t>Garg</w:t>
      </w:r>
      <w:proofErr w:type="spellEnd"/>
      <w:r w:rsidRPr="005C70DF">
        <w:rPr>
          <w:rFonts w:cs="Arial"/>
          <w:color w:val="000000" w:themeColor="text1"/>
        </w:rPr>
        <w:t xml:space="preserve"> </w:t>
      </w:r>
      <w:r>
        <w:rPr>
          <w:rFonts w:cs="Arial"/>
          <w:color w:val="000000" w:themeColor="text1"/>
        </w:rPr>
        <w:t xml:space="preserve">et al. </w:t>
      </w:r>
      <w:r w:rsidR="004077F4" w:rsidRPr="005C70DF">
        <w:rPr>
          <w:rFonts w:cs="Arial"/>
          <w:color w:val="000000" w:themeColor="text1"/>
        </w:rPr>
        <w:t>(202</w:t>
      </w:r>
      <w:r>
        <w:rPr>
          <w:rFonts w:cs="Arial"/>
          <w:color w:val="000000" w:themeColor="text1"/>
        </w:rPr>
        <w:t>6</w:t>
      </w:r>
      <w:r w:rsidR="004077F4" w:rsidRPr="005C70DF">
        <w:rPr>
          <w:rFonts w:cs="Arial"/>
          <w:color w:val="000000" w:themeColor="text1"/>
        </w:rPr>
        <w:t xml:space="preserve">) distinguished that end-to-end encrypted communication is offered by WhatsApp, but the application was not created with healthcare communication in mind and may not be compatible with clinical governance structures. On the same note, </w:t>
      </w:r>
      <w:proofErr w:type="spellStart"/>
      <w:r w:rsidR="00596E44" w:rsidRPr="006A1FED">
        <w:rPr>
          <w:szCs w:val="18"/>
        </w:rPr>
        <w:t>Tofani</w:t>
      </w:r>
      <w:proofErr w:type="spellEnd"/>
      <w:r w:rsidR="00596E44" w:rsidRPr="005C70DF">
        <w:rPr>
          <w:rFonts w:cs="Arial"/>
          <w:color w:val="000000" w:themeColor="text1"/>
        </w:rPr>
        <w:t xml:space="preserve"> </w:t>
      </w:r>
      <w:r w:rsidR="00596E44">
        <w:rPr>
          <w:rFonts w:cs="Arial"/>
          <w:color w:val="000000" w:themeColor="text1"/>
        </w:rPr>
        <w:t>et al.</w:t>
      </w:r>
      <w:r w:rsidR="004077F4" w:rsidRPr="005C70DF">
        <w:rPr>
          <w:rFonts w:cs="Arial"/>
          <w:color w:val="000000" w:themeColor="text1"/>
        </w:rPr>
        <w:t xml:space="preserve"> (2025) claim that the fast use of messaging applications in the context of the COVID-19 pandemic smoked the line between the formal and informal communication practices within a healthcare organi</w:t>
      </w:r>
      <w:r w:rsidR="00D32DB5">
        <w:rPr>
          <w:rFonts w:cs="Arial"/>
          <w:color w:val="000000" w:themeColor="text1"/>
        </w:rPr>
        <w:t>s</w:t>
      </w:r>
      <w:r w:rsidR="004077F4" w:rsidRPr="005C70DF">
        <w:rPr>
          <w:rFonts w:cs="Arial"/>
          <w:color w:val="000000" w:themeColor="text1"/>
        </w:rPr>
        <w:t>ation. Although these tools facilitated quick coordination in the case of a public health emergency, they also cast doubt on issues of data protection and professional responsibility.</w:t>
      </w:r>
    </w:p>
    <w:p w14:paraId="4739F9C5" w14:textId="3F6B3B9E" w:rsidR="004077F4" w:rsidRPr="005C70DF" w:rsidRDefault="004077F4" w:rsidP="00F13CDF">
      <w:pPr>
        <w:spacing w:line="360" w:lineRule="auto"/>
        <w:rPr>
          <w:rFonts w:cs="Arial"/>
          <w:color w:val="000000" w:themeColor="text1"/>
        </w:rPr>
      </w:pPr>
      <w:r w:rsidRPr="005C70DF">
        <w:rPr>
          <w:rFonts w:cs="Arial"/>
          <w:color w:val="000000" w:themeColor="text1"/>
        </w:rPr>
        <w:t xml:space="preserve">Though the use of WhatsApp by healthcare professionals has been examined at the individual level, there is still a lack of synthesis of studies that specifically examine the experiences of practitioners within the UK health and social care environment. Existing evidence should thus be mapped </w:t>
      </w:r>
      <w:r w:rsidR="00D32DB5">
        <w:rPr>
          <w:rFonts w:cs="Arial"/>
          <w:color w:val="000000" w:themeColor="text1"/>
        </w:rPr>
        <w:t>to</w:t>
      </w:r>
      <w:r w:rsidRPr="005C70DF">
        <w:rPr>
          <w:rFonts w:cs="Arial"/>
          <w:color w:val="000000" w:themeColor="text1"/>
        </w:rPr>
        <w:t xml:space="preserve"> know how the practitioners view the advantages and disadvantages of the informal messaging areas.</w:t>
      </w:r>
    </w:p>
    <w:p w14:paraId="580F5AE1" w14:textId="5169143B" w:rsidR="00F13CDF" w:rsidRPr="00F13CDF" w:rsidRDefault="004077F4" w:rsidP="00F13CDF">
      <w:pPr>
        <w:spacing w:line="360" w:lineRule="auto"/>
        <w:rPr>
          <w:rFonts w:cs="Arial"/>
          <w:color w:val="000000" w:themeColor="text1"/>
        </w:rPr>
      </w:pPr>
      <w:r w:rsidRPr="005C70DF">
        <w:rPr>
          <w:rFonts w:cs="Arial"/>
          <w:color w:val="000000" w:themeColor="text1"/>
        </w:rPr>
        <w:t>The scoping review is especially appropriate to this end since it makes possible the identification and synthesis of available literature in a nascent field of study. The review can highlight key themes associated with communication practices, ethical issues, and professional boundaries by reviewing the experience of practitioners in various studies</w:t>
      </w:r>
      <w:r w:rsidR="00F13CDF" w:rsidRPr="00F13CDF">
        <w:rPr>
          <w:rFonts w:cs="Arial"/>
          <w:color w:val="000000" w:themeColor="text1"/>
        </w:rPr>
        <w:t>.</w:t>
      </w:r>
    </w:p>
    <w:p w14:paraId="601E4CDE" w14:textId="39C2D44A" w:rsidR="00F13CDF" w:rsidRPr="005C70DF" w:rsidRDefault="00F13CDF" w:rsidP="00F13CDF">
      <w:pPr>
        <w:pStyle w:val="Heading2"/>
        <w:numPr>
          <w:ilvl w:val="1"/>
          <w:numId w:val="1"/>
        </w:numPr>
        <w:spacing w:line="360" w:lineRule="auto"/>
        <w:rPr>
          <w:rFonts w:ascii="Arial" w:hAnsi="Arial" w:cs="Arial"/>
          <w:b/>
          <w:bCs/>
          <w:color w:val="000000" w:themeColor="text1"/>
          <w:sz w:val="28"/>
          <w:szCs w:val="20"/>
        </w:rPr>
      </w:pPr>
      <w:bookmarkStart w:id="3" w:name="_Toc223883300"/>
      <w:r w:rsidRPr="005C70DF">
        <w:rPr>
          <w:rFonts w:ascii="Arial" w:hAnsi="Arial" w:cs="Arial"/>
          <w:b/>
          <w:bCs/>
          <w:color w:val="000000" w:themeColor="text1"/>
          <w:sz w:val="28"/>
          <w:szCs w:val="20"/>
        </w:rPr>
        <w:t>Review Question</w:t>
      </w:r>
      <w:bookmarkEnd w:id="3"/>
    </w:p>
    <w:p w14:paraId="0577C668" w14:textId="150DB65B" w:rsidR="00F13CDF" w:rsidRPr="00F13CDF" w:rsidRDefault="000819A5" w:rsidP="00F13CDF">
      <w:pPr>
        <w:spacing w:line="360" w:lineRule="auto"/>
        <w:rPr>
          <w:rFonts w:cs="Arial"/>
          <w:color w:val="000000" w:themeColor="text1"/>
        </w:rPr>
      </w:pPr>
      <w:r w:rsidRPr="005C70DF">
        <w:rPr>
          <w:rFonts w:cs="Arial"/>
          <w:color w:val="000000" w:themeColor="text1"/>
        </w:rPr>
        <w:t>How is health and social care practice in the UK affected by the use of WhatsApp to support informal care coordination, and what are the ethical and professional boundary-related issues reported in the literature</w:t>
      </w:r>
      <w:r w:rsidR="00F13CDF" w:rsidRPr="00F13CDF">
        <w:rPr>
          <w:rFonts w:cs="Arial"/>
          <w:color w:val="000000" w:themeColor="text1"/>
        </w:rPr>
        <w:t>?</w:t>
      </w:r>
    </w:p>
    <w:p w14:paraId="5F032A85" w14:textId="6B150569" w:rsidR="00F13CDF" w:rsidRPr="005C70DF" w:rsidRDefault="00F13CDF" w:rsidP="00F13CDF">
      <w:pPr>
        <w:pStyle w:val="Heading2"/>
        <w:numPr>
          <w:ilvl w:val="1"/>
          <w:numId w:val="1"/>
        </w:numPr>
        <w:spacing w:line="360" w:lineRule="auto"/>
        <w:rPr>
          <w:rFonts w:ascii="Arial" w:hAnsi="Arial" w:cs="Arial"/>
          <w:b/>
          <w:bCs/>
          <w:color w:val="000000" w:themeColor="text1"/>
          <w:sz w:val="28"/>
          <w:szCs w:val="20"/>
        </w:rPr>
      </w:pPr>
      <w:bookmarkStart w:id="4" w:name="_Toc223883301"/>
      <w:r w:rsidRPr="005C70DF">
        <w:rPr>
          <w:rFonts w:ascii="Arial" w:hAnsi="Arial" w:cs="Arial"/>
          <w:b/>
          <w:bCs/>
          <w:color w:val="000000" w:themeColor="text1"/>
          <w:sz w:val="28"/>
          <w:szCs w:val="20"/>
        </w:rPr>
        <w:t>Objectives</w:t>
      </w:r>
      <w:bookmarkEnd w:id="4"/>
    </w:p>
    <w:p w14:paraId="178306A3" w14:textId="77777777" w:rsidR="00F13CDF" w:rsidRPr="00F13CDF" w:rsidRDefault="00F13CDF" w:rsidP="00F13CDF">
      <w:pPr>
        <w:spacing w:line="360" w:lineRule="auto"/>
        <w:rPr>
          <w:rFonts w:cs="Arial"/>
          <w:color w:val="000000" w:themeColor="text1"/>
        </w:rPr>
      </w:pPr>
      <w:r w:rsidRPr="00F13CDF">
        <w:rPr>
          <w:rFonts w:cs="Arial"/>
          <w:color w:val="000000" w:themeColor="text1"/>
        </w:rPr>
        <w:t>The objectives of this scoping review are:</w:t>
      </w:r>
    </w:p>
    <w:p w14:paraId="18A25849" w14:textId="7080159A" w:rsidR="00F13CDF" w:rsidRPr="00F13CDF" w:rsidRDefault="00F95927" w:rsidP="00F13CDF">
      <w:pPr>
        <w:numPr>
          <w:ilvl w:val="0"/>
          <w:numId w:val="5"/>
        </w:numPr>
        <w:spacing w:line="360" w:lineRule="auto"/>
        <w:rPr>
          <w:rFonts w:cs="Arial"/>
          <w:color w:val="000000" w:themeColor="text1"/>
        </w:rPr>
      </w:pPr>
      <w:r w:rsidRPr="005C70DF">
        <w:rPr>
          <w:rFonts w:cs="Arial"/>
          <w:b/>
          <w:bCs/>
          <w:color w:val="000000" w:themeColor="text1"/>
        </w:rPr>
        <w:t>O1:</w:t>
      </w:r>
      <w:r w:rsidRPr="005C70DF">
        <w:rPr>
          <w:rFonts w:cs="Arial"/>
          <w:color w:val="000000" w:themeColor="text1"/>
        </w:rPr>
        <w:t xml:space="preserve"> </w:t>
      </w:r>
      <w:r w:rsidR="00366884" w:rsidRPr="005C70DF">
        <w:rPr>
          <w:rFonts w:cs="Arial"/>
          <w:color w:val="000000" w:themeColor="text1"/>
        </w:rPr>
        <w:t>To investigate the informal communication through WhatsApp in health and social care practitioners in UK</w:t>
      </w:r>
      <w:r w:rsidR="00F13CDF" w:rsidRPr="00F13CDF">
        <w:rPr>
          <w:rFonts w:cs="Arial"/>
          <w:color w:val="000000" w:themeColor="text1"/>
        </w:rPr>
        <w:t>.</w:t>
      </w:r>
    </w:p>
    <w:p w14:paraId="27219D6C" w14:textId="3F77D61B" w:rsidR="00F13CDF" w:rsidRPr="00F13CDF" w:rsidRDefault="00F95927" w:rsidP="00F13CDF">
      <w:pPr>
        <w:numPr>
          <w:ilvl w:val="0"/>
          <w:numId w:val="5"/>
        </w:numPr>
        <w:spacing w:line="360" w:lineRule="auto"/>
        <w:rPr>
          <w:rFonts w:cs="Arial"/>
          <w:color w:val="000000" w:themeColor="text1"/>
        </w:rPr>
      </w:pPr>
      <w:r w:rsidRPr="005C70DF">
        <w:rPr>
          <w:rFonts w:cs="Arial"/>
          <w:b/>
          <w:bCs/>
          <w:color w:val="000000" w:themeColor="text1"/>
        </w:rPr>
        <w:t>O2:</w:t>
      </w:r>
      <w:r w:rsidRPr="005C70DF">
        <w:rPr>
          <w:rFonts w:cs="Arial"/>
          <w:color w:val="000000" w:themeColor="text1"/>
        </w:rPr>
        <w:t xml:space="preserve"> </w:t>
      </w:r>
      <w:r w:rsidR="007B17D3" w:rsidRPr="005C70DF">
        <w:rPr>
          <w:rFonts w:cs="Arial"/>
          <w:color w:val="000000" w:themeColor="text1"/>
        </w:rPr>
        <w:t>To determine ethical concerns that have been reported in literature such as confidentiality and data protection</w:t>
      </w:r>
      <w:r w:rsidR="00F13CDF" w:rsidRPr="00F13CDF">
        <w:rPr>
          <w:rFonts w:cs="Arial"/>
          <w:color w:val="000000" w:themeColor="text1"/>
        </w:rPr>
        <w:t>.</w:t>
      </w:r>
    </w:p>
    <w:p w14:paraId="6068B010" w14:textId="717F63F4" w:rsidR="003C0ADD" w:rsidRPr="005C70DF" w:rsidRDefault="00F95927" w:rsidP="00F13CDF">
      <w:pPr>
        <w:numPr>
          <w:ilvl w:val="0"/>
          <w:numId w:val="5"/>
        </w:numPr>
        <w:spacing w:line="360" w:lineRule="auto"/>
        <w:rPr>
          <w:rFonts w:cs="Arial"/>
          <w:color w:val="000000" w:themeColor="text1"/>
        </w:rPr>
      </w:pPr>
      <w:r w:rsidRPr="005C70DF">
        <w:rPr>
          <w:rFonts w:cs="Arial"/>
          <w:b/>
          <w:bCs/>
          <w:color w:val="000000" w:themeColor="text1"/>
        </w:rPr>
        <w:t>O3:</w:t>
      </w:r>
      <w:r w:rsidRPr="005C70DF">
        <w:rPr>
          <w:rFonts w:cs="Arial"/>
          <w:color w:val="000000" w:themeColor="text1"/>
        </w:rPr>
        <w:t xml:space="preserve"> </w:t>
      </w:r>
      <w:r w:rsidR="006C5526" w:rsidRPr="005C70DF">
        <w:rPr>
          <w:rFonts w:cs="Arial"/>
          <w:color w:val="000000" w:themeColor="text1"/>
        </w:rPr>
        <w:t>To investigate the effects of WhatsApp usage on the perception of professional boundaries and accountability</w:t>
      </w:r>
      <w:r w:rsidR="00F13CDF" w:rsidRPr="00F13CDF">
        <w:rPr>
          <w:rFonts w:cs="Arial"/>
          <w:color w:val="000000" w:themeColor="text1"/>
        </w:rPr>
        <w:t>.</w:t>
      </w:r>
    </w:p>
    <w:p w14:paraId="07614C0F" w14:textId="78891498" w:rsidR="004777B1" w:rsidRPr="005C70DF" w:rsidRDefault="003C0ADD" w:rsidP="004777B1">
      <w:pPr>
        <w:pStyle w:val="Heading1"/>
        <w:numPr>
          <w:ilvl w:val="0"/>
          <w:numId w:val="1"/>
        </w:numPr>
        <w:spacing w:line="360" w:lineRule="auto"/>
        <w:rPr>
          <w:rFonts w:ascii="Arial" w:hAnsi="Arial" w:cs="Arial"/>
          <w:b/>
          <w:bCs/>
          <w:color w:val="000000" w:themeColor="text1"/>
          <w:sz w:val="32"/>
          <w:szCs w:val="32"/>
        </w:rPr>
      </w:pPr>
      <w:bookmarkStart w:id="5" w:name="_Toc223883302"/>
      <w:r w:rsidRPr="005C70DF">
        <w:rPr>
          <w:rFonts w:ascii="Arial" w:hAnsi="Arial" w:cs="Arial"/>
          <w:b/>
          <w:bCs/>
          <w:color w:val="000000" w:themeColor="text1"/>
          <w:sz w:val="32"/>
          <w:szCs w:val="32"/>
        </w:rPr>
        <w:t>Background</w:t>
      </w:r>
      <w:bookmarkEnd w:id="5"/>
    </w:p>
    <w:p w14:paraId="3AAF92AC" w14:textId="1CAEE064" w:rsidR="004777B1" w:rsidRPr="005C70DF" w:rsidRDefault="004777B1" w:rsidP="004777B1">
      <w:pPr>
        <w:spacing w:line="360" w:lineRule="auto"/>
        <w:rPr>
          <w:rFonts w:cs="Arial"/>
          <w:color w:val="000000" w:themeColor="text1"/>
        </w:rPr>
      </w:pPr>
      <w:r w:rsidRPr="005C70DF">
        <w:rPr>
          <w:rFonts w:cs="Arial"/>
          <w:color w:val="000000" w:themeColor="text1"/>
        </w:rPr>
        <w:t xml:space="preserve">The digital communication technologies have been increasingly integrated into the modern health and social care practice. Mobile messaging apps enable practitioners to share information very fast and this can facilitate the </w:t>
      </w:r>
      <w:proofErr w:type="spellStart"/>
      <w:r w:rsidRPr="005C70DF">
        <w:rPr>
          <w:rFonts w:cs="Arial"/>
          <w:color w:val="000000" w:themeColor="text1"/>
        </w:rPr>
        <w:t>interprofessional</w:t>
      </w:r>
      <w:proofErr w:type="spellEnd"/>
      <w:r w:rsidRPr="005C70DF">
        <w:rPr>
          <w:rFonts w:cs="Arial"/>
          <w:color w:val="000000" w:themeColor="text1"/>
        </w:rPr>
        <w:t xml:space="preserve"> and interdisciplinary working relationships</w:t>
      </w:r>
      <w:r w:rsidR="00453981">
        <w:rPr>
          <w:rFonts w:cs="Arial"/>
          <w:color w:val="000000" w:themeColor="text1"/>
        </w:rPr>
        <w:t xml:space="preserve"> (Lee et al., 2023)</w:t>
      </w:r>
      <w:r w:rsidRPr="005C70DF">
        <w:rPr>
          <w:rFonts w:cs="Arial"/>
          <w:color w:val="000000" w:themeColor="text1"/>
        </w:rPr>
        <w:t xml:space="preserve">. According to </w:t>
      </w:r>
      <w:r w:rsidR="00422539" w:rsidRPr="006A1FED">
        <w:rPr>
          <w:szCs w:val="18"/>
        </w:rPr>
        <w:t>Mustafa</w:t>
      </w:r>
      <w:r w:rsidR="00422539" w:rsidRPr="005C70DF">
        <w:rPr>
          <w:rFonts w:cs="Arial"/>
          <w:color w:val="000000" w:themeColor="text1"/>
        </w:rPr>
        <w:t xml:space="preserve"> </w:t>
      </w:r>
      <w:r w:rsidR="00422539">
        <w:rPr>
          <w:rFonts w:cs="Arial"/>
          <w:color w:val="000000" w:themeColor="text1"/>
        </w:rPr>
        <w:t xml:space="preserve">et al. </w:t>
      </w:r>
      <w:r w:rsidRPr="005C70DF">
        <w:rPr>
          <w:rFonts w:cs="Arial"/>
          <w:color w:val="000000" w:themeColor="text1"/>
        </w:rPr>
        <w:t xml:space="preserve">(2022), messaging services like WhatsApp have become appealing to health professionals as this is an immediate and convenient mode of communication in settings where time-related crises play a major role. Nonetheless, </w:t>
      </w:r>
      <w:r w:rsidR="00E77B23" w:rsidRPr="006A1FED">
        <w:rPr>
          <w:szCs w:val="18"/>
        </w:rPr>
        <w:t>Sabri</w:t>
      </w:r>
      <w:r w:rsidR="00E77B23">
        <w:rPr>
          <w:szCs w:val="18"/>
        </w:rPr>
        <w:t xml:space="preserve"> </w:t>
      </w:r>
      <w:r w:rsidR="00E77B23" w:rsidRPr="006A1FED">
        <w:rPr>
          <w:szCs w:val="18"/>
        </w:rPr>
        <w:t xml:space="preserve">and </w:t>
      </w:r>
      <w:proofErr w:type="spellStart"/>
      <w:r w:rsidR="00E77B23" w:rsidRPr="006A1FED">
        <w:rPr>
          <w:szCs w:val="18"/>
        </w:rPr>
        <w:t>Kausar</w:t>
      </w:r>
      <w:proofErr w:type="spellEnd"/>
      <w:r w:rsidR="00E77B23" w:rsidRPr="006A1FED">
        <w:rPr>
          <w:szCs w:val="18"/>
        </w:rPr>
        <w:t xml:space="preserve"> </w:t>
      </w:r>
      <w:r w:rsidR="00E77B23">
        <w:rPr>
          <w:szCs w:val="18"/>
        </w:rPr>
        <w:t>(</w:t>
      </w:r>
      <w:r w:rsidR="00E77B23" w:rsidRPr="006A1FED">
        <w:rPr>
          <w:szCs w:val="18"/>
        </w:rPr>
        <w:t>2024</w:t>
      </w:r>
      <w:r w:rsidRPr="005C70DF">
        <w:rPr>
          <w:rFonts w:cs="Arial"/>
          <w:color w:val="000000" w:themeColor="text1"/>
        </w:rPr>
        <w:t>) indicate that a rise of informal messaging tool use could also bring about ethical and governance issues that organisations in healthcare should tackle.</w:t>
      </w:r>
    </w:p>
    <w:p w14:paraId="7C9AA54D" w14:textId="583FD6FC" w:rsidR="004777B1" w:rsidRPr="005C70DF" w:rsidRDefault="004777B1" w:rsidP="004777B1">
      <w:pPr>
        <w:spacing w:line="360" w:lineRule="auto"/>
        <w:rPr>
          <w:rFonts w:cs="Arial"/>
          <w:color w:val="000000" w:themeColor="text1"/>
        </w:rPr>
      </w:pPr>
      <w:r w:rsidRPr="005C70DF">
        <w:rPr>
          <w:rFonts w:cs="Arial"/>
          <w:color w:val="000000" w:themeColor="text1"/>
        </w:rPr>
        <w:t xml:space="preserve">A number of studies point to the expediency of WhatsApp in enhancing quick interaction among health care workers. According to </w:t>
      </w:r>
      <w:proofErr w:type="spellStart"/>
      <w:r w:rsidR="00AC2436" w:rsidRPr="006A1FED">
        <w:rPr>
          <w:szCs w:val="18"/>
        </w:rPr>
        <w:t>Zou</w:t>
      </w:r>
      <w:proofErr w:type="spellEnd"/>
      <w:r w:rsidR="00AC2436" w:rsidRPr="005C70DF">
        <w:rPr>
          <w:rFonts w:cs="Arial"/>
          <w:color w:val="000000" w:themeColor="text1"/>
        </w:rPr>
        <w:t xml:space="preserve"> </w:t>
      </w:r>
      <w:r w:rsidRPr="005C70DF">
        <w:rPr>
          <w:rFonts w:cs="Arial"/>
          <w:color w:val="000000" w:themeColor="text1"/>
        </w:rPr>
        <w:t>et al. (202</w:t>
      </w:r>
      <w:r w:rsidR="00AC2436">
        <w:rPr>
          <w:rFonts w:cs="Arial"/>
          <w:color w:val="000000" w:themeColor="text1"/>
        </w:rPr>
        <w:t>3</w:t>
      </w:r>
      <w:r w:rsidRPr="005C70DF">
        <w:rPr>
          <w:rFonts w:cs="Arial"/>
          <w:color w:val="000000" w:themeColor="text1"/>
        </w:rPr>
        <w:t>), messaging programs allow therapists to get the care better organi</w:t>
      </w:r>
      <w:r w:rsidR="00D32DB5">
        <w:rPr>
          <w:rFonts w:cs="Arial"/>
          <w:color w:val="000000" w:themeColor="text1"/>
        </w:rPr>
        <w:t>s</w:t>
      </w:r>
      <w:r w:rsidRPr="005C70DF">
        <w:rPr>
          <w:rFonts w:cs="Arial"/>
          <w:color w:val="000000" w:themeColor="text1"/>
        </w:rPr>
        <w:t>ed, especially in multidisciplinary teams where quick information sharing is necessary</w:t>
      </w:r>
      <w:r w:rsidR="00773ACE">
        <w:rPr>
          <w:rFonts w:cs="Arial"/>
          <w:color w:val="000000" w:themeColor="text1"/>
        </w:rPr>
        <w:t xml:space="preserve">. </w:t>
      </w:r>
      <w:proofErr w:type="spellStart"/>
      <w:r w:rsidR="00773ACE" w:rsidRPr="00773ACE">
        <w:rPr>
          <w:rFonts w:cs="Arial"/>
          <w:color w:val="000000" w:themeColor="text1"/>
        </w:rPr>
        <w:t>Thakur</w:t>
      </w:r>
      <w:proofErr w:type="spellEnd"/>
      <w:r w:rsidR="00773ACE" w:rsidRPr="00773ACE">
        <w:rPr>
          <w:rFonts w:cs="Arial"/>
          <w:color w:val="000000" w:themeColor="text1"/>
        </w:rPr>
        <w:t xml:space="preserve"> et al. (2025) assert that despite the fact that messaging platforms may improve speed of communication, they can also disrupt organisational boundaries and cause confusion regarding accountability. It implies that the technology will probably contribute to the growth of the operational efficiency, nevertheless, its informality may </w:t>
      </w:r>
      <w:proofErr w:type="spellStart"/>
      <w:r w:rsidR="00773ACE" w:rsidRPr="00773ACE">
        <w:rPr>
          <w:rFonts w:cs="Arial"/>
          <w:color w:val="000000" w:themeColor="text1"/>
        </w:rPr>
        <w:t>destabilize</w:t>
      </w:r>
      <w:proofErr w:type="spellEnd"/>
      <w:r w:rsidR="00773ACE" w:rsidRPr="00773ACE">
        <w:rPr>
          <w:rFonts w:cs="Arial"/>
          <w:color w:val="000000" w:themeColor="text1"/>
        </w:rPr>
        <w:t xml:space="preserve"> the established communication flows within healthcare systems</w:t>
      </w:r>
      <w:r w:rsidRPr="005C70DF">
        <w:rPr>
          <w:rFonts w:cs="Arial"/>
          <w:color w:val="000000" w:themeColor="text1"/>
        </w:rPr>
        <w:t>.</w:t>
      </w:r>
    </w:p>
    <w:p w14:paraId="53C46C7D" w14:textId="383F222D" w:rsidR="004777B1" w:rsidRPr="005C70DF" w:rsidRDefault="004777B1" w:rsidP="004777B1">
      <w:pPr>
        <w:spacing w:line="360" w:lineRule="auto"/>
        <w:rPr>
          <w:rFonts w:cs="Arial"/>
          <w:color w:val="000000" w:themeColor="text1"/>
        </w:rPr>
      </w:pPr>
      <w:r w:rsidRPr="005C70DF">
        <w:rPr>
          <w:rFonts w:cs="Arial"/>
          <w:color w:val="000000" w:themeColor="text1"/>
        </w:rPr>
        <w:t xml:space="preserve">There is also a controversy with WhatsApp and the impact of this system on patient confidentiality and data protection. </w:t>
      </w:r>
      <w:proofErr w:type="spellStart"/>
      <w:r w:rsidR="00921A9F" w:rsidRPr="006A1FED">
        <w:rPr>
          <w:szCs w:val="18"/>
        </w:rPr>
        <w:t>Alpers</w:t>
      </w:r>
      <w:proofErr w:type="spellEnd"/>
      <w:r w:rsidR="00921A9F" w:rsidRPr="005C70DF">
        <w:rPr>
          <w:rFonts w:cs="Arial"/>
          <w:color w:val="000000" w:themeColor="text1"/>
        </w:rPr>
        <w:t xml:space="preserve"> </w:t>
      </w:r>
      <w:r w:rsidR="00921A9F">
        <w:rPr>
          <w:rFonts w:cs="Arial"/>
          <w:color w:val="000000" w:themeColor="text1"/>
        </w:rPr>
        <w:t xml:space="preserve">et al. </w:t>
      </w:r>
      <w:r w:rsidRPr="005C70DF">
        <w:rPr>
          <w:rFonts w:cs="Arial"/>
          <w:color w:val="000000" w:themeColor="text1"/>
        </w:rPr>
        <w:t>(2022) argue that end to end encryption on the platform offers a degree of security</w:t>
      </w:r>
      <w:r w:rsidR="00921A9F">
        <w:rPr>
          <w:rFonts w:cs="Arial"/>
          <w:color w:val="000000" w:themeColor="text1"/>
        </w:rPr>
        <w:t>,</w:t>
      </w:r>
      <w:r w:rsidRPr="005C70DF">
        <w:rPr>
          <w:rFonts w:cs="Arial"/>
          <w:color w:val="000000" w:themeColor="text1"/>
        </w:rPr>
        <w:t xml:space="preserve"> which could give comfort to practitioners in the process of sharing information. Nonetheless, other researchers focus on the fact that encryption cannot ensure the adherence to the standards of healthcare data governance. According to </w:t>
      </w:r>
      <w:r w:rsidR="0002095A" w:rsidRPr="006A1FED">
        <w:rPr>
          <w:szCs w:val="18"/>
        </w:rPr>
        <w:t>Fede</w:t>
      </w:r>
      <w:r w:rsidR="0002095A">
        <w:rPr>
          <w:szCs w:val="18"/>
        </w:rPr>
        <w:t xml:space="preserve"> et al.</w:t>
      </w:r>
      <w:r w:rsidRPr="005C70DF">
        <w:rPr>
          <w:rFonts w:cs="Arial"/>
          <w:color w:val="000000" w:themeColor="text1"/>
        </w:rPr>
        <w:t xml:space="preserve"> (202</w:t>
      </w:r>
      <w:r w:rsidR="0002095A">
        <w:rPr>
          <w:rFonts w:cs="Arial"/>
          <w:color w:val="000000" w:themeColor="text1"/>
        </w:rPr>
        <w:t>3</w:t>
      </w:r>
      <w:r w:rsidRPr="005C70DF">
        <w:rPr>
          <w:rFonts w:cs="Arial"/>
          <w:color w:val="000000" w:themeColor="text1"/>
        </w:rPr>
        <w:t>), the saved clinical conversations on personal computers can contribute to the risk of data breach or unauthori</w:t>
      </w:r>
      <w:r w:rsidR="00D32DB5">
        <w:rPr>
          <w:rFonts w:cs="Arial"/>
          <w:color w:val="000000" w:themeColor="text1"/>
        </w:rPr>
        <w:t>s</w:t>
      </w:r>
      <w:r w:rsidRPr="005C70DF">
        <w:rPr>
          <w:rFonts w:cs="Arial"/>
          <w:color w:val="000000" w:themeColor="text1"/>
        </w:rPr>
        <w:t>ed access to personal data. This comparison illustrates the existence of tension between purported technological convenience on the one hand and on the other hand official regulatory expectations.</w:t>
      </w:r>
    </w:p>
    <w:p w14:paraId="14468476" w14:textId="570AD0D6" w:rsidR="00972BA5" w:rsidRPr="00972BA5" w:rsidRDefault="004777B1" w:rsidP="007661F2">
      <w:pPr>
        <w:spacing w:line="360" w:lineRule="auto"/>
        <w:rPr>
          <w:rFonts w:cs="Arial"/>
          <w:color w:val="000000" w:themeColor="text1"/>
        </w:rPr>
      </w:pPr>
      <w:r w:rsidRPr="005C70DF">
        <w:rPr>
          <w:rFonts w:cs="Arial"/>
          <w:color w:val="000000" w:themeColor="text1"/>
        </w:rPr>
        <w:t>In the UK, legislation regulating digital communication practices includes the Data Protection Act 2018 that implements the principles of the General Data Protection Regulation (GDPR)</w:t>
      </w:r>
      <w:r w:rsidR="00C568B3">
        <w:rPr>
          <w:rFonts w:cs="Arial"/>
          <w:color w:val="000000" w:themeColor="text1"/>
        </w:rPr>
        <w:t xml:space="preserve"> (</w:t>
      </w:r>
      <w:r w:rsidR="00C568B3" w:rsidRPr="00961A77">
        <w:rPr>
          <w:szCs w:val="18"/>
        </w:rPr>
        <w:t xml:space="preserve">Carmi, Zohar and </w:t>
      </w:r>
      <w:proofErr w:type="spellStart"/>
      <w:r w:rsidR="00C568B3" w:rsidRPr="00961A77">
        <w:rPr>
          <w:szCs w:val="18"/>
        </w:rPr>
        <w:t>Riva</w:t>
      </w:r>
      <w:proofErr w:type="spellEnd"/>
      <w:r w:rsidR="00C568B3" w:rsidRPr="00961A77">
        <w:rPr>
          <w:szCs w:val="18"/>
        </w:rPr>
        <w:t>, 2023</w:t>
      </w:r>
      <w:r w:rsidR="00C568B3">
        <w:rPr>
          <w:szCs w:val="18"/>
        </w:rPr>
        <w:t>)</w:t>
      </w:r>
      <w:r w:rsidRPr="005C70DF">
        <w:rPr>
          <w:rFonts w:cs="Arial"/>
          <w:color w:val="000000" w:themeColor="text1"/>
        </w:rPr>
        <w:t xml:space="preserve">. These guidelines demand the healthcare organisations to make sure that personal information is handled efficiently and solely by approved systems. The professional regulatory bodies also stress on confidentiality and professionalism in discussing patients. </w:t>
      </w:r>
      <w:r w:rsidR="00B1264B" w:rsidRPr="005C70DF">
        <w:rPr>
          <w:rFonts w:cs="Arial"/>
          <w:color w:val="000000" w:themeColor="text1"/>
        </w:rPr>
        <w:t>The Nursing and Midwifery Council and the General Medical Council underscore the importance of ensuring that practices even in digital communication preserve patient privacy and uphold professionalism by the practitioners</w:t>
      </w:r>
      <w:r w:rsidR="00C20780">
        <w:rPr>
          <w:rFonts w:cs="Arial"/>
          <w:color w:val="000000" w:themeColor="text1"/>
        </w:rPr>
        <w:t xml:space="preserve"> (</w:t>
      </w:r>
      <w:r w:rsidR="00C20780" w:rsidRPr="00961A77">
        <w:rPr>
          <w:szCs w:val="18"/>
        </w:rPr>
        <w:t>Gallagher</w:t>
      </w:r>
      <w:r w:rsidR="00C20780">
        <w:rPr>
          <w:szCs w:val="18"/>
        </w:rPr>
        <w:t xml:space="preserve"> </w:t>
      </w:r>
      <w:r w:rsidR="00C20780" w:rsidRPr="00961A77">
        <w:rPr>
          <w:szCs w:val="18"/>
        </w:rPr>
        <w:t>and Saleem, 2022</w:t>
      </w:r>
      <w:r w:rsidR="00C20780">
        <w:rPr>
          <w:szCs w:val="18"/>
        </w:rPr>
        <w:t xml:space="preserve">; </w:t>
      </w:r>
      <w:r w:rsidR="00C20780" w:rsidRPr="00961A77">
        <w:rPr>
          <w:szCs w:val="18"/>
        </w:rPr>
        <w:t>Dickerson, 2022</w:t>
      </w:r>
      <w:r w:rsidR="00C20780">
        <w:rPr>
          <w:szCs w:val="18"/>
        </w:rPr>
        <w:t>)</w:t>
      </w:r>
      <w:r w:rsidRPr="005C70DF">
        <w:rPr>
          <w:rFonts w:cs="Arial"/>
          <w:color w:val="000000" w:themeColor="text1"/>
        </w:rPr>
        <w:t>.</w:t>
      </w:r>
    </w:p>
    <w:p w14:paraId="6256DED9" w14:textId="3BA72C78" w:rsidR="005D324C" w:rsidRPr="005C70DF" w:rsidRDefault="00616C5B" w:rsidP="00972BA5">
      <w:pPr>
        <w:spacing w:line="360" w:lineRule="auto"/>
        <w:rPr>
          <w:rFonts w:cs="Arial"/>
          <w:color w:val="000000" w:themeColor="text1"/>
        </w:rPr>
      </w:pPr>
      <w:r w:rsidRPr="005C70DF">
        <w:rPr>
          <w:rFonts w:cs="Arial"/>
          <w:color w:val="000000" w:themeColor="text1"/>
        </w:rPr>
        <w:t xml:space="preserve">The COVID-19 pandemic also expedited the implementation of digital communication tools in a healthcare setting. </w:t>
      </w:r>
      <w:proofErr w:type="spellStart"/>
      <w:r w:rsidR="005975B7" w:rsidRPr="00961A77">
        <w:rPr>
          <w:szCs w:val="18"/>
        </w:rPr>
        <w:t>Fatani</w:t>
      </w:r>
      <w:proofErr w:type="spellEnd"/>
      <w:r w:rsidR="005975B7" w:rsidRPr="00961A77">
        <w:rPr>
          <w:szCs w:val="18"/>
        </w:rPr>
        <w:t xml:space="preserve">, </w:t>
      </w:r>
      <w:proofErr w:type="spellStart"/>
      <w:r w:rsidR="005975B7" w:rsidRPr="00961A77">
        <w:rPr>
          <w:szCs w:val="18"/>
        </w:rPr>
        <w:t>Shamayleh</w:t>
      </w:r>
      <w:proofErr w:type="spellEnd"/>
      <w:r w:rsidR="005975B7" w:rsidRPr="00961A77">
        <w:rPr>
          <w:szCs w:val="18"/>
        </w:rPr>
        <w:t xml:space="preserve"> and </w:t>
      </w:r>
      <w:proofErr w:type="spellStart"/>
      <w:r w:rsidR="005975B7" w:rsidRPr="00961A77">
        <w:rPr>
          <w:szCs w:val="18"/>
        </w:rPr>
        <w:t>Alshraideh</w:t>
      </w:r>
      <w:proofErr w:type="spellEnd"/>
      <w:r w:rsidR="005975B7" w:rsidRPr="00961A77">
        <w:rPr>
          <w:szCs w:val="18"/>
        </w:rPr>
        <w:t xml:space="preserve"> </w:t>
      </w:r>
      <w:r w:rsidR="005975B7">
        <w:rPr>
          <w:szCs w:val="18"/>
        </w:rPr>
        <w:t>(</w:t>
      </w:r>
      <w:r w:rsidR="005975B7" w:rsidRPr="00961A77">
        <w:rPr>
          <w:szCs w:val="18"/>
        </w:rPr>
        <w:t>2024</w:t>
      </w:r>
      <w:r w:rsidRPr="005C70DF">
        <w:rPr>
          <w:rFonts w:cs="Arial"/>
          <w:color w:val="000000" w:themeColor="text1"/>
        </w:rPr>
        <w:t>) claim that practitioners often used messaging platforms to organise care when organisations were experiencing disruption. Nevertheless, these authors also mention that informal communication tool adoption regarding the emergency situation was sometimes done without proper governance structures. This means that healthcare organisations are still grappling with the concern of balancing the effectiveness of medical digital communication with the necessity to ensure strong data protection and professional accountability guidelines</w:t>
      </w:r>
      <w:r w:rsidR="00972BA5" w:rsidRPr="00972BA5">
        <w:rPr>
          <w:rFonts w:cs="Arial"/>
          <w:color w:val="000000" w:themeColor="text1"/>
        </w:rPr>
        <w:t>.</w:t>
      </w:r>
    </w:p>
    <w:p w14:paraId="543A171B" w14:textId="13654D6E" w:rsidR="003C0ADD" w:rsidRPr="005C70DF" w:rsidRDefault="003C0ADD" w:rsidP="00D14481">
      <w:pPr>
        <w:pStyle w:val="Heading1"/>
        <w:numPr>
          <w:ilvl w:val="0"/>
          <w:numId w:val="1"/>
        </w:numPr>
        <w:spacing w:line="360" w:lineRule="auto"/>
        <w:rPr>
          <w:rFonts w:ascii="Arial" w:hAnsi="Arial" w:cs="Arial"/>
          <w:b/>
          <w:bCs/>
          <w:color w:val="000000" w:themeColor="text1"/>
          <w:sz w:val="32"/>
          <w:szCs w:val="32"/>
        </w:rPr>
      </w:pPr>
      <w:bookmarkStart w:id="6" w:name="_Toc223883303"/>
      <w:r w:rsidRPr="005C70DF">
        <w:rPr>
          <w:rFonts w:ascii="Arial" w:hAnsi="Arial" w:cs="Arial"/>
          <w:b/>
          <w:bCs/>
          <w:color w:val="000000" w:themeColor="text1"/>
          <w:sz w:val="32"/>
          <w:szCs w:val="32"/>
        </w:rPr>
        <w:t>Methods</w:t>
      </w:r>
      <w:bookmarkEnd w:id="6"/>
    </w:p>
    <w:p w14:paraId="1D5E1BB7" w14:textId="255982BE" w:rsidR="00D14481" w:rsidRPr="005C70DF" w:rsidRDefault="00D14481" w:rsidP="00D14481">
      <w:pPr>
        <w:pStyle w:val="Heading2"/>
        <w:numPr>
          <w:ilvl w:val="1"/>
          <w:numId w:val="1"/>
        </w:numPr>
        <w:spacing w:line="360" w:lineRule="auto"/>
        <w:rPr>
          <w:rFonts w:ascii="Arial" w:hAnsi="Arial" w:cs="Arial"/>
          <w:b/>
          <w:bCs/>
          <w:color w:val="000000" w:themeColor="text1"/>
          <w:sz w:val="28"/>
          <w:szCs w:val="20"/>
        </w:rPr>
      </w:pPr>
      <w:bookmarkStart w:id="7" w:name="_Toc223883304"/>
      <w:r w:rsidRPr="005C70DF">
        <w:rPr>
          <w:rFonts w:ascii="Arial" w:hAnsi="Arial" w:cs="Arial"/>
          <w:b/>
          <w:bCs/>
          <w:color w:val="000000" w:themeColor="text1"/>
          <w:sz w:val="28"/>
          <w:szCs w:val="20"/>
        </w:rPr>
        <w:t>Scoping Review Framework</w:t>
      </w:r>
      <w:bookmarkEnd w:id="7"/>
    </w:p>
    <w:p w14:paraId="3E59F660" w14:textId="756C5A03" w:rsidR="00D14481" w:rsidRPr="00D14481" w:rsidRDefault="00D35441" w:rsidP="00D14481">
      <w:pPr>
        <w:spacing w:line="360" w:lineRule="auto"/>
        <w:rPr>
          <w:rFonts w:cs="Arial"/>
          <w:color w:val="000000" w:themeColor="text1"/>
        </w:rPr>
      </w:pPr>
      <w:r w:rsidRPr="005C70DF">
        <w:rPr>
          <w:rFonts w:cs="Arial"/>
          <w:color w:val="000000" w:themeColor="text1"/>
        </w:rPr>
        <w:t xml:space="preserve">This research used the scoping review approach developed by </w:t>
      </w:r>
      <w:proofErr w:type="spellStart"/>
      <w:r w:rsidRPr="005C70DF">
        <w:rPr>
          <w:rFonts w:cs="Arial"/>
          <w:color w:val="000000" w:themeColor="text1"/>
        </w:rPr>
        <w:t>Arksey</w:t>
      </w:r>
      <w:proofErr w:type="spellEnd"/>
      <w:r w:rsidRPr="005C70DF">
        <w:rPr>
          <w:rFonts w:cs="Arial"/>
          <w:color w:val="000000" w:themeColor="text1"/>
        </w:rPr>
        <w:t xml:space="preserve"> and O'Malley (2005) to develop a systematic mapping of the available heritage pertaining to the application of WhatsApp in informal communication in the UK health and social care practice. Scoping reviews are specifically appropriate when an objective of the study is to examine the depth, nature, and nature of research evidence in a developing area as compared to gauging the efficacy of an intervention</w:t>
      </w:r>
      <w:r w:rsidR="00726298">
        <w:rPr>
          <w:rFonts w:cs="Arial"/>
          <w:color w:val="000000" w:themeColor="text1"/>
        </w:rPr>
        <w:t xml:space="preserve"> (</w:t>
      </w:r>
      <w:r w:rsidR="00726298" w:rsidRPr="00961A77">
        <w:rPr>
          <w:szCs w:val="18"/>
        </w:rPr>
        <w:t>Peterson</w:t>
      </w:r>
      <w:r w:rsidR="00726298">
        <w:rPr>
          <w:szCs w:val="18"/>
        </w:rPr>
        <w:t xml:space="preserve"> et al., 2017</w:t>
      </w:r>
      <w:r w:rsidR="005B711D">
        <w:rPr>
          <w:szCs w:val="18"/>
        </w:rPr>
        <w:t xml:space="preserve">; </w:t>
      </w:r>
      <w:r w:rsidR="005B711D" w:rsidRPr="00961A77">
        <w:rPr>
          <w:szCs w:val="18"/>
        </w:rPr>
        <w:t>Peters</w:t>
      </w:r>
      <w:r w:rsidR="005B711D">
        <w:rPr>
          <w:szCs w:val="18"/>
        </w:rPr>
        <w:t xml:space="preserve"> et al., 2021</w:t>
      </w:r>
      <w:r w:rsidR="00726298">
        <w:rPr>
          <w:szCs w:val="18"/>
        </w:rPr>
        <w:t>)</w:t>
      </w:r>
      <w:r w:rsidRPr="005C70DF">
        <w:rPr>
          <w:rFonts w:cs="Arial"/>
          <w:color w:val="000000" w:themeColor="text1"/>
        </w:rPr>
        <w:t>. The current evidence on the digital communication practices within the field of healthcare is splintered based on its varied professional settings and research designs. That is why a scoping method enabled the systematic investigation of the experience of practitioners and ethical issues related to the use of WhatsApp</w:t>
      </w:r>
      <w:r w:rsidR="00D14481" w:rsidRPr="00D14481">
        <w:rPr>
          <w:rFonts w:cs="Arial"/>
          <w:color w:val="000000" w:themeColor="text1"/>
        </w:rPr>
        <w:t>.</w:t>
      </w:r>
    </w:p>
    <w:p w14:paraId="1C4D91E0" w14:textId="5DA3F9A6" w:rsidR="00D14481" w:rsidRPr="00D14481" w:rsidRDefault="002F100B" w:rsidP="00D14481">
      <w:pPr>
        <w:spacing w:line="360" w:lineRule="auto"/>
        <w:rPr>
          <w:rFonts w:cs="Arial"/>
          <w:color w:val="000000" w:themeColor="text1"/>
        </w:rPr>
      </w:pPr>
      <w:r w:rsidRPr="005C70DF">
        <w:rPr>
          <w:rFonts w:cs="Arial"/>
          <w:color w:val="000000" w:themeColor="text1"/>
        </w:rPr>
        <w:t xml:space="preserve">The review adhered to the five major stages outlined by </w:t>
      </w:r>
      <w:proofErr w:type="spellStart"/>
      <w:r w:rsidRPr="005C70DF">
        <w:rPr>
          <w:rFonts w:cs="Arial"/>
          <w:color w:val="000000" w:themeColor="text1"/>
        </w:rPr>
        <w:t>Arksey</w:t>
      </w:r>
      <w:proofErr w:type="spellEnd"/>
      <w:r w:rsidRPr="005C70DF">
        <w:rPr>
          <w:rFonts w:cs="Arial"/>
          <w:color w:val="000000" w:themeColor="text1"/>
        </w:rPr>
        <w:t xml:space="preserve"> and O'Malley (2005). The initial phase was to identify a concise research question that dedicated its attention to the experiences of practitioners using WhatsApp to coordinate informal care and the ethical and professional boundaries issues related to this aspect. The second phase consisted of the search of literature in the form of peer-reviewed publications in databases. During title and abstract screening in the third phase, titles and abstracts were filtered according to set inclusion and exclusion criteria to judge their relevance to the research question. The fourth phase was associated with mapping the chosen research through the derivation of the main features of the research, including the design, population, and results. Lastly, the fifth phase entailed concluding and summarising the results under a thematic analysis </w:t>
      </w:r>
      <w:r w:rsidR="00D32DB5">
        <w:rPr>
          <w:rFonts w:cs="Arial"/>
          <w:color w:val="000000" w:themeColor="text1"/>
        </w:rPr>
        <w:t>to</w:t>
      </w:r>
      <w:r w:rsidRPr="005C70DF">
        <w:rPr>
          <w:rFonts w:cs="Arial"/>
          <w:color w:val="000000" w:themeColor="text1"/>
        </w:rPr>
        <w:t xml:space="preserve"> establish common trends in the literature. This systematic review process was important in making sure the review was transparent and systematic and in mapping major evidence that was relevant to the research</w:t>
      </w:r>
      <w:r w:rsidR="00D14481" w:rsidRPr="00D14481">
        <w:rPr>
          <w:rFonts w:cs="Arial"/>
          <w:color w:val="000000" w:themeColor="text1"/>
        </w:rPr>
        <w:t xml:space="preserve"> objectives.</w:t>
      </w:r>
    </w:p>
    <w:p w14:paraId="66E1FF69" w14:textId="1EC4AE3F" w:rsidR="00D14481" w:rsidRPr="005C70DF" w:rsidRDefault="00D14481" w:rsidP="00D14481">
      <w:pPr>
        <w:pStyle w:val="Heading2"/>
        <w:numPr>
          <w:ilvl w:val="1"/>
          <w:numId w:val="1"/>
        </w:numPr>
        <w:spacing w:line="360" w:lineRule="auto"/>
        <w:rPr>
          <w:rFonts w:ascii="Arial" w:hAnsi="Arial" w:cs="Arial"/>
          <w:b/>
          <w:bCs/>
          <w:color w:val="000000" w:themeColor="text1"/>
          <w:sz w:val="28"/>
          <w:szCs w:val="20"/>
        </w:rPr>
      </w:pPr>
      <w:bookmarkStart w:id="8" w:name="_Toc223883305"/>
      <w:r w:rsidRPr="005C70DF">
        <w:rPr>
          <w:rFonts w:ascii="Arial" w:hAnsi="Arial" w:cs="Arial"/>
          <w:b/>
          <w:bCs/>
          <w:color w:val="000000" w:themeColor="text1"/>
          <w:sz w:val="28"/>
          <w:szCs w:val="20"/>
        </w:rPr>
        <w:t>Search Strategy</w:t>
      </w:r>
      <w:bookmarkEnd w:id="8"/>
    </w:p>
    <w:p w14:paraId="412BF98F" w14:textId="68A3076D" w:rsidR="00D14481" w:rsidRPr="00D14481" w:rsidRDefault="006371AD" w:rsidP="00D14481">
      <w:pPr>
        <w:spacing w:line="360" w:lineRule="auto"/>
        <w:rPr>
          <w:rFonts w:cs="Arial"/>
          <w:color w:val="000000" w:themeColor="text1"/>
        </w:rPr>
      </w:pPr>
      <w:r w:rsidRPr="005C70DF">
        <w:rPr>
          <w:rFonts w:cs="Arial"/>
          <w:color w:val="000000" w:themeColor="text1"/>
        </w:rPr>
        <w:t>An organi</w:t>
      </w:r>
      <w:r w:rsidR="00D32DB5">
        <w:rPr>
          <w:rFonts w:cs="Arial"/>
          <w:color w:val="000000" w:themeColor="text1"/>
        </w:rPr>
        <w:t>s</w:t>
      </w:r>
      <w:r w:rsidRPr="005C70DF">
        <w:rPr>
          <w:rFonts w:cs="Arial"/>
          <w:color w:val="000000" w:themeColor="text1"/>
        </w:rPr>
        <w:t xml:space="preserve">ed search engine was executed to find the pertinent literature in the field of research. It was chosen to use three academic databases, CINAHL, </w:t>
      </w:r>
      <w:proofErr w:type="spellStart"/>
      <w:r w:rsidRPr="005C70DF">
        <w:rPr>
          <w:rFonts w:cs="Arial"/>
          <w:color w:val="000000" w:themeColor="text1"/>
        </w:rPr>
        <w:t>Scopus</w:t>
      </w:r>
      <w:proofErr w:type="spellEnd"/>
      <w:r w:rsidRPr="005C70DF">
        <w:rPr>
          <w:rFonts w:cs="Arial"/>
          <w:color w:val="000000" w:themeColor="text1"/>
        </w:rPr>
        <w:t>, and PubMed</w:t>
      </w:r>
      <w:r w:rsidR="00ED04FE">
        <w:rPr>
          <w:rFonts w:cs="Arial"/>
          <w:color w:val="000000" w:themeColor="text1"/>
        </w:rPr>
        <w:t xml:space="preserve"> (</w:t>
      </w:r>
      <w:proofErr w:type="spellStart"/>
      <w:r w:rsidR="00ED04FE" w:rsidRPr="00E91FBF">
        <w:rPr>
          <w:szCs w:val="18"/>
        </w:rPr>
        <w:t>Frandsen</w:t>
      </w:r>
      <w:proofErr w:type="spellEnd"/>
      <w:r w:rsidR="00ED04FE">
        <w:rPr>
          <w:szCs w:val="18"/>
        </w:rPr>
        <w:t xml:space="preserve"> et al., 2025)</w:t>
      </w:r>
      <w:r w:rsidRPr="005C70DF">
        <w:rPr>
          <w:rFonts w:cs="Arial"/>
          <w:color w:val="000000" w:themeColor="text1"/>
        </w:rPr>
        <w:t>. These databases were selected as they offer a good cover to the literature on health, nursing, and social care research information and are also popular in health sciences research. The search was performed with the help of Boolean operators to investigate the combination of keywords that concern digital communication, practitioners, and the use of WhatsApp. The search was limited to the period 2021-2026 as it aimed to identify current pieces of evidence that would represent the digital communication norms post-COVID-19. Table 1 provides the primary search queries employed in the chosen databases</w:t>
      </w:r>
      <w:r w:rsidR="00D14481" w:rsidRPr="00D14481">
        <w:rPr>
          <w:rFonts w:cs="Arial"/>
          <w:color w:val="000000" w:themeColor="text1"/>
        </w:rPr>
        <w:t>.</w:t>
      </w:r>
    </w:p>
    <w:p w14:paraId="098F949B" w14:textId="0873D498" w:rsidR="00D14481" w:rsidRPr="005C70DF" w:rsidRDefault="00D14481" w:rsidP="00D14481">
      <w:pPr>
        <w:pStyle w:val="Caption"/>
        <w:keepNext/>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1</w:t>
      </w:r>
      <w:r w:rsidRPr="005C70DF">
        <w:rPr>
          <w:rFonts w:cs="Arial"/>
          <w:b/>
          <w:bCs/>
          <w:i w:val="0"/>
          <w:iCs w:val="0"/>
          <w:color w:val="000000" w:themeColor="text1"/>
        </w:rPr>
        <w:fldChar w:fldCharType="end"/>
      </w:r>
      <w:r w:rsidRPr="005C70DF">
        <w:rPr>
          <w:rFonts w:cs="Arial"/>
          <w:b/>
          <w:bCs/>
          <w:i w:val="0"/>
          <w:iCs w:val="0"/>
          <w:color w:val="000000" w:themeColor="text1"/>
        </w:rPr>
        <w:t xml:space="preserve">: </w:t>
      </w:r>
      <w:r w:rsidRPr="00D14481">
        <w:rPr>
          <w:rFonts w:cs="Arial"/>
          <w:b/>
          <w:bCs/>
          <w:i w:val="0"/>
          <w:iCs w:val="0"/>
          <w:color w:val="000000" w:themeColor="text1"/>
        </w:rPr>
        <w:t>Database Search Strategy and Boolean Strings</w:t>
      </w:r>
    </w:p>
    <w:tbl>
      <w:tblPr>
        <w:tblStyle w:val="TableGrid0"/>
        <w:tblW w:w="0" w:type="auto"/>
        <w:jc w:val="center"/>
        <w:shd w:val="clear" w:color="auto" w:fill="E2EFD9" w:themeFill="accent6" w:themeFillTint="33"/>
        <w:tblLook w:val="04A0" w:firstRow="1" w:lastRow="0" w:firstColumn="1" w:lastColumn="0" w:noHBand="0" w:noVBand="1"/>
      </w:tblPr>
      <w:tblGrid>
        <w:gridCol w:w="1216"/>
        <w:gridCol w:w="4379"/>
        <w:gridCol w:w="3755"/>
      </w:tblGrid>
      <w:tr w:rsidR="006137CB" w:rsidRPr="005C70DF" w14:paraId="6D308D85" w14:textId="77777777" w:rsidTr="00D14481">
        <w:trPr>
          <w:jc w:val="center"/>
        </w:trPr>
        <w:tc>
          <w:tcPr>
            <w:tcW w:w="0" w:type="auto"/>
            <w:shd w:val="clear" w:color="auto" w:fill="E2EFD9" w:themeFill="accent6" w:themeFillTint="33"/>
            <w:vAlign w:val="center"/>
            <w:hideMark/>
          </w:tcPr>
          <w:p w14:paraId="4F11BD76" w14:textId="77777777" w:rsidR="00D14481" w:rsidRPr="00D14481" w:rsidRDefault="00D14481" w:rsidP="00D14481">
            <w:pPr>
              <w:spacing w:line="360" w:lineRule="auto"/>
              <w:jc w:val="center"/>
              <w:rPr>
                <w:rFonts w:cs="Arial"/>
                <w:b/>
                <w:bCs/>
                <w:color w:val="000000" w:themeColor="text1"/>
                <w:sz w:val="20"/>
                <w:szCs w:val="20"/>
              </w:rPr>
            </w:pPr>
            <w:r w:rsidRPr="00D14481">
              <w:rPr>
                <w:rFonts w:cs="Arial"/>
                <w:b/>
                <w:bCs/>
                <w:color w:val="000000" w:themeColor="text1"/>
                <w:sz w:val="20"/>
                <w:szCs w:val="20"/>
              </w:rPr>
              <w:t>Database</w:t>
            </w:r>
          </w:p>
        </w:tc>
        <w:tc>
          <w:tcPr>
            <w:tcW w:w="0" w:type="auto"/>
            <w:shd w:val="clear" w:color="auto" w:fill="E2EFD9" w:themeFill="accent6" w:themeFillTint="33"/>
            <w:vAlign w:val="center"/>
            <w:hideMark/>
          </w:tcPr>
          <w:p w14:paraId="769E41E3" w14:textId="77777777" w:rsidR="00D14481" w:rsidRPr="00D14481" w:rsidRDefault="00D14481" w:rsidP="00D14481">
            <w:pPr>
              <w:spacing w:line="360" w:lineRule="auto"/>
              <w:jc w:val="center"/>
              <w:rPr>
                <w:rFonts w:cs="Arial"/>
                <w:b/>
                <w:bCs/>
                <w:color w:val="000000" w:themeColor="text1"/>
                <w:sz w:val="20"/>
                <w:szCs w:val="20"/>
              </w:rPr>
            </w:pPr>
            <w:r w:rsidRPr="00D14481">
              <w:rPr>
                <w:rFonts w:cs="Arial"/>
                <w:b/>
                <w:bCs/>
                <w:color w:val="000000" w:themeColor="text1"/>
                <w:sz w:val="20"/>
                <w:szCs w:val="20"/>
              </w:rPr>
              <w:t>Example Boolean Search String</w:t>
            </w:r>
          </w:p>
        </w:tc>
        <w:tc>
          <w:tcPr>
            <w:tcW w:w="0" w:type="auto"/>
            <w:shd w:val="clear" w:color="auto" w:fill="E2EFD9" w:themeFill="accent6" w:themeFillTint="33"/>
            <w:vAlign w:val="center"/>
            <w:hideMark/>
          </w:tcPr>
          <w:p w14:paraId="3052A27E" w14:textId="77777777" w:rsidR="00D14481" w:rsidRPr="00D14481" w:rsidRDefault="00D14481" w:rsidP="00D14481">
            <w:pPr>
              <w:spacing w:line="360" w:lineRule="auto"/>
              <w:jc w:val="center"/>
              <w:rPr>
                <w:rFonts w:cs="Arial"/>
                <w:b/>
                <w:bCs/>
                <w:color w:val="000000" w:themeColor="text1"/>
                <w:sz w:val="20"/>
                <w:szCs w:val="20"/>
              </w:rPr>
            </w:pPr>
            <w:r w:rsidRPr="00D14481">
              <w:rPr>
                <w:rFonts w:cs="Arial"/>
                <w:b/>
                <w:bCs/>
                <w:color w:val="000000" w:themeColor="text1"/>
                <w:sz w:val="20"/>
                <w:szCs w:val="20"/>
              </w:rPr>
              <w:t>Purpose</w:t>
            </w:r>
          </w:p>
        </w:tc>
      </w:tr>
      <w:tr w:rsidR="006137CB" w:rsidRPr="005C70DF" w14:paraId="1C0576AD" w14:textId="77777777" w:rsidTr="00D14481">
        <w:trPr>
          <w:jc w:val="center"/>
        </w:trPr>
        <w:tc>
          <w:tcPr>
            <w:tcW w:w="0" w:type="auto"/>
            <w:shd w:val="clear" w:color="auto" w:fill="E2EFD9" w:themeFill="accent6" w:themeFillTint="33"/>
            <w:vAlign w:val="center"/>
            <w:hideMark/>
          </w:tcPr>
          <w:p w14:paraId="7AB207AC" w14:textId="77777777" w:rsidR="00D14481" w:rsidRPr="00D14481" w:rsidRDefault="00D14481" w:rsidP="00D14481">
            <w:pPr>
              <w:spacing w:line="360" w:lineRule="auto"/>
              <w:jc w:val="center"/>
              <w:rPr>
                <w:rFonts w:cs="Arial"/>
                <w:b/>
                <w:bCs/>
                <w:color w:val="000000" w:themeColor="text1"/>
                <w:sz w:val="20"/>
                <w:szCs w:val="20"/>
              </w:rPr>
            </w:pPr>
            <w:r w:rsidRPr="00D14481">
              <w:rPr>
                <w:rFonts w:cs="Arial"/>
                <w:b/>
                <w:bCs/>
                <w:color w:val="000000" w:themeColor="text1"/>
                <w:sz w:val="20"/>
                <w:szCs w:val="20"/>
              </w:rPr>
              <w:t>CINAHL</w:t>
            </w:r>
          </w:p>
        </w:tc>
        <w:tc>
          <w:tcPr>
            <w:tcW w:w="0" w:type="auto"/>
            <w:shd w:val="clear" w:color="auto" w:fill="E2EFD9" w:themeFill="accent6" w:themeFillTint="33"/>
            <w:vAlign w:val="center"/>
            <w:hideMark/>
          </w:tcPr>
          <w:p w14:paraId="1ADD421B" w14:textId="7D1F7422"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“WhatsApp AND healthcare professionals AND communication</w:t>
            </w:r>
            <w:r w:rsidRPr="005C70DF">
              <w:rPr>
                <w:rFonts w:cs="Arial"/>
                <w:color w:val="000000" w:themeColor="text1"/>
                <w:sz w:val="20"/>
                <w:szCs w:val="20"/>
              </w:rPr>
              <w:t xml:space="preserve"> </w:t>
            </w:r>
            <w:r w:rsidRPr="00D14481">
              <w:rPr>
                <w:rFonts w:cs="Arial"/>
                <w:color w:val="000000" w:themeColor="text1"/>
                <w:sz w:val="20"/>
                <w:szCs w:val="20"/>
              </w:rPr>
              <w:t>AND</w:t>
            </w:r>
            <w:r w:rsidRPr="005C70DF">
              <w:rPr>
                <w:rFonts w:cs="Arial"/>
                <w:color w:val="000000" w:themeColor="text1"/>
                <w:sz w:val="20"/>
                <w:szCs w:val="20"/>
              </w:rPr>
              <w:t xml:space="preserve"> UK</w:t>
            </w:r>
            <w:r w:rsidRPr="00D14481">
              <w:rPr>
                <w:rFonts w:cs="Arial"/>
                <w:color w:val="000000" w:themeColor="text1"/>
                <w:sz w:val="20"/>
                <w:szCs w:val="20"/>
              </w:rPr>
              <w:t>”</w:t>
            </w:r>
          </w:p>
        </w:tc>
        <w:tc>
          <w:tcPr>
            <w:tcW w:w="0" w:type="auto"/>
            <w:shd w:val="clear" w:color="auto" w:fill="E2EFD9" w:themeFill="accent6" w:themeFillTint="33"/>
            <w:vAlign w:val="center"/>
            <w:hideMark/>
          </w:tcPr>
          <w:p w14:paraId="353DB996" w14:textId="77777777"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Identify practitioner experiences of WhatsApp use in healthcare settings</w:t>
            </w:r>
          </w:p>
        </w:tc>
      </w:tr>
      <w:tr w:rsidR="006137CB" w:rsidRPr="005C70DF" w14:paraId="15C92537" w14:textId="77777777" w:rsidTr="00D14481">
        <w:trPr>
          <w:jc w:val="center"/>
        </w:trPr>
        <w:tc>
          <w:tcPr>
            <w:tcW w:w="0" w:type="auto"/>
            <w:shd w:val="clear" w:color="auto" w:fill="E2EFD9" w:themeFill="accent6" w:themeFillTint="33"/>
            <w:vAlign w:val="center"/>
            <w:hideMark/>
          </w:tcPr>
          <w:p w14:paraId="18A693C1" w14:textId="77777777" w:rsidR="00D14481" w:rsidRPr="00D14481" w:rsidRDefault="00D14481" w:rsidP="00D14481">
            <w:pPr>
              <w:spacing w:line="360" w:lineRule="auto"/>
              <w:jc w:val="center"/>
              <w:rPr>
                <w:rFonts w:cs="Arial"/>
                <w:b/>
                <w:bCs/>
                <w:color w:val="000000" w:themeColor="text1"/>
                <w:sz w:val="20"/>
                <w:szCs w:val="20"/>
              </w:rPr>
            </w:pPr>
            <w:proofErr w:type="spellStart"/>
            <w:r w:rsidRPr="00D14481">
              <w:rPr>
                <w:rFonts w:cs="Arial"/>
                <w:b/>
                <w:bCs/>
                <w:color w:val="000000" w:themeColor="text1"/>
                <w:sz w:val="20"/>
                <w:szCs w:val="20"/>
              </w:rPr>
              <w:t>Scopus</w:t>
            </w:r>
            <w:proofErr w:type="spellEnd"/>
          </w:p>
        </w:tc>
        <w:tc>
          <w:tcPr>
            <w:tcW w:w="0" w:type="auto"/>
            <w:shd w:val="clear" w:color="auto" w:fill="E2EFD9" w:themeFill="accent6" w:themeFillTint="33"/>
            <w:vAlign w:val="center"/>
            <w:hideMark/>
          </w:tcPr>
          <w:p w14:paraId="497F22D6" w14:textId="1B6E256E"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“WhatsApp AND care coordination AND healthcare communication</w:t>
            </w:r>
            <w:r w:rsidRPr="005C70DF">
              <w:rPr>
                <w:rFonts w:cs="Arial"/>
                <w:color w:val="000000" w:themeColor="text1"/>
                <w:sz w:val="20"/>
                <w:szCs w:val="20"/>
              </w:rPr>
              <w:t xml:space="preserve"> </w:t>
            </w:r>
            <w:r w:rsidRPr="00D14481">
              <w:rPr>
                <w:rFonts w:cs="Arial"/>
                <w:color w:val="000000" w:themeColor="text1"/>
                <w:sz w:val="20"/>
                <w:szCs w:val="20"/>
              </w:rPr>
              <w:t>AND</w:t>
            </w:r>
            <w:r w:rsidRPr="005C70DF">
              <w:rPr>
                <w:rFonts w:cs="Arial"/>
                <w:color w:val="000000" w:themeColor="text1"/>
                <w:sz w:val="20"/>
                <w:szCs w:val="20"/>
              </w:rPr>
              <w:t xml:space="preserve"> UK</w:t>
            </w:r>
            <w:r w:rsidRPr="00D14481">
              <w:rPr>
                <w:rFonts w:cs="Arial"/>
                <w:color w:val="000000" w:themeColor="text1"/>
                <w:sz w:val="20"/>
                <w:szCs w:val="20"/>
              </w:rPr>
              <w:t>”</w:t>
            </w:r>
          </w:p>
        </w:tc>
        <w:tc>
          <w:tcPr>
            <w:tcW w:w="0" w:type="auto"/>
            <w:shd w:val="clear" w:color="auto" w:fill="E2EFD9" w:themeFill="accent6" w:themeFillTint="33"/>
            <w:vAlign w:val="center"/>
            <w:hideMark/>
          </w:tcPr>
          <w:p w14:paraId="2D684FC6" w14:textId="77777777"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Capture studies examining team communication and coordination</w:t>
            </w:r>
          </w:p>
        </w:tc>
      </w:tr>
      <w:tr w:rsidR="006137CB" w:rsidRPr="005C70DF" w14:paraId="1097573A" w14:textId="77777777" w:rsidTr="00D14481">
        <w:trPr>
          <w:jc w:val="center"/>
        </w:trPr>
        <w:tc>
          <w:tcPr>
            <w:tcW w:w="0" w:type="auto"/>
            <w:shd w:val="clear" w:color="auto" w:fill="E2EFD9" w:themeFill="accent6" w:themeFillTint="33"/>
            <w:vAlign w:val="center"/>
            <w:hideMark/>
          </w:tcPr>
          <w:p w14:paraId="60A570FE" w14:textId="77777777" w:rsidR="00D14481" w:rsidRPr="00D14481" w:rsidRDefault="00D14481" w:rsidP="00D14481">
            <w:pPr>
              <w:spacing w:line="360" w:lineRule="auto"/>
              <w:jc w:val="center"/>
              <w:rPr>
                <w:rFonts w:cs="Arial"/>
                <w:b/>
                <w:bCs/>
                <w:color w:val="000000" w:themeColor="text1"/>
                <w:sz w:val="20"/>
                <w:szCs w:val="20"/>
              </w:rPr>
            </w:pPr>
            <w:r w:rsidRPr="00D14481">
              <w:rPr>
                <w:rFonts w:cs="Arial"/>
                <w:b/>
                <w:bCs/>
                <w:color w:val="000000" w:themeColor="text1"/>
                <w:sz w:val="20"/>
                <w:szCs w:val="20"/>
              </w:rPr>
              <w:t>PubMed</w:t>
            </w:r>
          </w:p>
        </w:tc>
        <w:tc>
          <w:tcPr>
            <w:tcW w:w="0" w:type="auto"/>
            <w:shd w:val="clear" w:color="auto" w:fill="E2EFD9" w:themeFill="accent6" w:themeFillTint="33"/>
            <w:vAlign w:val="center"/>
            <w:hideMark/>
          </w:tcPr>
          <w:p w14:paraId="45EC9B16" w14:textId="44CC0665"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“digital messaging AND healthcare professionals AND professional boundaries</w:t>
            </w:r>
            <w:r w:rsidRPr="005C70DF">
              <w:rPr>
                <w:rFonts w:cs="Arial"/>
                <w:color w:val="000000" w:themeColor="text1"/>
                <w:sz w:val="20"/>
                <w:szCs w:val="20"/>
              </w:rPr>
              <w:t xml:space="preserve"> AND UK</w:t>
            </w:r>
            <w:r w:rsidRPr="00D14481">
              <w:rPr>
                <w:rFonts w:cs="Arial"/>
                <w:color w:val="000000" w:themeColor="text1"/>
                <w:sz w:val="20"/>
                <w:szCs w:val="20"/>
              </w:rPr>
              <w:t>”</w:t>
            </w:r>
          </w:p>
        </w:tc>
        <w:tc>
          <w:tcPr>
            <w:tcW w:w="0" w:type="auto"/>
            <w:shd w:val="clear" w:color="auto" w:fill="E2EFD9" w:themeFill="accent6" w:themeFillTint="33"/>
            <w:vAlign w:val="center"/>
            <w:hideMark/>
          </w:tcPr>
          <w:p w14:paraId="21067A87" w14:textId="77777777" w:rsidR="00D14481" w:rsidRPr="00D14481" w:rsidRDefault="00D14481" w:rsidP="00D14481">
            <w:pPr>
              <w:spacing w:line="360" w:lineRule="auto"/>
              <w:jc w:val="left"/>
              <w:rPr>
                <w:rFonts w:cs="Arial"/>
                <w:color w:val="000000" w:themeColor="text1"/>
                <w:sz w:val="20"/>
                <w:szCs w:val="20"/>
              </w:rPr>
            </w:pPr>
            <w:r w:rsidRPr="00D14481">
              <w:rPr>
                <w:rFonts w:cs="Arial"/>
                <w:color w:val="000000" w:themeColor="text1"/>
                <w:sz w:val="20"/>
                <w:szCs w:val="20"/>
              </w:rPr>
              <w:t>Identify research exploring ethical and boundary concerns</w:t>
            </w:r>
          </w:p>
        </w:tc>
      </w:tr>
    </w:tbl>
    <w:p w14:paraId="49733712" w14:textId="77777777" w:rsidR="00816961" w:rsidRPr="005C70DF" w:rsidRDefault="00816961" w:rsidP="00816961">
      <w:pPr>
        <w:spacing w:line="360" w:lineRule="auto"/>
        <w:rPr>
          <w:rFonts w:cs="Arial"/>
          <w:b/>
          <w:bCs/>
          <w:color w:val="000000" w:themeColor="text1"/>
        </w:rPr>
      </w:pPr>
    </w:p>
    <w:p w14:paraId="18F9F8CE" w14:textId="4BA664BB" w:rsidR="00D14481" w:rsidRPr="005C70DF" w:rsidRDefault="00D14481" w:rsidP="00816961">
      <w:pPr>
        <w:pStyle w:val="Heading2"/>
        <w:numPr>
          <w:ilvl w:val="1"/>
          <w:numId w:val="1"/>
        </w:numPr>
        <w:spacing w:line="360" w:lineRule="auto"/>
        <w:rPr>
          <w:rFonts w:ascii="Arial" w:hAnsi="Arial" w:cs="Arial"/>
          <w:b/>
          <w:bCs/>
          <w:color w:val="000000" w:themeColor="text1"/>
          <w:sz w:val="28"/>
          <w:szCs w:val="20"/>
        </w:rPr>
      </w:pPr>
      <w:bookmarkStart w:id="9" w:name="_Toc223883306"/>
      <w:r w:rsidRPr="005C70DF">
        <w:rPr>
          <w:rFonts w:ascii="Arial" w:hAnsi="Arial" w:cs="Arial"/>
          <w:b/>
          <w:bCs/>
          <w:color w:val="000000" w:themeColor="text1"/>
          <w:sz w:val="28"/>
          <w:szCs w:val="20"/>
        </w:rPr>
        <w:t>Inclusion and Exclusion Criteria</w:t>
      </w:r>
      <w:bookmarkEnd w:id="9"/>
    </w:p>
    <w:p w14:paraId="247B53A3" w14:textId="6FBEDB0D" w:rsidR="00D14481" w:rsidRPr="00D14481" w:rsidRDefault="00FA55A5" w:rsidP="00FA55A5">
      <w:pPr>
        <w:spacing w:line="360" w:lineRule="auto"/>
        <w:rPr>
          <w:rFonts w:cs="Arial"/>
          <w:color w:val="000000" w:themeColor="text1"/>
        </w:rPr>
      </w:pPr>
      <w:r w:rsidRPr="005C70DF">
        <w:rPr>
          <w:rFonts w:cs="Arial"/>
          <w:color w:val="000000" w:themeColor="text1"/>
        </w:rPr>
        <w:t>Table 2 shows the criteria employed in the screening</w:t>
      </w:r>
      <w:r w:rsidR="00D14481" w:rsidRPr="00D14481">
        <w:rPr>
          <w:rFonts w:cs="Arial"/>
          <w:color w:val="000000" w:themeColor="text1"/>
        </w:rPr>
        <w:t>.</w:t>
      </w:r>
    </w:p>
    <w:p w14:paraId="521FFDD3" w14:textId="6923AB1F" w:rsidR="00816961" w:rsidRPr="005C70DF" w:rsidRDefault="00816961" w:rsidP="00816961">
      <w:pPr>
        <w:pStyle w:val="Caption"/>
        <w:keepNext/>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2</w:t>
      </w:r>
      <w:r w:rsidRPr="005C70DF">
        <w:rPr>
          <w:rFonts w:cs="Arial"/>
          <w:b/>
          <w:bCs/>
          <w:i w:val="0"/>
          <w:iCs w:val="0"/>
          <w:color w:val="000000" w:themeColor="text1"/>
        </w:rPr>
        <w:fldChar w:fldCharType="end"/>
      </w:r>
      <w:r w:rsidRPr="005C70DF">
        <w:rPr>
          <w:rFonts w:cs="Arial"/>
          <w:b/>
          <w:bCs/>
          <w:i w:val="0"/>
          <w:iCs w:val="0"/>
          <w:color w:val="000000" w:themeColor="text1"/>
        </w:rPr>
        <w:t xml:space="preserve">: </w:t>
      </w:r>
      <w:r w:rsidRPr="00D14481">
        <w:rPr>
          <w:rFonts w:cs="Arial"/>
          <w:b/>
          <w:bCs/>
          <w:i w:val="0"/>
          <w:iCs w:val="0"/>
          <w:color w:val="000000" w:themeColor="text1"/>
        </w:rPr>
        <w:t>Inclusion and Exclusion Criteria</w:t>
      </w:r>
    </w:p>
    <w:tbl>
      <w:tblPr>
        <w:tblStyle w:val="TableGrid0"/>
        <w:tblW w:w="0" w:type="auto"/>
        <w:shd w:val="clear" w:color="auto" w:fill="E2EFD9" w:themeFill="accent6" w:themeFillTint="33"/>
        <w:tblLook w:val="04A0" w:firstRow="1" w:lastRow="0" w:firstColumn="1" w:lastColumn="0" w:noHBand="0" w:noVBand="1"/>
      </w:tblPr>
      <w:tblGrid>
        <w:gridCol w:w="1358"/>
        <w:gridCol w:w="4536"/>
        <w:gridCol w:w="3456"/>
      </w:tblGrid>
      <w:tr w:rsidR="006137CB" w:rsidRPr="005C70DF" w14:paraId="4A4F2F04" w14:textId="77777777" w:rsidTr="00816961">
        <w:tc>
          <w:tcPr>
            <w:tcW w:w="0" w:type="auto"/>
            <w:shd w:val="clear" w:color="auto" w:fill="E2EFD9" w:themeFill="accent6" w:themeFillTint="33"/>
            <w:vAlign w:val="center"/>
            <w:hideMark/>
          </w:tcPr>
          <w:p w14:paraId="2A446716" w14:textId="77777777" w:rsidR="00D14481" w:rsidRPr="00D14481" w:rsidRDefault="00D14481" w:rsidP="00816961">
            <w:pPr>
              <w:spacing w:line="360" w:lineRule="auto"/>
              <w:jc w:val="center"/>
              <w:rPr>
                <w:rFonts w:cs="Arial"/>
                <w:b/>
                <w:bCs/>
                <w:color w:val="000000" w:themeColor="text1"/>
                <w:sz w:val="20"/>
                <w:szCs w:val="20"/>
              </w:rPr>
            </w:pPr>
            <w:r w:rsidRPr="00D14481">
              <w:rPr>
                <w:rFonts w:cs="Arial"/>
                <w:b/>
                <w:bCs/>
                <w:color w:val="000000" w:themeColor="text1"/>
                <w:sz w:val="20"/>
                <w:szCs w:val="20"/>
              </w:rPr>
              <w:t>Criteria Type</w:t>
            </w:r>
          </w:p>
        </w:tc>
        <w:tc>
          <w:tcPr>
            <w:tcW w:w="0" w:type="auto"/>
            <w:shd w:val="clear" w:color="auto" w:fill="E2EFD9" w:themeFill="accent6" w:themeFillTint="33"/>
            <w:vAlign w:val="center"/>
            <w:hideMark/>
          </w:tcPr>
          <w:p w14:paraId="1D338CCA" w14:textId="77777777" w:rsidR="00D14481" w:rsidRPr="00D14481" w:rsidRDefault="00D14481" w:rsidP="00816961">
            <w:pPr>
              <w:spacing w:line="360" w:lineRule="auto"/>
              <w:jc w:val="center"/>
              <w:rPr>
                <w:rFonts w:cs="Arial"/>
                <w:b/>
                <w:bCs/>
                <w:color w:val="000000" w:themeColor="text1"/>
                <w:sz w:val="20"/>
                <w:szCs w:val="20"/>
              </w:rPr>
            </w:pPr>
            <w:r w:rsidRPr="00D14481">
              <w:rPr>
                <w:rFonts w:cs="Arial"/>
                <w:b/>
                <w:bCs/>
                <w:color w:val="000000" w:themeColor="text1"/>
                <w:sz w:val="20"/>
                <w:szCs w:val="20"/>
              </w:rPr>
              <w:t>Details</w:t>
            </w:r>
          </w:p>
        </w:tc>
        <w:tc>
          <w:tcPr>
            <w:tcW w:w="0" w:type="auto"/>
            <w:shd w:val="clear" w:color="auto" w:fill="E2EFD9" w:themeFill="accent6" w:themeFillTint="33"/>
            <w:vAlign w:val="center"/>
            <w:hideMark/>
          </w:tcPr>
          <w:p w14:paraId="5DACD408" w14:textId="77777777" w:rsidR="00D14481" w:rsidRPr="00D14481" w:rsidRDefault="00D14481" w:rsidP="00816961">
            <w:pPr>
              <w:spacing w:line="360" w:lineRule="auto"/>
              <w:jc w:val="center"/>
              <w:rPr>
                <w:rFonts w:cs="Arial"/>
                <w:b/>
                <w:bCs/>
                <w:color w:val="000000" w:themeColor="text1"/>
                <w:sz w:val="20"/>
                <w:szCs w:val="20"/>
              </w:rPr>
            </w:pPr>
            <w:r w:rsidRPr="00D14481">
              <w:rPr>
                <w:rFonts w:cs="Arial"/>
                <w:b/>
                <w:bCs/>
                <w:color w:val="000000" w:themeColor="text1"/>
                <w:sz w:val="20"/>
                <w:szCs w:val="20"/>
              </w:rPr>
              <w:t>Justification</w:t>
            </w:r>
          </w:p>
        </w:tc>
      </w:tr>
      <w:tr w:rsidR="006137CB" w:rsidRPr="005C70DF" w14:paraId="6FD1B4B4" w14:textId="77777777" w:rsidTr="00816961">
        <w:tc>
          <w:tcPr>
            <w:tcW w:w="0" w:type="auto"/>
            <w:shd w:val="clear" w:color="auto" w:fill="E2EFD9" w:themeFill="accent6" w:themeFillTint="33"/>
            <w:vAlign w:val="center"/>
            <w:hideMark/>
          </w:tcPr>
          <w:p w14:paraId="5ACB8CCF" w14:textId="77777777" w:rsidR="00D14481" w:rsidRPr="00D14481" w:rsidRDefault="00D14481" w:rsidP="00816961">
            <w:pPr>
              <w:spacing w:line="360" w:lineRule="auto"/>
              <w:jc w:val="center"/>
              <w:rPr>
                <w:rFonts w:cs="Arial"/>
                <w:b/>
                <w:bCs/>
                <w:color w:val="000000" w:themeColor="text1"/>
                <w:sz w:val="20"/>
                <w:szCs w:val="20"/>
              </w:rPr>
            </w:pPr>
            <w:r w:rsidRPr="00D14481">
              <w:rPr>
                <w:rFonts w:cs="Arial"/>
                <w:b/>
                <w:bCs/>
                <w:color w:val="000000" w:themeColor="text1"/>
                <w:sz w:val="20"/>
                <w:szCs w:val="20"/>
              </w:rPr>
              <w:t>Inclusion</w:t>
            </w:r>
          </w:p>
        </w:tc>
        <w:tc>
          <w:tcPr>
            <w:tcW w:w="0" w:type="auto"/>
            <w:shd w:val="clear" w:color="auto" w:fill="E2EFD9" w:themeFill="accent6" w:themeFillTint="33"/>
            <w:vAlign w:val="center"/>
            <w:hideMark/>
          </w:tcPr>
          <w:p w14:paraId="4DE5D1AB" w14:textId="77777777" w:rsidR="00D14481" w:rsidRPr="00D14481" w:rsidRDefault="00D14481" w:rsidP="00816961">
            <w:pPr>
              <w:spacing w:line="360" w:lineRule="auto"/>
              <w:jc w:val="left"/>
              <w:rPr>
                <w:rFonts w:cs="Arial"/>
                <w:color w:val="000000" w:themeColor="text1"/>
                <w:sz w:val="20"/>
                <w:szCs w:val="20"/>
              </w:rPr>
            </w:pPr>
            <w:r w:rsidRPr="00D14481">
              <w:rPr>
                <w:rFonts w:cs="Arial"/>
                <w:color w:val="000000" w:themeColor="text1"/>
                <w:sz w:val="20"/>
                <w:szCs w:val="20"/>
              </w:rPr>
              <w:t>Peer-reviewed journal articles, English language, published 2021–2026, UK-based studies involving practitioner experiences</w:t>
            </w:r>
          </w:p>
        </w:tc>
        <w:tc>
          <w:tcPr>
            <w:tcW w:w="0" w:type="auto"/>
            <w:shd w:val="clear" w:color="auto" w:fill="E2EFD9" w:themeFill="accent6" w:themeFillTint="33"/>
            <w:vAlign w:val="center"/>
            <w:hideMark/>
          </w:tcPr>
          <w:p w14:paraId="04A95941" w14:textId="77777777" w:rsidR="00D14481" w:rsidRPr="00D14481" w:rsidRDefault="00D14481" w:rsidP="00816961">
            <w:pPr>
              <w:spacing w:line="360" w:lineRule="auto"/>
              <w:jc w:val="left"/>
              <w:rPr>
                <w:rFonts w:cs="Arial"/>
                <w:color w:val="000000" w:themeColor="text1"/>
                <w:sz w:val="20"/>
                <w:szCs w:val="20"/>
              </w:rPr>
            </w:pPr>
            <w:r w:rsidRPr="00D14481">
              <w:rPr>
                <w:rFonts w:cs="Arial"/>
                <w:color w:val="000000" w:themeColor="text1"/>
                <w:sz w:val="20"/>
                <w:szCs w:val="20"/>
              </w:rPr>
              <w:t>Ensures relevance, methodological quality, and contemporary context</w:t>
            </w:r>
          </w:p>
        </w:tc>
      </w:tr>
      <w:tr w:rsidR="006137CB" w:rsidRPr="005C70DF" w14:paraId="2273EEA7" w14:textId="77777777" w:rsidTr="00816961">
        <w:tc>
          <w:tcPr>
            <w:tcW w:w="0" w:type="auto"/>
            <w:shd w:val="clear" w:color="auto" w:fill="E2EFD9" w:themeFill="accent6" w:themeFillTint="33"/>
            <w:vAlign w:val="center"/>
            <w:hideMark/>
          </w:tcPr>
          <w:p w14:paraId="5B0E5008" w14:textId="77777777" w:rsidR="00D14481" w:rsidRPr="00D14481" w:rsidRDefault="00D14481" w:rsidP="00816961">
            <w:pPr>
              <w:spacing w:line="360" w:lineRule="auto"/>
              <w:jc w:val="center"/>
              <w:rPr>
                <w:rFonts w:cs="Arial"/>
                <w:b/>
                <w:bCs/>
                <w:color w:val="000000" w:themeColor="text1"/>
                <w:sz w:val="20"/>
                <w:szCs w:val="20"/>
              </w:rPr>
            </w:pPr>
            <w:r w:rsidRPr="00D14481">
              <w:rPr>
                <w:rFonts w:cs="Arial"/>
                <w:b/>
                <w:bCs/>
                <w:color w:val="000000" w:themeColor="text1"/>
                <w:sz w:val="20"/>
                <w:szCs w:val="20"/>
              </w:rPr>
              <w:t>Exclusion</w:t>
            </w:r>
          </w:p>
        </w:tc>
        <w:tc>
          <w:tcPr>
            <w:tcW w:w="0" w:type="auto"/>
            <w:shd w:val="clear" w:color="auto" w:fill="E2EFD9" w:themeFill="accent6" w:themeFillTint="33"/>
            <w:vAlign w:val="center"/>
            <w:hideMark/>
          </w:tcPr>
          <w:p w14:paraId="4F211973" w14:textId="77777777" w:rsidR="00D14481" w:rsidRPr="00D14481" w:rsidRDefault="00D14481" w:rsidP="00816961">
            <w:pPr>
              <w:spacing w:line="360" w:lineRule="auto"/>
              <w:jc w:val="left"/>
              <w:rPr>
                <w:rFonts w:cs="Arial"/>
                <w:color w:val="000000" w:themeColor="text1"/>
                <w:sz w:val="20"/>
                <w:szCs w:val="20"/>
              </w:rPr>
            </w:pPr>
            <w:r w:rsidRPr="00D14481">
              <w:rPr>
                <w:rFonts w:cs="Arial"/>
                <w:color w:val="000000" w:themeColor="text1"/>
                <w:sz w:val="20"/>
                <w:szCs w:val="20"/>
              </w:rPr>
              <w:t>Non-peer-reviewed sources, non-UK studies, purely quantitative studies without experiential data, opinion papers</w:t>
            </w:r>
          </w:p>
        </w:tc>
        <w:tc>
          <w:tcPr>
            <w:tcW w:w="0" w:type="auto"/>
            <w:shd w:val="clear" w:color="auto" w:fill="E2EFD9" w:themeFill="accent6" w:themeFillTint="33"/>
            <w:vAlign w:val="center"/>
            <w:hideMark/>
          </w:tcPr>
          <w:p w14:paraId="43DA22C0" w14:textId="77777777" w:rsidR="00D14481" w:rsidRPr="00D14481" w:rsidRDefault="00D14481" w:rsidP="00816961">
            <w:pPr>
              <w:spacing w:line="360" w:lineRule="auto"/>
              <w:jc w:val="left"/>
              <w:rPr>
                <w:rFonts w:cs="Arial"/>
                <w:color w:val="000000" w:themeColor="text1"/>
                <w:sz w:val="20"/>
                <w:szCs w:val="20"/>
              </w:rPr>
            </w:pPr>
            <w:r w:rsidRPr="00D14481">
              <w:rPr>
                <w:rFonts w:cs="Arial"/>
                <w:color w:val="000000" w:themeColor="text1"/>
                <w:sz w:val="20"/>
                <w:szCs w:val="20"/>
              </w:rPr>
              <w:t>Maintains methodological consistency and focuses on practitioner perspectives</w:t>
            </w:r>
          </w:p>
        </w:tc>
      </w:tr>
    </w:tbl>
    <w:p w14:paraId="54973A68" w14:textId="552B393F" w:rsidR="00D14481" w:rsidRPr="00D14481" w:rsidRDefault="00BE6F27" w:rsidP="005E6984">
      <w:pPr>
        <w:spacing w:line="360" w:lineRule="auto"/>
        <w:ind w:left="0" w:firstLine="0"/>
        <w:rPr>
          <w:rFonts w:cs="Arial"/>
          <w:color w:val="000000" w:themeColor="text1"/>
        </w:rPr>
      </w:pPr>
      <w:r w:rsidRPr="005C70DF">
        <w:rPr>
          <w:rFonts w:cs="Arial"/>
          <w:color w:val="000000" w:themeColor="text1"/>
        </w:rPr>
        <w:t>After the screening process, four articles were found to be eligible according to the inclusion criteria and were chosen to be analysed in more detail (Table 4; Appendix). The studies were pertinent to the review objectives because they explored the use of WhatsApp by healthcare practitioners to communicate, ethical implications, and professional boundary concerns</w:t>
      </w:r>
      <w:r w:rsidR="00D14481" w:rsidRPr="00D14481">
        <w:rPr>
          <w:rFonts w:cs="Arial"/>
          <w:color w:val="000000" w:themeColor="text1"/>
        </w:rPr>
        <w:t>.</w:t>
      </w:r>
    </w:p>
    <w:p w14:paraId="48A89B65" w14:textId="5DDD5B7D" w:rsidR="00D14481" w:rsidRPr="005C70DF" w:rsidRDefault="00D14481" w:rsidP="004C0C0F">
      <w:pPr>
        <w:pStyle w:val="Heading2"/>
        <w:numPr>
          <w:ilvl w:val="1"/>
          <w:numId w:val="1"/>
        </w:numPr>
        <w:spacing w:line="360" w:lineRule="auto"/>
        <w:rPr>
          <w:rFonts w:ascii="Arial" w:hAnsi="Arial" w:cs="Arial"/>
          <w:b/>
          <w:bCs/>
          <w:color w:val="000000" w:themeColor="text1"/>
          <w:sz w:val="28"/>
          <w:szCs w:val="20"/>
        </w:rPr>
      </w:pPr>
      <w:bookmarkStart w:id="10" w:name="_Toc223883307"/>
      <w:r w:rsidRPr="005C70DF">
        <w:rPr>
          <w:rFonts w:ascii="Arial" w:hAnsi="Arial" w:cs="Arial"/>
          <w:b/>
          <w:bCs/>
          <w:color w:val="000000" w:themeColor="text1"/>
          <w:sz w:val="28"/>
          <w:szCs w:val="20"/>
        </w:rPr>
        <w:t>Data Charting</w:t>
      </w:r>
      <w:bookmarkEnd w:id="10"/>
    </w:p>
    <w:p w14:paraId="075E55F3" w14:textId="4BBCC3BA" w:rsidR="00D14481" w:rsidRPr="00D14481" w:rsidRDefault="008A5018" w:rsidP="00D14481">
      <w:pPr>
        <w:spacing w:line="360" w:lineRule="auto"/>
        <w:rPr>
          <w:rFonts w:cs="Arial"/>
          <w:color w:val="000000" w:themeColor="text1"/>
        </w:rPr>
      </w:pPr>
      <w:r w:rsidRPr="008A5018">
        <w:rPr>
          <w:rFonts w:cs="Arial"/>
          <w:color w:val="000000" w:themeColor="text1"/>
        </w:rPr>
        <w:t>The selected research studies were systematically extracted and tabulated in such a way that the data can be compared with the findings of other studies. Details obtained comprised author and publication year, research design, involved participants, healthcare context, and findings that are significant to WhatsApp application in care coordination. This has been summarised in a structured study charting table provided in the appendix. Table 4 (Appendix) shows the short-listed studies and how they will be relevant to the objectives of the review. The charting procedure facilitated the determination of similarities and differences among studies and contributed to the further thematic synthesis</w:t>
      </w:r>
      <w:r w:rsidR="00D14481" w:rsidRPr="00D14481">
        <w:rPr>
          <w:rFonts w:cs="Arial"/>
          <w:color w:val="000000" w:themeColor="text1"/>
        </w:rPr>
        <w:t>.</w:t>
      </w:r>
    </w:p>
    <w:p w14:paraId="4914001A" w14:textId="269A1EF1" w:rsidR="00D14481" w:rsidRPr="005C70DF" w:rsidRDefault="00D14481" w:rsidP="004C0C0F">
      <w:pPr>
        <w:pStyle w:val="Heading2"/>
        <w:numPr>
          <w:ilvl w:val="1"/>
          <w:numId w:val="1"/>
        </w:numPr>
        <w:spacing w:line="360" w:lineRule="auto"/>
        <w:rPr>
          <w:rFonts w:ascii="Arial" w:hAnsi="Arial" w:cs="Arial"/>
          <w:b/>
          <w:bCs/>
          <w:color w:val="000000" w:themeColor="text1"/>
          <w:sz w:val="28"/>
          <w:szCs w:val="20"/>
        </w:rPr>
      </w:pPr>
      <w:bookmarkStart w:id="11" w:name="_Toc223883308"/>
      <w:r w:rsidRPr="005C70DF">
        <w:rPr>
          <w:rFonts w:ascii="Arial" w:hAnsi="Arial" w:cs="Arial"/>
          <w:b/>
          <w:bCs/>
          <w:color w:val="000000" w:themeColor="text1"/>
          <w:sz w:val="28"/>
          <w:szCs w:val="20"/>
        </w:rPr>
        <w:t>Thematic Analysis</w:t>
      </w:r>
      <w:bookmarkEnd w:id="11"/>
    </w:p>
    <w:p w14:paraId="1F54C176" w14:textId="18D8359B" w:rsidR="00D14481" w:rsidRPr="00D14481" w:rsidRDefault="00422DAE" w:rsidP="00D14481">
      <w:pPr>
        <w:spacing w:line="360" w:lineRule="auto"/>
        <w:rPr>
          <w:rFonts w:cs="Arial"/>
          <w:color w:val="000000" w:themeColor="text1"/>
        </w:rPr>
      </w:pPr>
      <w:r w:rsidRPr="00422DAE">
        <w:rPr>
          <w:rFonts w:cs="Arial"/>
          <w:color w:val="000000" w:themeColor="text1"/>
        </w:rPr>
        <w:t xml:space="preserve">The simplified method of thematic analysis that was followed during data analysis is outlined by </w:t>
      </w:r>
      <w:proofErr w:type="spellStart"/>
      <w:r w:rsidRPr="00422DAE">
        <w:rPr>
          <w:rFonts w:cs="Arial"/>
          <w:color w:val="000000" w:themeColor="text1"/>
        </w:rPr>
        <w:t>Aveyard</w:t>
      </w:r>
      <w:proofErr w:type="spellEnd"/>
      <w:r w:rsidRPr="00422DAE">
        <w:rPr>
          <w:rFonts w:cs="Arial"/>
          <w:color w:val="000000" w:themeColor="text1"/>
        </w:rPr>
        <w:t xml:space="preserve"> (20</w:t>
      </w:r>
      <w:r w:rsidR="00EA2A37">
        <w:rPr>
          <w:rFonts w:cs="Arial"/>
          <w:color w:val="000000" w:themeColor="text1"/>
        </w:rPr>
        <w:t>23</w:t>
      </w:r>
      <w:r w:rsidRPr="00422DAE">
        <w:rPr>
          <w:rFonts w:cs="Arial"/>
          <w:color w:val="000000" w:themeColor="text1"/>
        </w:rPr>
        <w:t xml:space="preserve">), a method commonly used when synthesising findings in literature review in health and social care research. First, the chosen studies were read several times </w:t>
      </w:r>
      <w:r w:rsidR="00D32DB5">
        <w:rPr>
          <w:rFonts w:cs="Arial"/>
          <w:color w:val="000000" w:themeColor="text1"/>
        </w:rPr>
        <w:t>to</w:t>
      </w:r>
      <w:r w:rsidRPr="00422DAE">
        <w:rPr>
          <w:rFonts w:cs="Arial"/>
          <w:color w:val="000000" w:themeColor="text1"/>
        </w:rPr>
        <w:t xml:space="preserve"> get acquainted with the presented findings. Important concepts in connection with the communication practices, ethical issues, and professional boundaries have then been marked and coded. The similar codes (Table 5; Appendix) were clustered to determine overarching themes that appeared in the literature. This procedure enabled formulation of broad themes that describe general practitioner experiences with the use of WhatsApp in healthcare communication</w:t>
      </w:r>
      <w:r w:rsidR="00D14481" w:rsidRPr="00D14481">
        <w:rPr>
          <w:rFonts w:cs="Arial"/>
          <w:color w:val="000000" w:themeColor="text1"/>
        </w:rPr>
        <w:t>.</w:t>
      </w:r>
    </w:p>
    <w:p w14:paraId="118E8172" w14:textId="3D2115E4" w:rsidR="00D14481" w:rsidRPr="005C70DF" w:rsidRDefault="00D14481" w:rsidP="004C0C0F">
      <w:pPr>
        <w:pStyle w:val="Heading2"/>
        <w:numPr>
          <w:ilvl w:val="1"/>
          <w:numId w:val="1"/>
        </w:numPr>
        <w:spacing w:line="360" w:lineRule="auto"/>
        <w:rPr>
          <w:rFonts w:ascii="Arial" w:hAnsi="Arial" w:cs="Arial"/>
          <w:b/>
          <w:bCs/>
          <w:color w:val="000000" w:themeColor="text1"/>
          <w:sz w:val="28"/>
          <w:szCs w:val="20"/>
        </w:rPr>
      </w:pPr>
      <w:bookmarkStart w:id="12" w:name="_Toc223883309"/>
      <w:r w:rsidRPr="005C70DF">
        <w:rPr>
          <w:rFonts w:ascii="Arial" w:hAnsi="Arial" w:cs="Arial"/>
          <w:b/>
          <w:bCs/>
          <w:color w:val="000000" w:themeColor="text1"/>
          <w:sz w:val="28"/>
          <w:szCs w:val="20"/>
        </w:rPr>
        <w:t>Ethical Considerations</w:t>
      </w:r>
      <w:bookmarkEnd w:id="12"/>
    </w:p>
    <w:p w14:paraId="2B580D4B" w14:textId="5807E609" w:rsidR="00F95927" w:rsidRPr="005C70DF" w:rsidRDefault="00102600" w:rsidP="004C0C0F">
      <w:pPr>
        <w:spacing w:line="360" w:lineRule="auto"/>
        <w:rPr>
          <w:rFonts w:cs="Arial"/>
          <w:color w:val="000000" w:themeColor="text1"/>
        </w:rPr>
      </w:pPr>
      <w:r w:rsidRPr="00102600">
        <w:rPr>
          <w:rFonts w:cs="Arial"/>
          <w:color w:val="000000" w:themeColor="text1"/>
        </w:rPr>
        <w:t>Since this study was in form of a literature review, it did not necessitate the formal approval of ethical considerations. Ethical research principles were however upheld during the review. References were made appropriately based on the sources to provide due credit to the original authors to avert plagiarism</w:t>
      </w:r>
      <w:r w:rsidR="00655B3F">
        <w:rPr>
          <w:rFonts w:cs="Arial"/>
          <w:color w:val="000000" w:themeColor="text1"/>
        </w:rPr>
        <w:t xml:space="preserve"> (</w:t>
      </w:r>
      <w:r w:rsidR="00655B3F" w:rsidRPr="00E91FBF">
        <w:rPr>
          <w:szCs w:val="18"/>
        </w:rPr>
        <w:t>Zhang</w:t>
      </w:r>
      <w:r w:rsidR="00655B3F">
        <w:rPr>
          <w:szCs w:val="18"/>
        </w:rPr>
        <w:t xml:space="preserve"> et al., 2024)</w:t>
      </w:r>
      <w:r w:rsidRPr="00102600">
        <w:rPr>
          <w:rFonts w:cs="Arial"/>
          <w:color w:val="000000" w:themeColor="text1"/>
        </w:rPr>
        <w:t>. Determining the studies was done transparently and based on pre-defined criteria to ensure that the review process was systematic and unbiased. Moreover, the analysis was concerned with providing the accurate presentation of the findings of the reviewed studies without misinterpretation and partial reporting. This measure ensured that the scoping review rooted in acceptable research practice standards in the field of secondary research</w:t>
      </w:r>
      <w:r w:rsidR="00D14481" w:rsidRPr="00D14481">
        <w:rPr>
          <w:rFonts w:cs="Arial"/>
          <w:color w:val="000000" w:themeColor="text1"/>
        </w:rPr>
        <w:t>.</w:t>
      </w:r>
    </w:p>
    <w:p w14:paraId="3E5524BE" w14:textId="31DBCC93" w:rsidR="00107A37" w:rsidRPr="005C70DF" w:rsidRDefault="003C0ADD" w:rsidP="00162748">
      <w:pPr>
        <w:pStyle w:val="Heading1"/>
        <w:numPr>
          <w:ilvl w:val="0"/>
          <w:numId w:val="1"/>
        </w:numPr>
        <w:spacing w:line="360" w:lineRule="auto"/>
        <w:rPr>
          <w:rFonts w:ascii="Arial" w:hAnsi="Arial" w:cs="Arial"/>
          <w:b/>
          <w:bCs/>
          <w:color w:val="000000" w:themeColor="text1"/>
          <w:sz w:val="32"/>
          <w:szCs w:val="32"/>
        </w:rPr>
      </w:pPr>
      <w:bookmarkStart w:id="13" w:name="_Toc223883310"/>
      <w:r w:rsidRPr="005C70DF">
        <w:rPr>
          <w:rFonts w:ascii="Arial" w:hAnsi="Arial" w:cs="Arial"/>
          <w:b/>
          <w:bCs/>
          <w:color w:val="000000" w:themeColor="text1"/>
          <w:sz w:val="32"/>
          <w:szCs w:val="32"/>
        </w:rPr>
        <w:t>Results</w:t>
      </w:r>
      <w:bookmarkEnd w:id="13"/>
    </w:p>
    <w:p w14:paraId="0B9E8F12" w14:textId="42D43424" w:rsidR="00974B45" w:rsidRPr="005C70DF" w:rsidRDefault="00795533" w:rsidP="004A3C7E">
      <w:pPr>
        <w:spacing w:line="360" w:lineRule="auto"/>
        <w:ind w:left="0" w:firstLine="0"/>
        <w:rPr>
          <w:rFonts w:cs="Arial"/>
          <w:b/>
          <w:bCs/>
          <w:color w:val="000000" w:themeColor="text1"/>
        </w:rPr>
      </w:pPr>
      <w:r w:rsidRPr="00795533">
        <w:rPr>
          <w:rFonts w:cs="Arial"/>
          <w:color w:val="000000" w:themeColor="text1"/>
        </w:rPr>
        <w:t>This section summari</w:t>
      </w:r>
      <w:r w:rsidR="00D32DB5">
        <w:rPr>
          <w:rFonts w:cs="Arial"/>
          <w:color w:val="000000" w:themeColor="text1"/>
        </w:rPr>
        <w:t>s</w:t>
      </w:r>
      <w:r w:rsidRPr="00795533">
        <w:rPr>
          <w:rFonts w:cs="Arial"/>
          <w:color w:val="000000" w:themeColor="text1"/>
        </w:rPr>
        <w:t xml:space="preserve">es the findings of the scoping review, having four chosen peer-reviewed research works. The studies discussed digital communication in the practice of healthcare staff and underscored the problems associated with informal messaging, governance, and professional </w:t>
      </w:r>
      <w:r w:rsidR="00541876" w:rsidRPr="00795533">
        <w:rPr>
          <w:rFonts w:cs="Arial"/>
          <w:color w:val="000000" w:themeColor="text1"/>
        </w:rPr>
        <w:t>behaviour</w:t>
      </w:r>
      <w:r w:rsidRPr="00795533">
        <w:rPr>
          <w:rFonts w:cs="Arial"/>
          <w:color w:val="000000" w:themeColor="text1"/>
        </w:rPr>
        <w:t xml:space="preserve"> in the context of UK health and social care. The identified articles feature detailed specifics of the chosen studies in Appendix Table 4. By using the simplified method of thematic analysis by </w:t>
      </w:r>
      <w:proofErr w:type="spellStart"/>
      <w:r w:rsidRPr="00795533">
        <w:rPr>
          <w:rFonts w:cs="Arial"/>
          <w:color w:val="000000" w:themeColor="text1"/>
        </w:rPr>
        <w:t>Aveyard</w:t>
      </w:r>
      <w:proofErr w:type="spellEnd"/>
      <w:r w:rsidRPr="00795533">
        <w:rPr>
          <w:rFonts w:cs="Arial"/>
          <w:color w:val="000000" w:themeColor="text1"/>
        </w:rPr>
        <w:t xml:space="preserve"> (20</w:t>
      </w:r>
      <w:r w:rsidR="00EA2A37">
        <w:rPr>
          <w:rFonts w:cs="Arial"/>
          <w:color w:val="000000" w:themeColor="text1"/>
        </w:rPr>
        <w:t>23</w:t>
      </w:r>
      <w:r w:rsidRPr="00795533">
        <w:rPr>
          <w:rFonts w:cs="Arial"/>
          <w:color w:val="000000" w:themeColor="text1"/>
        </w:rPr>
        <w:t>), two major themes were distinguished through the analysis of the reviewed studies. The end results of the coding process are the final themes that have been identified in Table 3.</w:t>
      </w:r>
    </w:p>
    <w:p w14:paraId="43E0A250" w14:textId="798BD1AB" w:rsidR="00162748" w:rsidRPr="005C70DF" w:rsidRDefault="00162748" w:rsidP="00162748">
      <w:pPr>
        <w:pStyle w:val="Caption"/>
        <w:keepNext/>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Pr="005C70DF">
        <w:rPr>
          <w:rFonts w:cs="Arial"/>
          <w:b/>
          <w:bCs/>
          <w:i w:val="0"/>
          <w:iCs w:val="0"/>
          <w:color w:val="000000" w:themeColor="text1"/>
        </w:rPr>
        <w:t>3</w:t>
      </w:r>
      <w:r w:rsidRPr="005C70DF">
        <w:rPr>
          <w:rFonts w:cs="Arial"/>
          <w:b/>
          <w:bCs/>
          <w:i w:val="0"/>
          <w:iCs w:val="0"/>
          <w:color w:val="000000" w:themeColor="text1"/>
        </w:rPr>
        <w:fldChar w:fldCharType="end"/>
      </w:r>
      <w:r w:rsidRPr="005C70DF">
        <w:rPr>
          <w:rFonts w:cs="Arial"/>
          <w:b/>
          <w:bCs/>
          <w:i w:val="0"/>
          <w:iCs w:val="0"/>
          <w:color w:val="000000" w:themeColor="text1"/>
        </w:rPr>
        <w:t>: Themes Identified in the Literature</w:t>
      </w:r>
    </w:p>
    <w:tbl>
      <w:tblPr>
        <w:tblStyle w:val="TableGrid0"/>
        <w:tblW w:w="0" w:type="auto"/>
        <w:shd w:val="clear" w:color="auto" w:fill="E2EFD9" w:themeFill="accent6" w:themeFillTint="33"/>
        <w:tblLook w:val="04A0" w:firstRow="1" w:lastRow="0" w:firstColumn="1" w:lastColumn="0" w:noHBand="0" w:noVBand="1"/>
      </w:tblPr>
      <w:tblGrid>
        <w:gridCol w:w="2263"/>
        <w:gridCol w:w="4678"/>
        <w:gridCol w:w="2409"/>
      </w:tblGrid>
      <w:tr w:rsidR="006137CB" w:rsidRPr="005C70DF" w14:paraId="0D3C4DBD" w14:textId="77777777" w:rsidTr="00162748">
        <w:tc>
          <w:tcPr>
            <w:tcW w:w="2263" w:type="dxa"/>
            <w:shd w:val="clear" w:color="auto" w:fill="E2EFD9" w:themeFill="accent6" w:themeFillTint="33"/>
            <w:vAlign w:val="center"/>
            <w:hideMark/>
          </w:tcPr>
          <w:p w14:paraId="1EB8D17D" w14:textId="77777777" w:rsidR="00162748" w:rsidRPr="00162748" w:rsidRDefault="00162748" w:rsidP="00162748">
            <w:pPr>
              <w:spacing w:line="360" w:lineRule="auto"/>
              <w:ind w:left="0" w:firstLine="0"/>
              <w:jc w:val="center"/>
              <w:rPr>
                <w:rFonts w:cs="Arial"/>
                <w:b/>
                <w:bCs/>
                <w:color w:val="000000" w:themeColor="text1"/>
                <w:sz w:val="20"/>
                <w:szCs w:val="20"/>
              </w:rPr>
            </w:pPr>
            <w:r w:rsidRPr="00162748">
              <w:rPr>
                <w:rFonts w:cs="Arial"/>
                <w:b/>
                <w:bCs/>
                <w:color w:val="000000" w:themeColor="text1"/>
                <w:sz w:val="20"/>
                <w:szCs w:val="20"/>
              </w:rPr>
              <w:t>Theme</w:t>
            </w:r>
          </w:p>
        </w:tc>
        <w:tc>
          <w:tcPr>
            <w:tcW w:w="4678" w:type="dxa"/>
            <w:shd w:val="clear" w:color="auto" w:fill="E2EFD9" w:themeFill="accent6" w:themeFillTint="33"/>
            <w:vAlign w:val="center"/>
            <w:hideMark/>
          </w:tcPr>
          <w:p w14:paraId="334963AE" w14:textId="77777777" w:rsidR="00162748" w:rsidRPr="00162748" w:rsidRDefault="00162748" w:rsidP="00162748">
            <w:pPr>
              <w:spacing w:line="360" w:lineRule="auto"/>
              <w:ind w:left="0" w:firstLine="0"/>
              <w:jc w:val="center"/>
              <w:rPr>
                <w:rFonts w:cs="Arial"/>
                <w:b/>
                <w:bCs/>
                <w:color w:val="000000" w:themeColor="text1"/>
                <w:sz w:val="20"/>
                <w:szCs w:val="20"/>
              </w:rPr>
            </w:pPr>
            <w:r w:rsidRPr="00162748">
              <w:rPr>
                <w:rFonts w:cs="Arial"/>
                <w:b/>
                <w:bCs/>
                <w:color w:val="000000" w:themeColor="text1"/>
                <w:sz w:val="20"/>
                <w:szCs w:val="20"/>
              </w:rPr>
              <w:t>Description</w:t>
            </w:r>
          </w:p>
        </w:tc>
        <w:tc>
          <w:tcPr>
            <w:tcW w:w="2409" w:type="dxa"/>
            <w:shd w:val="clear" w:color="auto" w:fill="E2EFD9" w:themeFill="accent6" w:themeFillTint="33"/>
            <w:vAlign w:val="center"/>
            <w:hideMark/>
          </w:tcPr>
          <w:p w14:paraId="2181D7B0" w14:textId="77777777" w:rsidR="00162748" w:rsidRPr="00162748" w:rsidRDefault="00162748" w:rsidP="00162748">
            <w:pPr>
              <w:spacing w:line="360" w:lineRule="auto"/>
              <w:ind w:left="0" w:firstLine="0"/>
              <w:jc w:val="center"/>
              <w:rPr>
                <w:rFonts w:cs="Arial"/>
                <w:b/>
                <w:bCs/>
                <w:color w:val="000000" w:themeColor="text1"/>
                <w:sz w:val="20"/>
                <w:szCs w:val="20"/>
              </w:rPr>
            </w:pPr>
            <w:r w:rsidRPr="00162748">
              <w:rPr>
                <w:rFonts w:cs="Arial"/>
                <w:b/>
                <w:bCs/>
                <w:color w:val="000000" w:themeColor="text1"/>
                <w:sz w:val="20"/>
                <w:szCs w:val="20"/>
              </w:rPr>
              <w:t>Contributing Studies</w:t>
            </w:r>
          </w:p>
        </w:tc>
      </w:tr>
      <w:tr w:rsidR="006137CB" w:rsidRPr="005C70DF" w14:paraId="6A02817A" w14:textId="77777777" w:rsidTr="00162748">
        <w:tc>
          <w:tcPr>
            <w:tcW w:w="2263" w:type="dxa"/>
            <w:shd w:val="clear" w:color="auto" w:fill="E2EFD9" w:themeFill="accent6" w:themeFillTint="33"/>
            <w:vAlign w:val="center"/>
            <w:hideMark/>
          </w:tcPr>
          <w:p w14:paraId="5D7EF41F" w14:textId="77777777" w:rsidR="00162748" w:rsidRPr="00162748" w:rsidRDefault="00162748" w:rsidP="00162748">
            <w:pPr>
              <w:spacing w:line="360" w:lineRule="auto"/>
              <w:ind w:left="0" w:firstLine="0"/>
              <w:jc w:val="center"/>
              <w:rPr>
                <w:rFonts w:cs="Arial"/>
                <w:b/>
                <w:bCs/>
                <w:color w:val="000000" w:themeColor="text1"/>
                <w:sz w:val="20"/>
                <w:szCs w:val="20"/>
              </w:rPr>
            </w:pPr>
            <w:r w:rsidRPr="00162748">
              <w:rPr>
                <w:rFonts w:cs="Arial"/>
                <w:b/>
                <w:bCs/>
                <w:color w:val="000000" w:themeColor="text1"/>
                <w:sz w:val="20"/>
                <w:szCs w:val="20"/>
              </w:rPr>
              <w:t>Theme 1: Informal Digital Communication Supporting Clinical Coordination</w:t>
            </w:r>
          </w:p>
        </w:tc>
        <w:tc>
          <w:tcPr>
            <w:tcW w:w="4678" w:type="dxa"/>
            <w:shd w:val="clear" w:color="auto" w:fill="E2EFD9" w:themeFill="accent6" w:themeFillTint="33"/>
            <w:vAlign w:val="center"/>
            <w:hideMark/>
          </w:tcPr>
          <w:p w14:paraId="6A682665" w14:textId="2A281D38" w:rsidR="00162748" w:rsidRPr="00162748" w:rsidRDefault="00E608F7" w:rsidP="00162748">
            <w:pPr>
              <w:spacing w:line="360" w:lineRule="auto"/>
              <w:ind w:left="0" w:firstLine="0"/>
              <w:jc w:val="left"/>
              <w:rPr>
                <w:rFonts w:cs="Arial"/>
                <w:color w:val="000000" w:themeColor="text1"/>
                <w:sz w:val="20"/>
                <w:szCs w:val="20"/>
              </w:rPr>
            </w:pPr>
            <w:r w:rsidRPr="00E608F7">
              <w:rPr>
                <w:rFonts w:cs="Arial"/>
                <w:color w:val="000000" w:themeColor="text1"/>
                <w:sz w:val="20"/>
                <w:szCs w:val="20"/>
              </w:rPr>
              <w:t>Healthcare professionals use messaging tools like WhatsApp to promote quick communication, exchange of information and coordination in clinical and educational settings</w:t>
            </w:r>
            <w:r w:rsidR="00162748" w:rsidRPr="00162748">
              <w:rPr>
                <w:rFonts w:cs="Arial"/>
                <w:color w:val="000000" w:themeColor="text1"/>
                <w:sz w:val="20"/>
                <w:szCs w:val="20"/>
              </w:rPr>
              <w:t>.</w:t>
            </w:r>
          </w:p>
        </w:tc>
        <w:tc>
          <w:tcPr>
            <w:tcW w:w="2409" w:type="dxa"/>
            <w:shd w:val="clear" w:color="auto" w:fill="E2EFD9" w:themeFill="accent6" w:themeFillTint="33"/>
            <w:vAlign w:val="center"/>
            <w:hideMark/>
          </w:tcPr>
          <w:p w14:paraId="3895E86D" w14:textId="77777777" w:rsidR="00162748" w:rsidRPr="00162748" w:rsidRDefault="00162748" w:rsidP="00162748">
            <w:pPr>
              <w:spacing w:line="360" w:lineRule="auto"/>
              <w:ind w:left="0" w:firstLine="0"/>
              <w:jc w:val="left"/>
              <w:rPr>
                <w:rFonts w:cs="Arial"/>
                <w:color w:val="000000" w:themeColor="text1"/>
                <w:sz w:val="20"/>
                <w:szCs w:val="20"/>
              </w:rPr>
            </w:pPr>
            <w:r w:rsidRPr="00162748">
              <w:rPr>
                <w:rFonts w:cs="Arial"/>
                <w:color w:val="000000" w:themeColor="text1"/>
                <w:sz w:val="20"/>
                <w:szCs w:val="20"/>
              </w:rPr>
              <w:t xml:space="preserve">Salam et al., 2021; </w:t>
            </w:r>
            <w:proofErr w:type="spellStart"/>
            <w:r w:rsidRPr="00162748">
              <w:rPr>
                <w:rFonts w:cs="Arial"/>
                <w:color w:val="000000" w:themeColor="text1"/>
                <w:sz w:val="20"/>
                <w:szCs w:val="20"/>
              </w:rPr>
              <w:t>Bakhai</w:t>
            </w:r>
            <w:proofErr w:type="spellEnd"/>
            <w:r w:rsidRPr="00162748">
              <w:rPr>
                <w:rFonts w:cs="Arial"/>
                <w:color w:val="000000" w:themeColor="text1"/>
                <w:sz w:val="20"/>
                <w:szCs w:val="20"/>
              </w:rPr>
              <w:t xml:space="preserve"> et al., 2022</w:t>
            </w:r>
          </w:p>
        </w:tc>
      </w:tr>
      <w:tr w:rsidR="006137CB" w:rsidRPr="005C70DF" w14:paraId="48997C74" w14:textId="77777777" w:rsidTr="00162748">
        <w:tc>
          <w:tcPr>
            <w:tcW w:w="2263" w:type="dxa"/>
            <w:shd w:val="clear" w:color="auto" w:fill="E2EFD9" w:themeFill="accent6" w:themeFillTint="33"/>
            <w:vAlign w:val="center"/>
            <w:hideMark/>
          </w:tcPr>
          <w:p w14:paraId="7D2E0407" w14:textId="77777777" w:rsidR="00162748" w:rsidRPr="00162748" w:rsidRDefault="00162748" w:rsidP="00162748">
            <w:pPr>
              <w:spacing w:line="360" w:lineRule="auto"/>
              <w:ind w:left="0" w:firstLine="0"/>
              <w:jc w:val="center"/>
              <w:rPr>
                <w:rFonts w:cs="Arial"/>
                <w:b/>
                <w:bCs/>
                <w:color w:val="000000" w:themeColor="text1"/>
                <w:sz w:val="20"/>
                <w:szCs w:val="20"/>
              </w:rPr>
            </w:pPr>
            <w:r w:rsidRPr="00162748">
              <w:rPr>
                <w:rFonts w:cs="Arial"/>
                <w:b/>
                <w:bCs/>
                <w:color w:val="000000" w:themeColor="text1"/>
                <w:sz w:val="20"/>
                <w:szCs w:val="20"/>
              </w:rPr>
              <w:t>Theme 2: Ethical Risks, Data Governance and Professional Boundaries</w:t>
            </w:r>
          </w:p>
        </w:tc>
        <w:tc>
          <w:tcPr>
            <w:tcW w:w="4678" w:type="dxa"/>
            <w:shd w:val="clear" w:color="auto" w:fill="E2EFD9" w:themeFill="accent6" w:themeFillTint="33"/>
            <w:vAlign w:val="center"/>
            <w:hideMark/>
          </w:tcPr>
          <w:p w14:paraId="695D7128" w14:textId="6919AE4B" w:rsidR="00162748" w:rsidRPr="00162748" w:rsidRDefault="00E608F7" w:rsidP="00162748">
            <w:pPr>
              <w:spacing w:line="360" w:lineRule="auto"/>
              <w:ind w:left="0" w:firstLine="0"/>
              <w:jc w:val="left"/>
              <w:rPr>
                <w:rFonts w:cs="Arial"/>
                <w:color w:val="000000" w:themeColor="text1"/>
                <w:sz w:val="20"/>
                <w:szCs w:val="20"/>
              </w:rPr>
            </w:pPr>
            <w:r w:rsidRPr="00E608F7">
              <w:rPr>
                <w:rFonts w:cs="Arial"/>
                <w:color w:val="000000" w:themeColor="text1"/>
                <w:sz w:val="20"/>
                <w:szCs w:val="20"/>
              </w:rPr>
              <w:t>The application of personal messaging platforms also poses questions of confidentiality, professionalism, data safety, and regulatory adherence in the field of healthcare communication</w:t>
            </w:r>
            <w:r w:rsidR="00162748" w:rsidRPr="00162748">
              <w:rPr>
                <w:rFonts w:cs="Arial"/>
                <w:color w:val="000000" w:themeColor="text1"/>
                <w:sz w:val="20"/>
                <w:szCs w:val="20"/>
              </w:rPr>
              <w:t>.</w:t>
            </w:r>
          </w:p>
        </w:tc>
        <w:tc>
          <w:tcPr>
            <w:tcW w:w="2409" w:type="dxa"/>
            <w:shd w:val="clear" w:color="auto" w:fill="E2EFD9" w:themeFill="accent6" w:themeFillTint="33"/>
            <w:vAlign w:val="center"/>
            <w:hideMark/>
          </w:tcPr>
          <w:p w14:paraId="40CB0C09" w14:textId="77777777" w:rsidR="00162748" w:rsidRPr="00162748" w:rsidRDefault="00162748" w:rsidP="00162748">
            <w:pPr>
              <w:spacing w:line="360" w:lineRule="auto"/>
              <w:ind w:left="0" w:firstLine="0"/>
              <w:jc w:val="left"/>
              <w:rPr>
                <w:rFonts w:cs="Arial"/>
                <w:color w:val="000000" w:themeColor="text1"/>
                <w:sz w:val="20"/>
                <w:szCs w:val="20"/>
              </w:rPr>
            </w:pPr>
            <w:r w:rsidRPr="00162748">
              <w:rPr>
                <w:rFonts w:cs="Arial"/>
                <w:color w:val="000000" w:themeColor="text1"/>
                <w:sz w:val="20"/>
                <w:szCs w:val="20"/>
              </w:rPr>
              <w:t xml:space="preserve">John, </w:t>
            </w:r>
            <w:proofErr w:type="spellStart"/>
            <w:r w:rsidRPr="00162748">
              <w:rPr>
                <w:rFonts w:cs="Arial"/>
                <w:color w:val="000000" w:themeColor="text1"/>
                <w:sz w:val="20"/>
                <w:szCs w:val="20"/>
              </w:rPr>
              <w:t>Heavin</w:t>
            </w:r>
            <w:proofErr w:type="spellEnd"/>
            <w:r w:rsidRPr="00162748">
              <w:rPr>
                <w:rFonts w:cs="Arial"/>
                <w:color w:val="000000" w:themeColor="text1"/>
                <w:sz w:val="20"/>
                <w:szCs w:val="20"/>
              </w:rPr>
              <w:t xml:space="preserve"> and Roberts, 2025; Ryan-Blackwell and </w:t>
            </w:r>
            <w:proofErr w:type="spellStart"/>
            <w:r w:rsidRPr="00162748">
              <w:rPr>
                <w:rFonts w:cs="Arial"/>
                <w:color w:val="000000" w:themeColor="text1"/>
                <w:sz w:val="20"/>
                <w:szCs w:val="20"/>
              </w:rPr>
              <w:t>Astin</w:t>
            </w:r>
            <w:proofErr w:type="spellEnd"/>
            <w:r w:rsidRPr="00162748">
              <w:rPr>
                <w:rFonts w:cs="Arial"/>
                <w:color w:val="000000" w:themeColor="text1"/>
                <w:sz w:val="20"/>
                <w:szCs w:val="20"/>
              </w:rPr>
              <w:t xml:space="preserve">, 2025; </w:t>
            </w:r>
            <w:proofErr w:type="spellStart"/>
            <w:r w:rsidRPr="00162748">
              <w:rPr>
                <w:rFonts w:cs="Arial"/>
                <w:color w:val="000000" w:themeColor="text1"/>
                <w:sz w:val="20"/>
                <w:szCs w:val="20"/>
              </w:rPr>
              <w:t>Bakhai</w:t>
            </w:r>
            <w:proofErr w:type="spellEnd"/>
            <w:r w:rsidRPr="00162748">
              <w:rPr>
                <w:rFonts w:cs="Arial"/>
                <w:color w:val="000000" w:themeColor="text1"/>
                <w:sz w:val="20"/>
                <w:szCs w:val="20"/>
              </w:rPr>
              <w:t xml:space="preserve"> et al., 2022</w:t>
            </w:r>
          </w:p>
        </w:tc>
      </w:tr>
    </w:tbl>
    <w:p w14:paraId="183407A1" w14:textId="77777777" w:rsidR="00974B45" w:rsidRPr="005C70DF" w:rsidRDefault="00974B45" w:rsidP="004A3C7E">
      <w:pPr>
        <w:spacing w:line="360" w:lineRule="auto"/>
        <w:ind w:left="0" w:firstLine="0"/>
        <w:rPr>
          <w:rFonts w:cs="Arial"/>
          <w:color w:val="000000" w:themeColor="text1"/>
        </w:rPr>
      </w:pPr>
    </w:p>
    <w:p w14:paraId="1F5BCF9C" w14:textId="77777777" w:rsidR="00715EAE" w:rsidRPr="005C70DF" w:rsidRDefault="00715EAE" w:rsidP="00715EAE">
      <w:pPr>
        <w:pStyle w:val="Heading2"/>
        <w:numPr>
          <w:ilvl w:val="1"/>
          <w:numId w:val="1"/>
        </w:numPr>
        <w:spacing w:line="360" w:lineRule="auto"/>
        <w:rPr>
          <w:rFonts w:ascii="Arial" w:hAnsi="Arial" w:cs="Arial"/>
          <w:b/>
          <w:bCs/>
          <w:color w:val="000000" w:themeColor="text1"/>
          <w:sz w:val="28"/>
          <w:szCs w:val="20"/>
        </w:rPr>
      </w:pPr>
      <w:bookmarkStart w:id="14" w:name="_Toc223883311"/>
      <w:r w:rsidRPr="005C70DF">
        <w:rPr>
          <w:rFonts w:ascii="Arial" w:hAnsi="Arial" w:cs="Arial"/>
          <w:b/>
          <w:bCs/>
          <w:color w:val="000000" w:themeColor="text1"/>
          <w:sz w:val="28"/>
          <w:szCs w:val="20"/>
        </w:rPr>
        <w:t>Theme 1: Informal Digital Communication Supporting Clinical Coordination</w:t>
      </w:r>
      <w:bookmarkEnd w:id="14"/>
    </w:p>
    <w:p w14:paraId="203851F1" w14:textId="32B2D6CB" w:rsidR="00715EAE" w:rsidRPr="00715EAE" w:rsidRDefault="00691F21" w:rsidP="00715EAE">
      <w:pPr>
        <w:spacing w:line="360" w:lineRule="auto"/>
        <w:ind w:left="0" w:firstLine="0"/>
        <w:rPr>
          <w:rFonts w:cs="Arial"/>
          <w:color w:val="000000" w:themeColor="text1"/>
        </w:rPr>
      </w:pPr>
      <w:r w:rsidRPr="00691F21">
        <w:rPr>
          <w:rFonts w:cs="Arial"/>
          <w:color w:val="000000" w:themeColor="text1"/>
        </w:rPr>
        <w:t>Two studies analysed indicated the importance of messaging applications like WhatsApp in communication and teamwork among medical professionals. Findings relate to the O1, which dwells on the informal communication procedure through WhatsApp among health and social care practitioners</w:t>
      </w:r>
      <w:r w:rsidR="00715EAE" w:rsidRPr="00715EAE">
        <w:rPr>
          <w:rFonts w:cs="Arial"/>
          <w:color w:val="000000" w:themeColor="text1"/>
        </w:rPr>
        <w:t>.</w:t>
      </w:r>
    </w:p>
    <w:p w14:paraId="4FF812C0" w14:textId="77777777" w:rsidR="00546895" w:rsidRDefault="00290492" w:rsidP="00290492">
      <w:pPr>
        <w:spacing w:line="360" w:lineRule="auto"/>
        <w:ind w:left="0" w:firstLine="0"/>
        <w:rPr>
          <w:rFonts w:cs="Arial"/>
          <w:color w:val="000000" w:themeColor="text1"/>
        </w:rPr>
      </w:pPr>
      <w:r w:rsidRPr="00B0720F">
        <w:rPr>
          <w:rFonts w:cs="Arial"/>
          <w:color w:val="000000" w:themeColor="text1"/>
        </w:rPr>
        <w:t>The study by Salam et al. (2021) explored the concept of WhatsApp in medical education and practice. The researchers discovered that messaging tools facilitated fast interaction between medical students and clinicians so that information could be shared fast in clinical settings. Respondents indicated that the use of WhatsApp groups enabled the exchange of clinical knowledge, case discussion, and organi</w:t>
      </w:r>
      <w:r w:rsidR="00D32DB5">
        <w:rPr>
          <w:rFonts w:cs="Arial"/>
          <w:color w:val="000000" w:themeColor="text1"/>
        </w:rPr>
        <w:t>s</w:t>
      </w:r>
      <w:r w:rsidRPr="00B0720F">
        <w:rPr>
          <w:rFonts w:cs="Arial"/>
          <w:color w:val="000000" w:themeColor="text1"/>
        </w:rPr>
        <w:t xml:space="preserve">ation of learning processes. </w:t>
      </w:r>
      <w:r w:rsidR="00546895" w:rsidRPr="00546895">
        <w:rPr>
          <w:rFonts w:cs="Arial"/>
          <w:color w:val="000000" w:themeColor="text1"/>
        </w:rPr>
        <w:t>This means that messaging systems may serve as informal communication tools, which serve to support professional contact and learning in the medical setting.</w:t>
      </w:r>
    </w:p>
    <w:p w14:paraId="705D5E33" w14:textId="5847A7AA" w:rsidR="00290492" w:rsidRPr="00B0720F" w:rsidRDefault="00546895" w:rsidP="00290492">
      <w:pPr>
        <w:spacing w:line="360" w:lineRule="auto"/>
        <w:ind w:left="0" w:firstLine="0"/>
        <w:rPr>
          <w:rFonts w:cs="Arial"/>
          <w:color w:val="000000" w:themeColor="text1"/>
        </w:rPr>
      </w:pPr>
      <w:proofErr w:type="spellStart"/>
      <w:r w:rsidRPr="00546895">
        <w:rPr>
          <w:rFonts w:cs="Arial"/>
          <w:color w:val="000000" w:themeColor="text1"/>
        </w:rPr>
        <w:t>Bakhai</w:t>
      </w:r>
      <w:proofErr w:type="spellEnd"/>
      <w:r w:rsidRPr="00546895">
        <w:rPr>
          <w:rFonts w:cs="Arial"/>
          <w:color w:val="000000" w:themeColor="text1"/>
        </w:rPr>
        <w:t xml:space="preserve"> et al. (2022) reviewed digital communication related to work in NHS employees during the COVID-19 pandemic. According to the research, messaging websites, including WhatsApp, were popular communication channels at the work place. Such platforms enabled healthcare professionals to </w:t>
      </w:r>
      <w:proofErr w:type="spellStart"/>
      <w:r w:rsidRPr="00546895">
        <w:rPr>
          <w:rFonts w:cs="Arial"/>
          <w:color w:val="000000" w:themeColor="text1"/>
        </w:rPr>
        <w:t>organize</w:t>
      </w:r>
      <w:proofErr w:type="spellEnd"/>
      <w:r w:rsidRPr="00546895">
        <w:rPr>
          <w:rFonts w:cs="Arial"/>
          <w:color w:val="000000" w:themeColor="text1"/>
        </w:rPr>
        <w:t xml:space="preserve"> operations, communicate with each other and share information and interact with fellow professionals not in formal organisational setups. This kind of reliance on digital communication was a sign of the need to have fast communication under the pressure of a clinical final situation.</w:t>
      </w:r>
    </w:p>
    <w:p w14:paraId="551FD3DB" w14:textId="48F3C1E3" w:rsidR="00715EAE" w:rsidRPr="00715EAE" w:rsidRDefault="00290492" w:rsidP="00290492">
      <w:pPr>
        <w:spacing w:line="360" w:lineRule="auto"/>
        <w:ind w:left="0" w:firstLine="0"/>
        <w:rPr>
          <w:rFonts w:cs="Arial"/>
          <w:color w:val="000000" w:themeColor="text1"/>
        </w:rPr>
      </w:pPr>
      <w:r w:rsidRPr="00B0720F">
        <w:rPr>
          <w:rFonts w:cs="Arial"/>
          <w:color w:val="000000" w:themeColor="text1"/>
        </w:rPr>
        <w:t>There are signs in both studies that WhatsApp and other messaging applications are adopted to coordinate the work of healthcare professionals. Informal communication channels allowed sharing of information efficiently among the staff especially at a time when official channels of communication were slow or inaccessible</w:t>
      </w:r>
      <w:r w:rsidR="00715EAE" w:rsidRPr="00715EAE">
        <w:rPr>
          <w:rFonts w:cs="Arial"/>
          <w:color w:val="000000" w:themeColor="text1"/>
        </w:rPr>
        <w:t>.</w:t>
      </w:r>
    </w:p>
    <w:p w14:paraId="565CB54E" w14:textId="63409B39" w:rsidR="00B0720F" w:rsidRPr="00290492" w:rsidRDefault="00715EAE" w:rsidP="00290492">
      <w:pPr>
        <w:pStyle w:val="Heading2"/>
        <w:numPr>
          <w:ilvl w:val="1"/>
          <w:numId w:val="1"/>
        </w:numPr>
        <w:spacing w:line="360" w:lineRule="auto"/>
        <w:rPr>
          <w:rFonts w:ascii="Arial" w:hAnsi="Arial" w:cs="Arial"/>
          <w:b/>
          <w:bCs/>
          <w:color w:val="000000" w:themeColor="text1"/>
          <w:sz w:val="28"/>
          <w:szCs w:val="20"/>
        </w:rPr>
      </w:pPr>
      <w:bookmarkStart w:id="15" w:name="_Toc223883312"/>
      <w:r w:rsidRPr="005C70DF">
        <w:rPr>
          <w:rFonts w:ascii="Arial" w:hAnsi="Arial" w:cs="Arial"/>
          <w:b/>
          <w:bCs/>
          <w:color w:val="000000" w:themeColor="text1"/>
          <w:sz w:val="28"/>
          <w:szCs w:val="20"/>
        </w:rPr>
        <w:t>Theme 2: Ethical Risks, Data Governance and Professional Boundaries</w:t>
      </w:r>
      <w:bookmarkEnd w:id="15"/>
    </w:p>
    <w:p w14:paraId="3DA44B40" w14:textId="77777777" w:rsidR="00B0720F" w:rsidRPr="00B0720F" w:rsidRDefault="00B0720F" w:rsidP="00B0720F">
      <w:pPr>
        <w:spacing w:line="360" w:lineRule="auto"/>
        <w:ind w:left="0" w:firstLine="0"/>
        <w:rPr>
          <w:rFonts w:cs="Arial"/>
          <w:color w:val="000000" w:themeColor="text1"/>
        </w:rPr>
      </w:pPr>
      <w:r w:rsidRPr="00B0720F">
        <w:rPr>
          <w:rFonts w:cs="Arial"/>
          <w:color w:val="000000" w:themeColor="text1"/>
        </w:rPr>
        <w:t>The issues in ethical and professional implications of using messaging platforms in health care communication were detected in three studies. The findings apply in O2 and O3, which are concerned with confidentiality, data safety, and professional boundary.</w:t>
      </w:r>
    </w:p>
    <w:p w14:paraId="62E7AEE3" w14:textId="77777777" w:rsidR="00B0720F" w:rsidRPr="00B0720F" w:rsidRDefault="00B0720F" w:rsidP="00B0720F">
      <w:pPr>
        <w:spacing w:line="360" w:lineRule="auto"/>
        <w:ind w:left="0" w:firstLine="0"/>
        <w:rPr>
          <w:rFonts w:cs="Arial"/>
          <w:color w:val="000000" w:themeColor="text1"/>
        </w:rPr>
      </w:pPr>
      <w:r w:rsidRPr="00B0720F">
        <w:rPr>
          <w:rFonts w:cs="Arial"/>
          <w:color w:val="000000" w:themeColor="text1"/>
        </w:rPr>
        <w:t xml:space="preserve">John, </w:t>
      </w:r>
      <w:proofErr w:type="spellStart"/>
      <w:r w:rsidRPr="00B0720F">
        <w:rPr>
          <w:rFonts w:cs="Arial"/>
          <w:color w:val="000000" w:themeColor="text1"/>
        </w:rPr>
        <w:t>Heavin</w:t>
      </w:r>
      <w:proofErr w:type="spellEnd"/>
      <w:r w:rsidRPr="00B0720F">
        <w:rPr>
          <w:rFonts w:cs="Arial"/>
          <w:color w:val="000000" w:themeColor="text1"/>
        </w:rPr>
        <w:t xml:space="preserve"> and Roberts (2025) examined guidance in connection to the use of personal devices and messaging applications in regards to clinical communication in the UK and Ireland. They have discovered that healthcare organisations are grappling with the issue of controlling the use of third-party communication tools, including WhatsApp. This analysis showed that the available guidelines tend to be contradictory and therefore practitioners are unable to be certain about what they accept as suitable communication practices. Issues of patient confidentiality, handling of data securely and adhering to data protection laws were raised.</w:t>
      </w:r>
    </w:p>
    <w:p w14:paraId="6D2D3618" w14:textId="7A31788B" w:rsidR="00B0720F" w:rsidRPr="00B0720F" w:rsidRDefault="00B0720F" w:rsidP="00B0720F">
      <w:pPr>
        <w:spacing w:line="360" w:lineRule="auto"/>
        <w:ind w:left="0" w:firstLine="0"/>
        <w:rPr>
          <w:rFonts w:cs="Arial"/>
          <w:color w:val="000000" w:themeColor="text1"/>
        </w:rPr>
      </w:pPr>
      <w:r w:rsidRPr="00B0720F">
        <w:rPr>
          <w:rFonts w:cs="Arial"/>
          <w:color w:val="000000" w:themeColor="text1"/>
        </w:rPr>
        <w:t xml:space="preserve">Ryan-Blackwell and </w:t>
      </w:r>
      <w:proofErr w:type="spellStart"/>
      <w:r w:rsidRPr="00B0720F">
        <w:rPr>
          <w:rFonts w:cs="Arial"/>
          <w:color w:val="000000" w:themeColor="text1"/>
        </w:rPr>
        <w:t>Astin</w:t>
      </w:r>
      <w:proofErr w:type="spellEnd"/>
      <w:r w:rsidRPr="00B0720F">
        <w:rPr>
          <w:rFonts w:cs="Arial"/>
          <w:color w:val="000000" w:themeColor="text1"/>
        </w:rPr>
        <w:t xml:space="preserve"> (2025) studied hearings of misconduct cases of nursing and midwifery practitioners in the </w:t>
      </w:r>
      <w:r w:rsidR="00D32DB5">
        <w:rPr>
          <w:rFonts w:cs="Arial"/>
          <w:color w:val="000000" w:themeColor="text1"/>
        </w:rPr>
        <w:t>UK</w:t>
      </w:r>
      <w:r w:rsidRPr="00B0720F">
        <w:rPr>
          <w:rFonts w:cs="Arial"/>
          <w:color w:val="000000" w:themeColor="text1"/>
        </w:rPr>
        <w:t>. Their discussion found that there were a number of instances in which improper digital communication was also cited as a factor in professional misconduct proceedings. The results concluded that social media and messaging sites have the potential to cause harm when health care workers post data or communicate beyond the set boundaries of professional conduct standards.</w:t>
      </w:r>
    </w:p>
    <w:p w14:paraId="4875A0E1" w14:textId="3B90366F" w:rsidR="00B0720F" w:rsidRPr="00B0720F" w:rsidRDefault="00B0720F" w:rsidP="00B0720F">
      <w:pPr>
        <w:spacing w:line="360" w:lineRule="auto"/>
        <w:ind w:left="0" w:firstLine="0"/>
        <w:rPr>
          <w:rFonts w:cs="Arial"/>
          <w:color w:val="000000" w:themeColor="text1"/>
        </w:rPr>
      </w:pPr>
      <w:proofErr w:type="spellStart"/>
      <w:r w:rsidRPr="00B0720F">
        <w:rPr>
          <w:rFonts w:cs="Arial"/>
          <w:color w:val="000000" w:themeColor="text1"/>
        </w:rPr>
        <w:t>Bakhai</w:t>
      </w:r>
      <w:proofErr w:type="spellEnd"/>
      <w:r w:rsidRPr="00B0720F">
        <w:rPr>
          <w:rFonts w:cs="Arial"/>
          <w:color w:val="000000" w:themeColor="text1"/>
        </w:rPr>
        <w:t xml:space="preserve"> et al. (2022)</w:t>
      </w:r>
      <w:r w:rsidR="0063240A">
        <w:rPr>
          <w:rFonts w:cs="Arial"/>
          <w:color w:val="000000" w:themeColor="text1"/>
        </w:rPr>
        <w:t xml:space="preserve"> </w:t>
      </w:r>
      <w:r w:rsidRPr="00B0720F">
        <w:rPr>
          <w:rFonts w:cs="Arial"/>
          <w:color w:val="000000" w:themeColor="text1"/>
        </w:rPr>
        <w:t>focused on how online communication influences staff workload and professional expectations. Medical staff stated that work-based communication prolonged communication time than the usual working days. This also imposed more strains and obscured the line between personal and professional life.</w:t>
      </w:r>
    </w:p>
    <w:p w14:paraId="18CE0822" w14:textId="3F519AFE" w:rsidR="003C0ADD" w:rsidRPr="005C70DF" w:rsidRDefault="003C0ADD" w:rsidP="00A33DD6">
      <w:pPr>
        <w:pStyle w:val="Heading1"/>
        <w:numPr>
          <w:ilvl w:val="0"/>
          <w:numId w:val="1"/>
        </w:numPr>
        <w:spacing w:line="360" w:lineRule="auto"/>
        <w:rPr>
          <w:rFonts w:ascii="Arial" w:hAnsi="Arial" w:cs="Arial"/>
          <w:b/>
          <w:bCs/>
          <w:color w:val="000000" w:themeColor="text1"/>
          <w:sz w:val="32"/>
          <w:szCs w:val="32"/>
        </w:rPr>
      </w:pPr>
      <w:bookmarkStart w:id="16" w:name="_Toc223883313"/>
      <w:r w:rsidRPr="005C70DF">
        <w:rPr>
          <w:rFonts w:ascii="Arial" w:hAnsi="Arial" w:cs="Arial"/>
          <w:b/>
          <w:bCs/>
          <w:color w:val="000000" w:themeColor="text1"/>
          <w:sz w:val="32"/>
          <w:szCs w:val="32"/>
        </w:rPr>
        <w:t>Discussion</w:t>
      </w:r>
      <w:bookmarkEnd w:id="16"/>
    </w:p>
    <w:p w14:paraId="1D2ABB92" w14:textId="77777777" w:rsidR="00881F4F" w:rsidRDefault="00881F4F" w:rsidP="00812F60">
      <w:pPr>
        <w:spacing w:line="360" w:lineRule="auto"/>
        <w:ind w:left="0" w:firstLine="0"/>
        <w:rPr>
          <w:rFonts w:cs="Arial"/>
          <w:color w:val="000000" w:themeColor="text1"/>
        </w:rPr>
      </w:pPr>
      <w:r w:rsidRPr="00881F4F">
        <w:rPr>
          <w:rFonts w:cs="Arial"/>
          <w:color w:val="000000" w:themeColor="text1"/>
        </w:rPr>
        <w:t>The subject of this scoping review was to determine what lived through and what should have been an outcome of the implementation of messaging apps such as WhatsApp in healthcare communication. The results stated two influential themes, i.e., informal digital communication and its usage to assist in coordinating clinical activities and the ethical and professional hazards of such communications. Such findings illuminate in relation to the role that the digital messaging plays within the UK healthcare setting into professional practice.</w:t>
      </w:r>
    </w:p>
    <w:p w14:paraId="6D63A952" w14:textId="58D276F7" w:rsidR="00812F60" w:rsidRPr="00B0720F" w:rsidRDefault="00881F4F" w:rsidP="00812F60">
      <w:pPr>
        <w:spacing w:line="360" w:lineRule="auto"/>
        <w:ind w:left="0" w:firstLine="0"/>
        <w:rPr>
          <w:rFonts w:cs="Arial"/>
          <w:color w:val="000000" w:themeColor="text1"/>
        </w:rPr>
      </w:pPr>
      <w:r w:rsidRPr="00881F4F">
        <w:rPr>
          <w:rFonts w:cs="Arial"/>
          <w:color w:val="000000" w:themeColor="text1"/>
        </w:rPr>
        <w:t>Theme 1 highlights greater involvement of informal communication technologies to assist in coordinating clinically.</w:t>
      </w:r>
      <w:r>
        <w:rPr>
          <w:rFonts w:cs="Arial"/>
          <w:color w:val="000000" w:themeColor="text1"/>
        </w:rPr>
        <w:t xml:space="preserve"> </w:t>
      </w:r>
      <w:r w:rsidR="00812F60" w:rsidRPr="00881F4F">
        <w:t>The</w:t>
      </w:r>
      <w:r w:rsidR="00812F60" w:rsidRPr="00B0720F">
        <w:rPr>
          <w:rFonts w:cs="Arial"/>
          <w:color w:val="000000" w:themeColor="text1"/>
        </w:rPr>
        <w:t xml:space="preserve"> articles incorporated in the review suggest that messaging applications enable medical practitioners to share information quickly and work together effectively. Under settings where clinical judgements sometimes need to be relayed within a relatively brief time frame, practitioners seem to embrace readily available digital means to counteract deficiencies in formal communication platforms. Salam et al. (2021) and </w:t>
      </w:r>
      <w:proofErr w:type="spellStart"/>
      <w:r w:rsidR="00812F60" w:rsidRPr="00B0720F">
        <w:rPr>
          <w:rFonts w:cs="Arial"/>
          <w:color w:val="000000" w:themeColor="text1"/>
        </w:rPr>
        <w:t>Bakhai</w:t>
      </w:r>
      <w:proofErr w:type="spellEnd"/>
      <w:r w:rsidR="00812F60" w:rsidRPr="00B0720F">
        <w:rPr>
          <w:rFonts w:cs="Arial"/>
          <w:color w:val="000000" w:themeColor="text1"/>
        </w:rPr>
        <w:t xml:space="preserve"> et al. (2022) propose, based on their results, that the use of messaging systems facilitates sharing knowledge, collaborative efforts, and coordination of clinical actions. This is part of a wider digital transformation trend in health care systems, where mobile communication has a rising dependency in traditional organisational communication pathways.</w:t>
      </w:r>
    </w:p>
    <w:p w14:paraId="236391D9" w14:textId="6E8D26B2" w:rsidR="00812F60" w:rsidRPr="00B0720F" w:rsidRDefault="00812F60" w:rsidP="00812F60">
      <w:pPr>
        <w:spacing w:line="360" w:lineRule="auto"/>
        <w:ind w:left="0" w:firstLine="0"/>
        <w:rPr>
          <w:rFonts w:cs="Arial"/>
          <w:color w:val="000000" w:themeColor="text1"/>
        </w:rPr>
      </w:pPr>
      <w:r w:rsidRPr="00B0720F">
        <w:rPr>
          <w:rFonts w:cs="Arial"/>
          <w:color w:val="000000" w:themeColor="text1"/>
        </w:rPr>
        <w:t xml:space="preserve">Nevertheless, the results demonstrate that there are also serious conflicts between the effectiveness of communication and professional responsibility. The second theme shows that though messaging platforms are used to communicate, they pose ethical and regulatory issues. As John, </w:t>
      </w:r>
      <w:proofErr w:type="spellStart"/>
      <w:r w:rsidRPr="00B0720F">
        <w:rPr>
          <w:rFonts w:cs="Arial"/>
          <w:color w:val="000000" w:themeColor="text1"/>
        </w:rPr>
        <w:t>Heavin</w:t>
      </w:r>
      <w:proofErr w:type="spellEnd"/>
      <w:r w:rsidRPr="00B0720F">
        <w:rPr>
          <w:rFonts w:cs="Arial"/>
          <w:color w:val="000000" w:themeColor="text1"/>
        </w:rPr>
        <w:t xml:space="preserve"> and Roberts (2025) note, direction on the use of personal devices and third-party messaging applications is not consistent throughout healthcare organisations.</w:t>
      </w:r>
      <w:r w:rsidR="00B1784D" w:rsidRPr="00B1784D">
        <w:rPr>
          <w:rFonts w:cs="Arial"/>
          <w:color w:val="000000" w:themeColor="text1"/>
        </w:rPr>
        <w:t xml:space="preserve">This ambiguity may contribute to the ambiguity surrounding the ability to employ communication across </w:t>
      </w:r>
      <w:proofErr w:type="spellStart"/>
      <w:r w:rsidR="00B1784D" w:rsidRPr="00B1784D">
        <w:rPr>
          <w:rFonts w:cs="Arial"/>
          <w:color w:val="000000" w:themeColor="text1"/>
        </w:rPr>
        <w:t>recognizable</w:t>
      </w:r>
      <w:proofErr w:type="spellEnd"/>
      <w:r w:rsidR="00B1784D" w:rsidRPr="00B1784D">
        <w:rPr>
          <w:rFonts w:cs="Arial"/>
          <w:color w:val="000000" w:themeColor="text1"/>
        </w:rPr>
        <w:t xml:space="preserve"> limits by different practitioners</w:t>
      </w:r>
      <w:r w:rsidRPr="00B0720F">
        <w:rPr>
          <w:rFonts w:cs="Arial"/>
          <w:color w:val="000000" w:themeColor="text1"/>
        </w:rPr>
        <w:t>. When patient information can be communicated in an informal context, the risks associated with confidentiality and data protection become especially critical.</w:t>
      </w:r>
    </w:p>
    <w:p w14:paraId="3DDEEA67" w14:textId="163FA9F3" w:rsidR="00812F60" w:rsidRPr="00B0720F" w:rsidRDefault="00812F60" w:rsidP="00812F60">
      <w:pPr>
        <w:spacing w:line="360" w:lineRule="auto"/>
        <w:ind w:left="0" w:firstLine="0"/>
        <w:rPr>
          <w:rFonts w:cs="Arial"/>
          <w:color w:val="000000" w:themeColor="text1"/>
        </w:rPr>
      </w:pPr>
      <w:r w:rsidRPr="00B0720F">
        <w:rPr>
          <w:rFonts w:cs="Arial"/>
          <w:color w:val="000000" w:themeColor="text1"/>
        </w:rPr>
        <w:t xml:space="preserve">Another finding that is concerning the issue of professional boundaries in digital communication is the findings. As it is proven by Ryan-Blackwell and </w:t>
      </w:r>
      <w:proofErr w:type="spellStart"/>
      <w:r w:rsidRPr="00B0720F">
        <w:rPr>
          <w:rFonts w:cs="Arial"/>
          <w:color w:val="000000" w:themeColor="text1"/>
        </w:rPr>
        <w:t>Astin</w:t>
      </w:r>
      <w:proofErr w:type="spellEnd"/>
      <w:r w:rsidRPr="00B0720F">
        <w:rPr>
          <w:rFonts w:cs="Arial"/>
          <w:color w:val="000000" w:themeColor="text1"/>
        </w:rPr>
        <w:t xml:space="preserve"> (2025), any misuse of social media or messaging applications may lead to professional malpractice disciplinary actions on the regulatory plane. The cases show how digital communication technologies can blur the lines between personal and professional relationships. </w:t>
      </w:r>
      <w:proofErr w:type="spellStart"/>
      <w:r w:rsidRPr="00B0720F">
        <w:rPr>
          <w:rFonts w:cs="Arial"/>
          <w:color w:val="000000" w:themeColor="text1"/>
        </w:rPr>
        <w:t>Bakhai</w:t>
      </w:r>
      <w:proofErr w:type="spellEnd"/>
      <w:r w:rsidRPr="00B0720F">
        <w:rPr>
          <w:rFonts w:cs="Arial"/>
          <w:color w:val="000000" w:themeColor="text1"/>
        </w:rPr>
        <w:t xml:space="preserve"> et al. (2022) also indicate that work-related messaging may expand communication outside the working hours, introducing further stress to the healthcare personnel and influencing work-life balance.</w:t>
      </w:r>
    </w:p>
    <w:p w14:paraId="2BD35094" w14:textId="660E9CA9" w:rsidR="00812F60" w:rsidRPr="00B0720F" w:rsidRDefault="00812F60" w:rsidP="00812F60">
      <w:pPr>
        <w:spacing w:line="360" w:lineRule="auto"/>
        <w:ind w:left="0" w:firstLine="0"/>
        <w:rPr>
          <w:rFonts w:cs="Arial"/>
          <w:color w:val="000000" w:themeColor="text1"/>
        </w:rPr>
      </w:pPr>
      <w:r w:rsidRPr="00B0720F">
        <w:rPr>
          <w:rFonts w:cs="Arial"/>
          <w:color w:val="000000" w:themeColor="text1"/>
        </w:rPr>
        <w:t xml:space="preserve">This is of special interest to policy and governance in the UK healthcare system. The overview of the legislation, such as the Data Protection Act 2018 </w:t>
      </w:r>
      <w:r w:rsidR="00654123">
        <w:rPr>
          <w:rFonts w:cs="Arial"/>
          <w:color w:val="000000" w:themeColor="text1"/>
        </w:rPr>
        <w:t>(</w:t>
      </w:r>
      <w:r w:rsidR="00654123" w:rsidRPr="002575FF">
        <w:rPr>
          <w:szCs w:val="18"/>
          <w:lang w:val="en-US"/>
        </w:rPr>
        <w:t>GOV.UK</w:t>
      </w:r>
      <w:r w:rsidR="00654123">
        <w:rPr>
          <w:szCs w:val="18"/>
          <w:lang w:val="en-US"/>
        </w:rPr>
        <w:t xml:space="preserve">, </w:t>
      </w:r>
      <w:r w:rsidR="00654123" w:rsidRPr="002575FF">
        <w:rPr>
          <w:szCs w:val="18"/>
          <w:lang w:val="en-US"/>
        </w:rPr>
        <w:t>2018</w:t>
      </w:r>
      <w:r w:rsidR="00654123">
        <w:rPr>
          <w:rFonts w:cs="Arial"/>
          <w:color w:val="000000" w:themeColor="text1"/>
        </w:rPr>
        <w:t xml:space="preserve">) </w:t>
      </w:r>
      <w:r w:rsidRPr="00B0720F">
        <w:rPr>
          <w:rFonts w:cs="Arial"/>
          <w:color w:val="000000" w:themeColor="text1"/>
        </w:rPr>
        <w:t>and the principles of the GDPR, demands that patient information in healthcare organisations is safely handled. These may not necessarily be achieved on informal messaging platforms. Consequently, healthcare organisations need to weigh the potential of digital communication practices, thus not restricting the functional advantages of messaging platforms in clinical coordination</w:t>
      </w:r>
      <w:r w:rsidR="007F03CD">
        <w:rPr>
          <w:rFonts w:cs="Arial"/>
          <w:color w:val="000000" w:themeColor="text1"/>
        </w:rPr>
        <w:t xml:space="preserve"> (</w:t>
      </w:r>
      <w:r w:rsidR="007F03CD" w:rsidRPr="002575FF">
        <w:rPr>
          <w:szCs w:val="18"/>
        </w:rPr>
        <w:t>Fitzpatrick, 2023)</w:t>
      </w:r>
      <w:r w:rsidRPr="00B0720F">
        <w:rPr>
          <w:rFonts w:cs="Arial"/>
          <w:color w:val="000000" w:themeColor="text1"/>
        </w:rPr>
        <w:t>.</w:t>
      </w:r>
    </w:p>
    <w:p w14:paraId="5EE68741" w14:textId="33D39DC7" w:rsidR="001E3688" w:rsidRPr="005C70DF" w:rsidRDefault="00812F60" w:rsidP="00812F60">
      <w:pPr>
        <w:spacing w:line="360" w:lineRule="auto"/>
        <w:rPr>
          <w:rFonts w:cs="Arial"/>
          <w:color w:val="000000" w:themeColor="text1"/>
        </w:rPr>
      </w:pPr>
      <w:r w:rsidRPr="00B0720F">
        <w:rPr>
          <w:rFonts w:cs="Arial"/>
          <w:color w:val="000000" w:themeColor="text1"/>
        </w:rPr>
        <w:t>The results of this review reflect the use of governance arrangements in highly regulated health systems like the NHS compared to the wider international literature on digital health communication. Although the communication opportunities presented via messaging can be efficient, the lack of uniform organisational policies can enhance the chances of dealing with ethical or professional risks</w:t>
      </w:r>
      <w:r w:rsidR="00A16D70">
        <w:rPr>
          <w:rFonts w:cs="Arial"/>
          <w:color w:val="000000" w:themeColor="text1"/>
        </w:rPr>
        <w:t xml:space="preserve"> (</w:t>
      </w:r>
      <w:proofErr w:type="spellStart"/>
      <w:r w:rsidR="00A16D70" w:rsidRPr="002575FF">
        <w:rPr>
          <w:szCs w:val="18"/>
        </w:rPr>
        <w:t>Saini</w:t>
      </w:r>
      <w:proofErr w:type="spellEnd"/>
      <w:r w:rsidR="00A16D70">
        <w:rPr>
          <w:szCs w:val="18"/>
        </w:rPr>
        <w:t xml:space="preserve"> et al., 2024)</w:t>
      </w:r>
      <w:r w:rsidRPr="00B0720F">
        <w:rPr>
          <w:rFonts w:cs="Arial"/>
          <w:color w:val="000000" w:themeColor="text1"/>
        </w:rPr>
        <w:t>. The reviewed articles hence posit that healthcare systems need to strike a balance between technology flexibility and high-level regulations</w:t>
      </w:r>
      <w:r>
        <w:rPr>
          <w:rFonts w:cs="Arial"/>
          <w:color w:val="000000" w:themeColor="text1"/>
        </w:rPr>
        <w:t>.</w:t>
      </w:r>
    </w:p>
    <w:p w14:paraId="2FDEDA51" w14:textId="0695FA41" w:rsidR="00C27A8D" w:rsidRPr="005C70DF" w:rsidRDefault="003C0ADD" w:rsidP="00CE6917">
      <w:pPr>
        <w:pStyle w:val="Heading1"/>
        <w:numPr>
          <w:ilvl w:val="0"/>
          <w:numId w:val="1"/>
        </w:numPr>
        <w:spacing w:line="360" w:lineRule="auto"/>
        <w:rPr>
          <w:rFonts w:ascii="Arial" w:hAnsi="Arial" w:cs="Arial"/>
          <w:b/>
          <w:bCs/>
          <w:color w:val="000000" w:themeColor="text1"/>
          <w:sz w:val="32"/>
          <w:szCs w:val="32"/>
        </w:rPr>
      </w:pPr>
      <w:bookmarkStart w:id="17" w:name="_Toc223883314"/>
      <w:r w:rsidRPr="005C70DF">
        <w:rPr>
          <w:rFonts w:ascii="Arial" w:hAnsi="Arial" w:cs="Arial"/>
          <w:b/>
          <w:bCs/>
          <w:color w:val="000000" w:themeColor="text1"/>
          <w:sz w:val="32"/>
          <w:szCs w:val="32"/>
        </w:rPr>
        <w:t>Conclusion and Recommendations</w:t>
      </w:r>
      <w:bookmarkEnd w:id="17"/>
    </w:p>
    <w:p w14:paraId="19AA73D0" w14:textId="1B3CFFEF" w:rsidR="00D32DB5" w:rsidRPr="00D32DB5" w:rsidRDefault="00D32DB5" w:rsidP="00D32DB5">
      <w:pPr>
        <w:spacing w:line="360" w:lineRule="auto"/>
        <w:rPr>
          <w:rFonts w:cs="Arial"/>
          <w:color w:val="000000" w:themeColor="text1"/>
        </w:rPr>
      </w:pPr>
      <w:r w:rsidRPr="00D32DB5">
        <w:rPr>
          <w:rFonts w:cs="Arial"/>
          <w:color w:val="000000" w:themeColor="text1"/>
        </w:rPr>
        <w:t xml:space="preserve">This scoping review investigated the ways in which messaging apps, like WhatsApp, are implemented in the healthcare system and analysed the ethics and professionalism of this mode of communication. The use of scoping review framework by </w:t>
      </w:r>
      <w:proofErr w:type="spellStart"/>
      <w:r w:rsidRPr="00D32DB5">
        <w:rPr>
          <w:rFonts w:cs="Arial"/>
          <w:color w:val="000000" w:themeColor="text1"/>
        </w:rPr>
        <w:t>Arksey</w:t>
      </w:r>
      <w:proofErr w:type="spellEnd"/>
      <w:r w:rsidRPr="00D32DB5">
        <w:rPr>
          <w:rFonts w:cs="Arial"/>
          <w:color w:val="000000" w:themeColor="text1"/>
        </w:rPr>
        <w:t xml:space="preserve"> and O'Malley (2005) and thematic analysis methodology by </w:t>
      </w:r>
      <w:proofErr w:type="spellStart"/>
      <w:r w:rsidRPr="00D32DB5">
        <w:rPr>
          <w:rFonts w:cs="Arial"/>
          <w:color w:val="000000" w:themeColor="text1"/>
        </w:rPr>
        <w:t>Aveyard</w:t>
      </w:r>
      <w:proofErr w:type="spellEnd"/>
      <w:r w:rsidR="00EA2A37">
        <w:rPr>
          <w:rFonts w:cs="Arial"/>
          <w:color w:val="000000" w:themeColor="text1"/>
        </w:rPr>
        <w:t xml:space="preserve"> (2023)</w:t>
      </w:r>
      <w:r w:rsidRPr="00D32DB5">
        <w:rPr>
          <w:rFonts w:cs="Arial"/>
          <w:color w:val="000000" w:themeColor="text1"/>
        </w:rPr>
        <w:t xml:space="preserve"> provided a platform to analyse four peer-reviewed articles </w:t>
      </w:r>
      <w:r>
        <w:rPr>
          <w:rFonts w:cs="Arial"/>
          <w:color w:val="000000" w:themeColor="text1"/>
        </w:rPr>
        <w:t>to</w:t>
      </w:r>
      <w:r w:rsidRPr="00D32DB5">
        <w:rPr>
          <w:rFonts w:cs="Arial"/>
          <w:color w:val="000000" w:themeColor="text1"/>
        </w:rPr>
        <w:t xml:space="preserve"> extract primary themes in the literature.</w:t>
      </w:r>
    </w:p>
    <w:p w14:paraId="3B29BCE4" w14:textId="7865D4A1" w:rsidR="00D32DB5" w:rsidRPr="00D32DB5" w:rsidRDefault="00D32DB5" w:rsidP="00D32DB5">
      <w:pPr>
        <w:spacing w:line="360" w:lineRule="auto"/>
        <w:rPr>
          <w:rFonts w:cs="Arial"/>
          <w:color w:val="000000" w:themeColor="text1"/>
        </w:rPr>
      </w:pPr>
      <w:r w:rsidRPr="00D32DB5">
        <w:rPr>
          <w:rFonts w:cs="Arial"/>
          <w:color w:val="000000" w:themeColor="text1"/>
        </w:rPr>
        <w:t>The results show that messaging applications are significant to facilitate communication among healthcare professionals. Informal digital communication allows prompt exchange of information, collaboration within a clinical team, and coordination of work in a time-stressed setting. These results respond to O1, and evidence is found that messaging applications are commonly utili</w:t>
      </w:r>
      <w:r>
        <w:rPr>
          <w:rFonts w:cs="Arial"/>
          <w:color w:val="000000" w:themeColor="text1"/>
        </w:rPr>
        <w:t>s</w:t>
      </w:r>
      <w:r w:rsidRPr="00D32DB5">
        <w:rPr>
          <w:rFonts w:cs="Arial"/>
          <w:color w:val="000000" w:themeColor="text1"/>
        </w:rPr>
        <w:t>ed by health care professionals and are considered useful communication channels.</w:t>
      </w:r>
    </w:p>
    <w:p w14:paraId="4B4057DC" w14:textId="6CAB3828" w:rsidR="00D32DB5" w:rsidRPr="00D32DB5" w:rsidRDefault="00D32DB5" w:rsidP="00D32DB5">
      <w:pPr>
        <w:spacing w:line="360" w:lineRule="auto"/>
        <w:rPr>
          <w:rFonts w:cs="Arial"/>
          <w:color w:val="000000" w:themeColor="text1"/>
        </w:rPr>
      </w:pPr>
      <w:r w:rsidRPr="00D32DB5">
        <w:rPr>
          <w:rFonts w:cs="Arial"/>
          <w:color w:val="000000" w:themeColor="text1"/>
        </w:rPr>
        <w:t xml:space="preserve">Nevertheless, other issues of major concerns identified in the review are confidentiality, data protection, and professional boundaries. Research focuses on the importance of personal messaging platform use in developing ambiguity about regulatory compliance and professional accountability. These problems directly touch on O2 and O3, which dwell on the ethical risks and professional </w:t>
      </w:r>
      <w:r w:rsidR="007B10EE" w:rsidRPr="00D32DB5">
        <w:rPr>
          <w:rFonts w:cs="Arial"/>
          <w:color w:val="000000" w:themeColor="text1"/>
        </w:rPr>
        <w:t>behaviour</w:t>
      </w:r>
      <w:r w:rsidRPr="00D32DB5">
        <w:rPr>
          <w:rFonts w:cs="Arial"/>
          <w:color w:val="000000" w:themeColor="text1"/>
        </w:rPr>
        <w:t xml:space="preserve"> in digital communication. Depending on regulatory cases and governance reviews, it can be argued that the lack of proper use of messaging platforms can result in professional malpractices and possible violation of confidentiality.</w:t>
      </w:r>
    </w:p>
    <w:p w14:paraId="7E777560" w14:textId="77777777" w:rsidR="00D32DB5" w:rsidRPr="00D32DB5" w:rsidRDefault="00D32DB5" w:rsidP="00D32DB5">
      <w:pPr>
        <w:spacing w:line="360" w:lineRule="auto"/>
        <w:rPr>
          <w:rFonts w:cs="Arial"/>
          <w:color w:val="000000" w:themeColor="text1"/>
        </w:rPr>
      </w:pPr>
      <w:r w:rsidRPr="00D32DB5">
        <w:rPr>
          <w:rFonts w:cs="Arial"/>
          <w:color w:val="000000" w:themeColor="text1"/>
        </w:rPr>
        <w:t>These findings therefore indicate that there are opportunities and challenges that digital communication technologies pose to a healthcare practice. Although messaging tools can be productive in clinical communication, they can create a conflict between the laws of a profession and data security needs because of their informality.</w:t>
      </w:r>
    </w:p>
    <w:p w14:paraId="47DED7A4" w14:textId="04D46310" w:rsidR="00D32DB5" w:rsidRPr="00D32DB5" w:rsidRDefault="00D32DB5" w:rsidP="00D32DB5">
      <w:pPr>
        <w:spacing w:line="360" w:lineRule="auto"/>
        <w:rPr>
          <w:rFonts w:cs="Arial"/>
          <w:color w:val="000000" w:themeColor="text1"/>
        </w:rPr>
      </w:pPr>
      <w:r w:rsidRPr="00D32DB5">
        <w:rPr>
          <w:rFonts w:cs="Arial"/>
          <w:color w:val="000000" w:themeColor="text1"/>
        </w:rPr>
        <w:t>Additional studies are necessary in the future to assess how healthcare professionals in various clinical environments use messaging services. Greater scopes of empirical research might offer a more profound understanding of the role of digital communication practices in shaping teamwork, decision-making, and professional relationships in healthcare systems</w:t>
      </w:r>
      <w:r w:rsidR="007B10EE">
        <w:rPr>
          <w:rFonts w:cs="Arial"/>
          <w:color w:val="000000" w:themeColor="text1"/>
        </w:rPr>
        <w:t xml:space="preserve"> (</w:t>
      </w:r>
      <w:proofErr w:type="spellStart"/>
      <w:r w:rsidR="007B10EE" w:rsidRPr="002575FF">
        <w:rPr>
          <w:szCs w:val="18"/>
        </w:rPr>
        <w:t>McGuier</w:t>
      </w:r>
      <w:proofErr w:type="spellEnd"/>
      <w:r w:rsidR="007B10EE">
        <w:rPr>
          <w:szCs w:val="18"/>
        </w:rPr>
        <w:t xml:space="preserve"> et al., 2024)</w:t>
      </w:r>
      <w:r w:rsidRPr="00D32DB5">
        <w:rPr>
          <w:rFonts w:cs="Arial"/>
          <w:color w:val="000000" w:themeColor="text1"/>
        </w:rPr>
        <w:t>.</w:t>
      </w:r>
    </w:p>
    <w:p w14:paraId="6E9C3241" w14:textId="3DE6F869" w:rsidR="00374603" w:rsidRPr="005C70DF" w:rsidRDefault="00D32DB5" w:rsidP="00D32DB5">
      <w:pPr>
        <w:spacing w:line="360" w:lineRule="auto"/>
        <w:rPr>
          <w:rFonts w:cs="Arial"/>
          <w:color w:val="000000" w:themeColor="text1"/>
        </w:rPr>
      </w:pPr>
      <w:r w:rsidRPr="00D32DB5">
        <w:rPr>
          <w:rFonts w:cs="Arial"/>
          <w:color w:val="000000" w:themeColor="text1"/>
        </w:rPr>
        <w:t xml:space="preserve">On policy, it can be advised that healthcare organisations in </w:t>
      </w:r>
      <w:r>
        <w:rPr>
          <w:rFonts w:cs="Arial"/>
          <w:color w:val="000000" w:themeColor="text1"/>
        </w:rPr>
        <w:t>UK</w:t>
      </w:r>
      <w:r w:rsidRPr="00D32DB5">
        <w:rPr>
          <w:rFonts w:cs="Arial"/>
          <w:color w:val="000000" w:themeColor="text1"/>
        </w:rPr>
        <w:t xml:space="preserve"> should come up with clearer directions on how messaging platform can be used in professional communication. The practising programmes can also help practitioners to realise the ethical and legal duties that relate to digital communication. Enhancing governance and acknowledging the feasible advantage of digital messaging can assist healthcare systems in developing a responsible and consultative attitude towards communication technologies</w:t>
      </w:r>
      <w:r>
        <w:rPr>
          <w:rFonts w:cs="Arial"/>
          <w:color w:val="000000" w:themeColor="text1"/>
        </w:rPr>
        <w:t>.</w:t>
      </w:r>
    </w:p>
    <w:p w14:paraId="5A040D24" w14:textId="7940D3E2" w:rsidR="003F32FA" w:rsidRPr="005C70DF" w:rsidRDefault="003F32FA" w:rsidP="00374603">
      <w:pPr>
        <w:spacing w:line="360" w:lineRule="auto"/>
        <w:ind w:left="0" w:firstLine="0"/>
        <w:rPr>
          <w:rFonts w:cs="Arial"/>
          <w:color w:val="000000" w:themeColor="text1"/>
        </w:rPr>
      </w:pPr>
    </w:p>
    <w:p w14:paraId="73EA6946" w14:textId="3D79681B" w:rsidR="00D539CC" w:rsidRPr="005C70DF" w:rsidRDefault="00D539CC" w:rsidP="009731AB">
      <w:pPr>
        <w:spacing w:line="360" w:lineRule="auto"/>
        <w:rPr>
          <w:rFonts w:cs="Arial"/>
          <w:color w:val="000000" w:themeColor="text1"/>
        </w:rPr>
      </w:pPr>
      <w:r w:rsidRPr="005C70DF">
        <w:rPr>
          <w:rFonts w:cs="Arial"/>
          <w:color w:val="000000" w:themeColor="text1"/>
        </w:rPr>
        <w:br w:type="page"/>
      </w:r>
    </w:p>
    <w:p w14:paraId="4F83297C" w14:textId="1D3E23A6" w:rsidR="00D539CC" w:rsidRPr="005C70DF" w:rsidRDefault="00D539CC" w:rsidP="00D539CC">
      <w:pPr>
        <w:pStyle w:val="Heading1"/>
        <w:spacing w:line="360" w:lineRule="auto"/>
        <w:rPr>
          <w:rFonts w:ascii="Arial" w:hAnsi="Arial" w:cs="Arial"/>
          <w:b/>
          <w:bCs/>
          <w:color w:val="000000" w:themeColor="text1"/>
          <w:sz w:val="32"/>
          <w:szCs w:val="32"/>
        </w:rPr>
      </w:pPr>
      <w:bookmarkStart w:id="18" w:name="_Toc223883315"/>
      <w:r w:rsidRPr="005C70DF">
        <w:rPr>
          <w:rFonts w:ascii="Arial" w:hAnsi="Arial" w:cs="Arial"/>
          <w:b/>
          <w:bCs/>
          <w:color w:val="000000" w:themeColor="text1"/>
          <w:sz w:val="32"/>
          <w:szCs w:val="32"/>
        </w:rPr>
        <w:t>References</w:t>
      </w:r>
      <w:bookmarkEnd w:id="18"/>
    </w:p>
    <w:p w14:paraId="5D7E2772" w14:textId="77777777" w:rsidR="00324430" w:rsidRDefault="00324430" w:rsidP="00324430">
      <w:pPr>
        <w:spacing w:line="360" w:lineRule="auto"/>
        <w:rPr>
          <w:szCs w:val="18"/>
        </w:rPr>
      </w:pPr>
      <w:proofErr w:type="spellStart"/>
      <w:r w:rsidRPr="006A1FED">
        <w:rPr>
          <w:szCs w:val="18"/>
        </w:rPr>
        <w:t>Alpers</w:t>
      </w:r>
      <w:proofErr w:type="spellEnd"/>
      <w:r w:rsidRPr="006A1FED">
        <w:rPr>
          <w:szCs w:val="18"/>
        </w:rPr>
        <w:t xml:space="preserve">, G.W., Frey, L., </w:t>
      </w:r>
      <w:proofErr w:type="spellStart"/>
      <w:r w:rsidRPr="006A1FED">
        <w:rPr>
          <w:szCs w:val="18"/>
        </w:rPr>
        <w:t>Tessmer-Petzendorfer</w:t>
      </w:r>
      <w:proofErr w:type="spellEnd"/>
      <w:r w:rsidRPr="006A1FED">
        <w:rPr>
          <w:szCs w:val="18"/>
        </w:rPr>
        <w:t xml:space="preserve">, S., </w:t>
      </w:r>
      <w:proofErr w:type="spellStart"/>
      <w:r w:rsidRPr="006A1FED">
        <w:rPr>
          <w:szCs w:val="18"/>
        </w:rPr>
        <w:t>Klingauf</w:t>
      </w:r>
      <w:proofErr w:type="spellEnd"/>
      <w:r w:rsidRPr="006A1FED">
        <w:rPr>
          <w:szCs w:val="18"/>
        </w:rPr>
        <w:t xml:space="preserve">, A. and </w:t>
      </w:r>
      <w:proofErr w:type="spellStart"/>
      <w:r w:rsidRPr="006A1FED">
        <w:rPr>
          <w:szCs w:val="18"/>
        </w:rPr>
        <w:t>Schad</w:t>
      </w:r>
      <w:proofErr w:type="spellEnd"/>
      <w:r w:rsidRPr="006A1FED">
        <w:rPr>
          <w:szCs w:val="18"/>
        </w:rPr>
        <w:t xml:space="preserve">, S. </w:t>
      </w:r>
      <w:r>
        <w:rPr>
          <w:szCs w:val="18"/>
        </w:rPr>
        <w:t>(</w:t>
      </w:r>
      <w:r w:rsidRPr="006A1FED">
        <w:rPr>
          <w:szCs w:val="18"/>
        </w:rPr>
        <w:t>2022</w:t>
      </w:r>
      <w:r>
        <w:rPr>
          <w:szCs w:val="18"/>
        </w:rPr>
        <w:t>)</w:t>
      </w:r>
      <w:r w:rsidRPr="006A1FED">
        <w:rPr>
          <w:szCs w:val="18"/>
        </w:rPr>
        <w:t>. How shall I write to my patient? Data protection in digital communication. </w:t>
      </w:r>
      <w:proofErr w:type="spellStart"/>
      <w:r w:rsidRPr="006A1FED">
        <w:rPr>
          <w:i/>
          <w:iCs/>
          <w:szCs w:val="18"/>
        </w:rPr>
        <w:t>Verhaltenstherapie</w:t>
      </w:r>
      <w:proofErr w:type="spellEnd"/>
      <w:r w:rsidRPr="006A1FED">
        <w:rPr>
          <w:szCs w:val="18"/>
        </w:rPr>
        <w:t>, </w:t>
      </w:r>
      <w:r w:rsidRPr="006A1FED">
        <w:rPr>
          <w:i/>
          <w:iCs/>
          <w:szCs w:val="18"/>
        </w:rPr>
        <w:t>32</w:t>
      </w:r>
      <w:r w:rsidRPr="006A1FED">
        <w:rPr>
          <w:szCs w:val="18"/>
        </w:rPr>
        <w:t>(</w:t>
      </w:r>
      <w:proofErr w:type="spellStart"/>
      <w:r w:rsidRPr="006A1FED">
        <w:rPr>
          <w:szCs w:val="18"/>
        </w:rPr>
        <w:t>Suppl</w:t>
      </w:r>
      <w:proofErr w:type="spellEnd"/>
      <w:r w:rsidRPr="006A1FED">
        <w:rPr>
          <w:szCs w:val="18"/>
        </w:rPr>
        <w:t>. 1), pp.14-23.</w:t>
      </w:r>
    </w:p>
    <w:p w14:paraId="4BBC3753" w14:textId="77777777" w:rsidR="00324430" w:rsidRPr="005C70DF" w:rsidRDefault="00324430" w:rsidP="00B8478A">
      <w:pPr>
        <w:spacing w:line="360" w:lineRule="auto"/>
        <w:rPr>
          <w:rFonts w:cs="Arial"/>
          <w:color w:val="000000" w:themeColor="text1"/>
        </w:rPr>
      </w:pPr>
      <w:proofErr w:type="spellStart"/>
      <w:r w:rsidRPr="005C70DF">
        <w:rPr>
          <w:rFonts w:cs="Arial"/>
          <w:color w:val="000000" w:themeColor="text1"/>
        </w:rPr>
        <w:t>Arksey</w:t>
      </w:r>
      <w:proofErr w:type="spellEnd"/>
      <w:r w:rsidRPr="005C70DF">
        <w:rPr>
          <w:rFonts w:cs="Arial"/>
          <w:color w:val="000000" w:themeColor="text1"/>
        </w:rPr>
        <w:t>, H. and O’Malley, L. (2005). Scoping studies: Towards a Methodological Framework. </w:t>
      </w:r>
      <w:r w:rsidRPr="005C70DF">
        <w:rPr>
          <w:rFonts w:cs="Arial"/>
          <w:i/>
          <w:iCs/>
          <w:color w:val="000000" w:themeColor="text1"/>
        </w:rPr>
        <w:t>International Journal of Social Research Methodology</w:t>
      </w:r>
      <w:r w:rsidRPr="005C70DF">
        <w:rPr>
          <w:rFonts w:cs="Arial"/>
          <w:color w:val="000000" w:themeColor="text1"/>
        </w:rPr>
        <w:t xml:space="preserve">, [online] 8(1), pp.19–32. </w:t>
      </w:r>
      <w:hyperlink r:id="rId9" w:history="1">
        <w:r w:rsidRPr="005C70DF">
          <w:rPr>
            <w:rStyle w:val="Hyperlink"/>
            <w:rFonts w:cs="Arial"/>
          </w:rPr>
          <w:t>https://doi.org/10.1080/1364557032000119616</w:t>
        </w:r>
      </w:hyperlink>
      <w:r w:rsidRPr="005C70DF">
        <w:rPr>
          <w:rFonts w:cs="Arial"/>
          <w:color w:val="000000" w:themeColor="text1"/>
        </w:rPr>
        <w:t xml:space="preserve"> </w:t>
      </w:r>
    </w:p>
    <w:p w14:paraId="0EA34F1C" w14:textId="77777777" w:rsidR="00324430" w:rsidRPr="005C70DF" w:rsidRDefault="00324430" w:rsidP="00B8478A">
      <w:pPr>
        <w:spacing w:line="360" w:lineRule="auto"/>
        <w:rPr>
          <w:rFonts w:cs="Arial"/>
          <w:color w:val="000000" w:themeColor="text1"/>
        </w:rPr>
      </w:pPr>
      <w:proofErr w:type="spellStart"/>
      <w:r w:rsidRPr="005C70DF">
        <w:rPr>
          <w:rFonts w:cs="Arial"/>
          <w:color w:val="000000" w:themeColor="text1"/>
        </w:rPr>
        <w:t>Aveyard</w:t>
      </w:r>
      <w:proofErr w:type="spellEnd"/>
      <w:r w:rsidRPr="005C70DF">
        <w:rPr>
          <w:rFonts w:cs="Arial"/>
          <w:color w:val="000000" w:themeColor="text1"/>
        </w:rPr>
        <w:t>, H. (2023). Ebook: Doing a Literature Review in Health and Social Care: A Practical Guide 5e.</w:t>
      </w:r>
    </w:p>
    <w:p w14:paraId="2A1EA47D" w14:textId="77777777" w:rsidR="00324430" w:rsidRPr="005C70DF" w:rsidRDefault="00324430" w:rsidP="00FB71D0">
      <w:pPr>
        <w:spacing w:line="360" w:lineRule="auto"/>
        <w:rPr>
          <w:rFonts w:cs="Arial"/>
          <w:color w:val="000000" w:themeColor="text1"/>
        </w:rPr>
      </w:pPr>
      <w:proofErr w:type="spellStart"/>
      <w:r w:rsidRPr="00FB71D0">
        <w:rPr>
          <w:rFonts w:cs="Arial"/>
          <w:color w:val="000000" w:themeColor="text1"/>
        </w:rPr>
        <w:t>Bakhai</w:t>
      </w:r>
      <w:proofErr w:type="spellEnd"/>
      <w:r w:rsidRPr="00FB71D0">
        <w:rPr>
          <w:rFonts w:cs="Arial"/>
          <w:color w:val="000000" w:themeColor="text1"/>
        </w:rPr>
        <w:t>, A., McCauley, L., Stones, L., Khalil, S., Mehta, J., Price, N., Krishnamurthy, V., Parker, L.H.H. and Hughes, D. (2022). Shining a light on an additional clinical burden: work-related digital communication survey study – COVID-19 impact on NHS staff wellbeing. </w:t>
      </w:r>
      <w:r w:rsidRPr="00FB71D0">
        <w:rPr>
          <w:rFonts w:cs="Arial"/>
          <w:i/>
          <w:iCs/>
          <w:color w:val="000000" w:themeColor="text1"/>
        </w:rPr>
        <w:t>Humanities and Social Sciences Communications</w:t>
      </w:r>
      <w:r w:rsidRPr="00FB71D0">
        <w:rPr>
          <w:rFonts w:cs="Arial"/>
          <w:color w:val="000000" w:themeColor="text1"/>
        </w:rPr>
        <w:t xml:space="preserve">, [online] 9(1), pp.1–11. </w:t>
      </w:r>
      <w:hyperlink r:id="rId10" w:history="1">
        <w:r w:rsidRPr="00FB71D0">
          <w:rPr>
            <w:rStyle w:val="Hyperlink"/>
            <w:rFonts w:cs="Arial"/>
          </w:rPr>
          <w:t>https://doi.org/10.1057/s41599-022-01427-7</w:t>
        </w:r>
      </w:hyperlink>
    </w:p>
    <w:p w14:paraId="7499158A" w14:textId="77777777" w:rsidR="00324430" w:rsidRDefault="00324430" w:rsidP="00324430">
      <w:pPr>
        <w:spacing w:line="360" w:lineRule="auto"/>
        <w:rPr>
          <w:szCs w:val="18"/>
        </w:rPr>
      </w:pPr>
      <w:r w:rsidRPr="00961A77">
        <w:rPr>
          <w:szCs w:val="18"/>
        </w:rPr>
        <w:t xml:space="preserve">Carmi, L., Zohar, M. and </w:t>
      </w:r>
      <w:proofErr w:type="spellStart"/>
      <w:r w:rsidRPr="00961A77">
        <w:rPr>
          <w:szCs w:val="18"/>
        </w:rPr>
        <w:t>Riva</w:t>
      </w:r>
      <w:proofErr w:type="spellEnd"/>
      <w:r w:rsidRPr="00961A77">
        <w:rPr>
          <w:szCs w:val="18"/>
        </w:rPr>
        <w:t xml:space="preserve">, G.M. </w:t>
      </w:r>
      <w:r>
        <w:rPr>
          <w:szCs w:val="18"/>
        </w:rPr>
        <w:t>(</w:t>
      </w:r>
      <w:r w:rsidRPr="00961A77">
        <w:rPr>
          <w:szCs w:val="18"/>
        </w:rPr>
        <w:t>2023</w:t>
      </w:r>
      <w:r>
        <w:rPr>
          <w:szCs w:val="18"/>
        </w:rPr>
        <w:t>)</w:t>
      </w:r>
      <w:r w:rsidRPr="00961A77">
        <w:rPr>
          <w:szCs w:val="18"/>
        </w:rPr>
        <w:t>. The European General Data Protection Regulation (GDPR) in mHealth: Theoretical and practical aspects for practitioners’ use. </w:t>
      </w:r>
      <w:r w:rsidRPr="00961A77">
        <w:rPr>
          <w:i/>
          <w:iCs/>
          <w:szCs w:val="18"/>
        </w:rPr>
        <w:t>Medicine, Science and the Law</w:t>
      </w:r>
      <w:r w:rsidRPr="00961A77">
        <w:rPr>
          <w:szCs w:val="18"/>
        </w:rPr>
        <w:t>, </w:t>
      </w:r>
      <w:r w:rsidRPr="00961A77">
        <w:rPr>
          <w:i/>
          <w:iCs/>
          <w:szCs w:val="18"/>
        </w:rPr>
        <w:t>63</w:t>
      </w:r>
      <w:r w:rsidRPr="00961A77">
        <w:rPr>
          <w:szCs w:val="18"/>
        </w:rPr>
        <w:t>(1), pp.61-68.</w:t>
      </w:r>
    </w:p>
    <w:p w14:paraId="2FDC4FF0" w14:textId="77777777" w:rsidR="00324430" w:rsidRDefault="00324430" w:rsidP="00324430">
      <w:pPr>
        <w:spacing w:line="360" w:lineRule="auto"/>
        <w:rPr>
          <w:szCs w:val="18"/>
        </w:rPr>
      </w:pPr>
      <w:r w:rsidRPr="00961A77">
        <w:rPr>
          <w:szCs w:val="18"/>
        </w:rPr>
        <w:t>Dickerson, J. E. (2022). Privacy, confidentiality, and security of healthcare information. </w:t>
      </w:r>
      <w:r w:rsidRPr="00961A77">
        <w:rPr>
          <w:i/>
          <w:iCs/>
          <w:szCs w:val="18"/>
        </w:rPr>
        <w:t>Anaesthesia &amp; Intensive Care Medicine</w:t>
      </w:r>
      <w:r w:rsidRPr="00961A77">
        <w:rPr>
          <w:szCs w:val="18"/>
        </w:rPr>
        <w:t>, </w:t>
      </w:r>
      <w:r w:rsidRPr="00961A77">
        <w:rPr>
          <w:i/>
          <w:iCs/>
          <w:szCs w:val="18"/>
        </w:rPr>
        <w:t>23</w:t>
      </w:r>
      <w:r w:rsidRPr="00961A77">
        <w:rPr>
          <w:szCs w:val="18"/>
        </w:rPr>
        <w:t xml:space="preserve">(11), </w:t>
      </w:r>
      <w:r>
        <w:rPr>
          <w:szCs w:val="18"/>
        </w:rPr>
        <w:t>pp.</w:t>
      </w:r>
      <w:r w:rsidRPr="00961A77">
        <w:rPr>
          <w:szCs w:val="18"/>
        </w:rPr>
        <w:t>740-743.</w:t>
      </w:r>
    </w:p>
    <w:p w14:paraId="31F366F5" w14:textId="77777777" w:rsidR="00324430" w:rsidRDefault="00324430" w:rsidP="00324430">
      <w:pPr>
        <w:spacing w:line="360" w:lineRule="auto"/>
        <w:rPr>
          <w:szCs w:val="18"/>
        </w:rPr>
      </w:pPr>
      <w:proofErr w:type="spellStart"/>
      <w:r w:rsidRPr="00961A77">
        <w:rPr>
          <w:szCs w:val="18"/>
        </w:rPr>
        <w:t>Fatani</w:t>
      </w:r>
      <w:proofErr w:type="spellEnd"/>
      <w:r w:rsidRPr="00961A77">
        <w:rPr>
          <w:szCs w:val="18"/>
        </w:rPr>
        <w:t xml:space="preserve">, M., </w:t>
      </w:r>
      <w:proofErr w:type="spellStart"/>
      <w:r w:rsidRPr="00961A77">
        <w:rPr>
          <w:szCs w:val="18"/>
        </w:rPr>
        <w:t>Shamayleh</w:t>
      </w:r>
      <w:proofErr w:type="spellEnd"/>
      <w:r w:rsidRPr="00961A77">
        <w:rPr>
          <w:szCs w:val="18"/>
        </w:rPr>
        <w:t xml:space="preserve">, A. and </w:t>
      </w:r>
      <w:proofErr w:type="spellStart"/>
      <w:r w:rsidRPr="00961A77">
        <w:rPr>
          <w:szCs w:val="18"/>
        </w:rPr>
        <w:t>Alshraideh</w:t>
      </w:r>
      <w:proofErr w:type="spellEnd"/>
      <w:r w:rsidRPr="00961A77">
        <w:rPr>
          <w:szCs w:val="18"/>
        </w:rPr>
        <w:t xml:space="preserve">, H. </w:t>
      </w:r>
      <w:r>
        <w:rPr>
          <w:szCs w:val="18"/>
        </w:rPr>
        <w:t>(</w:t>
      </w:r>
      <w:r w:rsidRPr="00961A77">
        <w:rPr>
          <w:szCs w:val="18"/>
        </w:rPr>
        <w:t>2024</w:t>
      </w:r>
      <w:r>
        <w:rPr>
          <w:szCs w:val="18"/>
        </w:rPr>
        <w:t>)</w:t>
      </w:r>
      <w:r w:rsidRPr="00961A77">
        <w:rPr>
          <w:szCs w:val="18"/>
        </w:rPr>
        <w:t>. Assessing the disruption impact on healthcare delivery. </w:t>
      </w:r>
      <w:r w:rsidRPr="00961A77">
        <w:rPr>
          <w:i/>
          <w:iCs/>
          <w:szCs w:val="18"/>
        </w:rPr>
        <w:t>Journal of Primary Care &amp; Community Health</w:t>
      </w:r>
      <w:r w:rsidRPr="00961A77">
        <w:rPr>
          <w:szCs w:val="18"/>
        </w:rPr>
        <w:t>, </w:t>
      </w:r>
      <w:r w:rsidRPr="00961A77">
        <w:rPr>
          <w:i/>
          <w:iCs/>
          <w:szCs w:val="18"/>
        </w:rPr>
        <w:t>15</w:t>
      </w:r>
      <w:r w:rsidRPr="00961A77">
        <w:rPr>
          <w:szCs w:val="18"/>
        </w:rPr>
        <w:t>, p.21501319241260351.</w:t>
      </w:r>
    </w:p>
    <w:p w14:paraId="61C18464" w14:textId="77777777" w:rsidR="00324430" w:rsidRDefault="00324430" w:rsidP="00324430">
      <w:pPr>
        <w:spacing w:line="360" w:lineRule="auto"/>
        <w:rPr>
          <w:szCs w:val="18"/>
        </w:rPr>
      </w:pPr>
      <w:r w:rsidRPr="006A1FED">
        <w:rPr>
          <w:szCs w:val="18"/>
        </w:rPr>
        <w:t xml:space="preserve">Fede, O., </w:t>
      </w:r>
      <w:proofErr w:type="spellStart"/>
      <w:r w:rsidRPr="006A1FED">
        <w:rPr>
          <w:szCs w:val="18"/>
        </w:rPr>
        <w:t>Mantia</w:t>
      </w:r>
      <w:proofErr w:type="spellEnd"/>
      <w:r w:rsidRPr="006A1FED">
        <w:rPr>
          <w:szCs w:val="18"/>
        </w:rPr>
        <w:t xml:space="preserve">, G., </w:t>
      </w:r>
      <w:proofErr w:type="spellStart"/>
      <w:r w:rsidRPr="006A1FED">
        <w:rPr>
          <w:szCs w:val="18"/>
        </w:rPr>
        <w:t>Cimino</w:t>
      </w:r>
      <w:proofErr w:type="spellEnd"/>
      <w:r w:rsidRPr="006A1FED">
        <w:rPr>
          <w:szCs w:val="18"/>
        </w:rPr>
        <w:t xml:space="preserve">, M.G. and </w:t>
      </w:r>
      <w:proofErr w:type="spellStart"/>
      <w:r w:rsidRPr="006A1FED">
        <w:rPr>
          <w:szCs w:val="18"/>
        </w:rPr>
        <w:t>Campisi</w:t>
      </w:r>
      <w:proofErr w:type="spellEnd"/>
      <w:r w:rsidRPr="006A1FED">
        <w:rPr>
          <w:szCs w:val="18"/>
        </w:rPr>
        <w:t xml:space="preserve">, G. </w:t>
      </w:r>
      <w:r>
        <w:rPr>
          <w:szCs w:val="18"/>
        </w:rPr>
        <w:t>(</w:t>
      </w:r>
      <w:r w:rsidRPr="006A1FED">
        <w:rPr>
          <w:szCs w:val="18"/>
        </w:rPr>
        <w:t>2023</w:t>
      </w:r>
      <w:r>
        <w:rPr>
          <w:szCs w:val="18"/>
        </w:rPr>
        <w:t>)</w:t>
      </w:r>
      <w:r w:rsidRPr="006A1FED">
        <w:rPr>
          <w:szCs w:val="18"/>
        </w:rPr>
        <w:t>. Protection of patient data in digital Oral and general health care: A scoping review with respect to the current regulations. </w:t>
      </w:r>
      <w:r w:rsidRPr="006A1FED">
        <w:rPr>
          <w:i/>
          <w:iCs/>
          <w:szCs w:val="18"/>
        </w:rPr>
        <w:t>Oral</w:t>
      </w:r>
      <w:r w:rsidRPr="006A1FED">
        <w:rPr>
          <w:szCs w:val="18"/>
        </w:rPr>
        <w:t>, </w:t>
      </w:r>
      <w:r w:rsidRPr="006A1FED">
        <w:rPr>
          <w:i/>
          <w:iCs/>
          <w:szCs w:val="18"/>
        </w:rPr>
        <w:t>3</w:t>
      </w:r>
      <w:r w:rsidRPr="006A1FED">
        <w:rPr>
          <w:szCs w:val="18"/>
        </w:rPr>
        <w:t>(2), pp.155-165.</w:t>
      </w:r>
    </w:p>
    <w:p w14:paraId="5800E3CB" w14:textId="77777777" w:rsidR="00324430" w:rsidRDefault="00324430" w:rsidP="00324430">
      <w:pPr>
        <w:spacing w:line="360" w:lineRule="auto"/>
        <w:rPr>
          <w:szCs w:val="18"/>
        </w:rPr>
      </w:pPr>
      <w:r w:rsidRPr="002575FF">
        <w:rPr>
          <w:szCs w:val="18"/>
        </w:rPr>
        <w:t>Fitzpatrick, P. J. (2023). Improving health literacy using the power of digital communications to achieve better health outcomes for patients and practitioners. </w:t>
      </w:r>
      <w:r w:rsidRPr="002575FF">
        <w:rPr>
          <w:i/>
          <w:iCs/>
          <w:szCs w:val="18"/>
        </w:rPr>
        <w:t>Frontiers in digital health</w:t>
      </w:r>
      <w:r w:rsidRPr="002575FF">
        <w:rPr>
          <w:szCs w:val="18"/>
        </w:rPr>
        <w:t>, </w:t>
      </w:r>
      <w:r w:rsidRPr="002575FF">
        <w:rPr>
          <w:i/>
          <w:iCs/>
          <w:szCs w:val="18"/>
        </w:rPr>
        <w:t>5</w:t>
      </w:r>
      <w:r w:rsidRPr="002575FF">
        <w:rPr>
          <w:szCs w:val="18"/>
        </w:rPr>
        <w:t xml:space="preserve">, </w:t>
      </w:r>
      <w:r>
        <w:rPr>
          <w:szCs w:val="18"/>
        </w:rPr>
        <w:t>p.</w:t>
      </w:r>
      <w:r w:rsidRPr="002575FF">
        <w:rPr>
          <w:szCs w:val="18"/>
        </w:rPr>
        <w:t>1264780.</w:t>
      </w:r>
    </w:p>
    <w:p w14:paraId="352FB911" w14:textId="77777777" w:rsidR="00324430" w:rsidRDefault="00324430" w:rsidP="00324430">
      <w:pPr>
        <w:spacing w:line="360" w:lineRule="auto"/>
        <w:rPr>
          <w:szCs w:val="18"/>
        </w:rPr>
      </w:pPr>
      <w:proofErr w:type="spellStart"/>
      <w:r w:rsidRPr="00E91FBF">
        <w:rPr>
          <w:szCs w:val="18"/>
        </w:rPr>
        <w:t>Frandsen</w:t>
      </w:r>
      <w:proofErr w:type="spellEnd"/>
      <w:r w:rsidRPr="00E91FBF">
        <w:rPr>
          <w:szCs w:val="18"/>
        </w:rPr>
        <w:t xml:space="preserve">, T.F., Moos, C., Marino, C.I.L.H. and </w:t>
      </w:r>
      <w:proofErr w:type="spellStart"/>
      <w:r w:rsidRPr="00E91FBF">
        <w:rPr>
          <w:szCs w:val="18"/>
        </w:rPr>
        <w:t>Eriksen</w:t>
      </w:r>
      <w:proofErr w:type="spellEnd"/>
      <w:r w:rsidRPr="00E91FBF">
        <w:rPr>
          <w:szCs w:val="18"/>
        </w:rPr>
        <w:t xml:space="preserve">, M.B. </w:t>
      </w:r>
      <w:r>
        <w:rPr>
          <w:szCs w:val="18"/>
        </w:rPr>
        <w:t>(</w:t>
      </w:r>
      <w:r w:rsidRPr="00E91FBF">
        <w:rPr>
          <w:szCs w:val="18"/>
        </w:rPr>
        <w:t>2025</w:t>
      </w:r>
      <w:r>
        <w:rPr>
          <w:szCs w:val="18"/>
        </w:rPr>
        <w:t>)</w:t>
      </w:r>
      <w:r w:rsidRPr="00E91FBF">
        <w:rPr>
          <w:szCs w:val="18"/>
        </w:rPr>
        <w:t xml:space="preserve">. Supplementary databases increased literature search coverage beyond PubMed and </w:t>
      </w:r>
      <w:proofErr w:type="spellStart"/>
      <w:r w:rsidRPr="00E91FBF">
        <w:rPr>
          <w:szCs w:val="18"/>
        </w:rPr>
        <w:t>Embase</w:t>
      </w:r>
      <w:proofErr w:type="spellEnd"/>
      <w:r w:rsidRPr="00E91FBF">
        <w:rPr>
          <w:szCs w:val="18"/>
        </w:rPr>
        <w:t>. </w:t>
      </w:r>
      <w:r w:rsidRPr="00E91FBF">
        <w:rPr>
          <w:i/>
          <w:iCs/>
          <w:szCs w:val="18"/>
        </w:rPr>
        <w:t>Journal of clinical epidemiology</w:t>
      </w:r>
      <w:r w:rsidRPr="00E91FBF">
        <w:rPr>
          <w:szCs w:val="18"/>
        </w:rPr>
        <w:t>, </w:t>
      </w:r>
      <w:r w:rsidRPr="00E91FBF">
        <w:rPr>
          <w:i/>
          <w:iCs/>
          <w:szCs w:val="18"/>
        </w:rPr>
        <w:t>181</w:t>
      </w:r>
      <w:r w:rsidRPr="00E91FBF">
        <w:rPr>
          <w:szCs w:val="18"/>
        </w:rPr>
        <w:t>, p.111704.</w:t>
      </w:r>
    </w:p>
    <w:p w14:paraId="02DB7E3F" w14:textId="77777777" w:rsidR="00324430" w:rsidRDefault="00324430" w:rsidP="00324430">
      <w:pPr>
        <w:spacing w:line="360" w:lineRule="auto"/>
        <w:rPr>
          <w:szCs w:val="18"/>
        </w:rPr>
      </w:pPr>
      <w:r w:rsidRPr="00961A77">
        <w:rPr>
          <w:szCs w:val="18"/>
        </w:rPr>
        <w:t xml:space="preserve">Gallagher, C.T. and Saleem, F. </w:t>
      </w:r>
      <w:r>
        <w:rPr>
          <w:szCs w:val="18"/>
        </w:rPr>
        <w:t>(</w:t>
      </w:r>
      <w:r w:rsidRPr="00961A77">
        <w:rPr>
          <w:szCs w:val="18"/>
        </w:rPr>
        <w:t>2022</w:t>
      </w:r>
      <w:r>
        <w:rPr>
          <w:szCs w:val="18"/>
        </w:rPr>
        <w:t>)</w:t>
      </w:r>
      <w:r w:rsidRPr="00961A77">
        <w:rPr>
          <w:szCs w:val="18"/>
        </w:rPr>
        <w:t>. How the United Kingdom’s Nursing and Midwifery Council Applies Guidance When Exercising Its Disciplinary Functions. </w:t>
      </w:r>
      <w:r w:rsidRPr="00961A77">
        <w:rPr>
          <w:i/>
          <w:iCs/>
          <w:szCs w:val="18"/>
        </w:rPr>
        <w:t>Journal of Nursing Regulation</w:t>
      </w:r>
      <w:r w:rsidRPr="00961A77">
        <w:rPr>
          <w:szCs w:val="18"/>
        </w:rPr>
        <w:t>, </w:t>
      </w:r>
      <w:r w:rsidRPr="00961A77">
        <w:rPr>
          <w:i/>
          <w:iCs/>
          <w:szCs w:val="18"/>
        </w:rPr>
        <w:t>13</w:t>
      </w:r>
      <w:r w:rsidRPr="00961A77">
        <w:rPr>
          <w:szCs w:val="18"/>
        </w:rPr>
        <w:t>(3), pp.52-59.</w:t>
      </w:r>
    </w:p>
    <w:p w14:paraId="3986EBC9" w14:textId="77777777" w:rsidR="00324430" w:rsidRDefault="00324430" w:rsidP="00324430">
      <w:pPr>
        <w:spacing w:line="360" w:lineRule="auto"/>
        <w:rPr>
          <w:szCs w:val="18"/>
        </w:rPr>
      </w:pPr>
      <w:proofErr w:type="spellStart"/>
      <w:r w:rsidRPr="006A1FED">
        <w:rPr>
          <w:szCs w:val="18"/>
        </w:rPr>
        <w:t>Garg</w:t>
      </w:r>
      <w:proofErr w:type="spellEnd"/>
      <w:r w:rsidRPr="006A1FED">
        <w:rPr>
          <w:szCs w:val="18"/>
        </w:rPr>
        <w:t xml:space="preserve">, P., Gupta, A., Singh, Y.P. and Goyal, P. </w:t>
      </w:r>
      <w:r>
        <w:rPr>
          <w:szCs w:val="18"/>
        </w:rPr>
        <w:t>(</w:t>
      </w:r>
      <w:r w:rsidRPr="006A1FED">
        <w:rPr>
          <w:szCs w:val="18"/>
        </w:rPr>
        <w:t>2026</w:t>
      </w:r>
      <w:r>
        <w:rPr>
          <w:szCs w:val="18"/>
        </w:rPr>
        <w:t>)</w:t>
      </w:r>
      <w:r w:rsidRPr="006A1FED">
        <w:rPr>
          <w:szCs w:val="18"/>
        </w:rPr>
        <w:t>. End-to-End Encryption: Evolution, Barriers, and Emerging Trends. </w:t>
      </w:r>
      <w:r w:rsidRPr="006A1FED">
        <w:rPr>
          <w:i/>
          <w:iCs/>
          <w:szCs w:val="18"/>
        </w:rPr>
        <w:t>Deep Quantum Neural Networks: AI for 6G/7G Communication Systems</w:t>
      </w:r>
      <w:r w:rsidRPr="006A1FED">
        <w:rPr>
          <w:szCs w:val="18"/>
        </w:rPr>
        <w:t>, pp.113-127.</w:t>
      </w:r>
    </w:p>
    <w:p w14:paraId="08106102" w14:textId="77777777" w:rsidR="00324430" w:rsidRDefault="00324430" w:rsidP="00324430">
      <w:pPr>
        <w:spacing w:line="360" w:lineRule="auto"/>
        <w:rPr>
          <w:szCs w:val="18"/>
        </w:rPr>
      </w:pPr>
      <w:r w:rsidRPr="002575FF">
        <w:rPr>
          <w:szCs w:val="18"/>
          <w:lang w:val="en-US"/>
        </w:rPr>
        <w:t>GOV.UK (2018). </w:t>
      </w:r>
      <w:r w:rsidRPr="002575FF">
        <w:rPr>
          <w:i/>
          <w:iCs/>
          <w:szCs w:val="18"/>
          <w:lang w:val="en-US"/>
        </w:rPr>
        <w:t>Data Protection Act 2018</w:t>
      </w:r>
      <w:r w:rsidRPr="002575FF">
        <w:rPr>
          <w:szCs w:val="18"/>
          <w:lang w:val="en-US"/>
        </w:rPr>
        <w:t xml:space="preserve">. [online] legislation.gov.uk. Available at: </w:t>
      </w:r>
      <w:hyperlink r:id="rId11" w:history="1">
        <w:r w:rsidRPr="002575FF">
          <w:rPr>
            <w:rStyle w:val="Hyperlink"/>
            <w:szCs w:val="18"/>
            <w:lang w:val="en-US"/>
          </w:rPr>
          <w:t>https://www.legislation.gov.uk/ukpga/2018/12/contents</w:t>
        </w:r>
      </w:hyperlink>
      <w:r>
        <w:rPr>
          <w:szCs w:val="18"/>
          <w:lang w:val="en-US"/>
        </w:rPr>
        <w:t xml:space="preserve"> </w:t>
      </w:r>
      <w:r w:rsidRPr="004A2B00">
        <w:rPr>
          <w:szCs w:val="18"/>
        </w:rPr>
        <w:t>[Accessed 8 Mar. 2026].</w:t>
      </w:r>
    </w:p>
    <w:p w14:paraId="77662BD1" w14:textId="77777777" w:rsidR="00324430" w:rsidRDefault="00324430" w:rsidP="00324430">
      <w:pPr>
        <w:spacing w:line="360" w:lineRule="auto"/>
        <w:rPr>
          <w:szCs w:val="18"/>
        </w:rPr>
      </w:pPr>
      <w:proofErr w:type="spellStart"/>
      <w:r w:rsidRPr="004A2B00">
        <w:rPr>
          <w:szCs w:val="18"/>
        </w:rPr>
        <w:t>Hazra</w:t>
      </w:r>
      <w:proofErr w:type="spellEnd"/>
      <w:r w:rsidRPr="004A2B00">
        <w:rPr>
          <w:szCs w:val="18"/>
        </w:rPr>
        <w:t xml:space="preserve">, D. and Stephen, E. </w:t>
      </w:r>
      <w:r>
        <w:rPr>
          <w:szCs w:val="18"/>
        </w:rPr>
        <w:t>(</w:t>
      </w:r>
      <w:r w:rsidRPr="004A2B00">
        <w:rPr>
          <w:szCs w:val="18"/>
        </w:rPr>
        <w:t>2024</w:t>
      </w:r>
      <w:r>
        <w:rPr>
          <w:szCs w:val="18"/>
        </w:rPr>
        <w:t>)</w:t>
      </w:r>
      <w:r w:rsidRPr="004A2B00">
        <w:rPr>
          <w:szCs w:val="18"/>
        </w:rPr>
        <w:t>. WhatsApp: A Blessing or Bane for Communication between Emergency Physicians and Vascular Surgeons?. </w:t>
      </w:r>
      <w:r w:rsidRPr="004A2B00">
        <w:rPr>
          <w:i/>
          <w:iCs/>
          <w:szCs w:val="18"/>
        </w:rPr>
        <w:t>Current Medical Issues</w:t>
      </w:r>
      <w:r w:rsidRPr="004A2B00">
        <w:rPr>
          <w:szCs w:val="18"/>
        </w:rPr>
        <w:t>, </w:t>
      </w:r>
      <w:r w:rsidRPr="004A2B00">
        <w:rPr>
          <w:i/>
          <w:iCs/>
          <w:szCs w:val="18"/>
        </w:rPr>
        <w:t>22</w:t>
      </w:r>
      <w:r w:rsidRPr="004A2B00">
        <w:rPr>
          <w:szCs w:val="18"/>
        </w:rPr>
        <w:t>(4), pp.259-262.</w:t>
      </w:r>
    </w:p>
    <w:p w14:paraId="25ABE391" w14:textId="77777777" w:rsidR="00324430" w:rsidRDefault="00324430" w:rsidP="00324430">
      <w:pPr>
        <w:spacing w:line="360" w:lineRule="auto"/>
        <w:rPr>
          <w:szCs w:val="18"/>
        </w:rPr>
      </w:pPr>
      <w:proofErr w:type="spellStart"/>
      <w:r w:rsidRPr="004A2B00">
        <w:rPr>
          <w:szCs w:val="18"/>
        </w:rPr>
        <w:t>Jeyaraman</w:t>
      </w:r>
      <w:proofErr w:type="spellEnd"/>
      <w:r w:rsidRPr="004A2B00">
        <w:rPr>
          <w:szCs w:val="18"/>
        </w:rPr>
        <w:t xml:space="preserve">, M., </w:t>
      </w:r>
      <w:proofErr w:type="spellStart"/>
      <w:r w:rsidRPr="004A2B00">
        <w:rPr>
          <w:szCs w:val="18"/>
        </w:rPr>
        <w:t>Ramasubramanian</w:t>
      </w:r>
      <w:proofErr w:type="spellEnd"/>
      <w:r w:rsidRPr="004A2B00">
        <w:rPr>
          <w:szCs w:val="18"/>
        </w:rPr>
        <w:t xml:space="preserve">, S., Kumar, S., </w:t>
      </w:r>
      <w:proofErr w:type="spellStart"/>
      <w:r w:rsidRPr="004A2B00">
        <w:rPr>
          <w:szCs w:val="18"/>
        </w:rPr>
        <w:t>Jeyaraman</w:t>
      </w:r>
      <w:proofErr w:type="spellEnd"/>
      <w:r w:rsidRPr="004A2B00">
        <w:rPr>
          <w:szCs w:val="18"/>
        </w:rPr>
        <w:t xml:space="preserve">, N., </w:t>
      </w:r>
      <w:proofErr w:type="spellStart"/>
      <w:r w:rsidRPr="004A2B00">
        <w:rPr>
          <w:szCs w:val="18"/>
        </w:rPr>
        <w:t>Selvaraj</w:t>
      </w:r>
      <w:proofErr w:type="spellEnd"/>
      <w:r w:rsidRPr="004A2B00">
        <w:rPr>
          <w:szCs w:val="18"/>
        </w:rPr>
        <w:t xml:space="preserve">, P., </w:t>
      </w:r>
      <w:proofErr w:type="spellStart"/>
      <w:r w:rsidRPr="004A2B00">
        <w:rPr>
          <w:szCs w:val="18"/>
        </w:rPr>
        <w:t>Nallakumarasamy</w:t>
      </w:r>
      <w:proofErr w:type="spellEnd"/>
      <w:r w:rsidRPr="004A2B00">
        <w:rPr>
          <w:szCs w:val="18"/>
        </w:rPr>
        <w:t xml:space="preserve">, A., </w:t>
      </w:r>
      <w:proofErr w:type="spellStart"/>
      <w:r w:rsidRPr="004A2B00">
        <w:rPr>
          <w:szCs w:val="18"/>
        </w:rPr>
        <w:t>Bondili</w:t>
      </w:r>
      <w:proofErr w:type="spellEnd"/>
      <w:r w:rsidRPr="004A2B00">
        <w:rPr>
          <w:szCs w:val="18"/>
        </w:rPr>
        <w:t xml:space="preserve">, S.K. and Yadav, S. </w:t>
      </w:r>
      <w:r>
        <w:rPr>
          <w:szCs w:val="18"/>
        </w:rPr>
        <w:t>(</w:t>
      </w:r>
      <w:r w:rsidRPr="004A2B00">
        <w:rPr>
          <w:szCs w:val="18"/>
        </w:rPr>
        <w:t>2023</w:t>
      </w:r>
      <w:r>
        <w:rPr>
          <w:szCs w:val="18"/>
        </w:rPr>
        <w:t>)</w:t>
      </w:r>
      <w:r w:rsidRPr="004A2B00">
        <w:rPr>
          <w:szCs w:val="18"/>
        </w:rPr>
        <w:t>. Multifaceted role of social media in healthcare: opportunities, challenges, and the need for quality control. </w:t>
      </w:r>
      <w:proofErr w:type="spellStart"/>
      <w:r w:rsidRPr="004A2B00">
        <w:rPr>
          <w:i/>
          <w:iCs/>
          <w:szCs w:val="18"/>
        </w:rPr>
        <w:t>Cureus</w:t>
      </w:r>
      <w:proofErr w:type="spellEnd"/>
      <w:r w:rsidRPr="004A2B00">
        <w:rPr>
          <w:szCs w:val="18"/>
        </w:rPr>
        <w:t>, </w:t>
      </w:r>
      <w:r w:rsidRPr="004A2B00">
        <w:rPr>
          <w:i/>
          <w:iCs/>
          <w:szCs w:val="18"/>
        </w:rPr>
        <w:t>15</w:t>
      </w:r>
      <w:r w:rsidRPr="004A2B00">
        <w:rPr>
          <w:szCs w:val="18"/>
        </w:rPr>
        <w:t>(5).</w:t>
      </w:r>
    </w:p>
    <w:p w14:paraId="4E460838" w14:textId="77777777" w:rsidR="00324430" w:rsidRPr="005C70DF" w:rsidRDefault="00324430" w:rsidP="008708CA">
      <w:pPr>
        <w:spacing w:line="360" w:lineRule="auto"/>
        <w:rPr>
          <w:rFonts w:cs="Arial"/>
          <w:color w:val="000000" w:themeColor="text1"/>
        </w:rPr>
      </w:pPr>
      <w:r w:rsidRPr="008708CA">
        <w:rPr>
          <w:rFonts w:cs="Arial"/>
          <w:color w:val="000000" w:themeColor="text1"/>
        </w:rPr>
        <w:t xml:space="preserve">John, B., </w:t>
      </w:r>
      <w:proofErr w:type="spellStart"/>
      <w:r w:rsidRPr="008708CA">
        <w:rPr>
          <w:rFonts w:cs="Arial"/>
          <w:color w:val="000000" w:themeColor="text1"/>
        </w:rPr>
        <w:t>Heavin</w:t>
      </w:r>
      <w:proofErr w:type="spellEnd"/>
      <w:r w:rsidRPr="008708CA">
        <w:rPr>
          <w:rFonts w:cs="Arial"/>
          <w:color w:val="000000" w:themeColor="text1"/>
        </w:rPr>
        <w:t>, C. and Roberts, A. (2025). Navigating the wild west: a review of guidance on clinical communications using personal BYOD, IM and third-party apps in the UK and Ireland. </w:t>
      </w:r>
      <w:r w:rsidRPr="008708CA">
        <w:rPr>
          <w:rFonts w:cs="Arial"/>
          <w:i/>
          <w:iCs/>
          <w:color w:val="000000" w:themeColor="text1"/>
        </w:rPr>
        <w:t>Frontiers in Digital Health</w:t>
      </w:r>
      <w:r w:rsidRPr="008708CA">
        <w:rPr>
          <w:rFonts w:cs="Arial"/>
          <w:color w:val="000000" w:themeColor="text1"/>
        </w:rPr>
        <w:t xml:space="preserve">, 6. </w:t>
      </w:r>
      <w:hyperlink r:id="rId12" w:history="1">
        <w:r w:rsidRPr="008708CA">
          <w:rPr>
            <w:rStyle w:val="Hyperlink"/>
            <w:rFonts w:cs="Arial"/>
          </w:rPr>
          <w:t>https://doi.org/10.3389/fdgth.2024.1457848</w:t>
        </w:r>
      </w:hyperlink>
      <w:r w:rsidRPr="008708CA">
        <w:rPr>
          <w:rFonts w:cs="Arial"/>
          <w:color w:val="000000" w:themeColor="text1"/>
        </w:rPr>
        <w:t>.</w:t>
      </w:r>
      <w:r w:rsidRPr="005C70DF">
        <w:rPr>
          <w:rFonts w:cs="Arial"/>
          <w:color w:val="000000" w:themeColor="text1"/>
        </w:rPr>
        <w:t xml:space="preserve"> </w:t>
      </w:r>
    </w:p>
    <w:p w14:paraId="6FB61E50" w14:textId="77777777" w:rsidR="00324430" w:rsidRDefault="00324430" w:rsidP="00324430">
      <w:pPr>
        <w:spacing w:line="360" w:lineRule="auto"/>
        <w:rPr>
          <w:szCs w:val="18"/>
        </w:rPr>
      </w:pPr>
      <w:r w:rsidRPr="004A2B00">
        <w:rPr>
          <w:szCs w:val="18"/>
        </w:rPr>
        <w:t xml:space="preserve">Johns, A., Matamoros-Fernández, A. and </w:t>
      </w:r>
      <w:proofErr w:type="spellStart"/>
      <w:r w:rsidRPr="004A2B00">
        <w:rPr>
          <w:szCs w:val="18"/>
        </w:rPr>
        <w:t>Baulch</w:t>
      </w:r>
      <w:proofErr w:type="spellEnd"/>
      <w:r w:rsidRPr="004A2B00">
        <w:rPr>
          <w:szCs w:val="18"/>
        </w:rPr>
        <w:t xml:space="preserve">, E. </w:t>
      </w:r>
      <w:r>
        <w:rPr>
          <w:szCs w:val="18"/>
        </w:rPr>
        <w:t>(</w:t>
      </w:r>
      <w:r w:rsidRPr="004A2B00">
        <w:rPr>
          <w:szCs w:val="18"/>
        </w:rPr>
        <w:t>2023</w:t>
      </w:r>
      <w:r>
        <w:rPr>
          <w:szCs w:val="18"/>
        </w:rPr>
        <w:t>)</w:t>
      </w:r>
      <w:r w:rsidRPr="004A2B00">
        <w:rPr>
          <w:szCs w:val="18"/>
        </w:rPr>
        <w:t>. </w:t>
      </w:r>
      <w:r w:rsidRPr="004A2B00">
        <w:rPr>
          <w:i/>
          <w:iCs/>
          <w:szCs w:val="18"/>
        </w:rPr>
        <w:t>WhatsApp: From a one-to-one messaging app to a global communication platform</w:t>
      </w:r>
      <w:r w:rsidRPr="004A2B00">
        <w:rPr>
          <w:szCs w:val="18"/>
        </w:rPr>
        <w:t>. John Wiley &amp; Sons.</w:t>
      </w:r>
    </w:p>
    <w:p w14:paraId="38B5D853" w14:textId="77777777" w:rsidR="00324430" w:rsidRDefault="00324430" w:rsidP="00324430">
      <w:pPr>
        <w:spacing w:line="360" w:lineRule="auto"/>
        <w:rPr>
          <w:szCs w:val="18"/>
        </w:rPr>
      </w:pPr>
      <w:r w:rsidRPr="004A2B00">
        <w:rPr>
          <w:szCs w:val="18"/>
        </w:rPr>
        <w:t xml:space="preserve">Khan, D. and </w:t>
      </w:r>
      <w:proofErr w:type="spellStart"/>
      <w:r w:rsidRPr="004A2B00">
        <w:rPr>
          <w:szCs w:val="18"/>
        </w:rPr>
        <w:t>Gladwin</w:t>
      </w:r>
      <w:proofErr w:type="spellEnd"/>
      <w:r w:rsidRPr="004A2B00">
        <w:rPr>
          <w:szCs w:val="18"/>
        </w:rPr>
        <w:t xml:space="preserve">, O. </w:t>
      </w:r>
      <w:r>
        <w:rPr>
          <w:szCs w:val="18"/>
        </w:rPr>
        <w:t>(</w:t>
      </w:r>
      <w:r w:rsidRPr="004A2B00">
        <w:rPr>
          <w:szCs w:val="18"/>
        </w:rPr>
        <w:t>2025</w:t>
      </w:r>
      <w:r>
        <w:rPr>
          <w:szCs w:val="18"/>
        </w:rPr>
        <w:t>)</w:t>
      </w:r>
      <w:r w:rsidRPr="004A2B00">
        <w:rPr>
          <w:szCs w:val="18"/>
        </w:rPr>
        <w:t>. The Evolution of Media Users: From Traditional Media to Digital Communication in Healthcare.</w:t>
      </w:r>
    </w:p>
    <w:p w14:paraId="3338CC55" w14:textId="77777777" w:rsidR="00324430" w:rsidRDefault="00324430" w:rsidP="00324430">
      <w:pPr>
        <w:spacing w:line="360" w:lineRule="auto"/>
        <w:rPr>
          <w:szCs w:val="18"/>
        </w:rPr>
      </w:pPr>
      <w:r w:rsidRPr="006A1FED">
        <w:rPr>
          <w:szCs w:val="18"/>
        </w:rPr>
        <w:t xml:space="preserve">Khan, M.I. and </w:t>
      </w:r>
      <w:proofErr w:type="spellStart"/>
      <w:r w:rsidRPr="006A1FED">
        <w:rPr>
          <w:szCs w:val="18"/>
        </w:rPr>
        <w:t>Loh</w:t>
      </w:r>
      <w:proofErr w:type="spellEnd"/>
      <w:r w:rsidRPr="006A1FED">
        <w:rPr>
          <w:szCs w:val="18"/>
        </w:rPr>
        <w:t xml:space="preserve">, J. </w:t>
      </w:r>
      <w:r>
        <w:rPr>
          <w:szCs w:val="18"/>
        </w:rPr>
        <w:t>(</w:t>
      </w:r>
      <w:r w:rsidRPr="006A1FED">
        <w:rPr>
          <w:szCs w:val="18"/>
        </w:rPr>
        <w:t>2022</w:t>
      </w:r>
      <w:r>
        <w:rPr>
          <w:szCs w:val="18"/>
        </w:rPr>
        <w:t>)</w:t>
      </w:r>
      <w:r w:rsidRPr="006A1FED">
        <w:rPr>
          <w:szCs w:val="18"/>
        </w:rPr>
        <w:t>. Benefits, challenges, and social impact of health care providers’ adoption of social media. </w:t>
      </w:r>
      <w:r w:rsidRPr="006A1FED">
        <w:rPr>
          <w:i/>
          <w:iCs/>
          <w:szCs w:val="18"/>
        </w:rPr>
        <w:t>Social Science Computer Review</w:t>
      </w:r>
      <w:r w:rsidRPr="006A1FED">
        <w:rPr>
          <w:szCs w:val="18"/>
        </w:rPr>
        <w:t>, </w:t>
      </w:r>
      <w:r w:rsidRPr="006A1FED">
        <w:rPr>
          <w:i/>
          <w:iCs/>
          <w:szCs w:val="18"/>
        </w:rPr>
        <w:t>40</w:t>
      </w:r>
      <w:r w:rsidRPr="006A1FED">
        <w:rPr>
          <w:szCs w:val="18"/>
        </w:rPr>
        <w:t>(6), pp.1631-1647.</w:t>
      </w:r>
    </w:p>
    <w:p w14:paraId="2503AD1A" w14:textId="77777777" w:rsidR="00324430" w:rsidRDefault="00324430" w:rsidP="00324430">
      <w:pPr>
        <w:spacing w:line="360" w:lineRule="auto"/>
        <w:rPr>
          <w:szCs w:val="18"/>
        </w:rPr>
      </w:pPr>
      <w:proofErr w:type="spellStart"/>
      <w:r w:rsidRPr="004A2B00">
        <w:rPr>
          <w:szCs w:val="18"/>
        </w:rPr>
        <w:t>Khatri</w:t>
      </w:r>
      <w:proofErr w:type="spellEnd"/>
      <w:r w:rsidRPr="004A2B00">
        <w:rPr>
          <w:szCs w:val="18"/>
        </w:rPr>
        <w:t xml:space="preserve">, R., </w:t>
      </w:r>
      <w:proofErr w:type="spellStart"/>
      <w:r w:rsidRPr="004A2B00">
        <w:rPr>
          <w:szCs w:val="18"/>
        </w:rPr>
        <w:t>Endalamaw</w:t>
      </w:r>
      <w:proofErr w:type="spellEnd"/>
      <w:r w:rsidRPr="004A2B00">
        <w:rPr>
          <w:szCs w:val="18"/>
        </w:rPr>
        <w:t xml:space="preserve">, A., </w:t>
      </w:r>
      <w:proofErr w:type="spellStart"/>
      <w:r w:rsidRPr="004A2B00">
        <w:rPr>
          <w:szCs w:val="18"/>
        </w:rPr>
        <w:t>Erku</w:t>
      </w:r>
      <w:proofErr w:type="spellEnd"/>
      <w:r w:rsidRPr="004A2B00">
        <w:rPr>
          <w:szCs w:val="18"/>
        </w:rPr>
        <w:t xml:space="preserve">, D., </w:t>
      </w:r>
      <w:proofErr w:type="spellStart"/>
      <w:r w:rsidRPr="004A2B00">
        <w:rPr>
          <w:szCs w:val="18"/>
        </w:rPr>
        <w:t>Wolka</w:t>
      </w:r>
      <w:proofErr w:type="spellEnd"/>
      <w:r w:rsidRPr="004A2B00">
        <w:rPr>
          <w:szCs w:val="18"/>
        </w:rPr>
        <w:t xml:space="preserve">, E., </w:t>
      </w:r>
      <w:proofErr w:type="spellStart"/>
      <w:r w:rsidRPr="004A2B00">
        <w:rPr>
          <w:szCs w:val="18"/>
        </w:rPr>
        <w:t>Nigatu</w:t>
      </w:r>
      <w:proofErr w:type="spellEnd"/>
      <w:r w:rsidRPr="004A2B00">
        <w:rPr>
          <w:szCs w:val="18"/>
        </w:rPr>
        <w:t xml:space="preserve">, F., </w:t>
      </w:r>
      <w:proofErr w:type="spellStart"/>
      <w:r w:rsidRPr="004A2B00">
        <w:rPr>
          <w:szCs w:val="18"/>
        </w:rPr>
        <w:t>Zewdie</w:t>
      </w:r>
      <w:proofErr w:type="spellEnd"/>
      <w:r w:rsidRPr="004A2B00">
        <w:rPr>
          <w:szCs w:val="18"/>
        </w:rPr>
        <w:t xml:space="preserve">, A. and </w:t>
      </w:r>
      <w:proofErr w:type="spellStart"/>
      <w:r w:rsidRPr="004A2B00">
        <w:rPr>
          <w:szCs w:val="18"/>
        </w:rPr>
        <w:t>Assefa</w:t>
      </w:r>
      <w:proofErr w:type="spellEnd"/>
      <w:r w:rsidRPr="004A2B00">
        <w:rPr>
          <w:szCs w:val="18"/>
        </w:rPr>
        <w:t xml:space="preserve">, Y. </w:t>
      </w:r>
      <w:r>
        <w:rPr>
          <w:szCs w:val="18"/>
        </w:rPr>
        <w:t>(</w:t>
      </w:r>
      <w:r w:rsidRPr="004A2B00">
        <w:rPr>
          <w:szCs w:val="18"/>
        </w:rPr>
        <w:t>2023</w:t>
      </w:r>
      <w:r>
        <w:rPr>
          <w:szCs w:val="18"/>
        </w:rPr>
        <w:t>)</w:t>
      </w:r>
      <w:r w:rsidRPr="004A2B00">
        <w:rPr>
          <w:szCs w:val="18"/>
        </w:rPr>
        <w:t>. Continuity and care coordination of primary health care: a scoping review. </w:t>
      </w:r>
      <w:r w:rsidRPr="004A2B00">
        <w:rPr>
          <w:i/>
          <w:iCs/>
          <w:szCs w:val="18"/>
        </w:rPr>
        <w:t>BMC Health Services Research</w:t>
      </w:r>
      <w:r w:rsidRPr="004A2B00">
        <w:rPr>
          <w:szCs w:val="18"/>
        </w:rPr>
        <w:t>, </w:t>
      </w:r>
      <w:r w:rsidRPr="004A2B00">
        <w:rPr>
          <w:i/>
          <w:iCs/>
          <w:szCs w:val="18"/>
        </w:rPr>
        <w:t>23</w:t>
      </w:r>
      <w:r w:rsidRPr="004A2B00">
        <w:rPr>
          <w:szCs w:val="18"/>
        </w:rPr>
        <w:t>(1), p.750.</w:t>
      </w:r>
    </w:p>
    <w:p w14:paraId="19147838" w14:textId="77777777" w:rsidR="00324430" w:rsidRDefault="00324430" w:rsidP="00324430">
      <w:pPr>
        <w:spacing w:line="360" w:lineRule="auto"/>
        <w:rPr>
          <w:szCs w:val="18"/>
        </w:rPr>
      </w:pPr>
      <w:r w:rsidRPr="006A1FED">
        <w:rPr>
          <w:szCs w:val="18"/>
        </w:rPr>
        <w:t xml:space="preserve">Lee, M., Bin Mahmood, A.B.S., Lee, E.S., Smith, H.E. and Tudor Car, L. </w:t>
      </w:r>
      <w:r>
        <w:rPr>
          <w:szCs w:val="18"/>
        </w:rPr>
        <w:t>(</w:t>
      </w:r>
      <w:r w:rsidRPr="006A1FED">
        <w:rPr>
          <w:szCs w:val="18"/>
        </w:rPr>
        <w:t>2023</w:t>
      </w:r>
      <w:r>
        <w:rPr>
          <w:szCs w:val="18"/>
        </w:rPr>
        <w:t>)</w:t>
      </w:r>
      <w:r w:rsidRPr="006A1FED">
        <w:rPr>
          <w:szCs w:val="18"/>
        </w:rPr>
        <w:t>. Smartphone and mobile app use among physicians in clinical practice: scoping review. </w:t>
      </w:r>
      <w:r w:rsidRPr="006A1FED">
        <w:rPr>
          <w:i/>
          <w:iCs/>
          <w:szCs w:val="18"/>
        </w:rPr>
        <w:t>JMIR mHealth and uHealth</w:t>
      </w:r>
      <w:r w:rsidRPr="006A1FED">
        <w:rPr>
          <w:szCs w:val="18"/>
        </w:rPr>
        <w:t>, </w:t>
      </w:r>
      <w:r w:rsidRPr="006A1FED">
        <w:rPr>
          <w:i/>
          <w:iCs/>
          <w:szCs w:val="18"/>
        </w:rPr>
        <w:t>11</w:t>
      </w:r>
      <w:r w:rsidRPr="006A1FED">
        <w:rPr>
          <w:szCs w:val="18"/>
        </w:rPr>
        <w:t>, p.e44765.</w:t>
      </w:r>
    </w:p>
    <w:p w14:paraId="4154B18B" w14:textId="77777777" w:rsidR="00324430" w:rsidRDefault="00324430" w:rsidP="00324430">
      <w:pPr>
        <w:spacing w:line="360" w:lineRule="auto"/>
        <w:rPr>
          <w:szCs w:val="18"/>
        </w:rPr>
      </w:pPr>
      <w:proofErr w:type="spellStart"/>
      <w:r w:rsidRPr="002575FF">
        <w:rPr>
          <w:szCs w:val="18"/>
        </w:rPr>
        <w:t>McGuier</w:t>
      </w:r>
      <w:proofErr w:type="spellEnd"/>
      <w:r w:rsidRPr="002575FF">
        <w:rPr>
          <w:szCs w:val="18"/>
        </w:rPr>
        <w:t xml:space="preserve">, E.A., </w:t>
      </w:r>
      <w:proofErr w:type="spellStart"/>
      <w:r w:rsidRPr="002575FF">
        <w:rPr>
          <w:szCs w:val="18"/>
        </w:rPr>
        <w:t>Kolko</w:t>
      </w:r>
      <w:proofErr w:type="spellEnd"/>
      <w:r w:rsidRPr="002575FF">
        <w:rPr>
          <w:szCs w:val="18"/>
        </w:rPr>
        <w:t xml:space="preserve">, D.J., Aarons, G.A., </w:t>
      </w:r>
      <w:proofErr w:type="spellStart"/>
      <w:r w:rsidRPr="002575FF">
        <w:rPr>
          <w:szCs w:val="18"/>
        </w:rPr>
        <w:t>Schachter</w:t>
      </w:r>
      <w:proofErr w:type="spellEnd"/>
      <w:r w:rsidRPr="002575FF">
        <w:rPr>
          <w:szCs w:val="18"/>
        </w:rPr>
        <w:t xml:space="preserve">, A., </w:t>
      </w:r>
      <w:proofErr w:type="spellStart"/>
      <w:r w:rsidRPr="002575FF">
        <w:rPr>
          <w:szCs w:val="18"/>
        </w:rPr>
        <w:t>Klem</w:t>
      </w:r>
      <w:proofErr w:type="spellEnd"/>
      <w:r w:rsidRPr="002575FF">
        <w:rPr>
          <w:szCs w:val="18"/>
        </w:rPr>
        <w:t xml:space="preserve">, M.L., </w:t>
      </w:r>
      <w:proofErr w:type="spellStart"/>
      <w:r w:rsidRPr="002575FF">
        <w:rPr>
          <w:szCs w:val="18"/>
        </w:rPr>
        <w:t>Diabes</w:t>
      </w:r>
      <w:proofErr w:type="spellEnd"/>
      <w:r w:rsidRPr="002575FF">
        <w:rPr>
          <w:szCs w:val="18"/>
        </w:rPr>
        <w:t xml:space="preserve">, M.A., </w:t>
      </w:r>
      <w:proofErr w:type="spellStart"/>
      <w:r w:rsidRPr="002575FF">
        <w:rPr>
          <w:szCs w:val="18"/>
        </w:rPr>
        <w:t>Weingart</w:t>
      </w:r>
      <w:proofErr w:type="spellEnd"/>
      <w:r w:rsidRPr="002575FF">
        <w:rPr>
          <w:szCs w:val="18"/>
        </w:rPr>
        <w:t xml:space="preserve">, L.R., Salas, E. and </w:t>
      </w:r>
      <w:proofErr w:type="spellStart"/>
      <w:r w:rsidRPr="002575FF">
        <w:rPr>
          <w:szCs w:val="18"/>
        </w:rPr>
        <w:t>Wolk</w:t>
      </w:r>
      <w:proofErr w:type="spellEnd"/>
      <w:r w:rsidRPr="002575FF">
        <w:rPr>
          <w:szCs w:val="18"/>
        </w:rPr>
        <w:t>, C.B</w:t>
      </w:r>
      <w:r>
        <w:rPr>
          <w:szCs w:val="18"/>
        </w:rPr>
        <w:t>.</w:t>
      </w:r>
      <w:r w:rsidRPr="002575FF">
        <w:rPr>
          <w:szCs w:val="18"/>
        </w:rPr>
        <w:t xml:space="preserve"> </w:t>
      </w:r>
      <w:r>
        <w:rPr>
          <w:szCs w:val="18"/>
        </w:rPr>
        <w:t>(</w:t>
      </w:r>
      <w:r w:rsidRPr="002575FF">
        <w:rPr>
          <w:szCs w:val="18"/>
        </w:rPr>
        <w:t>2024</w:t>
      </w:r>
      <w:r>
        <w:rPr>
          <w:szCs w:val="18"/>
        </w:rPr>
        <w:t>)</w:t>
      </w:r>
      <w:r w:rsidRPr="002575FF">
        <w:rPr>
          <w:szCs w:val="18"/>
        </w:rPr>
        <w:t>. Teamwork and implementation of innovations in healthcare and human service settings: a systematic review. </w:t>
      </w:r>
      <w:r w:rsidRPr="002575FF">
        <w:rPr>
          <w:i/>
          <w:iCs/>
          <w:szCs w:val="18"/>
        </w:rPr>
        <w:t>Implementation Science</w:t>
      </w:r>
      <w:r w:rsidRPr="002575FF">
        <w:rPr>
          <w:szCs w:val="18"/>
        </w:rPr>
        <w:t>, </w:t>
      </w:r>
      <w:r w:rsidRPr="002575FF">
        <w:rPr>
          <w:i/>
          <w:iCs/>
          <w:szCs w:val="18"/>
        </w:rPr>
        <w:t>19</w:t>
      </w:r>
      <w:r w:rsidRPr="002575FF">
        <w:rPr>
          <w:szCs w:val="18"/>
        </w:rPr>
        <w:t>(1), p.49.</w:t>
      </w:r>
    </w:p>
    <w:p w14:paraId="692BF9FC" w14:textId="77777777" w:rsidR="00324430" w:rsidRDefault="00324430" w:rsidP="00324430">
      <w:pPr>
        <w:spacing w:line="360" w:lineRule="auto"/>
        <w:rPr>
          <w:szCs w:val="18"/>
        </w:rPr>
      </w:pPr>
      <w:r w:rsidRPr="006A1FED">
        <w:rPr>
          <w:szCs w:val="18"/>
        </w:rPr>
        <w:t xml:space="preserve">Mustafa, S.E., </w:t>
      </w:r>
      <w:proofErr w:type="spellStart"/>
      <w:r w:rsidRPr="006A1FED">
        <w:rPr>
          <w:szCs w:val="18"/>
        </w:rPr>
        <w:t>Sarmiti</w:t>
      </w:r>
      <w:proofErr w:type="spellEnd"/>
      <w:r w:rsidRPr="006A1FED">
        <w:rPr>
          <w:szCs w:val="18"/>
        </w:rPr>
        <w:t xml:space="preserve">, N.Z., </w:t>
      </w:r>
      <w:proofErr w:type="spellStart"/>
      <w:r w:rsidRPr="006A1FED">
        <w:rPr>
          <w:szCs w:val="18"/>
        </w:rPr>
        <w:t>Yusof</w:t>
      </w:r>
      <w:proofErr w:type="spellEnd"/>
      <w:r w:rsidRPr="006A1FED">
        <w:rPr>
          <w:szCs w:val="18"/>
        </w:rPr>
        <w:t xml:space="preserve">, Z.Y.M., Nor, N.A.M. and Nor, M.M. </w:t>
      </w:r>
      <w:r>
        <w:rPr>
          <w:szCs w:val="18"/>
        </w:rPr>
        <w:t>(</w:t>
      </w:r>
      <w:r w:rsidRPr="006A1FED">
        <w:rPr>
          <w:szCs w:val="18"/>
        </w:rPr>
        <w:t>2022</w:t>
      </w:r>
      <w:r>
        <w:rPr>
          <w:szCs w:val="18"/>
        </w:rPr>
        <w:t>)</w:t>
      </w:r>
      <w:r w:rsidRPr="006A1FED">
        <w:rPr>
          <w:szCs w:val="18"/>
        </w:rPr>
        <w:t>. WhatsApp and Health Communication. </w:t>
      </w:r>
      <w:r w:rsidRPr="006A1FED">
        <w:rPr>
          <w:i/>
          <w:iCs/>
          <w:szCs w:val="18"/>
        </w:rPr>
        <w:t>International Journal of E-Health and Medical Communications</w:t>
      </w:r>
      <w:r w:rsidRPr="006A1FED">
        <w:rPr>
          <w:szCs w:val="18"/>
        </w:rPr>
        <w:t>, </w:t>
      </w:r>
      <w:r w:rsidRPr="006A1FED">
        <w:rPr>
          <w:i/>
          <w:iCs/>
          <w:szCs w:val="18"/>
        </w:rPr>
        <w:t>13</w:t>
      </w:r>
      <w:r w:rsidRPr="006A1FED">
        <w:rPr>
          <w:szCs w:val="18"/>
        </w:rPr>
        <w:t>(1).</w:t>
      </w:r>
    </w:p>
    <w:p w14:paraId="5722263E" w14:textId="77777777" w:rsidR="00324430" w:rsidRPr="002575FF" w:rsidRDefault="00324430" w:rsidP="00324430">
      <w:pPr>
        <w:spacing w:line="360" w:lineRule="auto"/>
        <w:rPr>
          <w:rFonts w:cs="Arial"/>
          <w:szCs w:val="18"/>
          <w:lang w:val="en-US"/>
        </w:rPr>
      </w:pPr>
      <w:proofErr w:type="spellStart"/>
      <w:r w:rsidRPr="002575FF">
        <w:rPr>
          <w:szCs w:val="18"/>
        </w:rPr>
        <w:t>Mwogosi</w:t>
      </w:r>
      <w:proofErr w:type="spellEnd"/>
      <w:r w:rsidRPr="002575FF">
        <w:rPr>
          <w:szCs w:val="18"/>
        </w:rPr>
        <w:t xml:space="preserve">, A. and </w:t>
      </w:r>
      <w:proofErr w:type="spellStart"/>
      <w:r w:rsidRPr="002575FF">
        <w:rPr>
          <w:szCs w:val="18"/>
        </w:rPr>
        <w:t>Mambile</w:t>
      </w:r>
      <w:proofErr w:type="spellEnd"/>
      <w:r w:rsidRPr="002575FF">
        <w:rPr>
          <w:szCs w:val="18"/>
        </w:rPr>
        <w:t xml:space="preserve">, C. </w:t>
      </w:r>
      <w:r>
        <w:rPr>
          <w:szCs w:val="18"/>
        </w:rPr>
        <w:t>(</w:t>
      </w:r>
      <w:r w:rsidRPr="002575FF">
        <w:rPr>
          <w:szCs w:val="18"/>
        </w:rPr>
        <w:t>2025</w:t>
      </w:r>
      <w:r>
        <w:rPr>
          <w:szCs w:val="18"/>
        </w:rPr>
        <w:t>)</w:t>
      </w:r>
      <w:r w:rsidRPr="002575FF">
        <w:rPr>
          <w:szCs w:val="18"/>
        </w:rPr>
        <w:t>. Digital ecosystems for healthcare communication and collaboration: A scoping review. </w:t>
      </w:r>
      <w:r w:rsidRPr="002575FF">
        <w:rPr>
          <w:i/>
          <w:iCs/>
          <w:szCs w:val="18"/>
        </w:rPr>
        <w:t>Digital Health</w:t>
      </w:r>
      <w:r w:rsidRPr="002575FF">
        <w:rPr>
          <w:szCs w:val="18"/>
        </w:rPr>
        <w:t>, </w:t>
      </w:r>
      <w:r w:rsidRPr="002575FF">
        <w:rPr>
          <w:i/>
          <w:iCs/>
          <w:szCs w:val="18"/>
        </w:rPr>
        <w:t>11</w:t>
      </w:r>
      <w:r w:rsidRPr="002575FF">
        <w:rPr>
          <w:szCs w:val="18"/>
        </w:rPr>
        <w:t>, p.20552076251377933.</w:t>
      </w:r>
    </w:p>
    <w:p w14:paraId="5421EF5D" w14:textId="77777777" w:rsidR="00324430" w:rsidRDefault="00324430" w:rsidP="00324430">
      <w:pPr>
        <w:spacing w:line="360" w:lineRule="auto"/>
        <w:rPr>
          <w:szCs w:val="18"/>
        </w:rPr>
      </w:pPr>
      <w:r w:rsidRPr="004A2B00">
        <w:rPr>
          <w:szCs w:val="18"/>
          <w:lang w:val="en-US"/>
        </w:rPr>
        <w:t>NHS Confederation. (2025). </w:t>
      </w:r>
      <w:r w:rsidRPr="004A2B00">
        <w:rPr>
          <w:i/>
          <w:iCs/>
          <w:szCs w:val="18"/>
          <w:lang w:val="en-US"/>
        </w:rPr>
        <w:t>Digital transformation in the NHS: a reference guide</w:t>
      </w:r>
      <w:r w:rsidRPr="004A2B00">
        <w:rPr>
          <w:szCs w:val="18"/>
          <w:lang w:val="en-US"/>
        </w:rPr>
        <w:t xml:space="preserve">. [online] Available at: </w:t>
      </w:r>
      <w:hyperlink r:id="rId13" w:history="1">
        <w:r w:rsidRPr="004A2B00">
          <w:rPr>
            <w:rStyle w:val="Hyperlink"/>
            <w:szCs w:val="18"/>
            <w:lang w:val="en-US"/>
          </w:rPr>
          <w:t>https://www.nhsconfed.org/publications/digital-transformation-nhs-reference-guide</w:t>
        </w:r>
      </w:hyperlink>
      <w:r>
        <w:rPr>
          <w:szCs w:val="18"/>
          <w:lang w:val="en-US"/>
        </w:rPr>
        <w:t xml:space="preserve"> </w:t>
      </w:r>
      <w:r w:rsidRPr="004A2B00">
        <w:rPr>
          <w:szCs w:val="18"/>
        </w:rPr>
        <w:t>[Accessed 8 Mar. 2026].</w:t>
      </w:r>
    </w:p>
    <w:p w14:paraId="34E8B0A2" w14:textId="77777777" w:rsidR="00324430" w:rsidRDefault="00324430" w:rsidP="00324430">
      <w:pPr>
        <w:spacing w:line="360" w:lineRule="auto"/>
        <w:rPr>
          <w:szCs w:val="18"/>
        </w:rPr>
      </w:pPr>
      <w:r w:rsidRPr="00961A77">
        <w:rPr>
          <w:szCs w:val="18"/>
        </w:rPr>
        <w:t xml:space="preserve">Peters, M.D., Marnie, C., Colquhoun, H., </w:t>
      </w:r>
      <w:proofErr w:type="spellStart"/>
      <w:r w:rsidRPr="00961A77">
        <w:rPr>
          <w:szCs w:val="18"/>
        </w:rPr>
        <w:t>Garritty</w:t>
      </w:r>
      <w:proofErr w:type="spellEnd"/>
      <w:r w:rsidRPr="00961A77">
        <w:rPr>
          <w:szCs w:val="18"/>
        </w:rPr>
        <w:t xml:space="preserve">, C.M., </w:t>
      </w:r>
      <w:proofErr w:type="spellStart"/>
      <w:r w:rsidRPr="00961A77">
        <w:rPr>
          <w:szCs w:val="18"/>
        </w:rPr>
        <w:t>Hempel</w:t>
      </w:r>
      <w:proofErr w:type="spellEnd"/>
      <w:r w:rsidRPr="00961A77">
        <w:rPr>
          <w:szCs w:val="18"/>
        </w:rPr>
        <w:t xml:space="preserve">, S., Horsley, T., Langlois, E.V., Lillie, E., O’Brien, K.K., </w:t>
      </w:r>
      <w:proofErr w:type="spellStart"/>
      <w:r w:rsidRPr="00961A77">
        <w:rPr>
          <w:szCs w:val="18"/>
        </w:rPr>
        <w:t>Tunçalp</w:t>
      </w:r>
      <w:proofErr w:type="spellEnd"/>
      <w:r w:rsidRPr="00961A77">
        <w:rPr>
          <w:szCs w:val="18"/>
        </w:rPr>
        <w:t xml:space="preserve">, Ӧ. and Wilson, M.G. </w:t>
      </w:r>
      <w:r>
        <w:rPr>
          <w:szCs w:val="18"/>
        </w:rPr>
        <w:t>(</w:t>
      </w:r>
      <w:r w:rsidRPr="00961A77">
        <w:rPr>
          <w:szCs w:val="18"/>
        </w:rPr>
        <w:t>2021</w:t>
      </w:r>
      <w:r>
        <w:rPr>
          <w:szCs w:val="18"/>
        </w:rPr>
        <w:t>)</w:t>
      </w:r>
      <w:r w:rsidRPr="00961A77">
        <w:rPr>
          <w:szCs w:val="18"/>
        </w:rPr>
        <w:t>. Scoping reviews: reinforcing and advancing the methodology and application. </w:t>
      </w:r>
      <w:r w:rsidRPr="00961A77">
        <w:rPr>
          <w:i/>
          <w:iCs/>
          <w:szCs w:val="18"/>
        </w:rPr>
        <w:t>Systematic reviews</w:t>
      </w:r>
      <w:r w:rsidRPr="00961A77">
        <w:rPr>
          <w:szCs w:val="18"/>
        </w:rPr>
        <w:t>, </w:t>
      </w:r>
      <w:r w:rsidRPr="00961A77">
        <w:rPr>
          <w:i/>
          <w:iCs/>
          <w:szCs w:val="18"/>
        </w:rPr>
        <w:t>10</w:t>
      </w:r>
      <w:r w:rsidRPr="00961A77">
        <w:rPr>
          <w:szCs w:val="18"/>
        </w:rPr>
        <w:t>(1), p.263.</w:t>
      </w:r>
    </w:p>
    <w:p w14:paraId="5DCCF544" w14:textId="77777777" w:rsidR="00324430" w:rsidRDefault="00324430" w:rsidP="00324430">
      <w:pPr>
        <w:spacing w:line="360" w:lineRule="auto"/>
        <w:rPr>
          <w:szCs w:val="18"/>
        </w:rPr>
      </w:pPr>
      <w:r w:rsidRPr="00961A77">
        <w:rPr>
          <w:szCs w:val="18"/>
        </w:rPr>
        <w:t xml:space="preserve">Peterson, J., Pearce, P.F., Ferguson, L.A. and Langford, C.A. </w:t>
      </w:r>
      <w:r>
        <w:rPr>
          <w:szCs w:val="18"/>
        </w:rPr>
        <w:t>(</w:t>
      </w:r>
      <w:r w:rsidRPr="00961A77">
        <w:rPr>
          <w:szCs w:val="18"/>
        </w:rPr>
        <w:t>2017</w:t>
      </w:r>
      <w:r>
        <w:rPr>
          <w:szCs w:val="18"/>
        </w:rPr>
        <w:t>)</w:t>
      </w:r>
      <w:r w:rsidRPr="00961A77">
        <w:rPr>
          <w:szCs w:val="18"/>
        </w:rPr>
        <w:t>. Understanding scoping reviews: Definition, purpose, and process. </w:t>
      </w:r>
      <w:r w:rsidRPr="00961A77">
        <w:rPr>
          <w:i/>
          <w:iCs/>
          <w:szCs w:val="18"/>
        </w:rPr>
        <w:t>Journal of the American Association of Nurse Practitioners</w:t>
      </w:r>
      <w:r w:rsidRPr="00961A77">
        <w:rPr>
          <w:szCs w:val="18"/>
        </w:rPr>
        <w:t>, </w:t>
      </w:r>
      <w:r w:rsidRPr="00961A77">
        <w:rPr>
          <w:i/>
          <w:iCs/>
          <w:szCs w:val="18"/>
        </w:rPr>
        <w:t>29</w:t>
      </w:r>
      <w:r w:rsidRPr="00961A77">
        <w:rPr>
          <w:szCs w:val="18"/>
        </w:rPr>
        <w:t>(1), pp.12-16.</w:t>
      </w:r>
    </w:p>
    <w:p w14:paraId="1AEA174F" w14:textId="77777777" w:rsidR="00324430" w:rsidRDefault="00324430" w:rsidP="0041140E">
      <w:pPr>
        <w:spacing w:line="360" w:lineRule="auto"/>
        <w:rPr>
          <w:rFonts w:cs="Arial"/>
          <w:color w:val="000000" w:themeColor="text1"/>
        </w:rPr>
      </w:pPr>
      <w:r w:rsidRPr="0041140E">
        <w:rPr>
          <w:rFonts w:cs="Arial"/>
          <w:color w:val="000000" w:themeColor="text1"/>
        </w:rPr>
        <w:t xml:space="preserve">Ryan-Blackwell, G. and </w:t>
      </w:r>
      <w:proofErr w:type="spellStart"/>
      <w:r w:rsidRPr="0041140E">
        <w:rPr>
          <w:rFonts w:cs="Arial"/>
          <w:color w:val="000000" w:themeColor="text1"/>
        </w:rPr>
        <w:t>Astin</w:t>
      </w:r>
      <w:proofErr w:type="spellEnd"/>
      <w:r w:rsidRPr="0041140E">
        <w:rPr>
          <w:rFonts w:cs="Arial"/>
          <w:color w:val="000000" w:themeColor="text1"/>
        </w:rPr>
        <w:t xml:space="preserve">, F. (2025). Nursing and Midwifery Regulator Misconduct Hearings in the </w:t>
      </w:r>
      <w:r>
        <w:rPr>
          <w:rFonts w:cs="Arial"/>
          <w:color w:val="000000" w:themeColor="text1"/>
        </w:rPr>
        <w:t>UK</w:t>
      </w:r>
      <w:r w:rsidRPr="0041140E">
        <w:rPr>
          <w:rFonts w:cs="Arial"/>
          <w:color w:val="000000" w:themeColor="text1"/>
        </w:rPr>
        <w:t xml:space="preserve"> Involving Social Media: Content Analysis and Proposed Interventions for Prevention. </w:t>
      </w:r>
      <w:r w:rsidRPr="0041140E">
        <w:rPr>
          <w:rFonts w:cs="Arial"/>
          <w:i/>
          <w:iCs/>
          <w:color w:val="000000" w:themeColor="text1"/>
        </w:rPr>
        <w:t>Journal of Nursing Regulation</w:t>
      </w:r>
      <w:r w:rsidRPr="0041140E">
        <w:rPr>
          <w:rFonts w:cs="Arial"/>
          <w:color w:val="000000" w:themeColor="text1"/>
        </w:rPr>
        <w:t xml:space="preserve">. </w:t>
      </w:r>
      <w:hyperlink r:id="rId14" w:history="1">
        <w:r w:rsidRPr="0041140E">
          <w:rPr>
            <w:rStyle w:val="Hyperlink"/>
            <w:rFonts w:cs="Arial"/>
          </w:rPr>
          <w:t>https://doi.org/10.1016/j.jnr.2025.08.007</w:t>
        </w:r>
      </w:hyperlink>
    </w:p>
    <w:p w14:paraId="218CF0DE" w14:textId="77777777" w:rsidR="00324430" w:rsidRDefault="00324430" w:rsidP="00324430">
      <w:pPr>
        <w:spacing w:line="360" w:lineRule="auto"/>
        <w:rPr>
          <w:szCs w:val="18"/>
        </w:rPr>
      </w:pPr>
      <w:r w:rsidRPr="006A1FED">
        <w:rPr>
          <w:szCs w:val="18"/>
        </w:rPr>
        <w:t xml:space="preserve">Sabri, I. and </w:t>
      </w:r>
      <w:proofErr w:type="spellStart"/>
      <w:r w:rsidRPr="006A1FED">
        <w:rPr>
          <w:szCs w:val="18"/>
        </w:rPr>
        <w:t>Kausar</w:t>
      </w:r>
      <w:proofErr w:type="spellEnd"/>
      <w:r w:rsidRPr="006A1FED">
        <w:rPr>
          <w:szCs w:val="18"/>
        </w:rPr>
        <w:t xml:space="preserve">, N. </w:t>
      </w:r>
      <w:r>
        <w:rPr>
          <w:szCs w:val="18"/>
        </w:rPr>
        <w:t>(</w:t>
      </w:r>
      <w:r w:rsidRPr="006A1FED">
        <w:rPr>
          <w:szCs w:val="18"/>
        </w:rPr>
        <w:t>2024</w:t>
      </w:r>
      <w:r>
        <w:rPr>
          <w:szCs w:val="18"/>
        </w:rPr>
        <w:t>)</w:t>
      </w:r>
      <w:r w:rsidRPr="006A1FED">
        <w:rPr>
          <w:szCs w:val="18"/>
        </w:rPr>
        <w:t>. Legal and Ethical Concerns in the Use of WhatsApp for Medical Treatment. </w:t>
      </w:r>
      <w:r w:rsidRPr="006A1FED">
        <w:rPr>
          <w:i/>
          <w:iCs/>
          <w:szCs w:val="18"/>
        </w:rPr>
        <w:t>Frontiers in Health Informatics</w:t>
      </w:r>
      <w:r w:rsidRPr="006A1FED">
        <w:rPr>
          <w:szCs w:val="18"/>
        </w:rPr>
        <w:t>, </w:t>
      </w:r>
      <w:r w:rsidRPr="006A1FED">
        <w:rPr>
          <w:i/>
          <w:iCs/>
          <w:szCs w:val="18"/>
        </w:rPr>
        <w:t>13</w:t>
      </w:r>
      <w:r w:rsidRPr="006A1FED">
        <w:rPr>
          <w:szCs w:val="18"/>
        </w:rPr>
        <w:t>(8).</w:t>
      </w:r>
    </w:p>
    <w:p w14:paraId="37012CD8" w14:textId="77777777" w:rsidR="00324430" w:rsidRDefault="00324430" w:rsidP="00324430">
      <w:pPr>
        <w:spacing w:line="360" w:lineRule="auto"/>
        <w:rPr>
          <w:szCs w:val="18"/>
        </w:rPr>
      </w:pPr>
      <w:proofErr w:type="spellStart"/>
      <w:r w:rsidRPr="002575FF">
        <w:rPr>
          <w:szCs w:val="18"/>
        </w:rPr>
        <w:t>Saini</w:t>
      </w:r>
      <w:proofErr w:type="spellEnd"/>
      <w:r w:rsidRPr="002575FF">
        <w:rPr>
          <w:szCs w:val="18"/>
        </w:rPr>
        <w:t xml:space="preserve">, R., </w:t>
      </w:r>
      <w:proofErr w:type="spellStart"/>
      <w:r w:rsidRPr="002575FF">
        <w:rPr>
          <w:szCs w:val="18"/>
        </w:rPr>
        <w:t>Jeyaraman</w:t>
      </w:r>
      <w:proofErr w:type="spellEnd"/>
      <w:r w:rsidRPr="002575FF">
        <w:rPr>
          <w:szCs w:val="18"/>
        </w:rPr>
        <w:t xml:space="preserve">, M., </w:t>
      </w:r>
      <w:proofErr w:type="spellStart"/>
      <w:r w:rsidRPr="002575FF">
        <w:rPr>
          <w:szCs w:val="18"/>
        </w:rPr>
        <w:t>Jeyaraman</w:t>
      </w:r>
      <w:proofErr w:type="spellEnd"/>
      <w:r w:rsidRPr="002575FF">
        <w:rPr>
          <w:szCs w:val="18"/>
        </w:rPr>
        <w:t xml:space="preserve">, N., Jain, V.K., </w:t>
      </w:r>
      <w:proofErr w:type="spellStart"/>
      <w:r w:rsidRPr="002575FF">
        <w:rPr>
          <w:szCs w:val="18"/>
        </w:rPr>
        <w:t>Ramasubramanian</w:t>
      </w:r>
      <w:proofErr w:type="spellEnd"/>
      <w:r w:rsidRPr="002575FF">
        <w:rPr>
          <w:szCs w:val="18"/>
        </w:rPr>
        <w:t xml:space="preserve">, S. and </w:t>
      </w:r>
      <w:proofErr w:type="spellStart"/>
      <w:r w:rsidRPr="002575FF">
        <w:rPr>
          <w:szCs w:val="18"/>
        </w:rPr>
        <w:t>Iyengar</w:t>
      </w:r>
      <w:proofErr w:type="spellEnd"/>
      <w:r w:rsidRPr="002575FF">
        <w:rPr>
          <w:szCs w:val="18"/>
        </w:rPr>
        <w:t>, K.P.</w:t>
      </w:r>
      <w:r>
        <w:rPr>
          <w:szCs w:val="18"/>
        </w:rPr>
        <w:t xml:space="preserve"> (</w:t>
      </w:r>
      <w:r w:rsidRPr="002575FF">
        <w:rPr>
          <w:szCs w:val="18"/>
        </w:rPr>
        <w:t>2024</w:t>
      </w:r>
      <w:r>
        <w:rPr>
          <w:szCs w:val="18"/>
        </w:rPr>
        <w:t>)</w:t>
      </w:r>
      <w:r w:rsidRPr="002575FF">
        <w:rPr>
          <w:szCs w:val="18"/>
        </w:rPr>
        <w:t>. Advancing orthopaedic trauma care through WhatsApp: An analysis of clinical and non-clinical applications, challenges, and future directions. </w:t>
      </w:r>
      <w:r w:rsidRPr="002575FF">
        <w:rPr>
          <w:i/>
          <w:iCs/>
          <w:szCs w:val="18"/>
        </w:rPr>
        <w:t xml:space="preserve">World Journal of </w:t>
      </w:r>
      <w:proofErr w:type="spellStart"/>
      <w:r w:rsidRPr="002575FF">
        <w:rPr>
          <w:i/>
          <w:iCs/>
          <w:szCs w:val="18"/>
        </w:rPr>
        <w:t>Orthopedics</w:t>
      </w:r>
      <w:proofErr w:type="spellEnd"/>
      <w:r w:rsidRPr="002575FF">
        <w:rPr>
          <w:szCs w:val="18"/>
        </w:rPr>
        <w:t>, </w:t>
      </w:r>
      <w:r w:rsidRPr="002575FF">
        <w:rPr>
          <w:i/>
          <w:iCs/>
          <w:szCs w:val="18"/>
        </w:rPr>
        <w:t>15</w:t>
      </w:r>
      <w:r w:rsidRPr="002575FF">
        <w:rPr>
          <w:szCs w:val="18"/>
        </w:rPr>
        <w:t>(6), p.529.</w:t>
      </w:r>
    </w:p>
    <w:p w14:paraId="43223D26" w14:textId="77777777" w:rsidR="00324430" w:rsidRPr="005C70DF" w:rsidRDefault="00324430" w:rsidP="00FB71D0">
      <w:pPr>
        <w:spacing w:line="360" w:lineRule="auto"/>
        <w:rPr>
          <w:rFonts w:cs="Arial"/>
          <w:color w:val="000000" w:themeColor="text1"/>
        </w:rPr>
      </w:pPr>
      <w:r w:rsidRPr="00FB71D0">
        <w:rPr>
          <w:rFonts w:cs="Arial"/>
          <w:color w:val="000000" w:themeColor="text1"/>
        </w:rPr>
        <w:t xml:space="preserve">Salam, M.A. us, </w:t>
      </w:r>
      <w:proofErr w:type="spellStart"/>
      <w:r w:rsidRPr="00FB71D0">
        <w:rPr>
          <w:rFonts w:cs="Arial"/>
          <w:color w:val="000000" w:themeColor="text1"/>
        </w:rPr>
        <w:t>Oyekwe</w:t>
      </w:r>
      <w:proofErr w:type="spellEnd"/>
      <w:r w:rsidRPr="00FB71D0">
        <w:rPr>
          <w:rFonts w:cs="Arial"/>
          <w:color w:val="000000" w:themeColor="text1"/>
        </w:rPr>
        <w:t xml:space="preserve">, G.C., </w:t>
      </w:r>
      <w:proofErr w:type="spellStart"/>
      <w:r w:rsidRPr="00FB71D0">
        <w:rPr>
          <w:rFonts w:cs="Arial"/>
          <w:color w:val="000000" w:themeColor="text1"/>
        </w:rPr>
        <w:t>Ghani</w:t>
      </w:r>
      <w:proofErr w:type="spellEnd"/>
      <w:r w:rsidRPr="00FB71D0">
        <w:rPr>
          <w:rFonts w:cs="Arial"/>
          <w:color w:val="000000" w:themeColor="text1"/>
        </w:rPr>
        <w:t xml:space="preserve">, S.A. and </w:t>
      </w:r>
      <w:proofErr w:type="spellStart"/>
      <w:r w:rsidRPr="00FB71D0">
        <w:rPr>
          <w:rFonts w:cs="Arial"/>
          <w:color w:val="000000" w:themeColor="text1"/>
        </w:rPr>
        <w:t>Choudhury</w:t>
      </w:r>
      <w:proofErr w:type="spellEnd"/>
      <w:r w:rsidRPr="00FB71D0">
        <w:rPr>
          <w:rFonts w:cs="Arial"/>
          <w:color w:val="000000" w:themeColor="text1"/>
        </w:rPr>
        <w:t>, R.I. (2021). How can WhatsApp® facilitate the future of medical education and clinical practice? </w:t>
      </w:r>
      <w:r w:rsidRPr="00FB71D0">
        <w:rPr>
          <w:rFonts w:cs="Arial"/>
          <w:i/>
          <w:iCs/>
          <w:color w:val="000000" w:themeColor="text1"/>
        </w:rPr>
        <w:t>BMC Medical Education</w:t>
      </w:r>
      <w:r w:rsidRPr="00FB71D0">
        <w:rPr>
          <w:rFonts w:cs="Arial"/>
          <w:color w:val="000000" w:themeColor="text1"/>
        </w:rPr>
        <w:t xml:space="preserve">, 21(1). </w:t>
      </w:r>
      <w:hyperlink r:id="rId15" w:history="1">
        <w:r w:rsidRPr="00FB71D0">
          <w:rPr>
            <w:rStyle w:val="Hyperlink"/>
            <w:rFonts w:cs="Arial"/>
          </w:rPr>
          <w:t>https://doi.org/10.1186/s12909-020-02440-7</w:t>
        </w:r>
      </w:hyperlink>
    </w:p>
    <w:p w14:paraId="1390BD1D" w14:textId="77777777" w:rsidR="00324430" w:rsidRDefault="00324430" w:rsidP="00324430">
      <w:pPr>
        <w:spacing w:line="360" w:lineRule="auto"/>
        <w:rPr>
          <w:szCs w:val="18"/>
        </w:rPr>
      </w:pPr>
      <w:proofErr w:type="spellStart"/>
      <w:r w:rsidRPr="006A1FED">
        <w:rPr>
          <w:szCs w:val="18"/>
        </w:rPr>
        <w:t>Thakur</w:t>
      </w:r>
      <w:proofErr w:type="spellEnd"/>
      <w:r w:rsidRPr="006A1FED">
        <w:rPr>
          <w:szCs w:val="18"/>
        </w:rPr>
        <w:t xml:space="preserve">, A., </w:t>
      </w:r>
      <w:proofErr w:type="spellStart"/>
      <w:r w:rsidRPr="006A1FED">
        <w:rPr>
          <w:szCs w:val="18"/>
        </w:rPr>
        <w:t>Bhageerathy</w:t>
      </w:r>
      <w:proofErr w:type="spellEnd"/>
      <w:r w:rsidRPr="006A1FED">
        <w:rPr>
          <w:szCs w:val="18"/>
        </w:rPr>
        <w:t xml:space="preserve">, R., </w:t>
      </w:r>
      <w:proofErr w:type="spellStart"/>
      <w:r w:rsidRPr="006A1FED">
        <w:rPr>
          <w:szCs w:val="18"/>
        </w:rPr>
        <w:t>Mithra</w:t>
      </w:r>
      <w:proofErr w:type="spellEnd"/>
      <w:r w:rsidRPr="006A1FED">
        <w:rPr>
          <w:szCs w:val="18"/>
        </w:rPr>
        <w:t xml:space="preserve">, P., </w:t>
      </w:r>
      <w:proofErr w:type="spellStart"/>
      <w:r w:rsidRPr="006A1FED">
        <w:rPr>
          <w:szCs w:val="18"/>
        </w:rPr>
        <w:t>Sekaran</w:t>
      </w:r>
      <w:proofErr w:type="spellEnd"/>
      <w:r w:rsidRPr="006A1FED">
        <w:rPr>
          <w:szCs w:val="18"/>
        </w:rPr>
        <w:t xml:space="preserve">, V.C. and Kumar, S. </w:t>
      </w:r>
      <w:r>
        <w:rPr>
          <w:szCs w:val="18"/>
        </w:rPr>
        <w:t>(</w:t>
      </w:r>
      <w:r w:rsidRPr="006A1FED">
        <w:rPr>
          <w:szCs w:val="18"/>
        </w:rPr>
        <w:t>2025, September</w:t>
      </w:r>
      <w:r>
        <w:rPr>
          <w:szCs w:val="18"/>
        </w:rPr>
        <w:t>)</w:t>
      </w:r>
      <w:r w:rsidRPr="006A1FED">
        <w:rPr>
          <w:szCs w:val="18"/>
        </w:rPr>
        <w:t>. From Peer Support to Program Supervision: Qualitative Insights on WhatsApp as Informal Digital Infrastructure for Community Health Workers and Public Health Officers in an Indian High-Priority Aspirational District. In </w:t>
      </w:r>
      <w:r w:rsidRPr="006A1FED">
        <w:rPr>
          <w:i/>
          <w:iCs/>
          <w:szCs w:val="18"/>
        </w:rPr>
        <w:t>Healthcare</w:t>
      </w:r>
      <w:r w:rsidRPr="006A1FED">
        <w:rPr>
          <w:szCs w:val="18"/>
        </w:rPr>
        <w:t> (Vol. 13, No. 17, p. 2223). MDPI.</w:t>
      </w:r>
    </w:p>
    <w:p w14:paraId="32B3C100" w14:textId="77777777" w:rsidR="00324430" w:rsidRDefault="00324430" w:rsidP="00324430">
      <w:pPr>
        <w:spacing w:line="360" w:lineRule="auto"/>
        <w:rPr>
          <w:szCs w:val="18"/>
        </w:rPr>
      </w:pPr>
      <w:proofErr w:type="spellStart"/>
      <w:r w:rsidRPr="006A1FED">
        <w:rPr>
          <w:szCs w:val="18"/>
        </w:rPr>
        <w:t>Tofani</w:t>
      </w:r>
      <w:proofErr w:type="spellEnd"/>
      <w:r w:rsidRPr="006A1FED">
        <w:rPr>
          <w:szCs w:val="18"/>
        </w:rPr>
        <w:t xml:space="preserve">, L.F.N., </w:t>
      </w:r>
      <w:proofErr w:type="spellStart"/>
      <w:r w:rsidRPr="006A1FED">
        <w:rPr>
          <w:szCs w:val="18"/>
        </w:rPr>
        <w:t>Bigal</w:t>
      </w:r>
      <w:proofErr w:type="spellEnd"/>
      <w:r w:rsidRPr="006A1FED">
        <w:rPr>
          <w:szCs w:val="18"/>
        </w:rPr>
        <w:t xml:space="preserve">, A.L., </w:t>
      </w:r>
      <w:proofErr w:type="spellStart"/>
      <w:r w:rsidRPr="006A1FED">
        <w:rPr>
          <w:szCs w:val="18"/>
        </w:rPr>
        <w:t>Tureck</w:t>
      </w:r>
      <w:proofErr w:type="spellEnd"/>
      <w:r w:rsidRPr="006A1FED">
        <w:rPr>
          <w:szCs w:val="18"/>
        </w:rPr>
        <w:t xml:space="preserve">, F., </w:t>
      </w:r>
      <w:proofErr w:type="spellStart"/>
      <w:r w:rsidRPr="006A1FED">
        <w:rPr>
          <w:szCs w:val="18"/>
        </w:rPr>
        <w:t>Furtado</w:t>
      </w:r>
      <w:proofErr w:type="spellEnd"/>
      <w:r w:rsidRPr="006A1FED">
        <w:rPr>
          <w:szCs w:val="18"/>
        </w:rPr>
        <w:t xml:space="preserve">, L.A.C., </w:t>
      </w:r>
      <w:proofErr w:type="spellStart"/>
      <w:r w:rsidRPr="006A1FED">
        <w:rPr>
          <w:szCs w:val="18"/>
        </w:rPr>
        <w:t>Andreazza</w:t>
      </w:r>
      <w:proofErr w:type="spellEnd"/>
      <w:r w:rsidRPr="006A1FED">
        <w:rPr>
          <w:szCs w:val="18"/>
        </w:rPr>
        <w:t xml:space="preserve">, R. and </w:t>
      </w:r>
      <w:proofErr w:type="spellStart"/>
      <w:r w:rsidRPr="006A1FED">
        <w:rPr>
          <w:szCs w:val="18"/>
        </w:rPr>
        <w:t>Chioro</w:t>
      </w:r>
      <w:proofErr w:type="spellEnd"/>
      <w:r w:rsidRPr="006A1FED">
        <w:rPr>
          <w:szCs w:val="18"/>
        </w:rPr>
        <w:t xml:space="preserve">, A. </w:t>
      </w:r>
      <w:r>
        <w:rPr>
          <w:szCs w:val="18"/>
        </w:rPr>
        <w:t>(</w:t>
      </w:r>
      <w:r w:rsidRPr="006A1FED">
        <w:rPr>
          <w:szCs w:val="18"/>
        </w:rPr>
        <w:t>2025</w:t>
      </w:r>
      <w:r>
        <w:rPr>
          <w:szCs w:val="18"/>
        </w:rPr>
        <w:t>)</w:t>
      </w:r>
      <w:r w:rsidRPr="006A1FED">
        <w:rPr>
          <w:szCs w:val="18"/>
        </w:rPr>
        <w:t xml:space="preserve">. Use of WhatsApp® </w:t>
      </w:r>
      <w:proofErr w:type="spellStart"/>
      <w:r w:rsidRPr="006A1FED">
        <w:rPr>
          <w:szCs w:val="18"/>
        </w:rPr>
        <w:t>aplicattion</w:t>
      </w:r>
      <w:proofErr w:type="spellEnd"/>
      <w:r w:rsidRPr="006A1FED">
        <w:rPr>
          <w:szCs w:val="18"/>
        </w:rPr>
        <w:t xml:space="preserve"> in health </w:t>
      </w:r>
      <w:proofErr w:type="spellStart"/>
      <w:r w:rsidRPr="006A1FED">
        <w:rPr>
          <w:szCs w:val="18"/>
        </w:rPr>
        <w:t>manegement</w:t>
      </w:r>
      <w:proofErr w:type="spellEnd"/>
      <w:r w:rsidRPr="006A1FED">
        <w:rPr>
          <w:szCs w:val="18"/>
        </w:rPr>
        <w:t>, work, and care in fighting the COVID-19 pandemic. </w:t>
      </w:r>
      <w:proofErr w:type="spellStart"/>
      <w:r w:rsidRPr="006A1FED">
        <w:rPr>
          <w:i/>
          <w:iCs/>
          <w:szCs w:val="18"/>
        </w:rPr>
        <w:t>Ciência</w:t>
      </w:r>
      <w:proofErr w:type="spellEnd"/>
      <w:r w:rsidRPr="006A1FED">
        <w:rPr>
          <w:i/>
          <w:iCs/>
          <w:szCs w:val="18"/>
        </w:rPr>
        <w:t xml:space="preserve"> &amp; </w:t>
      </w:r>
      <w:proofErr w:type="spellStart"/>
      <w:r w:rsidRPr="006A1FED">
        <w:rPr>
          <w:i/>
          <w:iCs/>
          <w:szCs w:val="18"/>
        </w:rPr>
        <w:t>Saúde</w:t>
      </w:r>
      <w:proofErr w:type="spellEnd"/>
      <w:r w:rsidRPr="006A1FED">
        <w:rPr>
          <w:i/>
          <w:iCs/>
          <w:szCs w:val="18"/>
        </w:rPr>
        <w:t xml:space="preserve"> </w:t>
      </w:r>
      <w:proofErr w:type="spellStart"/>
      <w:r w:rsidRPr="006A1FED">
        <w:rPr>
          <w:i/>
          <w:iCs/>
          <w:szCs w:val="18"/>
        </w:rPr>
        <w:t>Coletiva</w:t>
      </w:r>
      <w:proofErr w:type="spellEnd"/>
      <w:r w:rsidRPr="006A1FED">
        <w:rPr>
          <w:szCs w:val="18"/>
        </w:rPr>
        <w:t>, </w:t>
      </w:r>
      <w:r w:rsidRPr="006A1FED">
        <w:rPr>
          <w:i/>
          <w:iCs/>
          <w:szCs w:val="18"/>
        </w:rPr>
        <w:t>30</w:t>
      </w:r>
      <w:r w:rsidRPr="006A1FED">
        <w:rPr>
          <w:szCs w:val="18"/>
        </w:rPr>
        <w:t>, p.e08082023.</w:t>
      </w:r>
    </w:p>
    <w:p w14:paraId="34FFF112" w14:textId="77777777" w:rsidR="00324430" w:rsidRDefault="00324430" w:rsidP="00324430">
      <w:pPr>
        <w:spacing w:line="360" w:lineRule="auto"/>
        <w:rPr>
          <w:szCs w:val="18"/>
        </w:rPr>
      </w:pPr>
      <w:proofErr w:type="spellStart"/>
      <w:r w:rsidRPr="004A2B00">
        <w:rPr>
          <w:szCs w:val="18"/>
        </w:rPr>
        <w:t>Tso</w:t>
      </w:r>
      <w:proofErr w:type="spellEnd"/>
      <w:r w:rsidRPr="004A2B00">
        <w:rPr>
          <w:szCs w:val="18"/>
        </w:rPr>
        <w:t>, L. S. (2022). Use of social media for implementing diagnoses, consultation, training, and case reporting among medical professionals to improve patient care: case study of WeChat groups across health care settings. </w:t>
      </w:r>
      <w:r w:rsidRPr="004A2B00">
        <w:rPr>
          <w:i/>
          <w:iCs/>
          <w:szCs w:val="18"/>
        </w:rPr>
        <w:t>JMIR Medical Education</w:t>
      </w:r>
      <w:r w:rsidRPr="004A2B00">
        <w:rPr>
          <w:szCs w:val="18"/>
        </w:rPr>
        <w:t>, </w:t>
      </w:r>
      <w:r w:rsidRPr="004A2B00">
        <w:rPr>
          <w:i/>
          <w:iCs/>
          <w:szCs w:val="18"/>
        </w:rPr>
        <w:t>8</w:t>
      </w:r>
      <w:r w:rsidRPr="004A2B00">
        <w:rPr>
          <w:szCs w:val="18"/>
        </w:rPr>
        <w:t xml:space="preserve">(3), </w:t>
      </w:r>
      <w:r>
        <w:rPr>
          <w:szCs w:val="18"/>
        </w:rPr>
        <w:t>p.</w:t>
      </w:r>
      <w:r w:rsidRPr="004A2B00">
        <w:rPr>
          <w:szCs w:val="18"/>
        </w:rPr>
        <w:t>e26419.</w:t>
      </w:r>
    </w:p>
    <w:p w14:paraId="59D011BC" w14:textId="77777777" w:rsidR="00324430" w:rsidRDefault="00324430" w:rsidP="00324430">
      <w:pPr>
        <w:spacing w:line="360" w:lineRule="auto"/>
        <w:rPr>
          <w:szCs w:val="18"/>
        </w:rPr>
      </w:pPr>
      <w:r w:rsidRPr="00E91FBF">
        <w:rPr>
          <w:szCs w:val="18"/>
        </w:rPr>
        <w:t xml:space="preserve">Zhang, Y., Fu, J., Lai, J., Deng, S., </w:t>
      </w:r>
      <w:proofErr w:type="spellStart"/>
      <w:r w:rsidRPr="00E91FBF">
        <w:rPr>
          <w:szCs w:val="18"/>
        </w:rPr>
        <w:t>Guo</w:t>
      </w:r>
      <w:proofErr w:type="spellEnd"/>
      <w:r w:rsidRPr="00E91FBF">
        <w:rPr>
          <w:szCs w:val="18"/>
        </w:rPr>
        <w:t xml:space="preserve">, Z., Zhong, C., Tang, J., </w:t>
      </w:r>
      <w:proofErr w:type="spellStart"/>
      <w:r w:rsidRPr="00E91FBF">
        <w:rPr>
          <w:szCs w:val="18"/>
        </w:rPr>
        <w:t>Cao</w:t>
      </w:r>
      <w:proofErr w:type="spellEnd"/>
      <w:r w:rsidRPr="00E91FBF">
        <w:rPr>
          <w:szCs w:val="18"/>
        </w:rPr>
        <w:t xml:space="preserve">, W. and Wu, Y. </w:t>
      </w:r>
      <w:r>
        <w:rPr>
          <w:szCs w:val="18"/>
        </w:rPr>
        <w:t>(</w:t>
      </w:r>
      <w:r w:rsidRPr="00E91FBF">
        <w:rPr>
          <w:szCs w:val="18"/>
        </w:rPr>
        <w:t>2024</w:t>
      </w:r>
      <w:r>
        <w:rPr>
          <w:szCs w:val="18"/>
        </w:rPr>
        <w:t>)</w:t>
      </w:r>
      <w:r w:rsidRPr="00E91FBF">
        <w:rPr>
          <w:szCs w:val="18"/>
        </w:rPr>
        <w:t xml:space="preserve">. Reporting of ethical considerations in qualitative research </w:t>
      </w:r>
      <w:proofErr w:type="spellStart"/>
      <w:r w:rsidRPr="00E91FBF">
        <w:rPr>
          <w:szCs w:val="18"/>
        </w:rPr>
        <w:t>utilizing</w:t>
      </w:r>
      <w:proofErr w:type="spellEnd"/>
      <w:r w:rsidRPr="00E91FBF">
        <w:rPr>
          <w:szCs w:val="18"/>
        </w:rPr>
        <w:t xml:space="preserve"> social media data on public health care: scoping review. </w:t>
      </w:r>
      <w:r w:rsidRPr="00E91FBF">
        <w:rPr>
          <w:i/>
          <w:iCs/>
          <w:szCs w:val="18"/>
        </w:rPr>
        <w:t>Journal of Medical Internet Research</w:t>
      </w:r>
      <w:r w:rsidRPr="00E91FBF">
        <w:rPr>
          <w:szCs w:val="18"/>
        </w:rPr>
        <w:t>, </w:t>
      </w:r>
      <w:r w:rsidRPr="00E91FBF">
        <w:rPr>
          <w:i/>
          <w:iCs/>
          <w:szCs w:val="18"/>
        </w:rPr>
        <w:t>26</w:t>
      </w:r>
      <w:r w:rsidRPr="00E91FBF">
        <w:rPr>
          <w:szCs w:val="18"/>
        </w:rPr>
        <w:t>, p.e51496.</w:t>
      </w:r>
    </w:p>
    <w:p w14:paraId="1E453D1B" w14:textId="77777777" w:rsidR="00324430" w:rsidRDefault="00324430" w:rsidP="00324430">
      <w:pPr>
        <w:spacing w:line="360" w:lineRule="auto"/>
        <w:rPr>
          <w:szCs w:val="18"/>
        </w:rPr>
      </w:pPr>
      <w:proofErr w:type="spellStart"/>
      <w:r w:rsidRPr="006A1FED">
        <w:rPr>
          <w:szCs w:val="18"/>
        </w:rPr>
        <w:t>Zou</w:t>
      </w:r>
      <w:proofErr w:type="spellEnd"/>
      <w:r w:rsidRPr="006A1FED">
        <w:rPr>
          <w:szCs w:val="18"/>
        </w:rPr>
        <w:t xml:space="preserve">, P., Huang, A., </w:t>
      </w:r>
      <w:proofErr w:type="spellStart"/>
      <w:r w:rsidRPr="006A1FED">
        <w:rPr>
          <w:szCs w:val="18"/>
        </w:rPr>
        <w:t>Luo</w:t>
      </w:r>
      <w:proofErr w:type="spellEnd"/>
      <w:r w:rsidRPr="006A1FED">
        <w:rPr>
          <w:szCs w:val="18"/>
        </w:rPr>
        <w:t xml:space="preserve">, Y., </w:t>
      </w:r>
      <w:proofErr w:type="spellStart"/>
      <w:r w:rsidRPr="006A1FED">
        <w:rPr>
          <w:szCs w:val="18"/>
        </w:rPr>
        <w:t>Tchakerian</w:t>
      </w:r>
      <w:proofErr w:type="spellEnd"/>
      <w:r w:rsidRPr="006A1FED">
        <w:rPr>
          <w:szCs w:val="18"/>
        </w:rPr>
        <w:t>, N., Zhang, H. and Zhang, C.</w:t>
      </w:r>
      <w:r>
        <w:rPr>
          <w:szCs w:val="18"/>
        </w:rPr>
        <w:t xml:space="preserve"> (</w:t>
      </w:r>
      <w:r w:rsidRPr="006A1FED">
        <w:rPr>
          <w:szCs w:val="18"/>
        </w:rPr>
        <w:t>2023</w:t>
      </w:r>
      <w:r>
        <w:rPr>
          <w:szCs w:val="18"/>
        </w:rPr>
        <w:t>)</w:t>
      </w:r>
      <w:r w:rsidRPr="006A1FED">
        <w:rPr>
          <w:szCs w:val="18"/>
        </w:rPr>
        <w:t>. Effects of using WeChat/WhatsApp on physical and psychosocial health outcomes among oncology patients: A systematic review. </w:t>
      </w:r>
      <w:r w:rsidRPr="006A1FED">
        <w:rPr>
          <w:i/>
          <w:iCs/>
          <w:szCs w:val="18"/>
        </w:rPr>
        <w:t>Health informatics journal</w:t>
      </w:r>
      <w:r w:rsidRPr="006A1FED">
        <w:rPr>
          <w:szCs w:val="18"/>
        </w:rPr>
        <w:t>, </w:t>
      </w:r>
      <w:r w:rsidRPr="006A1FED">
        <w:rPr>
          <w:i/>
          <w:iCs/>
          <w:szCs w:val="18"/>
        </w:rPr>
        <w:t>29</w:t>
      </w:r>
      <w:r w:rsidRPr="006A1FED">
        <w:rPr>
          <w:szCs w:val="18"/>
        </w:rPr>
        <w:t>(1), p.14604582231164697.</w:t>
      </w:r>
    </w:p>
    <w:p w14:paraId="7A4CC70C" w14:textId="77777777" w:rsidR="00324430" w:rsidRPr="0041140E" w:rsidRDefault="00324430" w:rsidP="0041140E">
      <w:pPr>
        <w:spacing w:line="360" w:lineRule="auto"/>
        <w:rPr>
          <w:rFonts w:cs="Arial"/>
          <w:color w:val="000000" w:themeColor="text1"/>
        </w:rPr>
      </w:pPr>
    </w:p>
    <w:p w14:paraId="6DDC8113" w14:textId="77777777" w:rsidR="0041140E" w:rsidRPr="0041140E" w:rsidRDefault="0041140E" w:rsidP="0041140E">
      <w:pPr>
        <w:spacing w:line="360" w:lineRule="auto"/>
        <w:rPr>
          <w:rFonts w:cs="Arial"/>
          <w:color w:val="000000" w:themeColor="text1"/>
        </w:rPr>
      </w:pPr>
      <w:r w:rsidRPr="0041140E">
        <w:rPr>
          <w:rFonts w:cs="Arial"/>
          <w:color w:val="000000" w:themeColor="text1"/>
        </w:rPr>
        <w:t>‌</w:t>
      </w:r>
    </w:p>
    <w:p w14:paraId="2BBDAEF8" w14:textId="77777777" w:rsidR="0041140E" w:rsidRPr="008708CA" w:rsidRDefault="0041140E" w:rsidP="008708CA">
      <w:pPr>
        <w:spacing w:line="360" w:lineRule="auto"/>
        <w:rPr>
          <w:rFonts w:cs="Arial"/>
          <w:color w:val="000000" w:themeColor="text1"/>
        </w:rPr>
      </w:pPr>
    </w:p>
    <w:p w14:paraId="212DB0B8" w14:textId="77777777" w:rsidR="008708CA" w:rsidRPr="008708CA" w:rsidRDefault="008708CA" w:rsidP="008708CA">
      <w:pPr>
        <w:spacing w:line="360" w:lineRule="auto"/>
        <w:rPr>
          <w:rFonts w:cs="Arial"/>
          <w:color w:val="000000" w:themeColor="text1"/>
        </w:rPr>
      </w:pPr>
      <w:r w:rsidRPr="008708CA">
        <w:rPr>
          <w:rFonts w:cs="Arial"/>
          <w:color w:val="000000" w:themeColor="text1"/>
        </w:rPr>
        <w:t>‌</w:t>
      </w:r>
    </w:p>
    <w:p w14:paraId="6009F345" w14:textId="77777777" w:rsidR="00FB71D0" w:rsidRPr="00FB71D0" w:rsidRDefault="00FB71D0" w:rsidP="00FB71D0">
      <w:pPr>
        <w:spacing w:line="360" w:lineRule="auto"/>
        <w:rPr>
          <w:rFonts w:cs="Arial"/>
          <w:color w:val="000000" w:themeColor="text1"/>
        </w:rPr>
      </w:pPr>
    </w:p>
    <w:p w14:paraId="6590E5B9" w14:textId="77777777" w:rsidR="00FB71D0" w:rsidRPr="00FB71D0" w:rsidRDefault="00FB71D0" w:rsidP="00FB71D0">
      <w:pPr>
        <w:spacing w:line="360" w:lineRule="auto"/>
        <w:rPr>
          <w:rFonts w:cs="Arial"/>
          <w:color w:val="000000" w:themeColor="text1"/>
        </w:rPr>
      </w:pPr>
      <w:r w:rsidRPr="00FB71D0">
        <w:rPr>
          <w:rFonts w:cs="Arial"/>
          <w:color w:val="000000" w:themeColor="text1"/>
        </w:rPr>
        <w:t>‌</w:t>
      </w:r>
    </w:p>
    <w:p w14:paraId="1189F7C6" w14:textId="77777777" w:rsidR="00FB71D0" w:rsidRPr="005C70DF" w:rsidRDefault="00FB71D0" w:rsidP="00FB71D0">
      <w:pPr>
        <w:spacing w:line="360" w:lineRule="auto"/>
        <w:rPr>
          <w:rFonts w:cs="Arial"/>
          <w:color w:val="000000" w:themeColor="text1"/>
        </w:rPr>
      </w:pPr>
    </w:p>
    <w:p w14:paraId="578EE1C3" w14:textId="77777777" w:rsidR="00FB71D0" w:rsidRPr="00FB71D0" w:rsidRDefault="00FB71D0" w:rsidP="00FB71D0">
      <w:pPr>
        <w:spacing w:line="360" w:lineRule="auto"/>
        <w:rPr>
          <w:rFonts w:cs="Arial"/>
          <w:color w:val="000000" w:themeColor="text1"/>
        </w:rPr>
      </w:pPr>
    </w:p>
    <w:p w14:paraId="6D56B240" w14:textId="77777777" w:rsidR="00FB71D0" w:rsidRPr="00FB71D0" w:rsidRDefault="00FB71D0" w:rsidP="00FB71D0">
      <w:pPr>
        <w:spacing w:line="360" w:lineRule="auto"/>
        <w:rPr>
          <w:rFonts w:cs="Arial"/>
          <w:color w:val="000000" w:themeColor="text1"/>
        </w:rPr>
      </w:pPr>
      <w:r w:rsidRPr="00FB71D0">
        <w:rPr>
          <w:rFonts w:cs="Arial"/>
          <w:color w:val="000000" w:themeColor="text1"/>
        </w:rPr>
        <w:t>‌</w:t>
      </w:r>
    </w:p>
    <w:p w14:paraId="421E9DF0" w14:textId="77777777" w:rsidR="00026D36" w:rsidRPr="005C70DF" w:rsidRDefault="00026D36" w:rsidP="00B8478A">
      <w:pPr>
        <w:spacing w:line="360" w:lineRule="auto"/>
        <w:rPr>
          <w:rFonts w:cs="Arial"/>
          <w:color w:val="000000" w:themeColor="text1"/>
        </w:rPr>
      </w:pPr>
    </w:p>
    <w:p w14:paraId="62410925" w14:textId="5E36B187" w:rsidR="00941AF4" w:rsidRPr="005C70DF" w:rsidRDefault="00941AF4" w:rsidP="00941AF4">
      <w:pPr>
        <w:spacing w:line="360" w:lineRule="auto"/>
        <w:rPr>
          <w:rFonts w:cs="Arial"/>
          <w:color w:val="000000" w:themeColor="text1"/>
        </w:rPr>
      </w:pPr>
    </w:p>
    <w:p w14:paraId="1D13E616" w14:textId="77777777" w:rsidR="00500DBA" w:rsidRPr="005C70DF" w:rsidRDefault="00500DBA" w:rsidP="00500DBA">
      <w:pPr>
        <w:rPr>
          <w:rFonts w:cs="Arial"/>
          <w:color w:val="000000" w:themeColor="text1"/>
        </w:rPr>
      </w:pPr>
    </w:p>
    <w:p w14:paraId="7BAEBC0D" w14:textId="77777777" w:rsidR="00D539CC" w:rsidRPr="005C70DF" w:rsidRDefault="00D539CC">
      <w:pPr>
        <w:spacing w:after="160" w:line="278" w:lineRule="auto"/>
        <w:ind w:left="0" w:right="0" w:firstLine="0"/>
        <w:jc w:val="left"/>
        <w:rPr>
          <w:rFonts w:cs="Arial"/>
          <w:color w:val="000000" w:themeColor="text1"/>
        </w:rPr>
      </w:pPr>
      <w:r w:rsidRPr="005C70DF">
        <w:rPr>
          <w:rFonts w:cs="Arial"/>
          <w:color w:val="000000" w:themeColor="text1"/>
        </w:rPr>
        <w:br w:type="page"/>
      </w:r>
    </w:p>
    <w:p w14:paraId="5729457B" w14:textId="4E7C3722" w:rsidR="00D539CC" w:rsidRPr="005C70DF" w:rsidRDefault="00D539CC" w:rsidP="00D539CC">
      <w:pPr>
        <w:pStyle w:val="Heading1"/>
        <w:spacing w:line="360" w:lineRule="auto"/>
        <w:rPr>
          <w:rFonts w:ascii="Arial" w:hAnsi="Arial" w:cs="Arial"/>
          <w:b/>
          <w:bCs/>
          <w:color w:val="000000" w:themeColor="text1"/>
          <w:sz w:val="32"/>
          <w:szCs w:val="32"/>
        </w:rPr>
      </w:pPr>
      <w:bookmarkStart w:id="19" w:name="_Toc223883316"/>
      <w:r w:rsidRPr="005C70DF">
        <w:rPr>
          <w:rFonts w:ascii="Arial" w:hAnsi="Arial" w:cs="Arial"/>
          <w:b/>
          <w:bCs/>
          <w:color w:val="000000" w:themeColor="text1"/>
          <w:sz w:val="32"/>
          <w:szCs w:val="32"/>
        </w:rPr>
        <w:t>Appendix</w:t>
      </w:r>
      <w:bookmarkEnd w:id="19"/>
    </w:p>
    <w:p w14:paraId="0749F759" w14:textId="46D69E96" w:rsidR="004D36C6" w:rsidRPr="005C70DF" w:rsidRDefault="004D36C6" w:rsidP="004D36C6">
      <w:pPr>
        <w:pStyle w:val="Caption"/>
        <w:keepNext/>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4</w:t>
      </w:r>
      <w:r w:rsidRPr="005C70DF">
        <w:rPr>
          <w:rFonts w:cs="Arial"/>
          <w:b/>
          <w:bCs/>
          <w:i w:val="0"/>
          <w:iCs w:val="0"/>
          <w:color w:val="000000" w:themeColor="text1"/>
        </w:rPr>
        <w:fldChar w:fldCharType="end"/>
      </w:r>
      <w:r w:rsidRPr="005C70DF">
        <w:rPr>
          <w:rFonts w:cs="Arial"/>
          <w:b/>
          <w:bCs/>
          <w:i w:val="0"/>
          <w:iCs w:val="0"/>
          <w:color w:val="000000" w:themeColor="text1"/>
        </w:rPr>
        <w:t>: Selected Studies Included in the Scoping Review</w:t>
      </w:r>
    </w:p>
    <w:tbl>
      <w:tblPr>
        <w:tblStyle w:val="TableGrid0"/>
        <w:tblW w:w="10201" w:type="dxa"/>
        <w:jc w:val="center"/>
        <w:shd w:val="clear" w:color="auto" w:fill="E2EFD9" w:themeFill="accent6" w:themeFillTint="33"/>
        <w:tblLayout w:type="fixed"/>
        <w:tblLook w:val="04A0" w:firstRow="1" w:lastRow="0" w:firstColumn="1" w:lastColumn="0" w:noHBand="0" w:noVBand="1"/>
      </w:tblPr>
      <w:tblGrid>
        <w:gridCol w:w="1193"/>
        <w:gridCol w:w="1391"/>
        <w:gridCol w:w="1522"/>
        <w:gridCol w:w="1559"/>
        <w:gridCol w:w="1985"/>
        <w:gridCol w:w="2551"/>
      </w:tblGrid>
      <w:tr w:rsidR="00B93EC7" w:rsidRPr="005C70DF" w14:paraId="426F5DA4" w14:textId="77777777" w:rsidTr="00B93EC7">
        <w:trPr>
          <w:jc w:val="center"/>
        </w:trPr>
        <w:tc>
          <w:tcPr>
            <w:tcW w:w="1193" w:type="dxa"/>
            <w:shd w:val="clear" w:color="auto" w:fill="E2EFD9" w:themeFill="accent6" w:themeFillTint="33"/>
            <w:vAlign w:val="center"/>
            <w:hideMark/>
          </w:tcPr>
          <w:p w14:paraId="5535C4CB" w14:textId="77777777" w:rsidR="00B93EC7" w:rsidRPr="00B93EC7" w:rsidRDefault="00B93EC7" w:rsidP="00B93EC7">
            <w:pPr>
              <w:spacing w:line="360" w:lineRule="auto"/>
              <w:jc w:val="center"/>
              <w:rPr>
                <w:rFonts w:cs="Arial"/>
                <w:b/>
                <w:bCs/>
                <w:sz w:val="20"/>
                <w:szCs w:val="20"/>
              </w:rPr>
            </w:pPr>
            <w:r w:rsidRPr="00B93EC7">
              <w:rPr>
                <w:rFonts w:cs="Arial"/>
                <w:b/>
                <w:bCs/>
                <w:sz w:val="20"/>
                <w:szCs w:val="20"/>
              </w:rPr>
              <w:t>Citation</w:t>
            </w:r>
          </w:p>
        </w:tc>
        <w:tc>
          <w:tcPr>
            <w:tcW w:w="1391" w:type="dxa"/>
            <w:shd w:val="clear" w:color="auto" w:fill="E2EFD9" w:themeFill="accent6" w:themeFillTint="33"/>
            <w:vAlign w:val="center"/>
            <w:hideMark/>
          </w:tcPr>
          <w:p w14:paraId="0ACB8CFF" w14:textId="77777777" w:rsidR="00B93EC7" w:rsidRPr="00B93EC7" w:rsidRDefault="00B93EC7" w:rsidP="00B93EC7">
            <w:pPr>
              <w:spacing w:line="360" w:lineRule="auto"/>
              <w:jc w:val="center"/>
              <w:rPr>
                <w:rFonts w:cs="Arial"/>
                <w:b/>
                <w:bCs/>
                <w:sz w:val="20"/>
                <w:szCs w:val="20"/>
              </w:rPr>
            </w:pPr>
            <w:r w:rsidRPr="00B93EC7">
              <w:rPr>
                <w:rFonts w:cs="Arial"/>
                <w:b/>
                <w:bCs/>
                <w:sz w:val="20"/>
                <w:szCs w:val="20"/>
              </w:rPr>
              <w:t>Study Design</w:t>
            </w:r>
          </w:p>
        </w:tc>
        <w:tc>
          <w:tcPr>
            <w:tcW w:w="1522" w:type="dxa"/>
            <w:shd w:val="clear" w:color="auto" w:fill="E2EFD9" w:themeFill="accent6" w:themeFillTint="33"/>
            <w:vAlign w:val="center"/>
            <w:hideMark/>
          </w:tcPr>
          <w:p w14:paraId="3DECBFAB" w14:textId="6F5849ED" w:rsidR="00B93EC7" w:rsidRPr="00B93EC7" w:rsidRDefault="00B93EC7" w:rsidP="00B93EC7">
            <w:pPr>
              <w:spacing w:line="360" w:lineRule="auto"/>
              <w:jc w:val="center"/>
              <w:rPr>
                <w:rFonts w:cs="Arial"/>
                <w:b/>
                <w:bCs/>
                <w:sz w:val="20"/>
                <w:szCs w:val="20"/>
              </w:rPr>
            </w:pPr>
            <w:r w:rsidRPr="00B93EC7">
              <w:rPr>
                <w:rFonts w:cs="Arial"/>
                <w:b/>
                <w:bCs/>
                <w:sz w:val="20"/>
                <w:szCs w:val="20"/>
              </w:rPr>
              <w:t>Participants</w:t>
            </w:r>
            <w:r w:rsidRPr="005C70DF">
              <w:rPr>
                <w:rFonts w:cs="Arial"/>
                <w:b/>
                <w:bCs/>
                <w:sz w:val="20"/>
                <w:szCs w:val="20"/>
              </w:rPr>
              <w:t xml:space="preserve"> and </w:t>
            </w:r>
            <w:r w:rsidRPr="00B93EC7">
              <w:rPr>
                <w:rFonts w:cs="Arial"/>
                <w:b/>
                <w:bCs/>
                <w:sz w:val="20"/>
                <w:szCs w:val="20"/>
              </w:rPr>
              <w:t>Data Source</w:t>
            </w:r>
          </w:p>
        </w:tc>
        <w:tc>
          <w:tcPr>
            <w:tcW w:w="1559" w:type="dxa"/>
            <w:shd w:val="clear" w:color="auto" w:fill="E2EFD9" w:themeFill="accent6" w:themeFillTint="33"/>
            <w:vAlign w:val="center"/>
            <w:hideMark/>
          </w:tcPr>
          <w:p w14:paraId="3E81E354" w14:textId="6F234A7D" w:rsidR="00B93EC7" w:rsidRPr="00B93EC7" w:rsidRDefault="00B93EC7" w:rsidP="00B93EC7">
            <w:pPr>
              <w:spacing w:line="360" w:lineRule="auto"/>
              <w:jc w:val="center"/>
              <w:rPr>
                <w:rFonts w:cs="Arial"/>
                <w:b/>
                <w:bCs/>
                <w:sz w:val="20"/>
                <w:szCs w:val="20"/>
              </w:rPr>
            </w:pPr>
            <w:r w:rsidRPr="00B93EC7">
              <w:rPr>
                <w:rFonts w:cs="Arial"/>
                <w:b/>
                <w:bCs/>
                <w:sz w:val="20"/>
                <w:szCs w:val="20"/>
              </w:rPr>
              <w:t>UK Context</w:t>
            </w:r>
            <w:r w:rsidRPr="005C70DF">
              <w:rPr>
                <w:rFonts w:cs="Arial"/>
                <w:b/>
                <w:bCs/>
                <w:sz w:val="20"/>
                <w:szCs w:val="20"/>
              </w:rPr>
              <w:t xml:space="preserve"> and </w:t>
            </w:r>
            <w:r w:rsidRPr="00B93EC7">
              <w:rPr>
                <w:rFonts w:cs="Arial"/>
                <w:b/>
                <w:bCs/>
                <w:sz w:val="20"/>
                <w:szCs w:val="20"/>
              </w:rPr>
              <w:t>Setting</w:t>
            </w:r>
          </w:p>
        </w:tc>
        <w:tc>
          <w:tcPr>
            <w:tcW w:w="1985" w:type="dxa"/>
            <w:shd w:val="clear" w:color="auto" w:fill="E2EFD9" w:themeFill="accent6" w:themeFillTint="33"/>
            <w:vAlign w:val="center"/>
            <w:hideMark/>
          </w:tcPr>
          <w:p w14:paraId="17FAF00D" w14:textId="77777777" w:rsidR="00B93EC7" w:rsidRPr="00B93EC7" w:rsidRDefault="00B93EC7" w:rsidP="00B93EC7">
            <w:pPr>
              <w:spacing w:line="360" w:lineRule="auto"/>
              <w:jc w:val="center"/>
              <w:rPr>
                <w:rFonts w:cs="Arial"/>
                <w:b/>
                <w:bCs/>
                <w:sz w:val="20"/>
                <w:szCs w:val="20"/>
              </w:rPr>
            </w:pPr>
            <w:r w:rsidRPr="00B93EC7">
              <w:rPr>
                <w:rFonts w:cs="Arial"/>
                <w:b/>
                <w:bCs/>
                <w:sz w:val="20"/>
                <w:szCs w:val="20"/>
              </w:rPr>
              <w:t>Key Focus</w:t>
            </w:r>
          </w:p>
        </w:tc>
        <w:tc>
          <w:tcPr>
            <w:tcW w:w="2551" w:type="dxa"/>
            <w:shd w:val="clear" w:color="auto" w:fill="E2EFD9" w:themeFill="accent6" w:themeFillTint="33"/>
            <w:vAlign w:val="center"/>
            <w:hideMark/>
          </w:tcPr>
          <w:p w14:paraId="10D7D0BB" w14:textId="77777777" w:rsidR="00B93EC7" w:rsidRPr="00B93EC7" w:rsidRDefault="00B93EC7" w:rsidP="00B93EC7">
            <w:pPr>
              <w:spacing w:line="360" w:lineRule="auto"/>
              <w:jc w:val="center"/>
              <w:rPr>
                <w:rFonts w:cs="Arial"/>
                <w:b/>
                <w:bCs/>
                <w:sz w:val="20"/>
                <w:szCs w:val="20"/>
              </w:rPr>
            </w:pPr>
            <w:r w:rsidRPr="00B93EC7">
              <w:rPr>
                <w:rFonts w:cs="Arial"/>
                <w:b/>
                <w:bCs/>
                <w:sz w:val="20"/>
                <w:szCs w:val="20"/>
              </w:rPr>
              <w:t>Relevance to Review Objectives</w:t>
            </w:r>
          </w:p>
        </w:tc>
      </w:tr>
      <w:tr w:rsidR="00B93EC7" w:rsidRPr="005C70DF" w14:paraId="43076526" w14:textId="77777777" w:rsidTr="00B93EC7">
        <w:trPr>
          <w:jc w:val="center"/>
        </w:trPr>
        <w:tc>
          <w:tcPr>
            <w:tcW w:w="1193" w:type="dxa"/>
            <w:shd w:val="clear" w:color="auto" w:fill="E2EFD9" w:themeFill="accent6" w:themeFillTint="33"/>
            <w:vAlign w:val="center"/>
            <w:hideMark/>
          </w:tcPr>
          <w:p w14:paraId="45682FE6" w14:textId="7D18410A" w:rsidR="00B93EC7" w:rsidRPr="00B93EC7" w:rsidRDefault="00B93EC7" w:rsidP="004D36C6">
            <w:pPr>
              <w:spacing w:line="360" w:lineRule="auto"/>
              <w:jc w:val="center"/>
              <w:rPr>
                <w:rFonts w:cs="Arial"/>
                <w:sz w:val="20"/>
                <w:szCs w:val="20"/>
              </w:rPr>
            </w:pPr>
            <w:proofErr w:type="spellStart"/>
            <w:r w:rsidRPr="00B93EC7">
              <w:rPr>
                <w:rFonts w:cs="Arial"/>
                <w:sz w:val="20"/>
                <w:szCs w:val="20"/>
              </w:rPr>
              <w:t>Bakhai</w:t>
            </w:r>
            <w:proofErr w:type="spellEnd"/>
            <w:r w:rsidRPr="00B93EC7">
              <w:rPr>
                <w:rFonts w:cs="Arial"/>
                <w:sz w:val="20"/>
                <w:szCs w:val="20"/>
              </w:rPr>
              <w:t xml:space="preserve"> et</w:t>
            </w:r>
            <w:r w:rsidR="004D36C6" w:rsidRPr="005C70DF">
              <w:rPr>
                <w:rFonts w:cs="Arial"/>
                <w:sz w:val="20"/>
                <w:szCs w:val="20"/>
              </w:rPr>
              <w:t xml:space="preserve"> </w:t>
            </w:r>
            <w:r w:rsidRPr="00B93EC7">
              <w:rPr>
                <w:rFonts w:cs="Arial"/>
                <w:sz w:val="20"/>
                <w:szCs w:val="20"/>
              </w:rPr>
              <w:t>al.</w:t>
            </w:r>
            <w:r w:rsidRPr="005C70DF">
              <w:rPr>
                <w:rFonts w:cs="Arial"/>
                <w:sz w:val="20"/>
                <w:szCs w:val="20"/>
              </w:rPr>
              <w:t xml:space="preserve"> (</w:t>
            </w:r>
            <w:r w:rsidRPr="00B93EC7">
              <w:rPr>
                <w:rFonts w:cs="Arial"/>
                <w:sz w:val="20"/>
                <w:szCs w:val="20"/>
              </w:rPr>
              <w:t>2022</w:t>
            </w:r>
            <w:r w:rsidRPr="005C70DF">
              <w:rPr>
                <w:rFonts w:cs="Arial"/>
                <w:sz w:val="20"/>
                <w:szCs w:val="20"/>
              </w:rPr>
              <w:t>)</w:t>
            </w:r>
          </w:p>
        </w:tc>
        <w:tc>
          <w:tcPr>
            <w:tcW w:w="1391" w:type="dxa"/>
            <w:shd w:val="clear" w:color="auto" w:fill="E2EFD9" w:themeFill="accent6" w:themeFillTint="33"/>
            <w:vAlign w:val="center"/>
            <w:hideMark/>
          </w:tcPr>
          <w:p w14:paraId="490263CB" w14:textId="77777777" w:rsidR="00B93EC7" w:rsidRPr="00B93EC7" w:rsidRDefault="00B93EC7" w:rsidP="00B93EC7">
            <w:pPr>
              <w:spacing w:line="360" w:lineRule="auto"/>
              <w:jc w:val="left"/>
              <w:rPr>
                <w:rFonts w:cs="Arial"/>
                <w:sz w:val="20"/>
                <w:szCs w:val="20"/>
              </w:rPr>
            </w:pPr>
            <w:r w:rsidRPr="00B93EC7">
              <w:rPr>
                <w:rFonts w:cs="Arial"/>
                <w:sz w:val="20"/>
                <w:szCs w:val="20"/>
              </w:rPr>
              <w:t>Survey study</w:t>
            </w:r>
          </w:p>
        </w:tc>
        <w:tc>
          <w:tcPr>
            <w:tcW w:w="1522" w:type="dxa"/>
            <w:shd w:val="clear" w:color="auto" w:fill="E2EFD9" w:themeFill="accent6" w:themeFillTint="33"/>
            <w:vAlign w:val="center"/>
            <w:hideMark/>
          </w:tcPr>
          <w:p w14:paraId="7BBB4965" w14:textId="77777777" w:rsidR="00B93EC7" w:rsidRPr="00B93EC7" w:rsidRDefault="00B93EC7" w:rsidP="00B93EC7">
            <w:pPr>
              <w:spacing w:line="360" w:lineRule="auto"/>
              <w:jc w:val="left"/>
              <w:rPr>
                <w:rFonts w:cs="Arial"/>
                <w:sz w:val="20"/>
                <w:szCs w:val="20"/>
              </w:rPr>
            </w:pPr>
            <w:r w:rsidRPr="00B93EC7">
              <w:rPr>
                <w:rFonts w:cs="Arial"/>
                <w:sz w:val="20"/>
                <w:szCs w:val="20"/>
              </w:rPr>
              <w:t>NHS healthcare staff across multiple services</w:t>
            </w:r>
          </w:p>
        </w:tc>
        <w:tc>
          <w:tcPr>
            <w:tcW w:w="1559" w:type="dxa"/>
            <w:shd w:val="clear" w:color="auto" w:fill="E2EFD9" w:themeFill="accent6" w:themeFillTint="33"/>
            <w:vAlign w:val="center"/>
            <w:hideMark/>
          </w:tcPr>
          <w:p w14:paraId="5AFBA20C" w14:textId="77777777" w:rsidR="00B93EC7" w:rsidRPr="00B93EC7" w:rsidRDefault="00B93EC7" w:rsidP="00B93EC7">
            <w:pPr>
              <w:spacing w:line="360" w:lineRule="auto"/>
              <w:jc w:val="left"/>
              <w:rPr>
                <w:rFonts w:cs="Arial"/>
                <w:sz w:val="20"/>
                <w:szCs w:val="20"/>
              </w:rPr>
            </w:pPr>
            <w:r w:rsidRPr="00B93EC7">
              <w:rPr>
                <w:rFonts w:cs="Arial"/>
                <w:sz w:val="20"/>
                <w:szCs w:val="20"/>
              </w:rPr>
              <w:t>UK NHS healthcare system</w:t>
            </w:r>
          </w:p>
        </w:tc>
        <w:tc>
          <w:tcPr>
            <w:tcW w:w="1985" w:type="dxa"/>
            <w:shd w:val="clear" w:color="auto" w:fill="E2EFD9" w:themeFill="accent6" w:themeFillTint="33"/>
            <w:vAlign w:val="center"/>
            <w:hideMark/>
          </w:tcPr>
          <w:p w14:paraId="02849808" w14:textId="77777777" w:rsidR="00B93EC7" w:rsidRPr="00B93EC7" w:rsidRDefault="00B93EC7" w:rsidP="00B93EC7">
            <w:pPr>
              <w:spacing w:line="360" w:lineRule="auto"/>
              <w:jc w:val="left"/>
              <w:rPr>
                <w:rFonts w:cs="Arial"/>
                <w:sz w:val="20"/>
                <w:szCs w:val="20"/>
              </w:rPr>
            </w:pPr>
            <w:r w:rsidRPr="00B93EC7">
              <w:rPr>
                <w:rFonts w:cs="Arial"/>
                <w:sz w:val="20"/>
                <w:szCs w:val="20"/>
              </w:rPr>
              <w:t>Work-related digital communication and its impact on staff wellbeing</w:t>
            </w:r>
          </w:p>
        </w:tc>
        <w:tc>
          <w:tcPr>
            <w:tcW w:w="2551" w:type="dxa"/>
            <w:shd w:val="clear" w:color="auto" w:fill="E2EFD9" w:themeFill="accent6" w:themeFillTint="33"/>
            <w:vAlign w:val="center"/>
            <w:hideMark/>
          </w:tcPr>
          <w:p w14:paraId="33C90D13" w14:textId="77777777" w:rsidR="00B93EC7" w:rsidRPr="00B93EC7" w:rsidRDefault="00B93EC7" w:rsidP="00B93EC7">
            <w:pPr>
              <w:spacing w:line="360" w:lineRule="auto"/>
              <w:jc w:val="left"/>
              <w:rPr>
                <w:rFonts w:cs="Arial"/>
                <w:sz w:val="20"/>
                <w:szCs w:val="20"/>
              </w:rPr>
            </w:pPr>
            <w:r w:rsidRPr="00B93EC7">
              <w:rPr>
                <w:rFonts w:cs="Arial"/>
                <w:sz w:val="20"/>
                <w:szCs w:val="20"/>
              </w:rPr>
              <w:t>Explores how messaging platforms such as WhatsApp are used in professional communication and their effects on workload and professional expectations (O1, O3)</w:t>
            </w:r>
          </w:p>
        </w:tc>
      </w:tr>
      <w:tr w:rsidR="00B93EC7" w:rsidRPr="005C70DF" w14:paraId="3D4AA42D" w14:textId="77777777" w:rsidTr="00B93EC7">
        <w:trPr>
          <w:jc w:val="center"/>
        </w:trPr>
        <w:tc>
          <w:tcPr>
            <w:tcW w:w="1193" w:type="dxa"/>
            <w:shd w:val="clear" w:color="auto" w:fill="E2EFD9" w:themeFill="accent6" w:themeFillTint="33"/>
            <w:vAlign w:val="center"/>
            <w:hideMark/>
          </w:tcPr>
          <w:p w14:paraId="0DC04C15" w14:textId="5CBAB07A" w:rsidR="00B93EC7" w:rsidRPr="00B93EC7" w:rsidRDefault="00B93EC7" w:rsidP="004D36C6">
            <w:pPr>
              <w:spacing w:line="360" w:lineRule="auto"/>
              <w:jc w:val="center"/>
              <w:rPr>
                <w:rFonts w:cs="Arial"/>
                <w:sz w:val="20"/>
                <w:szCs w:val="20"/>
              </w:rPr>
            </w:pPr>
            <w:r w:rsidRPr="00B93EC7">
              <w:rPr>
                <w:rFonts w:cs="Arial"/>
                <w:sz w:val="20"/>
                <w:szCs w:val="20"/>
              </w:rPr>
              <w:t>Salam et al.</w:t>
            </w:r>
            <w:r w:rsidRPr="005C70DF">
              <w:rPr>
                <w:rFonts w:cs="Arial"/>
                <w:sz w:val="20"/>
                <w:szCs w:val="20"/>
              </w:rPr>
              <w:t xml:space="preserve"> (</w:t>
            </w:r>
            <w:r w:rsidRPr="00B93EC7">
              <w:rPr>
                <w:rFonts w:cs="Arial"/>
                <w:sz w:val="20"/>
                <w:szCs w:val="20"/>
              </w:rPr>
              <w:t>2021</w:t>
            </w:r>
            <w:r w:rsidRPr="005C70DF">
              <w:rPr>
                <w:rFonts w:cs="Arial"/>
                <w:sz w:val="20"/>
                <w:szCs w:val="20"/>
              </w:rPr>
              <w:t>)</w:t>
            </w:r>
          </w:p>
        </w:tc>
        <w:tc>
          <w:tcPr>
            <w:tcW w:w="1391" w:type="dxa"/>
            <w:shd w:val="clear" w:color="auto" w:fill="E2EFD9" w:themeFill="accent6" w:themeFillTint="33"/>
            <w:vAlign w:val="center"/>
            <w:hideMark/>
          </w:tcPr>
          <w:p w14:paraId="25337CF9" w14:textId="77777777" w:rsidR="00B93EC7" w:rsidRPr="00B93EC7" w:rsidRDefault="00B93EC7" w:rsidP="00B93EC7">
            <w:pPr>
              <w:spacing w:line="360" w:lineRule="auto"/>
              <w:jc w:val="left"/>
              <w:rPr>
                <w:rFonts w:cs="Arial"/>
                <w:sz w:val="20"/>
                <w:szCs w:val="20"/>
              </w:rPr>
            </w:pPr>
            <w:r w:rsidRPr="00B93EC7">
              <w:rPr>
                <w:rFonts w:cs="Arial"/>
                <w:sz w:val="20"/>
                <w:szCs w:val="20"/>
              </w:rPr>
              <w:t>Educational research study</w:t>
            </w:r>
          </w:p>
        </w:tc>
        <w:tc>
          <w:tcPr>
            <w:tcW w:w="1522" w:type="dxa"/>
            <w:shd w:val="clear" w:color="auto" w:fill="E2EFD9" w:themeFill="accent6" w:themeFillTint="33"/>
            <w:vAlign w:val="center"/>
            <w:hideMark/>
          </w:tcPr>
          <w:p w14:paraId="434E30E7" w14:textId="77777777" w:rsidR="00B93EC7" w:rsidRPr="00B93EC7" w:rsidRDefault="00B93EC7" w:rsidP="00B93EC7">
            <w:pPr>
              <w:spacing w:line="360" w:lineRule="auto"/>
              <w:jc w:val="left"/>
              <w:rPr>
                <w:rFonts w:cs="Arial"/>
                <w:sz w:val="20"/>
                <w:szCs w:val="20"/>
              </w:rPr>
            </w:pPr>
            <w:r w:rsidRPr="00B93EC7">
              <w:rPr>
                <w:rFonts w:cs="Arial"/>
                <w:sz w:val="20"/>
                <w:szCs w:val="20"/>
              </w:rPr>
              <w:t>Medical students and healthcare professionals</w:t>
            </w:r>
          </w:p>
        </w:tc>
        <w:tc>
          <w:tcPr>
            <w:tcW w:w="1559" w:type="dxa"/>
            <w:shd w:val="clear" w:color="auto" w:fill="E2EFD9" w:themeFill="accent6" w:themeFillTint="33"/>
            <w:vAlign w:val="center"/>
            <w:hideMark/>
          </w:tcPr>
          <w:p w14:paraId="29B6DC98" w14:textId="77777777" w:rsidR="00B93EC7" w:rsidRPr="00B93EC7" w:rsidRDefault="00B93EC7" w:rsidP="00B93EC7">
            <w:pPr>
              <w:spacing w:line="360" w:lineRule="auto"/>
              <w:jc w:val="left"/>
              <w:rPr>
                <w:rFonts w:cs="Arial"/>
                <w:sz w:val="20"/>
                <w:szCs w:val="20"/>
              </w:rPr>
            </w:pPr>
            <w:r w:rsidRPr="00B93EC7">
              <w:rPr>
                <w:rFonts w:cs="Arial"/>
                <w:sz w:val="20"/>
                <w:szCs w:val="20"/>
              </w:rPr>
              <w:t>Clinical training and medical education context</w:t>
            </w:r>
          </w:p>
        </w:tc>
        <w:tc>
          <w:tcPr>
            <w:tcW w:w="1985" w:type="dxa"/>
            <w:shd w:val="clear" w:color="auto" w:fill="E2EFD9" w:themeFill="accent6" w:themeFillTint="33"/>
            <w:vAlign w:val="center"/>
            <w:hideMark/>
          </w:tcPr>
          <w:p w14:paraId="6739826A" w14:textId="55B51670" w:rsidR="00B93EC7" w:rsidRPr="00B93EC7" w:rsidRDefault="00B93EC7" w:rsidP="00B93EC7">
            <w:pPr>
              <w:spacing w:line="360" w:lineRule="auto"/>
              <w:jc w:val="left"/>
              <w:rPr>
                <w:rFonts w:cs="Arial"/>
                <w:sz w:val="20"/>
                <w:szCs w:val="20"/>
              </w:rPr>
            </w:pPr>
            <w:r w:rsidRPr="00B93EC7">
              <w:rPr>
                <w:rFonts w:cs="Arial"/>
                <w:sz w:val="20"/>
                <w:szCs w:val="20"/>
              </w:rPr>
              <w:t xml:space="preserve">Use of WhatsApp to support </w:t>
            </w:r>
            <w:r w:rsidRPr="005C70DF">
              <w:rPr>
                <w:rFonts w:cs="Arial"/>
                <w:sz w:val="20"/>
                <w:szCs w:val="20"/>
              </w:rPr>
              <w:t xml:space="preserve"> </w:t>
            </w:r>
            <w:r w:rsidRPr="00B93EC7">
              <w:rPr>
                <w:rFonts w:cs="Arial"/>
                <w:sz w:val="20"/>
                <w:szCs w:val="20"/>
              </w:rPr>
              <w:t>clinical communication and learning</w:t>
            </w:r>
          </w:p>
        </w:tc>
        <w:tc>
          <w:tcPr>
            <w:tcW w:w="2551" w:type="dxa"/>
            <w:shd w:val="clear" w:color="auto" w:fill="E2EFD9" w:themeFill="accent6" w:themeFillTint="33"/>
            <w:vAlign w:val="center"/>
            <w:hideMark/>
          </w:tcPr>
          <w:p w14:paraId="244D1C7D" w14:textId="77777777" w:rsidR="00B93EC7" w:rsidRPr="00B93EC7" w:rsidRDefault="00B93EC7" w:rsidP="00B93EC7">
            <w:pPr>
              <w:spacing w:line="360" w:lineRule="auto"/>
              <w:jc w:val="left"/>
              <w:rPr>
                <w:rFonts w:cs="Arial"/>
                <w:sz w:val="20"/>
                <w:szCs w:val="20"/>
              </w:rPr>
            </w:pPr>
            <w:r w:rsidRPr="00B93EC7">
              <w:rPr>
                <w:rFonts w:cs="Arial"/>
                <w:sz w:val="20"/>
                <w:szCs w:val="20"/>
              </w:rPr>
              <w:t>Examines how WhatsApp facilitates information sharing and collaboration in healthcare environments (O1)</w:t>
            </w:r>
          </w:p>
        </w:tc>
      </w:tr>
      <w:tr w:rsidR="00B93EC7" w:rsidRPr="005C70DF" w14:paraId="18DFD911" w14:textId="77777777" w:rsidTr="00B93EC7">
        <w:trPr>
          <w:jc w:val="center"/>
        </w:trPr>
        <w:tc>
          <w:tcPr>
            <w:tcW w:w="1193" w:type="dxa"/>
            <w:shd w:val="clear" w:color="auto" w:fill="E2EFD9" w:themeFill="accent6" w:themeFillTint="33"/>
            <w:vAlign w:val="center"/>
            <w:hideMark/>
          </w:tcPr>
          <w:p w14:paraId="73893819" w14:textId="73E9CB54" w:rsidR="00B93EC7" w:rsidRPr="00B93EC7" w:rsidRDefault="00B93EC7" w:rsidP="004D36C6">
            <w:pPr>
              <w:spacing w:line="360" w:lineRule="auto"/>
              <w:jc w:val="center"/>
              <w:rPr>
                <w:rFonts w:cs="Arial"/>
                <w:sz w:val="20"/>
                <w:szCs w:val="20"/>
              </w:rPr>
            </w:pPr>
            <w:r w:rsidRPr="00B93EC7">
              <w:rPr>
                <w:rFonts w:cs="Arial"/>
                <w:sz w:val="20"/>
                <w:szCs w:val="20"/>
              </w:rPr>
              <w:t xml:space="preserve">John, </w:t>
            </w:r>
            <w:proofErr w:type="spellStart"/>
            <w:r w:rsidRPr="00B93EC7">
              <w:rPr>
                <w:rFonts w:cs="Arial"/>
                <w:sz w:val="20"/>
                <w:szCs w:val="20"/>
              </w:rPr>
              <w:t>Heavin</w:t>
            </w:r>
            <w:proofErr w:type="spellEnd"/>
            <w:r w:rsidRPr="00B93EC7">
              <w:rPr>
                <w:rFonts w:cs="Arial"/>
                <w:sz w:val="20"/>
                <w:szCs w:val="20"/>
              </w:rPr>
              <w:t xml:space="preserve"> and Roberts </w:t>
            </w:r>
            <w:r w:rsidRPr="005C70DF">
              <w:rPr>
                <w:rFonts w:cs="Arial"/>
                <w:sz w:val="20"/>
                <w:szCs w:val="20"/>
              </w:rPr>
              <w:t>(</w:t>
            </w:r>
            <w:r w:rsidRPr="00B93EC7">
              <w:rPr>
                <w:rFonts w:cs="Arial"/>
                <w:sz w:val="20"/>
                <w:szCs w:val="20"/>
              </w:rPr>
              <w:t>2025</w:t>
            </w:r>
            <w:r w:rsidRPr="005C70DF">
              <w:rPr>
                <w:rFonts w:cs="Arial"/>
                <w:sz w:val="20"/>
                <w:szCs w:val="20"/>
              </w:rPr>
              <w:t>)</w:t>
            </w:r>
          </w:p>
        </w:tc>
        <w:tc>
          <w:tcPr>
            <w:tcW w:w="1391" w:type="dxa"/>
            <w:shd w:val="clear" w:color="auto" w:fill="E2EFD9" w:themeFill="accent6" w:themeFillTint="33"/>
            <w:vAlign w:val="center"/>
            <w:hideMark/>
          </w:tcPr>
          <w:p w14:paraId="723A0A8B" w14:textId="77777777" w:rsidR="00B93EC7" w:rsidRPr="00B93EC7" w:rsidRDefault="00B93EC7" w:rsidP="00B93EC7">
            <w:pPr>
              <w:spacing w:line="360" w:lineRule="auto"/>
              <w:jc w:val="left"/>
              <w:rPr>
                <w:rFonts w:cs="Arial"/>
                <w:sz w:val="20"/>
                <w:szCs w:val="20"/>
              </w:rPr>
            </w:pPr>
            <w:r w:rsidRPr="00B93EC7">
              <w:rPr>
                <w:rFonts w:cs="Arial"/>
                <w:sz w:val="20"/>
                <w:szCs w:val="20"/>
              </w:rPr>
              <w:t>Review of policy and guidance</w:t>
            </w:r>
          </w:p>
        </w:tc>
        <w:tc>
          <w:tcPr>
            <w:tcW w:w="1522" w:type="dxa"/>
            <w:shd w:val="clear" w:color="auto" w:fill="E2EFD9" w:themeFill="accent6" w:themeFillTint="33"/>
            <w:vAlign w:val="center"/>
            <w:hideMark/>
          </w:tcPr>
          <w:p w14:paraId="37B37341" w14:textId="77777777" w:rsidR="00B93EC7" w:rsidRPr="00B93EC7" w:rsidRDefault="00B93EC7" w:rsidP="00B93EC7">
            <w:pPr>
              <w:spacing w:line="360" w:lineRule="auto"/>
              <w:jc w:val="left"/>
              <w:rPr>
                <w:rFonts w:cs="Arial"/>
                <w:sz w:val="20"/>
                <w:szCs w:val="20"/>
              </w:rPr>
            </w:pPr>
            <w:r w:rsidRPr="00B93EC7">
              <w:rPr>
                <w:rFonts w:cs="Arial"/>
                <w:sz w:val="20"/>
                <w:szCs w:val="20"/>
              </w:rPr>
              <w:t>Analysis of UK and Ireland healthcare communication guidance</w:t>
            </w:r>
          </w:p>
        </w:tc>
        <w:tc>
          <w:tcPr>
            <w:tcW w:w="1559" w:type="dxa"/>
            <w:shd w:val="clear" w:color="auto" w:fill="E2EFD9" w:themeFill="accent6" w:themeFillTint="33"/>
            <w:vAlign w:val="center"/>
            <w:hideMark/>
          </w:tcPr>
          <w:p w14:paraId="7A5948B8" w14:textId="77777777" w:rsidR="00B93EC7" w:rsidRPr="00B93EC7" w:rsidRDefault="00B93EC7" w:rsidP="00B93EC7">
            <w:pPr>
              <w:spacing w:line="360" w:lineRule="auto"/>
              <w:jc w:val="left"/>
              <w:rPr>
                <w:rFonts w:cs="Arial"/>
                <w:sz w:val="20"/>
                <w:szCs w:val="20"/>
              </w:rPr>
            </w:pPr>
            <w:r w:rsidRPr="00B93EC7">
              <w:rPr>
                <w:rFonts w:cs="Arial"/>
                <w:sz w:val="20"/>
                <w:szCs w:val="20"/>
              </w:rPr>
              <w:t>Digital health governance context</w:t>
            </w:r>
          </w:p>
        </w:tc>
        <w:tc>
          <w:tcPr>
            <w:tcW w:w="1985" w:type="dxa"/>
            <w:shd w:val="clear" w:color="auto" w:fill="E2EFD9" w:themeFill="accent6" w:themeFillTint="33"/>
            <w:vAlign w:val="center"/>
            <w:hideMark/>
          </w:tcPr>
          <w:p w14:paraId="4E47BF51" w14:textId="77777777" w:rsidR="00B93EC7" w:rsidRPr="00B93EC7" w:rsidRDefault="00B93EC7" w:rsidP="00B93EC7">
            <w:pPr>
              <w:spacing w:line="360" w:lineRule="auto"/>
              <w:jc w:val="left"/>
              <w:rPr>
                <w:rFonts w:cs="Arial"/>
                <w:sz w:val="20"/>
                <w:szCs w:val="20"/>
              </w:rPr>
            </w:pPr>
            <w:r w:rsidRPr="00B93EC7">
              <w:rPr>
                <w:rFonts w:cs="Arial"/>
                <w:sz w:val="20"/>
                <w:szCs w:val="20"/>
              </w:rPr>
              <w:t>Regulation of messaging platforms and BYOD communication practices</w:t>
            </w:r>
          </w:p>
        </w:tc>
        <w:tc>
          <w:tcPr>
            <w:tcW w:w="2551" w:type="dxa"/>
            <w:shd w:val="clear" w:color="auto" w:fill="E2EFD9" w:themeFill="accent6" w:themeFillTint="33"/>
            <w:vAlign w:val="center"/>
            <w:hideMark/>
          </w:tcPr>
          <w:p w14:paraId="318365A9" w14:textId="77777777" w:rsidR="00B93EC7" w:rsidRPr="00B93EC7" w:rsidRDefault="00B93EC7" w:rsidP="00B93EC7">
            <w:pPr>
              <w:spacing w:line="360" w:lineRule="auto"/>
              <w:jc w:val="left"/>
              <w:rPr>
                <w:rFonts w:cs="Arial"/>
                <w:sz w:val="20"/>
                <w:szCs w:val="20"/>
              </w:rPr>
            </w:pPr>
            <w:r w:rsidRPr="00B93EC7">
              <w:rPr>
                <w:rFonts w:cs="Arial"/>
                <w:sz w:val="20"/>
                <w:szCs w:val="20"/>
              </w:rPr>
              <w:t>Identifies ethical, governance, and data protection issues relating to informal messaging applications (O2, O3)</w:t>
            </w:r>
          </w:p>
        </w:tc>
      </w:tr>
      <w:tr w:rsidR="00B93EC7" w:rsidRPr="005C70DF" w14:paraId="78A850A1" w14:textId="77777777" w:rsidTr="00B93EC7">
        <w:trPr>
          <w:jc w:val="center"/>
        </w:trPr>
        <w:tc>
          <w:tcPr>
            <w:tcW w:w="1193" w:type="dxa"/>
            <w:shd w:val="clear" w:color="auto" w:fill="E2EFD9" w:themeFill="accent6" w:themeFillTint="33"/>
            <w:vAlign w:val="center"/>
            <w:hideMark/>
          </w:tcPr>
          <w:p w14:paraId="5E971E64" w14:textId="10745994" w:rsidR="00B93EC7" w:rsidRPr="00B93EC7" w:rsidRDefault="00B93EC7" w:rsidP="004D36C6">
            <w:pPr>
              <w:spacing w:line="360" w:lineRule="auto"/>
              <w:jc w:val="center"/>
              <w:rPr>
                <w:rFonts w:cs="Arial"/>
                <w:sz w:val="20"/>
                <w:szCs w:val="20"/>
              </w:rPr>
            </w:pPr>
            <w:r w:rsidRPr="00B93EC7">
              <w:rPr>
                <w:rFonts w:cs="Arial"/>
                <w:sz w:val="20"/>
                <w:szCs w:val="20"/>
              </w:rPr>
              <w:t xml:space="preserve">Ryan-Blackwell and </w:t>
            </w:r>
            <w:proofErr w:type="spellStart"/>
            <w:r w:rsidRPr="00B93EC7">
              <w:rPr>
                <w:rFonts w:cs="Arial"/>
                <w:sz w:val="20"/>
                <w:szCs w:val="20"/>
              </w:rPr>
              <w:t>Astin</w:t>
            </w:r>
            <w:proofErr w:type="spellEnd"/>
            <w:r w:rsidRPr="00B93EC7">
              <w:rPr>
                <w:rFonts w:cs="Arial"/>
                <w:sz w:val="20"/>
                <w:szCs w:val="20"/>
              </w:rPr>
              <w:t xml:space="preserve"> </w:t>
            </w:r>
            <w:r w:rsidRPr="005C70DF">
              <w:rPr>
                <w:rFonts w:cs="Arial"/>
                <w:sz w:val="20"/>
                <w:szCs w:val="20"/>
              </w:rPr>
              <w:t>(</w:t>
            </w:r>
            <w:r w:rsidRPr="00B93EC7">
              <w:rPr>
                <w:rFonts w:cs="Arial"/>
                <w:sz w:val="20"/>
                <w:szCs w:val="20"/>
              </w:rPr>
              <w:t>2025</w:t>
            </w:r>
            <w:r w:rsidRPr="005C70DF">
              <w:rPr>
                <w:rFonts w:cs="Arial"/>
                <w:sz w:val="20"/>
                <w:szCs w:val="20"/>
              </w:rPr>
              <w:t>)</w:t>
            </w:r>
          </w:p>
        </w:tc>
        <w:tc>
          <w:tcPr>
            <w:tcW w:w="1391" w:type="dxa"/>
            <w:shd w:val="clear" w:color="auto" w:fill="E2EFD9" w:themeFill="accent6" w:themeFillTint="33"/>
            <w:vAlign w:val="center"/>
            <w:hideMark/>
          </w:tcPr>
          <w:p w14:paraId="6675CB87" w14:textId="77777777" w:rsidR="00B93EC7" w:rsidRPr="00B93EC7" w:rsidRDefault="00B93EC7" w:rsidP="00B93EC7">
            <w:pPr>
              <w:spacing w:line="360" w:lineRule="auto"/>
              <w:jc w:val="left"/>
              <w:rPr>
                <w:rFonts w:cs="Arial"/>
                <w:sz w:val="20"/>
                <w:szCs w:val="20"/>
              </w:rPr>
            </w:pPr>
            <w:r w:rsidRPr="00B93EC7">
              <w:rPr>
                <w:rFonts w:cs="Arial"/>
                <w:sz w:val="20"/>
                <w:szCs w:val="20"/>
              </w:rPr>
              <w:t>Content analysis</w:t>
            </w:r>
          </w:p>
        </w:tc>
        <w:tc>
          <w:tcPr>
            <w:tcW w:w="1522" w:type="dxa"/>
            <w:shd w:val="clear" w:color="auto" w:fill="E2EFD9" w:themeFill="accent6" w:themeFillTint="33"/>
            <w:vAlign w:val="center"/>
            <w:hideMark/>
          </w:tcPr>
          <w:p w14:paraId="500DD4C8" w14:textId="77777777" w:rsidR="00B93EC7" w:rsidRPr="00B93EC7" w:rsidRDefault="00B93EC7" w:rsidP="00B93EC7">
            <w:pPr>
              <w:spacing w:line="360" w:lineRule="auto"/>
              <w:jc w:val="left"/>
              <w:rPr>
                <w:rFonts w:cs="Arial"/>
                <w:sz w:val="20"/>
                <w:szCs w:val="20"/>
              </w:rPr>
            </w:pPr>
            <w:r w:rsidRPr="00B93EC7">
              <w:rPr>
                <w:rFonts w:cs="Arial"/>
                <w:sz w:val="20"/>
                <w:szCs w:val="20"/>
              </w:rPr>
              <w:t>Nursing and Midwifery regulatory misconduct cases</w:t>
            </w:r>
          </w:p>
        </w:tc>
        <w:tc>
          <w:tcPr>
            <w:tcW w:w="1559" w:type="dxa"/>
            <w:shd w:val="clear" w:color="auto" w:fill="E2EFD9" w:themeFill="accent6" w:themeFillTint="33"/>
            <w:vAlign w:val="center"/>
            <w:hideMark/>
          </w:tcPr>
          <w:p w14:paraId="3DA8D539" w14:textId="77777777" w:rsidR="00B93EC7" w:rsidRPr="00B93EC7" w:rsidRDefault="00B93EC7" w:rsidP="00B93EC7">
            <w:pPr>
              <w:spacing w:line="360" w:lineRule="auto"/>
              <w:jc w:val="left"/>
              <w:rPr>
                <w:rFonts w:cs="Arial"/>
                <w:sz w:val="20"/>
                <w:szCs w:val="20"/>
              </w:rPr>
            </w:pPr>
            <w:r w:rsidRPr="00B93EC7">
              <w:rPr>
                <w:rFonts w:cs="Arial"/>
                <w:sz w:val="20"/>
                <w:szCs w:val="20"/>
              </w:rPr>
              <w:t>UK professional regulatory environment</w:t>
            </w:r>
          </w:p>
        </w:tc>
        <w:tc>
          <w:tcPr>
            <w:tcW w:w="1985" w:type="dxa"/>
            <w:shd w:val="clear" w:color="auto" w:fill="E2EFD9" w:themeFill="accent6" w:themeFillTint="33"/>
            <w:vAlign w:val="center"/>
            <w:hideMark/>
          </w:tcPr>
          <w:p w14:paraId="1108BA03" w14:textId="77777777" w:rsidR="00B93EC7" w:rsidRPr="00B93EC7" w:rsidRDefault="00B93EC7" w:rsidP="00B93EC7">
            <w:pPr>
              <w:spacing w:line="360" w:lineRule="auto"/>
              <w:jc w:val="left"/>
              <w:rPr>
                <w:rFonts w:cs="Arial"/>
                <w:sz w:val="20"/>
                <w:szCs w:val="20"/>
              </w:rPr>
            </w:pPr>
            <w:r w:rsidRPr="00B93EC7">
              <w:rPr>
                <w:rFonts w:cs="Arial"/>
                <w:sz w:val="20"/>
                <w:szCs w:val="20"/>
              </w:rPr>
              <w:t>Professional misconduct linked to social media and digital communication</w:t>
            </w:r>
          </w:p>
        </w:tc>
        <w:tc>
          <w:tcPr>
            <w:tcW w:w="2551" w:type="dxa"/>
            <w:shd w:val="clear" w:color="auto" w:fill="E2EFD9" w:themeFill="accent6" w:themeFillTint="33"/>
            <w:vAlign w:val="center"/>
            <w:hideMark/>
          </w:tcPr>
          <w:p w14:paraId="16D4B173" w14:textId="77777777" w:rsidR="00B93EC7" w:rsidRPr="00B93EC7" w:rsidRDefault="00B93EC7" w:rsidP="00B93EC7">
            <w:pPr>
              <w:spacing w:line="360" w:lineRule="auto"/>
              <w:jc w:val="left"/>
              <w:rPr>
                <w:rFonts w:cs="Arial"/>
                <w:sz w:val="20"/>
                <w:szCs w:val="20"/>
              </w:rPr>
            </w:pPr>
            <w:r w:rsidRPr="00B93EC7">
              <w:rPr>
                <w:rFonts w:cs="Arial"/>
                <w:sz w:val="20"/>
                <w:szCs w:val="20"/>
              </w:rPr>
              <w:t>Examines risks associated with digital communication practices and professional boundary violations (O2, O3)</w:t>
            </w:r>
          </w:p>
        </w:tc>
      </w:tr>
    </w:tbl>
    <w:p w14:paraId="7DB4D1CA" w14:textId="77777777" w:rsidR="009E1FA9" w:rsidRPr="005C70DF" w:rsidRDefault="009E1FA9" w:rsidP="009E1FA9">
      <w:pPr>
        <w:rPr>
          <w:rFonts w:cs="Arial"/>
        </w:rPr>
      </w:pPr>
    </w:p>
    <w:p w14:paraId="5CBA8899" w14:textId="2312F47F" w:rsidR="004D36C6" w:rsidRPr="005C70DF" w:rsidRDefault="004D36C6">
      <w:pPr>
        <w:spacing w:after="160" w:line="278" w:lineRule="auto"/>
        <w:ind w:left="0" w:right="0" w:firstLine="0"/>
        <w:jc w:val="left"/>
        <w:rPr>
          <w:rFonts w:cs="Arial"/>
          <w:color w:val="000000" w:themeColor="text1"/>
        </w:rPr>
      </w:pPr>
      <w:r w:rsidRPr="005C70DF">
        <w:rPr>
          <w:rFonts w:cs="Arial"/>
          <w:color w:val="000000" w:themeColor="text1"/>
        </w:rPr>
        <w:br w:type="page"/>
      </w:r>
    </w:p>
    <w:p w14:paraId="21573EEA" w14:textId="705DDF97" w:rsidR="004D36C6" w:rsidRPr="005C70DF" w:rsidRDefault="004D36C6" w:rsidP="004D36C6">
      <w:pPr>
        <w:pStyle w:val="Caption"/>
        <w:keepNext/>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5</w:t>
      </w:r>
      <w:r w:rsidRPr="005C70DF">
        <w:rPr>
          <w:rFonts w:cs="Arial"/>
          <w:b/>
          <w:bCs/>
          <w:i w:val="0"/>
          <w:iCs w:val="0"/>
          <w:color w:val="000000" w:themeColor="text1"/>
        </w:rPr>
        <w:fldChar w:fldCharType="end"/>
      </w:r>
      <w:r w:rsidRPr="005C70DF">
        <w:rPr>
          <w:rFonts w:cs="Arial"/>
          <w:b/>
          <w:bCs/>
          <w:i w:val="0"/>
          <w:iCs w:val="0"/>
          <w:color w:val="000000" w:themeColor="text1"/>
        </w:rPr>
        <w:t>: Coding Framework Supporting Theme Development</w:t>
      </w:r>
    </w:p>
    <w:tbl>
      <w:tblPr>
        <w:tblStyle w:val="TableGrid0"/>
        <w:tblW w:w="0" w:type="auto"/>
        <w:shd w:val="clear" w:color="auto" w:fill="E2EFD9" w:themeFill="accent6" w:themeFillTint="33"/>
        <w:tblLook w:val="04A0" w:firstRow="1" w:lastRow="0" w:firstColumn="1" w:lastColumn="0" w:noHBand="0" w:noVBand="1"/>
      </w:tblPr>
      <w:tblGrid>
        <w:gridCol w:w="2611"/>
        <w:gridCol w:w="3837"/>
        <w:gridCol w:w="1518"/>
        <w:gridCol w:w="1384"/>
      </w:tblGrid>
      <w:tr w:rsidR="004D36C6" w:rsidRPr="004D36C6" w14:paraId="176E1E92" w14:textId="77777777" w:rsidTr="004D36C6">
        <w:tc>
          <w:tcPr>
            <w:tcW w:w="0" w:type="auto"/>
            <w:shd w:val="clear" w:color="auto" w:fill="E2EFD9" w:themeFill="accent6" w:themeFillTint="33"/>
            <w:vAlign w:val="center"/>
            <w:hideMark/>
          </w:tcPr>
          <w:p w14:paraId="0717715B" w14:textId="77777777" w:rsidR="004D36C6" w:rsidRPr="004D36C6" w:rsidRDefault="004D36C6" w:rsidP="004D36C6">
            <w:pPr>
              <w:spacing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Code</w:t>
            </w:r>
          </w:p>
        </w:tc>
        <w:tc>
          <w:tcPr>
            <w:tcW w:w="0" w:type="auto"/>
            <w:shd w:val="clear" w:color="auto" w:fill="E2EFD9" w:themeFill="accent6" w:themeFillTint="33"/>
            <w:vAlign w:val="center"/>
            <w:hideMark/>
          </w:tcPr>
          <w:p w14:paraId="29645B25" w14:textId="77777777" w:rsidR="004D36C6" w:rsidRPr="004D36C6" w:rsidRDefault="004D36C6" w:rsidP="004D36C6">
            <w:pPr>
              <w:spacing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Evidence from Studies</w:t>
            </w:r>
          </w:p>
        </w:tc>
        <w:tc>
          <w:tcPr>
            <w:tcW w:w="0" w:type="auto"/>
            <w:shd w:val="clear" w:color="auto" w:fill="E2EFD9" w:themeFill="accent6" w:themeFillTint="33"/>
            <w:vAlign w:val="center"/>
            <w:hideMark/>
          </w:tcPr>
          <w:p w14:paraId="0A095EEE" w14:textId="77777777" w:rsidR="004D36C6" w:rsidRPr="004D36C6" w:rsidRDefault="004D36C6" w:rsidP="004D36C6">
            <w:pPr>
              <w:spacing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Study Source</w:t>
            </w:r>
          </w:p>
        </w:tc>
        <w:tc>
          <w:tcPr>
            <w:tcW w:w="0" w:type="auto"/>
            <w:shd w:val="clear" w:color="auto" w:fill="E2EFD9" w:themeFill="accent6" w:themeFillTint="33"/>
            <w:vAlign w:val="center"/>
            <w:hideMark/>
          </w:tcPr>
          <w:p w14:paraId="248B84B0" w14:textId="77777777" w:rsidR="004D36C6" w:rsidRPr="004D36C6" w:rsidRDefault="004D36C6" w:rsidP="004D36C6">
            <w:pPr>
              <w:spacing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Resulting Theme</w:t>
            </w:r>
          </w:p>
        </w:tc>
      </w:tr>
      <w:tr w:rsidR="004D36C6" w:rsidRPr="004D36C6" w14:paraId="0FB24003" w14:textId="77777777" w:rsidTr="004D36C6">
        <w:tc>
          <w:tcPr>
            <w:tcW w:w="0" w:type="auto"/>
            <w:shd w:val="clear" w:color="auto" w:fill="E2EFD9" w:themeFill="accent6" w:themeFillTint="33"/>
            <w:vAlign w:val="center"/>
            <w:hideMark/>
          </w:tcPr>
          <w:p w14:paraId="76977737"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Rapid communication between professionals</w:t>
            </w:r>
          </w:p>
        </w:tc>
        <w:tc>
          <w:tcPr>
            <w:tcW w:w="0" w:type="auto"/>
            <w:shd w:val="clear" w:color="auto" w:fill="E2EFD9" w:themeFill="accent6" w:themeFillTint="33"/>
            <w:vAlign w:val="center"/>
            <w:hideMark/>
          </w:tcPr>
          <w:p w14:paraId="2BC57151"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Messaging platforms allow healthcare staff to communicate quickly regarding work-related issues and patient care coordination</w:t>
            </w:r>
          </w:p>
        </w:tc>
        <w:tc>
          <w:tcPr>
            <w:tcW w:w="0" w:type="auto"/>
            <w:shd w:val="clear" w:color="auto" w:fill="E2EFD9" w:themeFill="accent6" w:themeFillTint="33"/>
            <w:vAlign w:val="center"/>
            <w:hideMark/>
          </w:tcPr>
          <w:p w14:paraId="5098FF79"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Salam et al., 2021</w:t>
            </w:r>
          </w:p>
        </w:tc>
        <w:tc>
          <w:tcPr>
            <w:tcW w:w="0" w:type="auto"/>
            <w:shd w:val="clear" w:color="auto" w:fill="E2EFD9" w:themeFill="accent6" w:themeFillTint="33"/>
            <w:vAlign w:val="center"/>
            <w:hideMark/>
          </w:tcPr>
          <w:p w14:paraId="188DB700"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w:t>
            </w:r>
          </w:p>
        </w:tc>
      </w:tr>
      <w:tr w:rsidR="004D36C6" w:rsidRPr="004D36C6" w14:paraId="7DD7BC0E" w14:textId="77777777" w:rsidTr="004D36C6">
        <w:tc>
          <w:tcPr>
            <w:tcW w:w="0" w:type="auto"/>
            <w:shd w:val="clear" w:color="auto" w:fill="E2EFD9" w:themeFill="accent6" w:themeFillTint="33"/>
            <w:vAlign w:val="center"/>
            <w:hideMark/>
          </w:tcPr>
          <w:p w14:paraId="444E71BB"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Digital messaging supporting collaboration and information sharing</w:t>
            </w:r>
          </w:p>
        </w:tc>
        <w:tc>
          <w:tcPr>
            <w:tcW w:w="0" w:type="auto"/>
            <w:shd w:val="clear" w:color="auto" w:fill="E2EFD9" w:themeFill="accent6" w:themeFillTint="33"/>
            <w:vAlign w:val="center"/>
            <w:hideMark/>
          </w:tcPr>
          <w:p w14:paraId="106DE715"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WhatsApp enables exchange of knowledge and support among healthcare professionals and trainees</w:t>
            </w:r>
          </w:p>
        </w:tc>
        <w:tc>
          <w:tcPr>
            <w:tcW w:w="0" w:type="auto"/>
            <w:shd w:val="clear" w:color="auto" w:fill="E2EFD9" w:themeFill="accent6" w:themeFillTint="33"/>
            <w:vAlign w:val="center"/>
            <w:hideMark/>
          </w:tcPr>
          <w:p w14:paraId="6346C36E"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Salam et al., 2021</w:t>
            </w:r>
          </w:p>
        </w:tc>
        <w:tc>
          <w:tcPr>
            <w:tcW w:w="0" w:type="auto"/>
            <w:shd w:val="clear" w:color="auto" w:fill="E2EFD9" w:themeFill="accent6" w:themeFillTint="33"/>
            <w:vAlign w:val="center"/>
            <w:hideMark/>
          </w:tcPr>
          <w:p w14:paraId="2CC432A5"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w:t>
            </w:r>
          </w:p>
        </w:tc>
      </w:tr>
      <w:tr w:rsidR="004D36C6" w:rsidRPr="004D36C6" w14:paraId="1581EB85" w14:textId="77777777" w:rsidTr="004D36C6">
        <w:tc>
          <w:tcPr>
            <w:tcW w:w="0" w:type="auto"/>
            <w:shd w:val="clear" w:color="auto" w:fill="E2EFD9" w:themeFill="accent6" w:themeFillTint="33"/>
            <w:vAlign w:val="center"/>
            <w:hideMark/>
          </w:tcPr>
          <w:p w14:paraId="5856564D"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Increased digital workload from messaging communication</w:t>
            </w:r>
          </w:p>
        </w:tc>
        <w:tc>
          <w:tcPr>
            <w:tcW w:w="0" w:type="auto"/>
            <w:shd w:val="clear" w:color="auto" w:fill="E2EFD9" w:themeFill="accent6" w:themeFillTint="33"/>
            <w:vAlign w:val="center"/>
            <w:hideMark/>
          </w:tcPr>
          <w:p w14:paraId="0339B380"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Work-related digital communication contributes to additional professional demands and staff workload</w:t>
            </w:r>
          </w:p>
        </w:tc>
        <w:tc>
          <w:tcPr>
            <w:tcW w:w="0" w:type="auto"/>
            <w:shd w:val="clear" w:color="auto" w:fill="E2EFD9" w:themeFill="accent6" w:themeFillTint="33"/>
            <w:vAlign w:val="center"/>
            <w:hideMark/>
          </w:tcPr>
          <w:p w14:paraId="57A7DBB6" w14:textId="77777777" w:rsidR="004D36C6" w:rsidRPr="004D36C6" w:rsidRDefault="004D36C6" w:rsidP="004D36C6">
            <w:pPr>
              <w:spacing w:after="160" w:line="360" w:lineRule="auto"/>
              <w:ind w:left="0" w:right="0" w:firstLine="0"/>
              <w:jc w:val="left"/>
              <w:rPr>
                <w:rFonts w:cs="Arial"/>
                <w:color w:val="000000" w:themeColor="text1"/>
                <w:sz w:val="20"/>
                <w:szCs w:val="20"/>
              </w:rPr>
            </w:pPr>
            <w:proofErr w:type="spellStart"/>
            <w:r w:rsidRPr="004D36C6">
              <w:rPr>
                <w:rFonts w:cs="Arial"/>
                <w:color w:val="000000" w:themeColor="text1"/>
                <w:sz w:val="20"/>
                <w:szCs w:val="20"/>
              </w:rPr>
              <w:t>Bakhai</w:t>
            </w:r>
            <w:proofErr w:type="spellEnd"/>
            <w:r w:rsidRPr="004D36C6">
              <w:rPr>
                <w:rFonts w:cs="Arial"/>
                <w:color w:val="000000" w:themeColor="text1"/>
                <w:sz w:val="20"/>
                <w:szCs w:val="20"/>
              </w:rPr>
              <w:t xml:space="preserve"> et al., 2022</w:t>
            </w:r>
          </w:p>
        </w:tc>
        <w:tc>
          <w:tcPr>
            <w:tcW w:w="0" w:type="auto"/>
            <w:shd w:val="clear" w:color="auto" w:fill="E2EFD9" w:themeFill="accent6" w:themeFillTint="33"/>
            <w:vAlign w:val="center"/>
            <w:hideMark/>
          </w:tcPr>
          <w:p w14:paraId="5DA4C762"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 and Theme 2</w:t>
            </w:r>
          </w:p>
        </w:tc>
      </w:tr>
      <w:tr w:rsidR="004D36C6" w:rsidRPr="004D36C6" w14:paraId="4F671CCD" w14:textId="77777777" w:rsidTr="004D36C6">
        <w:tc>
          <w:tcPr>
            <w:tcW w:w="0" w:type="auto"/>
            <w:shd w:val="clear" w:color="auto" w:fill="E2EFD9" w:themeFill="accent6" w:themeFillTint="33"/>
            <w:vAlign w:val="center"/>
            <w:hideMark/>
          </w:tcPr>
          <w:p w14:paraId="34351CE4"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Lack of clear guidance for messaging platforms</w:t>
            </w:r>
          </w:p>
        </w:tc>
        <w:tc>
          <w:tcPr>
            <w:tcW w:w="0" w:type="auto"/>
            <w:shd w:val="clear" w:color="auto" w:fill="E2EFD9" w:themeFill="accent6" w:themeFillTint="33"/>
            <w:vAlign w:val="center"/>
            <w:hideMark/>
          </w:tcPr>
          <w:p w14:paraId="74A22CEB"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Health systems struggle to regulate the use of personal devices and messaging applications for clinical communication</w:t>
            </w:r>
          </w:p>
        </w:tc>
        <w:tc>
          <w:tcPr>
            <w:tcW w:w="0" w:type="auto"/>
            <w:shd w:val="clear" w:color="auto" w:fill="E2EFD9" w:themeFill="accent6" w:themeFillTint="33"/>
            <w:vAlign w:val="center"/>
            <w:hideMark/>
          </w:tcPr>
          <w:p w14:paraId="0CA22843"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John, </w:t>
            </w:r>
            <w:proofErr w:type="spellStart"/>
            <w:r w:rsidRPr="004D36C6">
              <w:rPr>
                <w:rFonts w:cs="Arial"/>
                <w:color w:val="000000" w:themeColor="text1"/>
                <w:sz w:val="20"/>
                <w:szCs w:val="20"/>
              </w:rPr>
              <w:t>Heavin</w:t>
            </w:r>
            <w:proofErr w:type="spellEnd"/>
            <w:r w:rsidRPr="004D36C6">
              <w:rPr>
                <w:rFonts w:cs="Arial"/>
                <w:color w:val="000000" w:themeColor="text1"/>
                <w:sz w:val="20"/>
                <w:szCs w:val="20"/>
              </w:rPr>
              <w:t xml:space="preserve"> and Roberts, 2025</w:t>
            </w:r>
          </w:p>
        </w:tc>
        <w:tc>
          <w:tcPr>
            <w:tcW w:w="0" w:type="auto"/>
            <w:shd w:val="clear" w:color="auto" w:fill="E2EFD9" w:themeFill="accent6" w:themeFillTint="33"/>
            <w:vAlign w:val="center"/>
            <w:hideMark/>
          </w:tcPr>
          <w:p w14:paraId="43EF539A"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r w:rsidR="004D36C6" w:rsidRPr="004D36C6" w14:paraId="7F69C613" w14:textId="77777777" w:rsidTr="004D36C6">
        <w:tc>
          <w:tcPr>
            <w:tcW w:w="0" w:type="auto"/>
            <w:shd w:val="clear" w:color="auto" w:fill="E2EFD9" w:themeFill="accent6" w:themeFillTint="33"/>
            <w:vAlign w:val="center"/>
            <w:hideMark/>
          </w:tcPr>
          <w:p w14:paraId="41C8C6DB"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Data protection and confidentiality concerns</w:t>
            </w:r>
          </w:p>
        </w:tc>
        <w:tc>
          <w:tcPr>
            <w:tcW w:w="0" w:type="auto"/>
            <w:shd w:val="clear" w:color="auto" w:fill="E2EFD9" w:themeFill="accent6" w:themeFillTint="33"/>
            <w:vAlign w:val="center"/>
            <w:hideMark/>
          </w:tcPr>
          <w:p w14:paraId="4E8185FE"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Informal messaging applications may create risks related to privacy and regulatory compliance</w:t>
            </w:r>
          </w:p>
        </w:tc>
        <w:tc>
          <w:tcPr>
            <w:tcW w:w="0" w:type="auto"/>
            <w:shd w:val="clear" w:color="auto" w:fill="E2EFD9" w:themeFill="accent6" w:themeFillTint="33"/>
            <w:vAlign w:val="center"/>
            <w:hideMark/>
          </w:tcPr>
          <w:p w14:paraId="59FE3138"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John, </w:t>
            </w:r>
            <w:proofErr w:type="spellStart"/>
            <w:r w:rsidRPr="004D36C6">
              <w:rPr>
                <w:rFonts w:cs="Arial"/>
                <w:color w:val="000000" w:themeColor="text1"/>
                <w:sz w:val="20"/>
                <w:szCs w:val="20"/>
              </w:rPr>
              <w:t>Heavin</w:t>
            </w:r>
            <w:proofErr w:type="spellEnd"/>
            <w:r w:rsidRPr="004D36C6">
              <w:rPr>
                <w:rFonts w:cs="Arial"/>
                <w:color w:val="000000" w:themeColor="text1"/>
                <w:sz w:val="20"/>
                <w:szCs w:val="20"/>
              </w:rPr>
              <w:t xml:space="preserve"> and Roberts, 2025</w:t>
            </w:r>
          </w:p>
        </w:tc>
        <w:tc>
          <w:tcPr>
            <w:tcW w:w="0" w:type="auto"/>
            <w:shd w:val="clear" w:color="auto" w:fill="E2EFD9" w:themeFill="accent6" w:themeFillTint="33"/>
            <w:vAlign w:val="center"/>
            <w:hideMark/>
          </w:tcPr>
          <w:p w14:paraId="07B32A48"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r w:rsidR="004D36C6" w:rsidRPr="004D36C6" w14:paraId="2F73CFF0" w14:textId="77777777" w:rsidTr="004D36C6">
        <w:tc>
          <w:tcPr>
            <w:tcW w:w="0" w:type="auto"/>
            <w:shd w:val="clear" w:color="auto" w:fill="E2EFD9" w:themeFill="accent6" w:themeFillTint="33"/>
            <w:vAlign w:val="center"/>
            <w:hideMark/>
          </w:tcPr>
          <w:p w14:paraId="17E0B067"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Professional boundary violations through digital platforms</w:t>
            </w:r>
          </w:p>
        </w:tc>
        <w:tc>
          <w:tcPr>
            <w:tcW w:w="0" w:type="auto"/>
            <w:shd w:val="clear" w:color="auto" w:fill="E2EFD9" w:themeFill="accent6" w:themeFillTint="33"/>
            <w:vAlign w:val="center"/>
            <w:hideMark/>
          </w:tcPr>
          <w:p w14:paraId="21DC2FAB"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Regulatory cases highlight risks when healthcare professionals use social media or messaging platforms inappropriately</w:t>
            </w:r>
          </w:p>
        </w:tc>
        <w:tc>
          <w:tcPr>
            <w:tcW w:w="0" w:type="auto"/>
            <w:shd w:val="clear" w:color="auto" w:fill="E2EFD9" w:themeFill="accent6" w:themeFillTint="33"/>
            <w:vAlign w:val="center"/>
            <w:hideMark/>
          </w:tcPr>
          <w:p w14:paraId="171D7B34"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Ryan-Blackwell and </w:t>
            </w:r>
            <w:proofErr w:type="spellStart"/>
            <w:r w:rsidRPr="004D36C6">
              <w:rPr>
                <w:rFonts w:cs="Arial"/>
                <w:color w:val="000000" w:themeColor="text1"/>
                <w:sz w:val="20"/>
                <w:szCs w:val="20"/>
              </w:rPr>
              <w:t>Astin</w:t>
            </w:r>
            <w:proofErr w:type="spellEnd"/>
            <w:r w:rsidRPr="004D36C6">
              <w:rPr>
                <w:rFonts w:cs="Arial"/>
                <w:color w:val="000000" w:themeColor="text1"/>
                <w:sz w:val="20"/>
                <w:szCs w:val="20"/>
              </w:rPr>
              <w:t>, 2025</w:t>
            </w:r>
          </w:p>
        </w:tc>
        <w:tc>
          <w:tcPr>
            <w:tcW w:w="0" w:type="auto"/>
            <w:shd w:val="clear" w:color="auto" w:fill="E2EFD9" w:themeFill="accent6" w:themeFillTint="33"/>
            <w:vAlign w:val="center"/>
            <w:hideMark/>
          </w:tcPr>
          <w:p w14:paraId="610C49B0" w14:textId="77777777" w:rsidR="004D36C6" w:rsidRPr="004D36C6" w:rsidRDefault="004D36C6" w:rsidP="004D36C6">
            <w:pPr>
              <w:spacing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bl>
    <w:p w14:paraId="293A7CD6" w14:textId="77777777" w:rsidR="003639A7" w:rsidRPr="005C70DF" w:rsidRDefault="003639A7">
      <w:pPr>
        <w:spacing w:after="160" w:line="278" w:lineRule="auto"/>
        <w:ind w:left="0" w:right="0" w:firstLine="0"/>
        <w:jc w:val="left"/>
        <w:rPr>
          <w:rFonts w:cs="Arial"/>
          <w:color w:val="000000" w:themeColor="text1"/>
        </w:rPr>
      </w:pPr>
    </w:p>
    <w:p w14:paraId="23EE0411" w14:textId="77777777" w:rsidR="00D539CC" w:rsidRPr="00B0738E" w:rsidRDefault="00D539CC" w:rsidP="00CE6917">
      <w:pPr>
        <w:spacing w:after="160" w:line="278" w:lineRule="auto"/>
        <w:ind w:left="0" w:right="0" w:firstLine="0"/>
        <w:jc w:val="left"/>
        <w:rPr>
          <w:rFonts w:cs="Arial"/>
          <w:color w:val="000000" w:themeColor="text1"/>
        </w:rPr>
      </w:pPr>
    </w:p>
    <w:sectPr w:rsidR="00D539CC" w:rsidRPr="00B0738E" w:rsidSect="004D734A">
      <w:footerReference w:type="default" r:id="rId16"/>
      <w:type w:val="continuous"/>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D3C874" w14:textId="77777777" w:rsidR="00D152C0" w:rsidRPr="005C70DF" w:rsidRDefault="00D152C0" w:rsidP="00F90D5C">
      <w:pPr>
        <w:spacing w:line="240" w:lineRule="auto"/>
      </w:pPr>
      <w:r w:rsidRPr="005C70DF">
        <w:separator/>
      </w:r>
    </w:p>
  </w:endnote>
  <w:endnote w:type="continuationSeparator" w:id="0">
    <w:p w14:paraId="10621997" w14:textId="77777777" w:rsidR="00D152C0" w:rsidRPr="005C70DF" w:rsidRDefault="00D152C0" w:rsidP="00F90D5C">
      <w:pPr>
        <w:spacing w:line="240" w:lineRule="auto"/>
      </w:pPr>
      <w:r w:rsidRPr="005C70D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610909"/>
      <w:docPartObj>
        <w:docPartGallery w:val="Page Numbers (Bottom of Page)"/>
        <w:docPartUnique/>
      </w:docPartObj>
    </w:sdtPr>
    <w:sdtEndPr/>
    <w:sdtContent>
      <w:p w14:paraId="6A01A64E" w14:textId="66F9697F" w:rsidR="00F90D5C" w:rsidRPr="005C70DF" w:rsidRDefault="00F90D5C">
        <w:pPr>
          <w:pStyle w:val="Footer"/>
          <w:jc w:val="center"/>
        </w:pPr>
        <w:r w:rsidRPr="005C70DF">
          <w:fldChar w:fldCharType="begin"/>
        </w:r>
        <w:r w:rsidRPr="005C70DF">
          <w:instrText xml:space="preserve"> PAGE   \* MERGEFORMAT </w:instrText>
        </w:r>
        <w:r w:rsidRPr="005C70DF">
          <w:fldChar w:fldCharType="separate"/>
        </w:r>
        <w:r w:rsidRPr="005C70DF">
          <w:t>2</w:t>
        </w:r>
        <w:r w:rsidRPr="005C70DF">
          <w:fldChar w:fldCharType="end"/>
        </w:r>
      </w:p>
    </w:sdtContent>
  </w:sdt>
  <w:p w14:paraId="4CBD2512" w14:textId="77777777" w:rsidR="00F90D5C" w:rsidRPr="005C70DF" w:rsidRDefault="00F90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427A58" w14:textId="77777777" w:rsidR="00D152C0" w:rsidRPr="005C70DF" w:rsidRDefault="00D152C0" w:rsidP="00F90D5C">
      <w:pPr>
        <w:spacing w:line="240" w:lineRule="auto"/>
      </w:pPr>
      <w:r w:rsidRPr="005C70DF">
        <w:separator/>
      </w:r>
    </w:p>
  </w:footnote>
  <w:footnote w:type="continuationSeparator" w:id="0">
    <w:p w14:paraId="295136CC" w14:textId="77777777" w:rsidR="00D152C0" w:rsidRPr="005C70DF" w:rsidRDefault="00D152C0" w:rsidP="00F90D5C">
      <w:pPr>
        <w:spacing w:line="240" w:lineRule="auto"/>
      </w:pPr>
      <w:r w:rsidRPr="005C70D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126C2"/>
    <w:multiLevelType w:val="multilevel"/>
    <w:tmpl w:val="3362A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7C68D9"/>
    <w:multiLevelType w:val="hybridMultilevel"/>
    <w:tmpl w:val="1A7EC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A1547F"/>
    <w:multiLevelType w:val="hybridMultilevel"/>
    <w:tmpl w:val="8AEA9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C0479D"/>
    <w:multiLevelType w:val="multilevel"/>
    <w:tmpl w:val="72CC9AD4"/>
    <w:lvl w:ilvl="0">
      <w:start w:val="1"/>
      <w:numFmt w:val="decimal"/>
      <w:lvlText w:val="%1."/>
      <w:lvlJc w:val="left"/>
      <w:pPr>
        <w:ind w:left="370" w:hanging="360"/>
      </w:pPr>
    </w:lvl>
    <w:lvl w:ilvl="1">
      <w:start w:val="1"/>
      <w:numFmt w:val="decimal"/>
      <w:isLgl/>
      <w:lvlText w:val="%1.%2."/>
      <w:lvlJc w:val="left"/>
      <w:pPr>
        <w:ind w:left="73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abstractNum w:abstractNumId="4" w15:restartNumberingAfterBreak="0">
    <w:nsid w:val="31B6434B"/>
    <w:multiLevelType w:val="multilevel"/>
    <w:tmpl w:val="72CC9AD4"/>
    <w:lvl w:ilvl="0">
      <w:start w:val="1"/>
      <w:numFmt w:val="decimal"/>
      <w:lvlText w:val="%1."/>
      <w:lvlJc w:val="left"/>
      <w:pPr>
        <w:ind w:left="370" w:hanging="360"/>
      </w:pPr>
    </w:lvl>
    <w:lvl w:ilvl="1">
      <w:start w:val="1"/>
      <w:numFmt w:val="decimal"/>
      <w:isLgl/>
      <w:lvlText w:val="%1.%2."/>
      <w:lvlJc w:val="left"/>
      <w:pPr>
        <w:ind w:left="73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abstractNum w:abstractNumId="5" w15:restartNumberingAfterBreak="0">
    <w:nsid w:val="32522660"/>
    <w:multiLevelType w:val="hybridMultilevel"/>
    <w:tmpl w:val="B6767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AEF714E"/>
    <w:multiLevelType w:val="multilevel"/>
    <w:tmpl w:val="72CC9AD4"/>
    <w:lvl w:ilvl="0">
      <w:start w:val="1"/>
      <w:numFmt w:val="decimal"/>
      <w:lvlText w:val="%1."/>
      <w:lvlJc w:val="left"/>
      <w:pPr>
        <w:ind w:left="370" w:hanging="360"/>
      </w:pPr>
    </w:lvl>
    <w:lvl w:ilvl="1">
      <w:start w:val="1"/>
      <w:numFmt w:val="decimal"/>
      <w:isLgl/>
      <w:lvlText w:val="%1.%2."/>
      <w:lvlJc w:val="left"/>
      <w:pPr>
        <w:ind w:left="73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num w:numId="1" w16cid:durableId="776410087">
    <w:abstractNumId w:val="4"/>
  </w:num>
  <w:num w:numId="2" w16cid:durableId="819930829">
    <w:abstractNumId w:val="5"/>
  </w:num>
  <w:num w:numId="3" w16cid:durableId="1507939404">
    <w:abstractNumId w:val="2"/>
  </w:num>
  <w:num w:numId="4" w16cid:durableId="1105731956">
    <w:abstractNumId w:val="1"/>
  </w:num>
  <w:num w:numId="5" w16cid:durableId="2051569604">
    <w:abstractNumId w:val="0"/>
  </w:num>
  <w:num w:numId="6" w16cid:durableId="523788582">
    <w:abstractNumId w:val="6"/>
  </w:num>
  <w:num w:numId="7" w16cid:durableId="1939361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47B"/>
    <w:rsid w:val="00001FF4"/>
    <w:rsid w:val="00005886"/>
    <w:rsid w:val="0002095A"/>
    <w:rsid w:val="00026D36"/>
    <w:rsid w:val="00030410"/>
    <w:rsid w:val="00032171"/>
    <w:rsid w:val="00032F17"/>
    <w:rsid w:val="00034978"/>
    <w:rsid w:val="00043D82"/>
    <w:rsid w:val="00064B1B"/>
    <w:rsid w:val="00066F86"/>
    <w:rsid w:val="000815EB"/>
    <w:rsid w:val="000819A5"/>
    <w:rsid w:val="00082A61"/>
    <w:rsid w:val="00085BEC"/>
    <w:rsid w:val="00090CAF"/>
    <w:rsid w:val="000C5302"/>
    <w:rsid w:val="000D2E94"/>
    <w:rsid w:val="000D600C"/>
    <w:rsid w:val="000E1890"/>
    <w:rsid w:val="00102600"/>
    <w:rsid w:val="00107A37"/>
    <w:rsid w:val="00113DBE"/>
    <w:rsid w:val="0011612B"/>
    <w:rsid w:val="001276FB"/>
    <w:rsid w:val="00135956"/>
    <w:rsid w:val="001361B1"/>
    <w:rsid w:val="00141124"/>
    <w:rsid w:val="00144454"/>
    <w:rsid w:val="00150C09"/>
    <w:rsid w:val="00162748"/>
    <w:rsid w:val="001628E5"/>
    <w:rsid w:val="001636FB"/>
    <w:rsid w:val="001642A5"/>
    <w:rsid w:val="00164F68"/>
    <w:rsid w:val="0017039E"/>
    <w:rsid w:val="0017453D"/>
    <w:rsid w:val="00174DB1"/>
    <w:rsid w:val="00177232"/>
    <w:rsid w:val="00190071"/>
    <w:rsid w:val="00194E9E"/>
    <w:rsid w:val="00195971"/>
    <w:rsid w:val="001A7EB6"/>
    <w:rsid w:val="001B269A"/>
    <w:rsid w:val="001B7101"/>
    <w:rsid w:val="001B7881"/>
    <w:rsid w:val="001C0141"/>
    <w:rsid w:val="001C306B"/>
    <w:rsid w:val="001E01E9"/>
    <w:rsid w:val="001E3688"/>
    <w:rsid w:val="001E54B7"/>
    <w:rsid w:val="00202258"/>
    <w:rsid w:val="0020583B"/>
    <w:rsid w:val="00211C56"/>
    <w:rsid w:val="0022512D"/>
    <w:rsid w:val="002351E4"/>
    <w:rsid w:val="002364CC"/>
    <w:rsid w:val="00240C37"/>
    <w:rsid w:val="00240E98"/>
    <w:rsid w:val="00250C94"/>
    <w:rsid w:val="002513A7"/>
    <w:rsid w:val="00253955"/>
    <w:rsid w:val="00261C59"/>
    <w:rsid w:val="00280CFC"/>
    <w:rsid w:val="002877C3"/>
    <w:rsid w:val="002901DA"/>
    <w:rsid w:val="00290492"/>
    <w:rsid w:val="002A0E82"/>
    <w:rsid w:val="002A773E"/>
    <w:rsid w:val="002B6DAA"/>
    <w:rsid w:val="002C763F"/>
    <w:rsid w:val="002D1536"/>
    <w:rsid w:val="002D3631"/>
    <w:rsid w:val="002D755E"/>
    <w:rsid w:val="002D7C57"/>
    <w:rsid w:val="002F0D96"/>
    <w:rsid w:val="002F100B"/>
    <w:rsid w:val="002F570B"/>
    <w:rsid w:val="0030281F"/>
    <w:rsid w:val="00302FB6"/>
    <w:rsid w:val="003068E9"/>
    <w:rsid w:val="00310A80"/>
    <w:rsid w:val="003122E4"/>
    <w:rsid w:val="00315C29"/>
    <w:rsid w:val="00324430"/>
    <w:rsid w:val="0033205F"/>
    <w:rsid w:val="00333D54"/>
    <w:rsid w:val="00344ED3"/>
    <w:rsid w:val="0035781F"/>
    <w:rsid w:val="003639A7"/>
    <w:rsid w:val="00366884"/>
    <w:rsid w:val="00370097"/>
    <w:rsid w:val="003704C5"/>
    <w:rsid w:val="00374603"/>
    <w:rsid w:val="00374F04"/>
    <w:rsid w:val="00395D15"/>
    <w:rsid w:val="003A5CA6"/>
    <w:rsid w:val="003C0ADD"/>
    <w:rsid w:val="003C0FED"/>
    <w:rsid w:val="003C3291"/>
    <w:rsid w:val="003C4127"/>
    <w:rsid w:val="003C6432"/>
    <w:rsid w:val="003D6D89"/>
    <w:rsid w:val="003E03C0"/>
    <w:rsid w:val="003E090F"/>
    <w:rsid w:val="003F32FA"/>
    <w:rsid w:val="003F7AD1"/>
    <w:rsid w:val="00403A02"/>
    <w:rsid w:val="004077F4"/>
    <w:rsid w:val="0041140E"/>
    <w:rsid w:val="00422539"/>
    <w:rsid w:val="00422DAE"/>
    <w:rsid w:val="00433111"/>
    <w:rsid w:val="00453981"/>
    <w:rsid w:val="004554CC"/>
    <w:rsid w:val="00457333"/>
    <w:rsid w:val="004777B1"/>
    <w:rsid w:val="00480871"/>
    <w:rsid w:val="0049402C"/>
    <w:rsid w:val="00496B8D"/>
    <w:rsid w:val="004A0A49"/>
    <w:rsid w:val="004A3C7E"/>
    <w:rsid w:val="004B6247"/>
    <w:rsid w:val="004C0C0F"/>
    <w:rsid w:val="004D36C6"/>
    <w:rsid w:val="004D734A"/>
    <w:rsid w:val="004D7FC8"/>
    <w:rsid w:val="004E4177"/>
    <w:rsid w:val="004E6C22"/>
    <w:rsid w:val="004E7991"/>
    <w:rsid w:val="004F2DC0"/>
    <w:rsid w:val="00500DBA"/>
    <w:rsid w:val="005123F4"/>
    <w:rsid w:val="0053103F"/>
    <w:rsid w:val="00541583"/>
    <w:rsid w:val="00541876"/>
    <w:rsid w:val="005442D7"/>
    <w:rsid w:val="00545EEB"/>
    <w:rsid w:val="00546895"/>
    <w:rsid w:val="005517C6"/>
    <w:rsid w:val="00553D47"/>
    <w:rsid w:val="005554C2"/>
    <w:rsid w:val="0056081D"/>
    <w:rsid w:val="00596E44"/>
    <w:rsid w:val="005975B7"/>
    <w:rsid w:val="005A0313"/>
    <w:rsid w:val="005A3A31"/>
    <w:rsid w:val="005A5792"/>
    <w:rsid w:val="005B711D"/>
    <w:rsid w:val="005C2A49"/>
    <w:rsid w:val="005C5312"/>
    <w:rsid w:val="005C70DF"/>
    <w:rsid w:val="005D1645"/>
    <w:rsid w:val="005D324C"/>
    <w:rsid w:val="005E6984"/>
    <w:rsid w:val="005F205C"/>
    <w:rsid w:val="00602128"/>
    <w:rsid w:val="006137CB"/>
    <w:rsid w:val="00616C5B"/>
    <w:rsid w:val="0061712C"/>
    <w:rsid w:val="00620A3C"/>
    <w:rsid w:val="00626E92"/>
    <w:rsid w:val="00631796"/>
    <w:rsid w:val="0063240A"/>
    <w:rsid w:val="00636D81"/>
    <w:rsid w:val="006371AD"/>
    <w:rsid w:val="00641675"/>
    <w:rsid w:val="0064176E"/>
    <w:rsid w:val="00642FF4"/>
    <w:rsid w:val="00654123"/>
    <w:rsid w:val="00655B3F"/>
    <w:rsid w:val="00662011"/>
    <w:rsid w:val="006707EB"/>
    <w:rsid w:val="00674B93"/>
    <w:rsid w:val="0068475E"/>
    <w:rsid w:val="00691F21"/>
    <w:rsid w:val="006A28A7"/>
    <w:rsid w:val="006A4183"/>
    <w:rsid w:val="006B1083"/>
    <w:rsid w:val="006B551B"/>
    <w:rsid w:val="006C5526"/>
    <w:rsid w:val="006C79CE"/>
    <w:rsid w:val="006F0F96"/>
    <w:rsid w:val="006F6EAD"/>
    <w:rsid w:val="00700D82"/>
    <w:rsid w:val="00703C50"/>
    <w:rsid w:val="0071368A"/>
    <w:rsid w:val="00715EAE"/>
    <w:rsid w:val="00726298"/>
    <w:rsid w:val="0073426D"/>
    <w:rsid w:val="00735503"/>
    <w:rsid w:val="007360F6"/>
    <w:rsid w:val="00740AAC"/>
    <w:rsid w:val="0074708D"/>
    <w:rsid w:val="00755DF5"/>
    <w:rsid w:val="0076351C"/>
    <w:rsid w:val="00764C17"/>
    <w:rsid w:val="007654B5"/>
    <w:rsid w:val="007661F2"/>
    <w:rsid w:val="00770E58"/>
    <w:rsid w:val="00773ACE"/>
    <w:rsid w:val="007805F5"/>
    <w:rsid w:val="00782D5E"/>
    <w:rsid w:val="00784D00"/>
    <w:rsid w:val="007872FC"/>
    <w:rsid w:val="0079080E"/>
    <w:rsid w:val="00795036"/>
    <w:rsid w:val="007951B5"/>
    <w:rsid w:val="00795533"/>
    <w:rsid w:val="007A6C8B"/>
    <w:rsid w:val="007B10EE"/>
    <w:rsid w:val="007B17D3"/>
    <w:rsid w:val="007C1542"/>
    <w:rsid w:val="007C6753"/>
    <w:rsid w:val="007D4E00"/>
    <w:rsid w:val="007F03CD"/>
    <w:rsid w:val="007F236B"/>
    <w:rsid w:val="00800126"/>
    <w:rsid w:val="0080043F"/>
    <w:rsid w:val="00801715"/>
    <w:rsid w:val="00810CDF"/>
    <w:rsid w:val="00812F60"/>
    <w:rsid w:val="00814E97"/>
    <w:rsid w:val="008153EB"/>
    <w:rsid w:val="00816961"/>
    <w:rsid w:val="0082254E"/>
    <w:rsid w:val="00833553"/>
    <w:rsid w:val="00847780"/>
    <w:rsid w:val="00853BFD"/>
    <w:rsid w:val="00853C7D"/>
    <w:rsid w:val="008565CD"/>
    <w:rsid w:val="008616BD"/>
    <w:rsid w:val="00865C22"/>
    <w:rsid w:val="008708CA"/>
    <w:rsid w:val="008721C7"/>
    <w:rsid w:val="00880E55"/>
    <w:rsid w:val="00881F4F"/>
    <w:rsid w:val="008929A9"/>
    <w:rsid w:val="008A5018"/>
    <w:rsid w:val="008B07EF"/>
    <w:rsid w:val="008B0858"/>
    <w:rsid w:val="008C0C93"/>
    <w:rsid w:val="008C2907"/>
    <w:rsid w:val="008E5A47"/>
    <w:rsid w:val="008E6425"/>
    <w:rsid w:val="008F037C"/>
    <w:rsid w:val="008F55A7"/>
    <w:rsid w:val="00904EA4"/>
    <w:rsid w:val="00921A9F"/>
    <w:rsid w:val="00921CA6"/>
    <w:rsid w:val="00927B20"/>
    <w:rsid w:val="0093307A"/>
    <w:rsid w:val="00937B97"/>
    <w:rsid w:val="00941AF4"/>
    <w:rsid w:val="009508B4"/>
    <w:rsid w:val="0095216C"/>
    <w:rsid w:val="009627BC"/>
    <w:rsid w:val="00966D28"/>
    <w:rsid w:val="00971C6A"/>
    <w:rsid w:val="00972BA5"/>
    <w:rsid w:val="009731AB"/>
    <w:rsid w:val="00974B45"/>
    <w:rsid w:val="00983952"/>
    <w:rsid w:val="009A5038"/>
    <w:rsid w:val="009C230E"/>
    <w:rsid w:val="009C23A9"/>
    <w:rsid w:val="009D10A3"/>
    <w:rsid w:val="009D4420"/>
    <w:rsid w:val="009E1FA9"/>
    <w:rsid w:val="009E51EE"/>
    <w:rsid w:val="009F048B"/>
    <w:rsid w:val="00A15332"/>
    <w:rsid w:val="00A16D70"/>
    <w:rsid w:val="00A17FFD"/>
    <w:rsid w:val="00A2123A"/>
    <w:rsid w:val="00A26679"/>
    <w:rsid w:val="00A268C9"/>
    <w:rsid w:val="00A3339C"/>
    <w:rsid w:val="00A33DD6"/>
    <w:rsid w:val="00A454DE"/>
    <w:rsid w:val="00A60AAB"/>
    <w:rsid w:val="00A634B4"/>
    <w:rsid w:val="00A65256"/>
    <w:rsid w:val="00A76915"/>
    <w:rsid w:val="00A867E2"/>
    <w:rsid w:val="00A9377E"/>
    <w:rsid w:val="00A9623C"/>
    <w:rsid w:val="00AB15DD"/>
    <w:rsid w:val="00AB2B88"/>
    <w:rsid w:val="00AC2436"/>
    <w:rsid w:val="00AD7B1B"/>
    <w:rsid w:val="00AE287C"/>
    <w:rsid w:val="00AE5597"/>
    <w:rsid w:val="00B0720F"/>
    <w:rsid w:val="00B0738E"/>
    <w:rsid w:val="00B118B2"/>
    <w:rsid w:val="00B1264B"/>
    <w:rsid w:val="00B14EE6"/>
    <w:rsid w:val="00B16310"/>
    <w:rsid w:val="00B1784D"/>
    <w:rsid w:val="00B21F87"/>
    <w:rsid w:val="00B3284F"/>
    <w:rsid w:val="00B3424F"/>
    <w:rsid w:val="00B40E29"/>
    <w:rsid w:val="00B5318B"/>
    <w:rsid w:val="00B64DF3"/>
    <w:rsid w:val="00B7120C"/>
    <w:rsid w:val="00B72D20"/>
    <w:rsid w:val="00B801D9"/>
    <w:rsid w:val="00B8341B"/>
    <w:rsid w:val="00B8478A"/>
    <w:rsid w:val="00B84A85"/>
    <w:rsid w:val="00B859B7"/>
    <w:rsid w:val="00B93EC7"/>
    <w:rsid w:val="00B95D64"/>
    <w:rsid w:val="00BA3C01"/>
    <w:rsid w:val="00BA6BC2"/>
    <w:rsid w:val="00BC1327"/>
    <w:rsid w:val="00BC300D"/>
    <w:rsid w:val="00BC74C4"/>
    <w:rsid w:val="00BD0E35"/>
    <w:rsid w:val="00BD2F8E"/>
    <w:rsid w:val="00BD468D"/>
    <w:rsid w:val="00BE4545"/>
    <w:rsid w:val="00BE6F27"/>
    <w:rsid w:val="00BF09A8"/>
    <w:rsid w:val="00C021A3"/>
    <w:rsid w:val="00C04B71"/>
    <w:rsid w:val="00C05A4D"/>
    <w:rsid w:val="00C05EAC"/>
    <w:rsid w:val="00C12D95"/>
    <w:rsid w:val="00C20780"/>
    <w:rsid w:val="00C27A8D"/>
    <w:rsid w:val="00C413EC"/>
    <w:rsid w:val="00C41F22"/>
    <w:rsid w:val="00C568B3"/>
    <w:rsid w:val="00C6065E"/>
    <w:rsid w:val="00C641DB"/>
    <w:rsid w:val="00C66938"/>
    <w:rsid w:val="00C74A78"/>
    <w:rsid w:val="00C92FAB"/>
    <w:rsid w:val="00CA5B7C"/>
    <w:rsid w:val="00CA5E93"/>
    <w:rsid w:val="00CA6AB5"/>
    <w:rsid w:val="00CB4CF3"/>
    <w:rsid w:val="00CC3688"/>
    <w:rsid w:val="00CD069F"/>
    <w:rsid w:val="00CD4ADD"/>
    <w:rsid w:val="00CE5712"/>
    <w:rsid w:val="00CE6917"/>
    <w:rsid w:val="00CF176D"/>
    <w:rsid w:val="00D02572"/>
    <w:rsid w:val="00D04F87"/>
    <w:rsid w:val="00D07EA7"/>
    <w:rsid w:val="00D14481"/>
    <w:rsid w:val="00D152C0"/>
    <w:rsid w:val="00D2047B"/>
    <w:rsid w:val="00D20AA8"/>
    <w:rsid w:val="00D32DB5"/>
    <w:rsid w:val="00D35441"/>
    <w:rsid w:val="00D418F0"/>
    <w:rsid w:val="00D5166E"/>
    <w:rsid w:val="00D539CC"/>
    <w:rsid w:val="00D60866"/>
    <w:rsid w:val="00D6384D"/>
    <w:rsid w:val="00D65E7B"/>
    <w:rsid w:val="00D7285A"/>
    <w:rsid w:val="00D77BEA"/>
    <w:rsid w:val="00D8526A"/>
    <w:rsid w:val="00D90861"/>
    <w:rsid w:val="00D934AA"/>
    <w:rsid w:val="00D934B8"/>
    <w:rsid w:val="00DA0A70"/>
    <w:rsid w:val="00DA1398"/>
    <w:rsid w:val="00DA1616"/>
    <w:rsid w:val="00DC3314"/>
    <w:rsid w:val="00DF1050"/>
    <w:rsid w:val="00DF41E1"/>
    <w:rsid w:val="00E03A31"/>
    <w:rsid w:val="00E041D3"/>
    <w:rsid w:val="00E061A2"/>
    <w:rsid w:val="00E121CD"/>
    <w:rsid w:val="00E21F2D"/>
    <w:rsid w:val="00E24776"/>
    <w:rsid w:val="00E27CFA"/>
    <w:rsid w:val="00E4322E"/>
    <w:rsid w:val="00E50D2D"/>
    <w:rsid w:val="00E608F7"/>
    <w:rsid w:val="00E77B23"/>
    <w:rsid w:val="00E83B99"/>
    <w:rsid w:val="00E94662"/>
    <w:rsid w:val="00E957D8"/>
    <w:rsid w:val="00E95A08"/>
    <w:rsid w:val="00EA2A37"/>
    <w:rsid w:val="00EB5B81"/>
    <w:rsid w:val="00EC0A34"/>
    <w:rsid w:val="00ED04FE"/>
    <w:rsid w:val="00ED2589"/>
    <w:rsid w:val="00EE2738"/>
    <w:rsid w:val="00F11E13"/>
    <w:rsid w:val="00F133A4"/>
    <w:rsid w:val="00F13CDF"/>
    <w:rsid w:val="00F35227"/>
    <w:rsid w:val="00F41EC7"/>
    <w:rsid w:val="00F50444"/>
    <w:rsid w:val="00F54FC2"/>
    <w:rsid w:val="00F62724"/>
    <w:rsid w:val="00F714F7"/>
    <w:rsid w:val="00F82ABA"/>
    <w:rsid w:val="00F86AB3"/>
    <w:rsid w:val="00F90D5C"/>
    <w:rsid w:val="00F951D6"/>
    <w:rsid w:val="00F95927"/>
    <w:rsid w:val="00F97889"/>
    <w:rsid w:val="00FA4A7A"/>
    <w:rsid w:val="00FA55A5"/>
    <w:rsid w:val="00FB0974"/>
    <w:rsid w:val="00FB47DD"/>
    <w:rsid w:val="00FB71D0"/>
    <w:rsid w:val="00FD5147"/>
    <w:rsid w:val="00FE386D"/>
    <w:rsid w:val="00FE4F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31B3B5"/>
  <w15:chartTrackingRefBased/>
  <w15:docId w15:val="{26002769-A216-4FEE-851C-AE2495877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Times New Roman"/>
        <w:color w:val="000000"/>
        <w:sz w:val="22"/>
        <w:szCs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425"/>
    <w:pPr>
      <w:spacing w:after="0" w:line="249" w:lineRule="auto"/>
      <w:ind w:left="10" w:right="110" w:hanging="10"/>
      <w:jc w:val="both"/>
    </w:pPr>
    <w:rPr>
      <w:lang w:val="en-GB"/>
    </w:rPr>
  </w:style>
  <w:style w:type="paragraph" w:styleId="Heading1">
    <w:name w:val="heading 1"/>
    <w:basedOn w:val="Normal"/>
    <w:next w:val="Normal"/>
    <w:link w:val="Heading1Char"/>
    <w:uiPriority w:val="9"/>
    <w:qFormat/>
    <w:rsid w:val="00D2047B"/>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047B"/>
    <w:pPr>
      <w:keepNext/>
      <w:keepLines/>
      <w:spacing w:before="160" w:after="80"/>
      <w:outlineLvl w:val="1"/>
    </w:pPr>
    <w:rPr>
      <w:rFonts w:asciiTheme="majorHAnsi" w:hAnsiTheme="majorHAnsi" w:cstheme="majorBidi"/>
      <w:color w:val="2F5496" w:themeColor="accent1" w:themeShade="BF"/>
      <w:sz w:val="32"/>
    </w:rPr>
  </w:style>
  <w:style w:type="paragraph" w:styleId="Heading3">
    <w:name w:val="heading 3"/>
    <w:basedOn w:val="Normal"/>
    <w:next w:val="Normal"/>
    <w:link w:val="Heading3Char"/>
    <w:uiPriority w:val="9"/>
    <w:unhideWhenUsed/>
    <w:qFormat/>
    <w:rsid w:val="00D2047B"/>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047B"/>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047B"/>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2047B"/>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047B"/>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047B"/>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047B"/>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47B"/>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D2047B"/>
    <w:rPr>
      <w:rFonts w:asciiTheme="majorHAnsi" w:hAnsiTheme="majorHAnsi" w:cstheme="majorBidi"/>
      <w:color w:val="2F5496" w:themeColor="accent1" w:themeShade="BF"/>
      <w:sz w:val="32"/>
      <w:lang w:val="en-GB"/>
    </w:rPr>
  </w:style>
  <w:style w:type="character" w:customStyle="1" w:styleId="Heading3Char">
    <w:name w:val="Heading 3 Char"/>
    <w:basedOn w:val="DefaultParagraphFont"/>
    <w:link w:val="Heading3"/>
    <w:uiPriority w:val="9"/>
    <w:rsid w:val="00D2047B"/>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2047B"/>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2047B"/>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2047B"/>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2047B"/>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2047B"/>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2047B"/>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D2047B"/>
    <w:pPr>
      <w:spacing w:after="80" w:line="240" w:lineRule="auto"/>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D2047B"/>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047B"/>
    <w:pPr>
      <w:numPr>
        <w:ilvl w:val="1"/>
      </w:numPr>
      <w:ind w:left="10" w:hanging="10"/>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47B"/>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2047B"/>
    <w:pPr>
      <w:spacing w:before="160"/>
      <w:jc w:val="center"/>
    </w:pPr>
    <w:rPr>
      <w:i/>
      <w:iCs/>
      <w:color w:val="404040" w:themeColor="text1" w:themeTint="BF"/>
    </w:rPr>
  </w:style>
  <w:style w:type="character" w:customStyle="1" w:styleId="QuoteChar">
    <w:name w:val="Quote Char"/>
    <w:basedOn w:val="DefaultParagraphFont"/>
    <w:link w:val="Quote"/>
    <w:uiPriority w:val="29"/>
    <w:rsid w:val="00D2047B"/>
    <w:rPr>
      <w:i/>
      <w:iCs/>
      <w:color w:val="404040" w:themeColor="text1" w:themeTint="BF"/>
      <w:lang w:val="en-GB"/>
    </w:rPr>
  </w:style>
  <w:style w:type="paragraph" w:styleId="ListParagraph">
    <w:name w:val="List Paragraph"/>
    <w:basedOn w:val="Normal"/>
    <w:uiPriority w:val="34"/>
    <w:qFormat/>
    <w:rsid w:val="00D2047B"/>
    <w:pPr>
      <w:ind w:left="720"/>
      <w:contextualSpacing/>
    </w:pPr>
  </w:style>
  <w:style w:type="character" w:styleId="IntenseEmphasis">
    <w:name w:val="Intense Emphasis"/>
    <w:basedOn w:val="DefaultParagraphFont"/>
    <w:uiPriority w:val="21"/>
    <w:qFormat/>
    <w:rsid w:val="00D2047B"/>
    <w:rPr>
      <w:i/>
      <w:iCs/>
      <w:color w:val="2F5496" w:themeColor="accent1" w:themeShade="BF"/>
    </w:rPr>
  </w:style>
  <w:style w:type="paragraph" w:styleId="IntenseQuote">
    <w:name w:val="Intense Quote"/>
    <w:basedOn w:val="Normal"/>
    <w:next w:val="Normal"/>
    <w:link w:val="IntenseQuoteChar"/>
    <w:uiPriority w:val="30"/>
    <w:qFormat/>
    <w:rsid w:val="00D204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047B"/>
    <w:rPr>
      <w:i/>
      <w:iCs/>
      <w:color w:val="2F5496" w:themeColor="accent1" w:themeShade="BF"/>
      <w:lang w:val="en-GB"/>
    </w:rPr>
  </w:style>
  <w:style w:type="character" w:styleId="IntenseReference">
    <w:name w:val="Intense Reference"/>
    <w:basedOn w:val="DefaultParagraphFont"/>
    <w:uiPriority w:val="32"/>
    <w:qFormat/>
    <w:rsid w:val="00D2047B"/>
    <w:rPr>
      <w:b/>
      <w:bCs/>
      <w:smallCaps/>
      <w:color w:val="2F5496" w:themeColor="accent1" w:themeShade="BF"/>
      <w:spacing w:val="5"/>
    </w:rPr>
  </w:style>
  <w:style w:type="table" w:customStyle="1" w:styleId="TableGrid">
    <w:name w:val="TableGrid"/>
    <w:rsid w:val="008E6425"/>
    <w:pPr>
      <w:spacing w:after="0" w:line="240" w:lineRule="auto"/>
    </w:pPr>
    <w:rPr>
      <w:rFonts w:asciiTheme="minorHAnsi" w:eastAsiaTheme="minorEastAsia" w:hAnsiTheme="minorHAnsi" w:cstheme="minorBidi"/>
      <w:bCs/>
      <w:lang w:val="en-GB" w:eastAsia="en-GB"/>
    </w:rPr>
    <w:tblPr>
      <w:tblCellMar>
        <w:top w:w="0" w:type="dxa"/>
        <w:left w:w="0" w:type="dxa"/>
        <w:bottom w:w="0" w:type="dxa"/>
        <w:right w:w="0" w:type="dxa"/>
      </w:tblCellMar>
    </w:tblPr>
  </w:style>
  <w:style w:type="table" w:styleId="TableGrid0">
    <w:name w:val="Table Grid"/>
    <w:basedOn w:val="TableNormal"/>
    <w:uiPriority w:val="39"/>
    <w:rsid w:val="00D539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1C56"/>
    <w:rPr>
      <w:color w:val="0563C1" w:themeColor="hyperlink"/>
      <w:u w:val="single"/>
    </w:rPr>
  </w:style>
  <w:style w:type="character" w:styleId="UnresolvedMention">
    <w:name w:val="Unresolved Mention"/>
    <w:basedOn w:val="DefaultParagraphFont"/>
    <w:uiPriority w:val="99"/>
    <w:semiHidden/>
    <w:unhideWhenUsed/>
    <w:rsid w:val="00211C56"/>
    <w:rPr>
      <w:color w:val="605E5C"/>
      <w:shd w:val="clear" w:color="auto" w:fill="E1DFDD"/>
    </w:rPr>
  </w:style>
  <w:style w:type="paragraph" w:styleId="TOCHeading">
    <w:name w:val="TOC Heading"/>
    <w:basedOn w:val="Heading1"/>
    <w:next w:val="Normal"/>
    <w:uiPriority w:val="39"/>
    <w:unhideWhenUsed/>
    <w:qFormat/>
    <w:rsid w:val="00F90D5C"/>
    <w:pPr>
      <w:spacing w:before="240" w:after="0" w:line="259" w:lineRule="auto"/>
      <w:ind w:left="0" w:right="0" w:firstLine="0"/>
      <w:jc w:val="left"/>
      <w:outlineLvl w:val="9"/>
    </w:pPr>
    <w:rPr>
      <w:sz w:val="32"/>
      <w:szCs w:val="32"/>
      <w:lang w:eastAsia="en-US"/>
    </w:rPr>
  </w:style>
  <w:style w:type="paragraph" w:styleId="TOC1">
    <w:name w:val="toc 1"/>
    <w:basedOn w:val="Normal"/>
    <w:next w:val="Normal"/>
    <w:autoRedefine/>
    <w:uiPriority w:val="39"/>
    <w:unhideWhenUsed/>
    <w:rsid w:val="00F90D5C"/>
    <w:pPr>
      <w:spacing w:after="100"/>
      <w:ind w:left="0"/>
    </w:pPr>
  </w:style>
  <w:style w:type="paragraph" w:styleId="Header">
    <w:name w:val="header"/>
    <w:basedOn w:val="Normal"/>
    <w:link w:val="HeaderChar"/>
    <w:uiPriority w:val="99"/>
    <w:unhideWhenUsed/>
    <w:rsid w:val="00F90D5C"/>
    <w:pPr>
      <w:tabs>
        <w:tab w:val="center" w:pos="4680"/>
        <w:tab w:val="right" w:pos="9360"/>
      </w:tabs>
      <w:spacing w:line="240" w:lineRule="auto"/>
    </w:pPr>
  </w:style>
  <w:style w:type="character" w:customStyle="1" w:styleId="HeaderChar">
    <w:name w:val="Header Char"/>
    <w:basedOn w:val="DefaultParagraphFont"/>
    <w:link w:val="Header"/>
    <w:uiPriority w:val="99"/>
    <w:rsid w:val="00F90D5C"/>
  </w:style>
  <w:style w:type="paragraph" w:styleId="Footer">
    <w:name w:val="footer"/>
    <w:basedOn w:val="Normal"/>
    <w:link w:val="FooterChar"/>
    <w:uiPriority w:val="99"/>
    <w:unhideWhenUsed/>
    <w:rsid w:val="00F90D5C"/>
    <w:pPr>
      <w:tabs>
        <w:tab w:val="center" w:pos="4680"/>
        <w:tab w:val="right" w:pos="9360"/>
      </w:tabs>
      <w:spacing w:line="240" w:lineRule="auto"/>
    </w:pPr>
  </w:style>
  <w:style w:type="character" w:customStyle="1" w:styleId="FooterChar">
    <w:name w:val="Footer Char"/>
    <w:basedOn w:val="DefaultParagraphFont"/>
    <w:link w:val="Footer"/>
    <w:uiPriority w:val="99"/>
    <w:rsid w:val="00F90D5C"/>
  </w:style>
  <w:style w:type="paragraph" w:styleId="NormalWeb">
    <w:name w:val="Normal (Web)"/>
    <w:basedOn w:val="Normal"/>
    <w:uiPriority w:val="99"/>
    <w:semiHidden/>
    <w:unhideWhenUsed/>
    <w:rsid w:val="00C05EAC"/>
    <w:rPr>
      <w:rFonts w:ascii="Times New Roman" w:hAnsi="Times New Roman"/>
      <w:sz w:val="24"/>
      <w:szCs w:val="24"/>
    </w:rPr>
  </w:style>
  <w:style w:type="paragraph" w:styleId="Caption">
    <w:name w:val="caption"/>
    <w:basedOn w:val="Normal"/>
    <w:next w:val="Normal"/>
    <w:uiPriority w:val="35"/>
    <w:unhideWhenUsed/>
    <w:qFormat/>
    <w:rsid w:val="00FA4A7A"/>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C014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1992">
      <w:bodyDiv w:val="1"/>
      <w:marLeft w:val="0"/>
      <w:marRight w:val="0"/>
      <w:marTop w:val="0"/>
      <w:marBottom w:val="0"/>
      <w:divBdr>
        <w:top w:val="none" w:sz="0" w:space="0" w:color="auto"/>
        <w:left w:val="none" w:sz="0" w:space="0" w:color="auto"/>
        <w:bottom w:val="none" w:sz="0" w:space="0" w:color="auto"/>
        <w:right w:val="none" w:sz="0" w:space="0" w:color="auto"/>
      </w:divBdr>
    </w:div>
    <w:div w:id="89202028">
      <w:bodyDiv w:val="1"/>
      <w:marLeft w:val="0"/>
      <w:marRight w:val="0"/>
      <w:marTop w:val="0"/>
      <w:marBottom w:val="0"/>
      <w:divBdr>
        <w:top w:val="none" w:sz="0" w:space="0" w:color="auto"/>
        <w:left w:val="none" w:sz="0" w:space="0" w:color="auto"/>
        <w:bottom w:val="none" w:sz="0" w:space="0" w:color="auto"/>
        <w:right w:val="none" w:sz="0" w:space="0" w:color="auto"/>
      </w:divBdr>
    </w:div>
    <w:div w:id="107235691">
      <w:bodyDiv w:val="1"/>
      <w:marLeft w:val="0"/>
      <w:marRight w:val="0"/>
      <w:marTop w:val="0"/>
      <w:marBottom w:val="0"/>
      <w:divBdr>
        <w:top w:val="none" w:sz="0" w:space="0" w:color="auto"/>
        <w:left w:val="none" w:sz="0" w:space="0" w:color="auto"/>
        <w:bottom w:val="none" w:sz="0" w:space="0" w:color="auto"/>
        <w:right w:val="none" w:sz="0" w:space="0" w:color="auto"/>
      </w:divBdr>
    </w:div>
    <w:div w:id="144204915">
      <w:bodyDiv w:val="1"/>
      <w:marLeft w:val="0"/>
      <w:marRight w:val="0"/>
      <w:marTop w:val="0"/>
      <w:marBottom w:val="0"/>
      <w:divBdr>
        <w:top w:val="none" w:sz="0" w:space="0" w:color="auto"/>
        <w:left w:val="none" w:sz="0" w:space="0" w:color="auto"/>
        <w:bottom w:val="none" w:sz="0" w:space="0" w:color="auto"/>
        <w:right w:val="none" w:sz="0" w:space="0" w:color="auto"/>
      </w:divBdr>
    </w:div>
    <w:div w:id="145632609">
      <w:bodyDiv w:val="1"/>
      <w:marLeft w:val="0"/>
      <w:marRight w:val="0"/>
      <w:marTop w:val="0"/>
      <w:marBottom w:val="0"/>
      <w:divBdr>
        <w:top w:val="none" w:sz="0" w:space="0" w:color="auto"/>
        <w:left w:val="none" w:sz="0" w:space="0" w:color="auto"/>
        <w:bottom w:val="none" w:sz="0" w:space="0" w:color="auto"/>
        <w:right w:val="none" w:sz="0" w:space="0" w:color="auto"/>
      </w:divBdr>
    </w:div>
    <w:div w:id="153689946">
      <w:bodyDiv w:val="1"/>
      <w:marLeft w:val="0"/>
      <w:marRight w:val="0"/>
      <w:marTop w:val="0"/>
      <w:marBottom w:val="0"/>
      <w:divBdr>
        <w:top w:val="none" w:sz="0" w:space="0" w:color="auto"/>
        <w:left w:val="none" w:sz="0" w:space="0" w:color="auto"/>
        <w:bottom w:val="none" w:sz="0" w:space="0" w:color="auto"/>
        <w:right w:val="none" w:sz="0" w:space="0" w:color="auto"/>
      </w:divBdr>
    </w:div>
    <w:div w:id="166986587">
      <w:bodyDiv w:val="1"/>
      <w:marLeft w:val="0"/>
      <w:marRight w:val="0"/>
      <w:marTop w:val="0"/>
      <w:marBottom w:val="0"/>
      <w:divBdr>
        <w:top w:val="none" w:sz="0" w:space="0" w:color="auto"/>
        <w:left w:val="none" w:sz="0" w:space="0" w:color="auto"/>
        <w:bottom w:val="none" w:sz="0" w:space="0" w:color="auto"/>
        <w:right w:val="none" w:sz="0" w:space="0" w:color="auto"/>
      </w:divBdr>
    </w:div>
    <w:div w:id="191383723">
      <w:bodyDiv w:val="1"/>
      <w:marLeft w:val="0"/>
      <w:marRight w:val="0"/>
      <w:marTop w:val="0"/>
      <w:marBottom w:val="0"/>
      <w:divBdr>
        <w:top w:val="none" w:sz="0" w:space="0" w:color="auto"/>
        <w:left w:val="none" w:sz="0" w:space="0" w:color="auto"/>
        <w:bottom w:val="none" w:sz="0" w:space="0" w:color="auto"/>
        <w:right w:val="none" w:sz="0" w:space="0" w:color="auto"/>
      </w:divBdr>
      <w:divsChild>
        <w:div w:id="1924992238">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99628414">
      <w:bodyDiv w:val="1"/>
      <w:marLeft w:val="0"/>
      <w:marRight w:val="0"/>
      <w:marTop w:val="0"/>
      <w:marBottom w:val="0"/>
      <w:divBdr>
        <w:top w:val="none" w:sz="0" w:space="0" w:color="auto"/>
        <w:left w:val="none" w:sz="0" w:space="0" w:color="auto"/>
        <w:bottom w:val="none" w:sz="0" w:space="0" w:color="auto"/>
        <w:right w:val="none" w:sz="0" w:space="0" w:color="auto"/>
      </w:divBdr>
    </w:div>
    <w:div w:id="211577781">
      <w:bodyDiv w:val="1"/>
      <w:marLeft w:val="0"/>
      <w:marRight w:val="0"/>
      <w:marTop w:val="0"/>
      <w:marBottom w:val="0"/>
      <w:divBdr>
        <w:top w:val="none" w:sz="0" w:space="0" w:color="auto"/>
        <w:left w:val="none" w:sz="0" w:space="0" w:color="auto"/>
        <w:bottom w:val="none" w:sz="0" w:space="0" w:color="auto"/>
        <w:right w:val="none" w:sz="0" w:space="0" w:color="auto"/>
      </w:divBdr>
    </w:div>
    <w:div w:id="288440997">
      <w:bodyDiv w:val="1"/>
      <w:marLeft w:val="0"/>
      <w:marRight w:val="0"/>
      <w:marTop w:val="0"/>
      <w:marBottom w:val="0"/>
      <w:divBdr>
        <w:top w:val="none" w:sz="0" w:space="0" w:color="auto"/>
        <w:left w:val="none" w:sz="0" w:space="0" w:color="auto"/>
        <w:bottom w:val="none" w:sz="0" w:space="0" w:color="auto"/>
        <w:right w:val="none" w:sz="0" w:space="0" w:color="auto"/>
      </w:divBdr>
    </w:div>
    <w:div w:id="295453716">
      <w:bodyDiv w:val="1"/>
      <w:marLeft w:val="0"/>
      <w:marRight w:val="0"/>
      <w:marTop w:val="0"/>
      <w:marBottom w:val="0"/>
      <w:divBdr>
        <w:top w:val="none" w:sz="0" w:space="0" w:color="auto"/>
        <w:left w:val="none" w:sz="0" w:space="0" w:color="auto"/>
        <w:bottom w:val="none" w:sz="0" w:space="0" w:color="auto"/>
        <w:right w:val="none" w:sz="0" w:space="0" w:color="auto"/>
      </w:divBdr>
      <w:divsChild>
        <w:div w:id="142776957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372198258">
      <w:bodyDiv w:val="1"/>
      <w:marLeft w:val="0"/>
      <w:marRight w:val="0"/>
      <w:marTop w:val="0"/>
      <w:marBottom w:val="0"/>
      <w:divBdr>
        <w:top w:val="none" w:sz="0" w:space="0" w:color="auto"/>
        <w:left w:val="none" w:sz="0" w:space="0" w:color="auto"/>
        <w:bottom w:val="none" w:sz="0" w:space="0" w:color="auto"/>
        <w:right w:val="none" w:sz="0" w:space="0" w:color="auto"/>
      </w:divBdr>
    </w:div>
    <w:div w:id="375786541">
      <w:bodyDiv w:val="1"/>
      <w:marLeft w:val="0"/>
      <w:marRight w:val="0"/>
      <w:marTop w:val="0"/>
      <w:marBottom w:val="0"/>
      <w:divBdr>
        <w:top w:val="none" w:sz="0" w:space="0" w:color="auto"/>
        <w:left w:val="none" w:sz="0" w:space="0" w:color="auto"/>
        <w:bottom w:val="none" w:sz="0" w:space="0" w:color="auto"/>
        <w:right w:val="none" w:sz="0" w:space="0" w:color="auto"/>
      </w:divBdr>
    </w:div>
    <w:div w:id="509873301">
      <w:bodyDiv w:val="1"/>
      <w:marLeft w:val="0"/>
      <w:marRight w:val="0"/>
      <w:marTop w:val="0"/>
      <w:marBottom w:val="0"/>
      <w:divBdr>
        <w:top w:val="none" w:sz="0" w:space="0" w:color="auto"/>
        <w:left w:val="none" w:sz="0" w:space="0" w:color="auto"/>
        <w:bottom w:val="none" w:sz="0" w:space="0" w:color="auto"/>
        <w:right w:val="none" w:sz="0" w:space="0" w:color="auto"/>
      </w:divBdr>
    </w:div>
    <w:div w:id="510413460">
      <w:bodyDiv w:val="1"/>
      <w:marLeft w:val="0"/>
      <w:marRight w:val="0"/>
      <w:marTop w:val="0"/>
      <w:marBottom w:val="0"/>
      <w:divBdr>
        <w:top w:val="none" w:sz="0" w:space="0" w:color="auto"/>
        <w:left w:val="none" w:sz="0" w:space="0" w:color="auto"/>
        <w:bottom w:val="none" w:sz="0" w:space="0" w:color="auto"/>
        <w:right w:val="none" w:sz="0" w:space="0" w:color="auto"/>
      </w:divBdr>
    </w:div>
    <w:div w:id="578952316">
      <w:bodyDiv w:val="1"/>
      <w:marLeft w:val="0"/>
      <w:marRight w:val="0"/>
      <w:marTop w:val="0"/>
      <w:marBottom w:val="0"/>
      <w:divBdr>
        <w:top w:val="none" w:sz="0" w:space="0" w:color="auto"/>
        <w:left w:val="none" w:sz="0" w:space="0" w:color="auto"/>
        <w:bottom w:val="none" w:sz="0" w:space="0" w:color="auto"/>
        <w:right w:val="none" w:sz="0" w:space="0" w:color="auto"/>
      </w:divBdr>
    </w:div>
    <w:div w:id="583076765">
      <w:bodyDiv w:val="1"/>
      <w:marLeft w:val="0"/>
      <w:marRight w:val="0"/>
      <w:marTop w:val="0"/>
      <w:marBottom w:val="0"/>
      <w:divBdr>
        <w:top w:val="none" w:sz="0" w:space="0" w:color="auto"/>
        <w:left w:val="none" w:sz="0" w:space="0" w:color="auto"/>
        <w:bottom w:val="none" w:sz="0" w:space="0" w:color="auto"/>
        <w:right w:val="none" w:sz="0" w:space="0" w:color="auto"/>
      </w:divBdr>
    </w:div>
    <w:div w:id="605505394">
      <w:bodyDiv w:val="1"/>
      <w:marLeft w:val="0"/>
      <w:marRight w:val="0"/>
      <w:marTop w:val="0"/>
      <w:marBottom w:val="0"/>
      <w:divBdr>
        <w:top w:val="none" w:sz="0" w:space="0" w:color="auto"/>
        <w:left w:val="none" w:sz="0" w:space="0" w:color="auto"/>
        <w:bottom w:val="none" w:sz="0" w:space="0" w:color="auto"/>
        <w:right w:val="none" w:sz="0" w:space="0" w:color="auto"/>
      </w:divBdr>
    </w:div>
    <w:div w:id="645429522">
      <w:bodyDiv w:val="1"/>
      <w:marLeft w:val="0"/>
      <w:marRight w:val="0"/>
      <w:marTop w:val="0"/>
      <w:marBottom w:val="0"/>
      <w:divBdr>
        <w:top w:val="none" w:sz="0" w:space="0" w:color="auto"/>
        <w:left w:val="none" w:sz="0" w:space="0" w:color="auto"/>
        <w:bottom w:val="none" w:sz="0" w:space="0" w:color="auto"/>
        <w:right w:val="none" w:sz="0" w:space="0" w:color="auto"/>
      </w:divBdr>
    </w:div>
    <w:div w:id="646788731">
      <w:bodyDiv w:val="1"/>
      <w:marLeft w:val="0"/>
      <w:marRight w:val="0"/>
      <w:marTop w:val="0"/>
      <w:marBottom w:val="0"/>
      <w:divBdr>
        <w:top w:val="none" w:sz="0" w:space="0" w:color="auto"/>
        <w:left w:val="none" w:sz="0" w:space="0" w:color="auto"/>
        <w:bottom w:val="none" w:sz="0" w:space="0" w:color="auto"/>
        <w:right w:val="none" w:sz="0" w:space="0" w:color="auto"/>
      </w:divBdr>
    </w:div>
    <w:div w:id="685986464">
      <w:bodyDiv w:val="1"/>
      <w:marLeft w:val="0"/>
      <w:marRight w:val="0"/>
      <w:marTop w:val="0"/>
      <w:marBottom w:val="0"/>
      <w:divBdr>
        <w:top w:val="none" w:sz="0" w:space="0" w:color="auto"/>
        <w:left w:val="none" w:sz="0" w:space="0" w:color="auto"/>
        <w:bottom w:val="none" w:sz="0" w:space="0" w:color="auto"/>
        <w:right w:val="none" w:sz="0" w:space="0" w:color="auto"/>
      </w:divBdr>
    </w:div>
    <w:div w:id="716010480">
      <w:bodyDiv w:val="1"/>
      <w:marLeft w:val="0"/>
      <w:marRight w:val="0"/>
      <w:marTop w:val="0"/>
      <w:marBottom w:val="0"/>
      <w:divBdr>
        <w:top w:val="none" w:sz="0" w:space="0" w:color="auto"/>
        <w:left w:val="none" w:sz="0" w:space="0" w:color="auto"/>
        <w:bottom w:val="none" w:sz="0" w:space="0" w:color="auto"/>
        <w:right w:val="none" w:sz="0" w:space="0" w:color="auto"/>
      </w:divBdr>
    </w:div>
    <w:div w:id="778333565">
      <w:bodyDiv w:val="1"/>
      <w:marLeft w:val="0"/>
      <w:marRight w:val="0"/>
      <w:marTop w:val="0"/>
      <w:marBottom w:val="0"/>
      <w:divBdr>
        <w:top w:val="none" w:sz="0" w:space="0" w:color="auto"/>
        <w:left w:val="none" w:sz="0" w:space="0" w:color="auto"/>
        <w:bottom w:val="none" w:sz="0" w:space="0" w:color="auto"/>
        <w:right w:val="none" w:sz="0" w:space="0" w:color="auto"/>
      </w:divBdr>
    </w:div>
    <w:div w:id="792865312">
      <w:bodyDiv w:val="1"/>
      <w:marLeft w:val="0"/>
      <w:marRight w:val="0"/>
      <w:marTop w:val="0"/>
      <w:marBottom w:val="0"/>
      <w:divBdr>
        <w:top w:val="none" w:sz="0" w:space="0" w:color="auto"/>
        <w:left w:val="none" w:sz="0" w:space="0" w:color="auto"/>
        <w:bottom w:val="none" w:sz="0" w:space="0" w:color="auto"/>
        <w:right w:val="none" w:sz="0" w:space="0" w:color="auto"/>
      </w:divBdr>
    </w:div>
    <w:div w:id="941886198">
      <w:bodyDiv w:val="1"/>
      <w:marLeft w:val="0"/>
      <w:marRight w:val="0"/>
      <w:marTop w:val="0"/>
      <w:marBottom w:val="0"/>
      <w:divBdr>
        <w:top w:val="none" w:sz="0" w:space="0" w:color="auto"/>
        <w:left w:val="none" w:sz="0" w:space="0" w:color="auto"/>
        <w:bottom w:val="none" w:sz="0" w:space="0" w:color="auto"/>
        <w:right w:val="none" w:sz="0" w:space="0" w:color="auto"/>
      </w:divBdr>
    </w:div>
    <w:div w:id="980116035">
      <w:bodyDiv w:val="1"/>
      <w:marLeft w:val="0"/>
      <w:marRight w:val="0"/>
      <w:marTop w:val="0"/>
      <w:marBottom w:val="0"/>
      <w:divBdr>
        <w:top w:val="none" w:sz="0" w:space="0" w:color="auto"/>
        <w:left w:val="none" w:sz="0" w:space="0" w:color="auto"/>
        <w:bottom w:val="none" w:sz="0" w:space="0" w:color="auto"/>
        <w:right w:val="none" w:sz="0" w:space="0" w:color="auto"/>
      </w:divBdr>
    </w:div>
    <w:div w:id="1000811637">
      <w:bodyDiv w:val="1"/>
      <w:marLeft w:val="0"/>
      <w:marRight w:val="0"/>
      <w:marTop w:val="0"/>
      <w:marBottom w:val="0"/>
      <w:divBdr>
        <w:top w:val="none" w:sz="0" w:space="0" w:color="auto"/>
        <w:left w:val="none" w:sz="0" w:space="0" w:color="auto"/>
        <w:bottom w:val="none" w:sz="0" w:space="0" w:color="auto"/>
        <w:right w:val="none" w:sz="0" w:space="0" w:color="auto"/>
      </w:divBdr>
      <w:divsChild>
        <w:div w:id="1233853100">
          <w:marLeft w:val="0"/>
          <w:marRight w:val="0"/>
          <w:marTop w:val="0"/>
          <w:marBottom w:val="0"/>
          <w:divBdr>
            <w:top w:val="none" w:sz="0" w:space="0" w:color="auto"/>
            <w:left w:val="none" w:sz="0" w:space="0" w:color="auto"/>
            <w:bottom w:val="none" w:sz="0" w:space="0" w:color="auto"/>
            <w:right w:val="none" w:sz="0" w:space="0" w:color="auto"/>
          </w:divBdr>
        </w:div>
      </w:divsChild>
    </w:div>
    <w:div w:id="1010719935">
      <w:bodyDiv w:val="1"/>
      <w:marLeft w:val="0"/>
      <w:marRight w:val="0"/>
      <w:marTop w:val="0"/>
      <w:marBottom w:val="0"/>
      <w:divBdr>
        <w:top w:val="none" w:sz="0" w:space="0" w:color="auto"/>
        <w:left w:val="none" w:sz="0" w:space="0" w:color="auto"/>
        <w:bottom w:val="none" w:sz="0" w:space="0" w:color="auto"/>
        <w:right w:val="none" w:sz="0" w:space="0" w:color="auto"/>
      </w:divBdr>
    </w:div>
    <w:div w:id="1029912750">
      <w:bodyDiv w:val="1"/>
      <w:marLeft w:val="0"/>
      <w:marRight w:val="0"/>
      <w:marTop w:val="0"/>
      <w:marBottom w:val="0"/>
      <w:divBdr>
        <w:top w:val="none" w:sz="0" w:space="0" w:color="auto"/>
        <w:left w:val="none" w:sz="0" w:space="0" w:color="auto"/>
        <w:bottom w:val="none" w:sz="0" w:space="0" w:color="auto"/>
        <w:right w:val="none" w:sz="0" w:space="0" w:color="auto"/>
      </w:divBdr>
    </w:div>
    <w:div w:id="1045329874">
      <w:bodyDiv w:val="1"/>
      <w:marLeft w:val="0"/>
      <w:marRight w:val="0"/>
      <w:marTop w:val="0"/>
      <w:marBottom w:val="0"/>
      <w:divBdr>
        <w:top w:val="none" w:sz="0" w:space="0" w:color="auto"/>
        <w:left w:val="none" w:sz="0" w:space="0" w:color="auto"/>
        <w:bottom w:val="none" w:sz="0" w:space="0" w:color="auto"/>
        <w:right w:val="none" w:sz="0" w:space="0" w:color="auto"/>
      </w:divBdr>
    </w:div>
    <w:div w:id="1049497105">
      <w:bodyDiv w:val="1"/>
      <w:marLeft w:val="0"/>
      <w:marRight w:val="0"/>
      <w:marTop w:val="0"/>
      <w:marBottom w:val="0"/>
      <w:divBdr>
        <w:top w:val="none" w:sz="0" w:space="0" w:color="auto"/>
        <w:left w:val="none" w:sz="0" w:space="0" w:color="auto"/>
        <w:bottom w:val="none" w:sz="0" w:space="0" w:color="auto"/>
        <w:right w:val="none" w:sz="0" w:space="0" w:color="auto"/>
      </w:divBdr>
    </w:div>
    <w:div w:id="1231650116">
      <w:bodyDiv w:val="1"/>
      <w:marLeft w:val="0"/>
      <w:marRight w:val="0"/>
      <w:marTop w:val="0"/>
      <w:marBottom w:val="0"/>
      <w:divBdr>
        <w:top w:val="none" w:sz="0" w:space="0" w:color="auto"/>
        <w:left w:val="none" w:sz="0" w:space="0" w:color="auto"/>
        <w:bottom w:val="none" w:sz="0" w:space="0" w:color="auto"/>
        <w:right w:val="none" w:sz="0" w:space="0" w:color="auto"/>
      </w:divBdr>
    </w:div>
    <w:div w:id="1236667686">
      <w:bodyDiv w:val="1"/>
      <w:marLeft w:val="0"/>
      <w:marRight w:val="0"/>
      <w:marTop w:val="0"/>
      <w:marBottom w:val="0"/>
      <w:divBdr>
        <w:top w:val="none" w:sz="0" w:space="0" w:color="auto"/>
        <w:left w:val="none" w:sz="0" w:space="0" w:color="auto"/>
        <w:bottom w:val="none" w:sz="0" w:space="0" w:color="auto"/>
        <w:right w:val="none" w:sz="0" w:space="0" w:color="auto"/>
      </w:divBdr>
    </w:div>
    <w:div w:id="1294750743">
      <w:bodyDiv w:val="1"/>
      <w:marLeft w:val="0"/>
      <w:marRight w:val="0"/>
      <w:marTop w:val="0"/>
      <w:marBottom w:val="0"/>
      <w:divBdr>
        <w:top w:val="none" w:sz="0" w:space="0" w:color="auto"/>
        <w:left w:val="none" w:sz="0" w:space="0" w:color="auto"/>
        <w:bottom w:val="none" w:sz="0" w:space="0" w:color="auto"/>
        <w:right w:val="none" w:sz="0" w:space="0" w:color="auto"/>
      </w:divBdr>
    </w:div>
    <w:div w:id="1339310601">
      <w:bodyDiv w:val="1"/>
      <w:marLeft w:val="0"/>
      <w:marRight w:val="0"/>
      <w:marTop w:val="0"/>
      <w:marBottom w:val="0"/>
      <w:divBdr>
        <w:top w:val="none" w:sz="0" w:space="0" w:color="auto"/>
        <w:left w:val="none" w:sz="0" w:space="0" w:color="auto"/>
        <w:bottom w:val="none" w:sz="0" w:space="0" w:color="auto"/>
        <w:right w:val="none" w:sz="0" w:space="0" w:color="auto"/>
      </w:divBdr>
    </w:div>
    <w:div w:id="1370766362">
      <w:bodyDiv w:val="1"/>
      <w:marLeft w:val="0"/>
      <w:marRight w:val="0"/>
      <w:marTop w:val="0"/>
      <w:marBottom w:val="0"/>
      <w:divBdr>
        <w:top w:val="none" w:sz="0" w:space="0" w:color="auto"/>
        <w:left w:val="none" w:sz="0" w:space="0" w:color="auto"/>
        <w:bottom w:val="none" w:sz="0" w:space="0" w:color="auto"/>
        <w:right w:val="none" w:sz="0" w:space="0" w:color="auto"/>
      </w:divBdr>
      <w:divsChild>
        <w:div w:id="2130856277">
          <w:marLeft w:val="0"/>
          <w:marRight w:val="0"/>
          <w:marTop w:val="0"/>
          <w:marBottom w:val="0"/>
          <w:divBdr>
            <w:top w:val="none" w:sz="0" w:space="0" w:color="auto"/>
            <w:left w:val="none" w:sz="0" w:space="0" w:color="auto"/>
            <w:bottom w:val="none" w:sz="0" w:space="0" w:color="auto"/>
            <w:right w:val="none" w:sz="0" w:space="0" w:color="auto"/>
          </w:divBdr>
        </w:div>
      </w:divsChild>
    </w:div>
    <w:div w:id="1388602814">
      <w:bodyDiv w:val="1"/>
      <w:marLeft w:val="0"/>
      <w:marRight w:val="0"/>
      <w:marTop w:val="0"/>
      <w:marBottom w:val="0"/>
      <w:divBdr>
        <w:top w:val="none" w:sz="0" w:space="0" w:color="auto"/>
        <w:left w:val="none" w:sz="0" w:space="0" w:color="auto"/>
        <w:bottom w:val="none" w:sz="0" w:space="0" w:color="auto"/>
        <w:right w:val="none" w:sz="0" w:space="0" w:color="auto"/>
      </w:divBdr>
    </w:div>
    <w:div w:id="1400254055">
      <w:bodyDiv w:val="1"/>
      <w:marLeft w:val="0"/>
      <w:marRight w:val="0"/>
      <w:marTop w:val="0"/>
      <w:marBottom w:val="0"/>
      <w:divBdr>
        <w:top w:val="none" w:sz="0" w:space="0" w:color="auto"/>
        <w:left w:val="none" w:sz="0" w:space="0" w:color="auto"/>
        <w:bottom w:val="none" w:sz="0" w:space="0" w:color="auto"/>
        <w:right w:val="none" w:sz="0" w:space="0" w:color="auto"/>
      </w:divBdr>
    </w:div>
    <w:div w:id="1417706902">
      <w:bodyDiv w:val="1"/>
      <w:marLeft w:val="0"/>
      <w:marRight w:val="0"/>
      <w:marTop w:val="0"/>
      <w:marBottom w:val="0"/>
      <w:divBdr>
        <w:top w:val="none" w:sz="0" w:space="0" w:color="auto"/>
        <w:left w:val="none" w:sz="0" w:space="0" w:color="auto"/>
        <w:bottom w:val="none" w:sz="0" w:space="0" w:color="auto"/>
        <w:right w:val="none" w:sz="0" w:space="0" w:color="auto"/>
      </w:divBdr>
    </w:div>
    <w:div w:id="1546672552">
      <w:bodyDiv w:val="1"/>
      <w:marLeft w:val="0"/>
      <w:marRight w:val="0"/>
      <w:marTop w:val="0"/>
      <w:marBottom w:val="0"/>
      <w:divBdr>
        <w:top w:val="none" w:sz="0" w:space="0" w:color="auto"/>
        <w:left w:val="none" w:sz="0" w:space="0" w:color="auto"/>
        <w:bottom w:val="none" w:sz="0" w:space="0" w:color="auto"/>
        <w:right w:val="none" w:sz="0" w:space="0" w:color="auto"/>
      </w:divBdr>
    </w:div>
    <w:div w:id="1614824851">
      <w:bodyDiv w:val="1"/>
      <w:marLeft w:val="0"/>
      <w:marRight w:val="0"/>
      <w:marTop w:val="0"/>
      <w:marBottom w:val="0"/>
      <w:divBdr>
        <w:top w:val="none" w:sz="0" w:space="0" w:color="auto"/>
        <w:left w:val="none" w:sz="0" w:space="0" w:color="auto"/>
        <w:bottom w:val="none" w:sz="0" w:space="0" w:color="auto"/>
        <w:right w:val="none" w:sz="0" w:space="0" w:color="auto"/>
      </w:divBdr>
    </w:div>
    <w:div w:id="1668709505">
      <w:bodyDiv w:val="1"/>
      <w:marLeft w:val="0"/>
      <w:marRight w:val="0"/>
      <w:marTop w:val="0"/>
      <w:marBottom w:val="0"/>
      <w:divBdr>
        <w:top w:val="none" w:sz="0" w:space="0" w:color="auto"/>
        <w:left w:val="none" w:sz="0" w:space="0" w:color="auto"/>
        <w:bottom w:val="none" w:sz="0" w:space="0" w:color="auto"/>
        <w:right w:val="none" w:sz="0" w:space="0" w:color="auto"/>
      </w:divBdr>
    </w:div>
    <w:div w:id="1670012670">
      <w:bodyDiv w:val="1"/>
      <w:marLeft w:val="0"/>
      <w:marRight w:val="0"/>
      <w:marTop w:val="0"/>
      <w:marBottom w:val="0"/>
      <w:divBdr>
        <w:top w:val="none" w:sz="0" w:space="0" w:color="auto"/>
        <w:left w:val="none" w:sz="0" w:space="0" w:color="auto"/>
        <w:bottom w:val="none" w:sz="0" w:space="0" w:color="auto"/>
        <w:right w:val="none" w:sz="0" w:space="0" w:color="auto"/>
      </w:divBdr>
    </w:div>
    <w:div w:id="1682005062">
      <w:bodyDiv w:val="1"/>
      <w:marLeft w:val="0"/>
      <w:marRight w:val="0"/>
      <w:marTop w:val="0"/>
      <w:marBottom w:val="0"/>
      <w:divBdr>
        <w:top w:val="none" w:sz="0" w:space="0" w:color="auto"/>
        <w:left w:val="none" w:sz="0" w:space="0" w:color="auto"/>
        <w:bottom w:val="none" w:sz="0" w:space="0" w:color="auto"/>
        <w:right w:val="none" w:sz="0" w:space="0" w:color="auto"/>
      </w:divBdr>
    </w:div>
    <w:div w:id="1684356445">
      <w:bodyDiv w:val="1"/>
      <w:marLeft w:val="0"/>
      <w:marRight w:val="0"/>
      <w:marTop w:val="0"/>
      <w:marBottom w:val="0"/>
      <w:divBdr>
        <w:top w:val="none" w:sz="0" w:space="0" w:color="auto"/>
        <w:left w:val="none" w:sz="0" w:space="0" w:color="auto"/>
        <w:bottom w:val="none" w:sz="0" w:space="0" w:color="auto"/>
        <w:right w:val="none" w:sz="0" w:space="0" w:color="auto"/>
      </w:divBdr>
    </w:div>
    <w:div w:id="1735086287">
      <w:bodyDiv w:val="1"/>
      <w:marLeft w:val="0"/>
      <w:marRight w:val="0"/>
      <w:marTop w:val="0"/>
      <w:marBottom w:val="0"/>
      <w:divBdr>
        <w:top w:val="none" w:sz="0" w:space="0" w:color="auto"/>
        <w:left w:val="none" w:sz="0" w:space="0" w:color="auto"/>
        <w:bottom w:val="none" w:sz="0" w:space="0" w:color="auto"/>
        <w:right w:val="none" w:sz="0" w:space="0" w:color="auto"/>
      </w:divBdr>
    </w:div>
    <w:div w:id="1774084646">
      <w:bodyDiv w:val="1"/>
      <w:marLeft w:val="0"/>
      <w:marRight w:val="0"/>
      <w:marTop w:val="0"/>
      <w:marBottom w:val="0"/>
      <w:divBdr>
        <w:top w:val="none" w:sz="0" w:space="0" w:color="auto"/>
        <w:left w:val="none" w:sz="0" w:space="0" w:color="auto"/>
        <w:bottom w:val="none" w:sz="0" w:space="0" w:color="auto"/>
        <w:right w:val="none" w:sz="0" w:space="0" w:color="auto"/>
      </w:divBdr>
    </w:div>
    <w:div w:id="1797289504">
      <w:bodyDiv w:val="1"/>
      <w:marLeft w:val="0"/>
      <w:marRight w:val="0"/>
      <w:marTop w:val="0"/>
      <w:marBottom w:val="0"/>
      <w:divBdr>
        <w:top w:val="none" w:sz="0" w:space="0" w:color="auto"/>
        <w:left w:val="none" w:sz="0" w:space="0" w:color="auto"/>
        <w:bottom w:val="none" w:sz="0" w:space="0" w:color="auto"/>
        <w:right w:val="none" w:sz="0" w:space="0" w:color="auto"/>
      </w:divBdr>
      <w:divsChild>
        <w:div w:id="1068383866">
          <w:marLeft w:val="0"/>
          <w:marRight w:val="0"/>
          <w:marTop w:val="0"/>
          <w:marBottom w:val="0"/>
          <w:divBdr>
            <w:top w:val="none" w:sz="0" w:space="0" w:color="auto"/>
            <w:left w:val="none" w:sz="0" w:space="0" w:color="auto"/>
            <w:bottom w:val="none" w:sz="0" w:space="0" w:color="auto"/>
            <w:right w:val="none" w:sz="0" w:space="0" w:color="auto"/>
          </w:divBdr>
          <w:divsChild>
            <w:div w:id="711804047">
              <w:marLeft w:val="0"/>
              <w:marRight w:val="0"/>
              <w:marTop w:val="0"/>
              <w:marBottom w:val="0"/>
              <w:divBdr>
                <w:top w:val="none" w:sz="0" w:space="0" w:color="auto"/>
                <w:left w:val="none" w:sz="0" w:space="0" w:color="auto"/>
                <w:bottom w:val="none" w:sz="0" w:space="0" w:color="auto"/>
                <w:right w:val="none" w:sz="0" w:space="0" w:color="auto"/>
              </w:divBdr>
              <w:divsChild>
                <w:div w:id="1913661350">
                  <w:marLeft w:val="0"/>
                  <w:marRight w:val="0"/>
                  <w:marTop w:val="0"/>
                  <w:marBottom w:val="0"/>
                  <w:divBdr>
                    <w:top w:val="none" w:sz="0" w:space="0" w:color="auto"/>
                    <w:left w:val="none" w:sz="0" w:space="0" w:color="auto"/>
                    <w:bottom w:val="none" w:sz="0" w:space="0" w:color="auto"/>
                    <w:right w:val="none" w:sz="0" w:space="0" w:color="auto"/>
                  </w:divBdr>
                  <w:divsChild>
                    <w:div w:id="453253815">
                      <w:marLeft w:val="0"/>
                      <w:marRight w:val="0"/>
                      <w:marTop w:val="0"/>
                      <w:marBottom w:val="0"/>
                      <w:divBdr>
                        <w:top w:val="none" w:sz="0" w:space="0" w:color="auto"/>
                        <w:left w:val="none" w:sz="0" w:space="0" w:color="auto"/>
                        <w:bottom w:val="none" w:sz="0" w:space="0" w:color="auto"/>
                        <w:right w:val="none" w:sz="0" w:space="0" w:color="auto"/>
                      </w:divBdr>
                      <w:divsChild>
                        <w:div w:id="153203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6578093">
      <w:bodyDiv w:val="1"/>
      <w:marLeft w:val="0"/>
      <w:marRight w:val="0"/>
      <w:marTop w:val="0"/>
      <w:marBottom w:val="0"/>
      <w:divBdr>
        <w:top w:val="none" w:sz="0" w:space="0" w:color="auto"/>
        <w:left w:val="none" w:sz="0" w:space="0" w:color="auto"/>
        <w:bottom w:val="none" w:sz="0" w:space="0" w:color="auto"/>
        <w:right w:val="none" w:sz="0" w:space="0" w:color="auto"/>
      </w:divBdr>
    </w:div>
    <w:div w:id="1815413719">
      <w:bodyDiv w:val="1"/>
      <w:marLeft w:val="0"/>
      <w:marRight w:val="0"/>
      <w:marTop w:val="0"/>
      <w:marBottom w:val="0"/>
      <w:divBdr>
        <w:top w:val="none" w:sz="0" w:space="0" w:color="auto"/>
        <w:left w:val="none" w:sz="0" w:space="0" w:color="auto"/>
        <w:bottom w:val="none" w:sz="0" w:space="0" w:color="auto"/>
        <w:right w:val="none" w:sz="0" w:space="0" w:color="auto"/>
      </w:divBdr>
    </w:div>
    <w:div w:id="1836066508">
      <w:bodyDiv w:val="1"/>
      <w:marLeft w:val="0"/>
      <w:marRight w:val="0"/>
      <w:marTop w:val="0"/>
      <w:marBottom w:val="0"/>
      <w:divBdr>
        <w:top w:val="none" w:sz="0" w:space="0" w:color="auto"/>
        <w:left w:val="none" w:sz="0" w:space="0" w:color="auto"/>
        <w:bottom w:val="none" w:sz="0" w:space="0" w:color="auto"/>
        <w:right w:val="none" w:sz="0" w:space="0" w:color="auto"/>
      </w:divBdr>
    </w:div>
    <w:div w:id="1904103641">
      <w:bodyDiv w:val="1"/>
      <w:marLeft w:val="0"/>
      <w:marRight w:val="0"/>
      <w:marTop w:val="0"/>
      <w:marBottom w:val="0"/>
      <w:divBdr>
        <w:top w:val="none" w:sz="0" w:space="0" w:color="auto"/>
        <w:left w:val="none" w:sz="0" w:space="0" w:color="auto"/>
        <w:bottom w:val="none" w:sz="0" w:space="0" w:color="auto"/>
        <w:right w:val="none" w:sz="0" w:space="0" w:color="auto"/>
      </w:divBdr>
    </w:div>
    <w:div w:id="1914774412">
      <w:bodyDiv w:val="1"/>
      <w:marLeft w:val="0"/>
      <w:marRight w:val="0"/>
      <w:marTop w:val="0"/>
      <w:marBottom w:val="0"/>
      <w:divBdr>
        <w:top w:val="none" w:sz="0" w:space="0" w:color="auto"/>
        <w:left w:val="none" w:sz="0" w:space="0" w:color="auto"/>
        <w:bottom w:val="none" w:sz="0" w:space="0" w:color="auto"/>
        <w:right w:val="none" w:sz="0" w:space="0" w:color="auto"/>
      </w:divBdr>
    </w:div>
    <w:div w:id="1918589813">
      <w:bodyDiv w:val="1"/>
      <w:marLeft w:val="0"/>
      <w:marRight w:val="0"/>
      <w:marTop w:val="0"/>
      <w:marBottom w:val="0"/>
      <w:divBdr>
        <w:top w:val="none" w:sz="0" w:space="0" w:color="auto"/>
        <w:left w:val="none" w:sz="0" w:space="0" w:color="auto"/>
        <w:bottom w:val="none" w:sz="0" w:space="0" w:color="auto"/>
        <w:right w:val="none" w:sz="0" w:space="0" w:color="auto"/>
      </w:divBdr>
    </w:div>
    <w:div w:id="1929729012">
      <w:bodyDiv w:val="1"/>
      <w:marLeft w:val="0"/>
      <w:marRight w:val="0"/>
      <w:marTop w:val="0"/>
      <w:marBottom w:val="0"/>
      <w:divBdr>
        <w:top w:val="none" w:sz="0" w:space="0" w:color="auto"/>
        <w:left w:val="none" w:sz="0" w:space="0" w:color="auto"/>
        <w:bottom w:val="none" w:sz="0" w:space="0" w:color="auto"/>
        <w:right w:val="none" w:sz="0" w:space="0" w:color="auto"/>
      </w:divBdr>
    </w:div>
    <w:div w:id="1978756895">
      <w:bodyDiv w:val="1"/>
      <w:marLeft w:val="0"/>
      <w:marRight w:val="0"/>
      <w:marTop w:val="0"/>
      <w:marBottom w:val="0"/>
      <w:divBdr>
        <w:top w:val="none" w:sz="0" w:space="0" w:color="auto"/>
        <w:left w:val="none" w:sz="0" w:space="0" w:color="auto"/>
        <w:bottom w:val="none" w:sz="0" w:space="0" w:color="auto"/>
        <w:right w:val="none" w:sz="0" w:space="0" w:color="auto"/>
      </w:divBdr>
    </w:div>
    <w:div w:id="2031058791">
      <w:bodyDiv w:val="1"/>
      <w:marLeft w:val="0"/>
      <w:marRight w:val="0"/>
      <w:marTop w:val="0"/>
      <w:marBottom w:val="0"/>
      <w:divBdr>
        <w:top w:val="none" w:sz="0" w:space="0" w:color="auto"/>
        <w:left w:val="none" w:sz="0" w:space="0" w:color="auto"/>
        <w:bottom w:val="none" w:sz="0" w:space="0" w:color="auto"/>
        <w:right w:val="none" w:sz="0" w:space="0" w:color="auto"/>
      </w:divBdr>
    </w:div>
    <w:div w:id="2078235430">
      <w:bodyDiv w:val="1"/>
      <w:marLeft w:val="0"/>
      <w:marRight w:val="0"/>
      <w:marTop w:val="0"/>
      <w:marBottom w:val="0"/>
      <w:divBdr>
        <w:top w:val="none" w:sz="0" w:space="0" w:color="auto"/>
        <w:left w:val="none" w:sz="0" w:space="0" w:color="auto"/>
        <w:bottom w:val="none" w:sz="0" w:space="0" w:color="auto"/>
        <w:right w:val="none" w:sz="0" w:space="0" w:color="auto"/>
      </w:divBdr>
    </w:div>
    <w:div w:id="2080863194">
      <w:bodyDiv w:val="1"/>
      <w:marLeft w:val="0"/>
      <w:marRight w:val="0"/>
      <w:marTop w:val="0"/>
      <w:marBottom w:val="0"/>
      <w:divBdr>
        <w:top w:val="none" w:sz="0" w:space="0" w:color="auto"/>
        <w:left w:val="none" w:sz="0" w:space="0" w:color="auto"/>
        <w:bottom w:val="none" w:sz="0" w:space="0" w:color="auto"/>
        <w:right w:val="none" w:sz="0" w:space="0" w:color="auto"/>
      </w:divBdr>
      <w:divsChild>
        <w:div w:id="127557135">
          <w:marLeft w:val="0"/>
          <w:marRight w:val="0"/>
          <w:marTop w:val="0"/>
          <w:marBottom w:val="0"/>
          <w:divBdr>
            <w:top w:val="none" w:sz="0" w:space="0" w:color="auto"/>
            <w:left w:val="none" w:sz="0" w:space="0" w:color="auto"/>
            <w:bottom w:val="none" w:sz="0" w:space="0" w:color="auto"/>
            <w:right w:val="none" w:sz="0" w:space="0" w:color="auto"/>
          </w:divBdr>
          <w:divsChild>
            <w:div w:id="568926234">
              <w:marLeft w:val="0"/>
              <w:marRight w:val="0"/>
              <w:marTop w:val="0"/>
              <w:marBottom w:val="0"/>
              <w:divBdr>
                <w:top w:val="none" w:sz="0" w:space="0" w:color="auto"/>
                <w:left w:val="none" w:sz="0" w:space="0" w:color="auto"/>
                <w:bottom w:val="none" w:sz="0" w:space="0" w:color="auto"/>
                <w:right w:val="none" w:sz="0" w:space="0" w:color="auto"/>
              </w:divBdr>
              <w:divsChild>
                <w:div w:id="1098673013">
                  <w:marLeft w:val="0"/>
                  <w:marRight w:val="0"/>
                  <w:marTop w:val="0"/>
                  <w:marBottom w:val="0"/>
                  <w:divBdr>
                    <w:top w:val="none" w:sz="0" w:space="0" w:color="auto"/>
                    <w:left w:val="none" w:sz="0" w:space="0" w:color="auto"/>
                    <w:bottom w:val="none" w:sz="0" w:space="0" w:color="auto"/>
                    <w:right w:val="none" w:sz="0" w:space="0" w:color="auto"/>
                  </w:divBdr>
                  <w:divsChild>
                    <w:div w:id="982586451">
                      <w:marLeft w:val="0"/>
                      <w:marRight w:val="0"/>
                      <w:marTop w:val="0"/>
                      <w:marBottom w:val="0"/>
                      <w:divBdr>
                        <w:top w:val="none" w:sz="0" w:space="0" w:color="auto"/>
                        <w:left w:val="none" w:sz="0" w:space="0" w:color="auto"/>
                        <w:bottom w:val="none" w:sz="0" w:space="0" w:color="auto"/>
                        <w:right w:val="none" w:sz="0" w:space="0" w:color="auto"/>
                      </w:divBdr>
                      <w:divsChild>
                        <w:div w:id="132442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confed.org/publications/digital-transformation-nhs-reference-gu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dgth.2024.145784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hyperlink" Target="https://doi.org/10.1186/s12909-020-02440-7" TargetMode="External"/><Relationship Id="rId10" Type="http://schemas.openxmlformats.org/officeDocument/2006/relationships/hyperlink" Target="https://doi.org/10.1057/s41599-022-01427-7"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1016/j.jnr.2025.08.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5B612-C6D2-4016-9FF1-55C5771536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5381</Words>
  <Characters>35034</Characters>
  <Application>Microsoft Office Word</Application>
  <DocSecurity>0</DocSecurity>
  <Lines>291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Thaira Bano (2328508)</cp:lastModifiedBy>
  <cp:revision>5</cp:revision>
  <dcterms:created xsi:type="dcterms:W3CDTF">2026-03-10T12:02:00Z</dcterms:created>
  <dcterms:modified xsi:type="dcterms:W3CDTF">2026-03-11T14:37:00Z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6d53dc1b-71e4-4290-8832-a5151b86e7c2</vt:lpwstr>
  </property>
</Properties>
</file>