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mbria" w:cs="Cambria" w:eastAsia="Cambria" w:hAnsi="Cambria"/>
          <w:b w:val="0"/>
          <w:i w:val="0"/>
          <w:smallCaps w:val="0"/>
          <w:strike w:val="0"/>
          <w:color w:val="000000"/>
          <w:sz w:val="72"/>
          <w:szCs w:val="7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mc:AlternateContent>
          <mc:Choice Requires="wpg">
            <w:drawing>
              <wp:anchor allowOverlap="1" behindDoc="0" distB="0" distT="0" distL="114300" distR="114300" hidden="0" layoutInCell="1" locked="0" relativeHeight="0" simplePos="0">
                <wp:simplePos x="0" y="0"/>
                <wp:positionH relativeFrom="page">
                  <wp:align>center</wp:align>
                </wp:positionH>
                <wp:positionV relativeFrom="page">
                  <wp:align>bottom</wp:align>
                </wp:positionV>
                <wp:extent cx="8170545" cy="827405"/>
                <wp:effectExtent b="0" l="0" r="0" t="0"/>
                <wp:wrapNone/>
                <wp:docPr id="12" name=""/>
                <a:graphic>
                  <a:graphicData uri="http://schemas.microsoft.com/office/word/2010/wordprocessingShape">
                    <wps:wsp>
                      <wps:cNvSpPr/>
                      <wps:cNvPr id="3" name="Shape 3"/>
                      <wps:spPr>
                        <a:xfrm>
                          <a:off x="1265490" y="3371060"/>
                          <a:ext cx="8161020" cy="817880"/>
                        </a:xfrm>
                        <a:prstGeom prst="rect">
                          <a:avLst/>
                        </a:prstGeom>
                        <a:solidFill>
                          <a:schemeClr val="accent5"/>
                        </a:solidFill>
                        <a:ln cap="flat" cmpd="sng" w="9525">
                          <a:solidFill>
                            <a:schemeClr val="accen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page">
                  <wp:align>center</wp:align>
                </wp:positionH>
                <wp:positionV relativeFrom="page">
                  <wp:align>bottom</wp:align>
                </wp:positionV>
                <wp:extent cx="8170545" cy="827405"/>
                <wp:effectExtent b="0" l="0" r="0" t="0"/>
                <wp:wrapNone/>
                <wp:docPr id="12"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8170545" cy="827405"/>
                        </a:xfrm>
                        <a:prstGeom prst="rect"/>
                        <a:ln/>
                      </pic:spPr>
                    </pic:pic>
                  </a:graphicData>
                </a:graphic>
              </wp:anchor>
            </w:drawing>
          </mc:Fallback>
        </mc:AlternateConten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mc:AlternateContent>
          <mc:Choice Requires="wpg">
            <w:drawing>
              <wp:anchor allowOverlap="1" behindDoc="0" distB="0" distT="0" distL="114300" distR="114300" hidden="0" layoutInCell="1" locked="0" relativeHeight="0" simplePos="0">
                <wp:simplePos x="0" y="0"/>
                <wp:positionH relativeFrom="leftMargin">
                  <wp:align>center</wp:align>
                </wp:positionH>
                <wp:positionV relativeFrom="page">
                  <wp:align>center</wp:align>
                </wp:positionV>
                <wp:extent cx="100330" cy="10565765"/>
                <wp:effectExtent b="0" l="0" r="0" t="0"/>
                <wp:wrapNone/>
                <wp:docPr id="14" name=""/>
                <a:graphic>
                  <a:graphicData uri="http://schemas.microsoft.com/office/word/2010/wordprocessingShape">
                    <wps:wsp>
                      <wps:cNvSpPr/>
                      <wps:cNvPr id="5" name="Shape 5"/>
                      <wps:spPr>
                        <a:xfrm>
                          <a:off x="5300598" y="0"/>
                          <a:ext cx="90805" cy="7560000"/>
                        </a:xfrm>
                        <a:prstGeom prst="rect">
                          <a:avLst/>
                        </a:prstGeom>
                        <a:solidFill>
                          <a:srgbClr val="FFFFFF"/>
                        </a:solidFill>
                        <a:ln cap="flat" cmpd="sng" w="9525">
                          <a:solidFill>
                            <a:schemeClr val="accen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leftMargin">
                  <wp:align>center</wp:align>
                </wp:positionH>
                <wp:positionV relativeFrom="page">
                  <wp:align>center</wp:align>
                </wp:positionV>
                <wp:extent cx="100330" cy="10565765"/>
                <wp:effectExtent b="0" l="0" r="0" t="0"/>
                <wp:wrapNone/>
                <wp:docPr id="14" name="image4.png"/>
                <a:graphic>
                  <a:graphicData uri="http://schemas.openxmlformats.org/drawingml/2006/picture">
                    <pic:pic>
                      <pic:nvPicPr>
                        <pic:cNvPr id="0" name="image4.png"/>
                        <pic:cNvPicPr preferRelativeResize="0"/>
                      </pic:nvPicPr>
                      <pic:blipFill>
                        <a:blip r:embed="rId8"/>
                        <a:srcRect/>
                        <a:stretch>
                          <a:fillRect/>
                        </a:stretch>
                      </pic:blipFill>
                      <pic:spPr>
                        <a:xfrm>
                          <a:off x="0" y="0"/>
                          <a:ext cx="100330" cy="10565765"/>
                        </a:xfrm>
                        <a:prstGeom prst="rect"/>
                        <a:ln/>
                      </pic:spPr>
                    </pic:pic>
                  </a:graphicData>
                </a:graphic>
              </wp:anchor>
            </w:drawing>
          </mc:Fallback>
        </mc:AlternateConten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mc:AlternateContent>
          <mc:Choice Requires="wpg">
            <w:drawing>
              <wp:anchor allowOverlap="1" behindDoc="0" distB="0" distT="0" distL="114300" distR="114300" hidden="0" layoutInCell="1" locked="0" relativeHeight="0" simplePos="0">
                <wp:simplePos x="0" y="0"/>
                <wp:positionH relativeFrom="rightMargin">
                  <wp:align>center</wp:align>
                </wp:positionH>
                <wp:positionV relativeFrom="page">
                  <wp:align>center</wp:align>
                </wp:positionV>
                <wp:extent cx="100330" cy="10565765"/>
                <wp:effectExtent b="0" l="0" r="0" t="0"/>
                <wp:wrapNone/>
                <wp:docPr id="15" name=""/>
                <a:graphic>
                  <a:graphicData uri="http://schemas.microsoft.com/office/word/2010/wordprocessingShape">
                    <wps:wsp>
                      <wps:cNvSpPr/>
                      <wps:cNvPr id="6" name="Shape 6"/>
                      <wps:spPr>
                        <a:xfrm>
                          <a:off x="5300598" y="0"/>
                          <a:ext cx="90805" cy="7560000"/>
                        </a:xfrm>
                        <a:prstGeom prst="rect">
                          <a:avLst/>
                        </a:prstGeom>
                        <a:solidFill>
                          <a:srgbClr val="FFFFFF"/>
                        </a:solidFill>
                        <a:ln cap="flat" cmpd="sng" w="9525">
                          <a:solidFill>
                            <a:schemeClr val="accen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rightMargin">
                  <wp:align>center</wp:align>
                </wp:positionH>
                <wp:positionV relativeFrom="page">
                  <wp:align>center</wp:align>
                </wp:positionV>
                <wp:extent cx="100330" cy="10565765"/>
                <wp:effectExtent b="0" l="0" r="0" t="0"/>
                <wp:wrapNone/>
                <wp:docPr id="15" name="image5.png"/>
                <a:graphic>
                  <a:graphicData uri="http://schemas.openxmlformats.org/drawingml/2006/picture">
                    <pic:pic>
                      <pic:nvPicPr>
                        <pic:cNvPr id="0" name="image5.png"/>
                        <pic:cNvPicPr preferRelativeResize="0"/>
                      </pic:nvPicPr>
                      <pic:blipFill>
                        <a:blip r:embed="rId9"/>
                        <a:srcRect/>
                        <a:stretch>
                          <a:fillRect/>
                        </a:stretch>
                      </pic:blipFill>
                      <pic:spPr>
                        <a:xfrm>
                          <a:off x="0" y="0"/>
                          <a:ext cx="100330" cy="10565765"/>
                        </a:xfrm>
                        <a:prstGeom prst="rect"/>
                        <a:ln/>
                      </pic:spPr>
                    </pic:pic>
                  </a:graphicData>
                </a:graphic>
              </wp:anchor>
            </w:drawing>
          </mc:Fallback>
        </mc:AlternateConten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mc:AlternateContent>
          <mc:Choice Requires="wpg">
            <w:drawing>
              <wp:anchor allowOverlap="1" behindDoc="0" distB="0" distT="0" distL="114300" distR="114300" hidden="0" layoutInCell="1" locked="0" relativeHeight="0" simplePos="0">
                <wp:simplePos x="0" y="0"/>
                <wp:positionH relativeFrom="page">
                  <wp:align>center</wp:align>
                </wp:positionH>
                <wp:positionV relativeFrom="topMargin">
                  <wp:align>top</wp:align>
                </wp:positionV>
                <wp:extent cx="8170545" cy="832485"/>
                <wp:effectExtent b="0" l="0" r="0" t="0"/>
                <wp:wrapNone/>
                <wp:docPr id="11" name=""/>
                <a:graphic>
                  <a:graphicData uri="http://schemas.microsoft.com/office/word/2010/wordprocessingShape">
                    <wps:wsp>
                      <wps:cNvSpPr/>
                      <wps:cNvPr id="2" name="Shape 2"/>
                      <wps:spPr>
                        <a:xfrm>
                          <a:off x="1265490" y="3368520"/>
                          <a:ext cx="8161020" cy="822960"/>
                        </a:xfrm>
                        <a:prstGeom prst="rect">
                          <a:avLst/>
                        </a:prstGeom>
                        <a:solidFill>
                          <a:schemeClr val="accent5"/>
                        </a:solidFill>
                        <a:ln cap="flat" cmpd="sng" w="9525">
                          <a:solidFill>
                            <a:schemeClr val="accen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page">
                  <wp:align>center</wp:align>
                </wp:positionH>
                <wp:positionV relativeFrom="topMargin">
                  <wp:align>top</wp:align>
                </wp:positionV>
                <wp:extent cx="8170545" cy="832485"/>
                <wp:effectExtent b="0" l="0" r="0" t="0"/>
                <wp:wrapNone/>
                <wp:docPr id="11" name="image1.png"/>
                <a:graphic>
                  <a:graphicData uri="http://schemas.openxmlformats.org/drawingml/2006/picture">
                    <pic:pic>
                      <pic:nvPicPr>
                        <pic:cNvPr id="0" name="image1.png"/>
                        <pic:cNvPicPr preferRelativeResize="0"/>
                      </pic:nvPicPr>
                      <pic:blipFill>
                        <a:blip r:embed="rId10"/>
                        <a:srcRect/>
                        <a:stretch>
                          <a:fillRect/>
                        </a:stretch>
                      </pic:blipFill>
                      <pic:spPr>
                        <a:xfrm>
                          <a:off x="0" y="0"/>
                          <a:ext cx="8170545" cy="832485"/>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rFonts w:ascii="Arial" w:cs="Arial" w:eastAsia="Arial" w:hAnsi="Arial"/>
          <w:b w:val="1"/>
        </w:rPr>
      </w:pPr>
      <w:r w:rsidDel="00000000" w:rsidR="00000000" w:rsidRPr="00000000">
        <w:br w:type="page"/>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942975</wp:posOffset>
                </wp:positionH>
                <wp:positionV relativeFrom="paragraph">
                  <wp:posOffset>115038</wp:posOffset>
                </wp:positionV>
                <wp:extent cx="3423557" cy="2244012"/>
                <wp:effectExtent b="0" l="0" r="0" t="0"/>
                <wp:wrapNone/>
                <wp:docPr id="13" name=""/>
                <a:graphic>
                  <a:graphicData uri="http://schemas.microsoft.com/office/word/2010/wordprocessingShape">
                    <wps:wsp>
                      <wps:cNvSpPr/>
                      <wps:cNvPr id="4" name="Shape 4"/>
                      <wps:spPr>
                        <a:xfrm>
                          <a:off x="3653272" y="2672878"/>
                          <a:ext cx="3385457" cy="2214245"/>
                        </a:xfrm>
                        <a:prstGeom prst="horizontalScroll">
                          <a:avLst>
                            <a:gd fmla="val 12500" name="adj"/>
                          </a:avLst>
                        </a:prstGeom>
                        <a:solidFill>
                          <a:schemeClr val="accent5"/>
                        </a:solidFill>
                        <a:ln cap="flat" cmpd="sng" w="38100">
                          <a:solidFill>
                            <a:schemeClr val="lt1"/>
                          </a:solidFill>
                          <a:prstDash val="solid"/>
                          <a:round/>
                          <a:headEnd len="sm" w="sm" type="none"/>
                          <a:tailEnd len="sm" w="sm" type="none"/>
                        </a:ln>
                      </wps:spPr>
                      <wps:txbx>
                        <w:txbxContent>
                          <w:p w:rsidR="00000000" w:rsidDel="00000000" w:rsidP="00000000" w:rsidRDefault="00000000" w:rsidRPr="00000000">
                            <w:pPr>
                              <w:spacing w:after="200" w:before="0" w:line="275.9999942779541"/>
                              <w:ind w:left="0" w:right="0" w:firstLine="0"/>
                              <w:jc w:val="left"/>
                              <w:textDirection w:val="btLr"/>
                            </w:pPr>
                            <w:r w:rsidDel="00000000" w:rsidR="00000000" w:rsidRPr="00000000">
                              <w:rPr>
                                <w:rFonts w:ascii="Arial" w:cs="Arial" w:eastAsia="Arial" w:hAnsi="Arial"/>
                                <w:b w:val="1"/>
                                <w:i w:val="1"/>
                                <w:smallCaps w:val="0"/>
                                <w:strike w:val="0"/>
                                <w:color w:val="000000"/>
                                <w:sz w:val="24"/>
                                <w:vertAlign w:val="baseline"/>
                              </w:rPr>
                              <w:t xml:space="preserve">Tittle: </w:t>
                            </w:r>
                            <w:r w:rsidDel="00000000" w:rsidR="00000000" w:rsidRPr="00000000">
                              <w:rPr>
                                <w:rFonts w:ascii="Arial" w:cs="Arial" w:eastAsia="Arial" w:hAnsi="Arial"/>
                                <w:b w:val="0"/>
                                <w:i w:val="1"/>
                                <w:smallCaps w:val="0"/>
                                <w:strike w:val="0"/>
                                <w:color w:val="000000"/>
                                <w:sz w:val="22"/>
                                <w:vertAlign w:val="baseline"/>
                              </w:rPr>
                              <w:t xml:space="preserve">mice industry</w:t>
                            </w:r>
                          </w:p>
                          <w:p w:rsidR="00000000" w:rsidDel="00000000" w:rsidP="00000000" w:rsidRDefault="00000000" w:rsidRPr="00000000">
                            <w:pPr>
                              <w:spacing w:after="200" w:before="0" w:line="275.9999942779541"/>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r>
                            <w:r w:rsidDel="00000000" w:rsidR="00000000" w:rsidRPr="00000000">
                              <w:rPr>
                                <w:rFonts w:ascii="Arial" w:cs="Arial" w:eastAsia="Arial" w:hAnsi="Arial"/>
                                <w:b w:val="1"/>
                                <w:i w:val="1"/>
                                <w:smallCaps w:val="0"/>
                                <w:strike w:val="0"/>
                                <w:color w:val="000000"/>
                                <w:sz w:val="24"/>
                                <w:vertAlign w:val="baseline"/>
                              </w:rPr>
                              <w:t xml:space="preserve">Student name:Nasima</w:t>
                            </w:r>
                            <w:r w:rsidDel="00000000" w:rsidR="00000000" w:rsidRPr="00000000">
                              <w:rPr>
                                <w:rFonts w:ascii="Arial" w:cs="Arial" w:eastAsia="Arial" w:hAnsi="Arial"/>
                                <w:b w:val="1"/>
                                <w:i w:val="1"/>
                                <w:smallCaps w:val="0"/>
                                <w:strike w:val="0"/>
                                <w:color w:val="000000"/>
                                <w:sz w:val="24"/>
                                <w:vertAlign w:val="baseline"/>
                              </w:rPr>
                              <w:t xml:space="preserve"> Khatun</w:t>
                            </w:r>
                          </w:p>
                          <w:p w:rsidR="00000000" w:rsidDel="00000000" w:rsidP="00000000" w:rsidRDefault="00000000" w:rsidRPr="00000000">
                            <w:pPr>
                              <w:spacing w:after="200" w:before="0" w:line="275.9999942779541"/>
                              <w:ind w:left="0" w:right="0" w:firstLine="0"/>
                              <w:jc w:val="left"/>
                              <w:textDirection w:val="btLr"/>
                            </w:pPr>
                            <w:r w:rsidDel="00000000" w:rsidR="00000000" w:rsidRPr="00000000">
                              <w:rPr>
                                <w:rFonts w:ascii="Arial" w:cs="Arial" w:eastAsia="Arial" w:hAnsi="Arial"/>
                                <w:b w:val="1"/>
                                <w:i w:val="1"/>
                                <w:smallCaps w:val="0"/>
                                <w:strike w:val="0"/>
                                <w:color w:val="000000"/>
                                <w:sz w:val="24"/>
                                <w:vertAlign w:val="baseline"/>
                              </w:rPr>
                            </w:r>
                            <w:r w:rsidDel="00000000" w:rsidR="00000000" w:rsidRPr="00000000">
                              <w:rPr>
                                <w:rFonts w:ascii="Arial" w:cs="Arial" w:eastAsia="Arial" w:hAnsi="Arial"/>
                                <w:b w:val="1"/>
                                <w:i w:val="1"/>
                                <w:smallCaps w:val="0"/>
                                <w:strike w:val="0"/>
                                <w:color w:val="000000"/>
                                <w:sz w:val="24"/>
                                <w:vertAlign w:val="baseline"/>
                              </w:rPr>
                              <w:t xml:space="preserve">Student id:2122</w:t>
                            </w:r>
                            <w:r w:rsidDel="00000000" w:rsidR="00000000" w:rsidRPr="00000000">
                              <w:rPr>
                                <w:rFonts w:ascii="Arial" w:cs="Arial" w:eastAsia="Arial" w:hAnsi="Arial"/>
                                <w:b w:val="1"/>
                                <w:i w:val="1"/>
                                <w:smallCaps w:val="0"/>
                                <w:strike w:val="0"/>
                                <w:color w:val="000000"/>
                                <w:sz w:val="24"/>
                                <w:vertAlign w:val="baseline"/>
                              </w:rPr>
                              <w:t xml:space="preserve">790</w:t>
                            </w:r>
                          </w:p>
                          <w:p w:rsidR="00000000" w:rsidDel="00000000" w:rsidP="00000000" w:rsidRDefault="00000000" w:rsidRPr="00000000">
                            <w:pPr>
                              <w:spacing w:after="200" w:before="0" w:line="275.9999942779541"/>
                              <w:ind w:left="0" w:right="0" w:firstLine="0"/>
                              <w:jc w:val="left"/>
                              <w:textDirection w:val="btLr"/>
                            </w:pPr>
                            <w:r w:rsidDel="00000000" w:rsidR="00000000" w:rsidRPr="00000000">
                              <w:rPr>
                                <w:rFonts w:ascii="Arial" w:cs="Arial" w:eastAsia="Arial" w:hAnsi="Arial"/>
                                <w:b w:val="1"/>
                                <w:i w:val="1"/>
                                <w:smallCaps w:val="0"/>
                                <w:strike w:val="0"/>
                                <w:color w:val="000000"/>
                                <w:sz w:val="24"/>
                                <w:vertAlign w:val="baseline"/>
                              </w:rPr>
                            </w:r>
                            <w:r w:rsidDel="00000000" w:rsidR="00000000" w:rsidRPr="00000000">
                              <w:rPr>
                                <w:rFonts w:ascii="Arial" w:cs="Arial" w:eastAsia="Arial" w:hAnsi="Arial"/>
                                <w:b w:val="1"/>
                                <w:i w:val="1"/>
                                <w:smallCaps w:val="0"/>
                                <w:strike w:val="0"/>
                                <w:color w:val="000000"/>
                                <w:sz w:val="24"/>
                                <w:vertAlign w:val="baseline"/>
                              </w:rPr>
                              <w:t xml:space="preserve">Lecturer: Philippa Fiterald</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942975</wp:posOffset>
                </wp:positionH>
                <wp:positionV relativeFrom="paragraph">
                  <wp:posOffset>115038</wp:posOffset>
                </wp:positionV>
                <wp:extent cx="3423557" cy="2244012"/>
                <wp:effectExtent b="0" l="0" r="0" t="0"/>
                <wp:wrapNone/>
                <wp:docPr id="13" name="image3.png"/>
                <a:graphic>
                  <a:graphicData uri="http://schemas.openxmlformats.org/drawingml/2006/picture">
                    <pic:pic>
                      <pic:nvPicPr>
                        <pic:cNvPr id="0" name="image3.png"/>
                        <pic:cNvPicPr preferRelativeResize="0"/>
                      </pic:nvPicPr>
                      <pic:blipFill>
                        <a:blip r:embed="rId11"/>
                        <a:srcRect/>
                        <a:stretch>
                          <a:fillRect/>
                        </a:stretch>
                      </pic:blipFill>
                      <pic:spPr>
                        <a:xfrm>
                          <a:off x="0" y="0"/>
                          <a:ext cx="3423557" cy="2244012"/>
                        </a:xfrm>
                        <a:prstGeom prst="rect"/>
                        <a:ln/>
                      </pic:spPr>
                    </pic:pic>
                  </a:graphicData>
                </a:graphic>
              </wp:anchor>
            </w:drawing>
          </mc:Fallback>
        </mc:AlternateContent>
      </w:r>
    </w:p>
    <w:p w:rsidR="00000000" w:rsidDel="00000000" w:rsidP="00000000" w:rsidRDefault="00000000" w:rsidRPr="00000000" w14:paraId="00000004">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0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Cambria" w:cs="Cambria" w:eastAsia="Cambria" w:hAnsi="Cambria"/>
          <w:b w:val="1"/>
          <w:i w:val="0"/>
          <w:smallCaps w:val="0"/>
          <w:strike w:val="0"/>
          <w:color w:val="366091"/>
          <w:sz w:val="28"/>
          <w:szCs w:val="28"/>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r>
          </w:hyperlink>
          <w:hyperlink w:anchor="_heading=h.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Market factors:</w:t>
            </w:r>
          </w:hyperlink>
          <w:hyperlink w:anchor="_heading=h.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Operational factors:</w:t>
            </w:r>
          </w:hyperlink>
          <w:hyperlink w:anchor="_heading=h.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Financial factors:</w:t>
            </w:r>
          </w:hyperlink>
          <w:hyperlink w:anchor="_heading=h.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SWOT:</w:t>
            </w:r>
          </w:hyperlink>
          <w:hyperlink w:anchor="_heading=h.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Strengths:</w:t>
            </w:r>
          </w:hyperlink>
          <w:hyperlink w:anchor="_heading=h.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Weaknesses:</w:t>
            </w:r>
          </w:hyperlink>
          <w:hyperlink w:anchor="_heading=h.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Opportunities:</w:t>
            </w:r>
          </w:hyperlink>
          <w:hyperlink w:anchor="_heading=h.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PESTLE:</w:t>
            </w:r>
          </w:hyperlink>
          <w:hyperlink w:anchor="_heading=h.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Political Factors:</w:t>
            </w:r>
          </w:hyperlink>
          <w:hyperlink w:anchor="_heading=h.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Economic Factors:</w:t>
            </w:r>
          </w:hyperlink>
          <w:hyperlink w:anchor="_heading=h.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Social Factors:</w:t>
            </w:r>
          </w:hyperlink>
          <w:hyperlink w:anchor="_heading=h.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Conclusion:</w:t>
            </w:r>
          </w:hyperlink>
          <w:hyperlink w:anchor="_heading=h.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lnxbz9">
            <w:r w:rsidDel="00000000" w:rsidR="00000000" w:rsidRPr="00000000">
              <w:rPr>
                <w:rFonts w:ascii="Arial" w:cs="Arial" w:eastAsia="Arial" w:hAnsi="Arial"/>
                <w:i w:val="1"/>
                <w:highlight w:val="white"/>
                <w:rtl w:val="0"/>
              </w:rPr>
              <w:t xml:space="preserve">References</w:t>
            </w:r>
          </w:hyperlink>
          <w:hyperlink w:anchor="_heading=h.lnxbz9">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w:t>
            </w:r>
          </w:hyperlink>
          <w:hyperlink w:anchor="_heading=h.lnxbz9">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4">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5">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16">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17">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18">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19">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1A">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1B">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1C">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1D">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1E">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1F">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20">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21">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22">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23">
      <w:pPr>
        <w:jc w:val="center"/>
        <w:rPr>
          <w:rFonts w:ascii="Algerian" w:cs="Algerian" w:eastAsia="Algerian" w:hAnsi="Algerian"/>
          <w:b w:val="1"/>
          <w:sz w:val="32"/>
          <w:szCs w:val="32"/>
        </w:rPr>
      </w:pPr>
      <w:r w:rsidDel="00000000" w:rsidR="00000000" w:rsidRPr="00000000">
        <w:rPr>
          <w:rFonts w:ascii="Algerian" w:cs="Algerian" w:eastAsia="Algerian" w:hAnsi="Algerian"/>
          <w:b w:val="1"/>
          <w:sz w:val="32"/>
          <w:szCs w:val="32"/>
          <w:rtl w:val="0"/>
        </w:rPr>
        <w:t xml:space="preserve">MICE INDUSTRY</w:t>
      </w:r>
    </w:p>
    <w:p w:rsidR="00000000" w:rsidDel="00000000" w:rsidP="00000000" w:rsidRDefault="00000000" w:rsidRPr="00000000" w14:paraId="00000024">
      <w:pPr>
        <w:pStyle w:val="Heading1"/>
        <w:jc w:val="both"/>
        <w:rPr>
          <w:rFonts w:ascii="Arial" w:cs="Arial" w:eastAsia="Arial" w:hAnsi="Arial"/>
          <w:color w:val="000000"/>
          <w:sz w:val="22"/>
          <w:szCs w:val="22"/>
          <w:u w:val="single"/>
        </w:rPr>
      </w:pPr>
      <w:bookmarkStart w:colFirst="0" w:colLast="0" w:name="_heading=h.gjdgxs" w:id="0"/>
      <w:bookmarkEnd w:id="0"/>
      <w:r w:rsidDel="00000000" w:rsidR="00000000" w:rsidRPr="00000000">
        <w:rPr>
          <w:rFonts w:ascii="Arial" w:cs="Arial" w:eastAsia="Arial" w:hAnsi="Arial"/>
          <w:color w:val="000000"/>
          <w:sz w:val="22"/>
          <w:szCs w:val="22"/>
          <w:u w:val="single"/>
          <w:rtl w:val="0"/>
        </w:rPr>
        <w:t xml:space="preserve">INTRODUCTION:</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jc w:val="both"/>
        <w:rPr>
          <w:rFonts w:ascii="Arial" w:cs="Arial" w:eastAsia="Arial" w:hAnsi="Arial"/>
        </w:rPr>
      </w:pPr>
      <w:r w:rsidDel="00000000" w:rsidR="00000000" w:rsidRPr="00000000">
        <w:rPr>
          <w:rFonts w:ascii="Arial" w:cs="Arial" w:eastAsia="Arial" w:hAnsi="Arial"/>
          <w:rtl w:val="0"/>
        </w:rPr>
        <w:t xml:space="preserve">The Meetings, Incentives, Conferences, and Exhibitions (MICE) industry is a widely acknowledged field that is distinguished by an exceptional level of dynamic activity and considerable importance in the context of international commerce. This recognition is widespread. A large amount of support is provided for the development of economic growth, the facilitation of the sharing of knowledge, and the establishment of professional networks as a result of the relevance of the matter now at hand. A wide range of auxiliary activities, including conferences, business meetings, exhibits, and trade shows, as well as other events of a similar nature, are included in the activities that fall under the umbrella of the MICE industry. Conventions are frequently considered to be the most common type of gathering that individuals can be found attending. Conventions, trade fairs, and exhibitions are just a few examples of the things that go under the umbrella term "corporate meetings." However, the term "corporate meetings" encompasses a vast range of activities that are not limited to these three categories of gatherings. One of the many reasons why it is of the highest importance is that it makes it possible for various businesses, organizations, and sectors to collaborate on a worldwide scale, communicate with one another, and share their opinions. This is just one of the many reasons why it is of the utmost importance. Among the many types of events that fall under the umbrella term "MICE," some examples are conventions, meetings, and incentives. Not only does this sector make a financial contribution, but it also acts as a conduit through which its members can engage in cultural exchange, education, and new thought. MICE is an acronym that stands for meetings, incentives, conventions, and exhibits. As a direct result of globalization, there has been a discernible growth in the demand for services related to MICE. As a result of this, the hotel industry, the travel industry, and the tourism industry have all acknowledged the significant influence that MICE has as a driving factor. As a result of its ability to facilitate the convergence of individuals, the (MICE) field  is in a strong position to continue operating as a catalyst for meaningful connections and joint endeavors. This occurs as a result of the fact that many firms are consistently growing their activities in different parts of the world. This particular outcome can be linked to the Mice industry’s current advantageous position to sustain this responsibility. </w:t>
      </w:r>
    </w:p>
    <w:p w:rsidR="00000000" w:rsidDel="00000000" w:rsidP="00000000" w:rsidRDefault="00000000" w:rsidRPr="00000000" w14:paraId="00000027">
      <w:pPr>
        <w:pStyle w:val="Heading1"/>
        <w:jc w:val="both"/>
        <w:rPr>
          <w:rFonts w:ascii="Arial" w:cs="Arial" w:eastAsia="Arial" w:hAnsi="Arial"/>
          <w:color w:val="000000"/>
          <w:sz w:val="22"/>
          <w:szCs w:val="22"/>
          <w:u w:val="single"/>
        </w:rPr>
      </w:pPr>
      <w:bookmarkStart w:colFirst="0" w:colLast="0" w:name="_heading=h.30j0zll" w:id="1"/>
      <w:bookmarkEnd w:id="1"/>
      <w:r w:rsidDel="00000000" w:rsidR="00000000" w:rsidRPr="00000000">
        <w:rPr>
          <w:rFonts w:ascii="Arial" w:cs="Arial" w:eastAsia="Arial" w:hAnsi="Arial"/>
          <w:color w:val="000000"/>
          <w:sz w:val="22"/>
          <w:szCs w:val="22"/>
          <w:u w:val="single"/>
          <w:rtl w:val="0"/>
        </w:rPr>
        <w:t xml:space="preserve">Market factors:</w:t>
      </w:r>
    </w:p>
    <w:p w:rsidR="00000000" w:rsidDel="00000000" w:rsidP="00000000" w:rsidRDefault="00000000" w:rsidRPr="00000000" w14:paraId="00000028">
      <w:pPr>
        <w:ind w:left="142" w:firstLine="0"/>
        <w:jc w:val="both"/>
        <w:rPr>
          <w:rFonts w:ascii="Arial" w:cs="Arial" w:eastAsia="Arial" w:hAnsi="Arial"/>
        </w:rPr>
      </w:pPr>
      <w:r w:rsidDel="00000000" w:rsidR="00000000" w:rsidRPr="00000000">
        <w:rPr>
          <w:rFonts w:ascii="Arial" w:cs="Arial" w:eastAsia="Arial" w:hAnsi="Arial"/>
          <w:rtl w:val="0"/>
        </w:rPr>
        <w:t xml:space="preserve">A multitude of market factors exert an influence on the mouse industry, which comprises computer mouse manufacturing and distribution. These two markets are encompassed within the mouse industry (</w:t>
      </w:r>
      <w:r w:rsidDel="00000000" w:rsidR="00000000" w:rsidRPr="00000000">
        <w:rPr>
          <w:rFonts w:ascii="Arial" w:cs="Arial" w:eastAsia="Arial" w:hAnsi="Arial"/>
          <w:color w:val="222222"/>
          <w:sz w:val="20"/>
          <w:szCs w:val="20"/>
          <w:highlight w:val="white"/>
          <w:rtl w:val="0"/>
        </w:rPr>
        <w:t xml:space="preserve">Pollock 2010)</w:t>
      </w:r>
      <w:r w:rsidDel="00000000" w:rsidR="00000000" w:rsidRPr="00000000">
        <w:rPr>
          <w:rFonts w:ascii="Arial" w:cs="Arial" w:eastAsia="Arial" w:hAnsi="Arial"/>
          <w:rtl w:val="0"/>
        </w:rPr>
        <w:t xml:space="preserve">. Considering the substantial influence that advancements in sensor technology, connectivity, and design can have on consumer choices, it is imperative that technological innovations exert a substantial impact on the decision-making procedure. In response to market trends that are shifting toward wireless mice with sophisticated features such as customizable controls, ergonomic designs, and increased sensitivity, products are being developed. These innovations were created in direct reaction to market developments. The market dynamics are subject to the influence of numerous factors, one of which is the demand from consumers for gaming mice that are customized to meet the unique requirements of the rapidly expanding esports and gaming industries. The disposable income of individuals serves as an example of a macroeconomic determinant that has the potential to impact the purchasing power of consumers and the overall expansion of the market. At this time, there is intense competition among industry participants, including both well-established brands and emerging firms, to differentiate themselves via product quality, pricing strategies, and branding. As a result, the level of competition among participants in the industry is increasing. As a consequence, there is an increase in the level of competition. Additional factors that are interconnected with the supply chain and have an impact on the market include the cost of production and the rate at which basic materials are supplied. Moreover, the mouse industry is vulnerable to the consequences of geopolitical occurrences, trade policies, and global economic circumstances, all of which have the potential to influence production costs and market penetration. Moreover, the rodent industry is susceptible to the consequences of the factors mentioned above.</w:t>
      </w:r>
    </w:p>
    <w:p w:rsidR="00000000" w:rsidDel="00000000" w:rsidP="00000000" w:rsidRDefault="00000000" w:rsidRPr="00000000" w14:paraId="00000029">
      <w:pPr>
        <w:pStyle w:val="Heading1"/>
        <w:jc w:val="both"/>
        <w:rPr>
          <w:rFonts w:ascii="Arial" w:cs="Arial" w:eastAsia="Arial" w:hAnsi="Arial"/>
          <w:color w:val="000000"/>
          <w:sz w:val="22"/>
          <w:szCs w:val="22"/>
          <w:u w:val="single"/>
        </w:rPr>
      </w:pPr>
      <w:bookmarkStart w:colFirst="0" w:colLast="0" w:name="_heading=h.1fob9te" w:id="2"/>
      <w:bookmarkEnd w:id="2"/>
      <w:r w:rsidDel="00000000" w:rsidR="00000000" w:rsidRPr="00000000">
        <w:rPr>
          <w:rFonts w:ascii="Arial" w:cs="Arial" w:eastAsia="Arial" w:hAnsi="Arial"/>
          <w:color w:val="000000"/>
          <w:sz w:val="22"/>
          <w:szCs w:val="22"/>
          <w:u w:val="single"/>
          <w:rtl w:val="0"/>
        </w:rPr>
        <w:t xml:space="preserve">Operational factors:</w:t>
      </w:r>
    </w:p>
    <w:p w:rsidR="00000000" w:rsidDel="00000000" w:rsidP="00000000" w:rsidRDefault="00000000" w:rsidRPr="00000000" w14:paraId="0000002A">
      <w:pPr>
        <w:ind w:left="142" w:firstLine="0"/>
        <w:jc w:val="both"/>
        <w:rPr>
          <w:rFonts w:ascii="Arial" w:cs="Arial" w:eastAsia="Arial" w:hAnsi="Arial"/>
        </w:rPr>
      </w:pPr>
      <w:r w:rsidDel="00000000" w:rsidR="00000000" w:rsidRPr="00000000">
        <w:rPr>
          <w:rFonts w:ascii="Arial" w:cs="Arial" w:eastAsia="Arial" w:hAnsi="Arial"/>
          <w:rtl w:val="0"/>
        </w:rPr>
        <w:t xml:space="preserve">Many mouse industry pieces work. Routine computer mouse production, distribution, and retail sales exhibit such operations. Industrial activities must be productive and efficient to compete. Automation, quality control, and production volume affect efficiency. These are only a few operational efficiency factors. Supply chain management covers transportation, material acquisition, and inventory (</w:t>
      </w:r>
      <w:r w:rsidDel="00000000" w:rsidR="00000000" w:rsidRPr="00000000">
        <w:rPr>
          <w:rFonts w:ascii="Arial" w:cs="Arial" w:eastAsia="Arial" w:hAnsi="Arial"/>
          <w:color w:val="222222"/>
          <w:sz w:val="20"/>
          <w:szCs w:val="20"/>
          <w:highlight w:val="white"/>
          <w:rtl w:val="0"/>
        </w:rPr>
        <w:t xml:space="preserve">Pang 2002)</w:t>
      </w:r>
      <w:r w:rsidDel="00000000" w:rsidR="00000000" w:rsidRPr="00000000">
        <w:rPr>
          <w:rFonts w:ascii="Arial" w:cs="Arial" w:eastAsia="Arial" w:hAnsi="Arial"/>
          <w:rtl w:val="0"/>
        </w:rPr>
        <w:t xml:space="preserve">. Supply chain management matters. Buy microcontrollers and sensors fast, cheaply, and efficiently. This is essential for production. To deliver reliable and durable rodent products, quality assurance techniques must include rigorous testing. Such processes must be implemented. A sector must evaluate its Bluetooth and USB adaptability to optimize operational efficiency.</w:t>
      </w:r>
    </w:p>
    <w:p w:rsidR="00000000" w:rsidDel="00000000" w:rsidP="00000000" w:rsidRDefault="00000000" w:rsidRPr="00000000" w14:paraId="0000002B">
      <w:pPr>
        <w:pStyle w:val="Heading1"/>
        <w:jc w:val="both"/>
        <w:rPr>
          <w:rFonts w:ascii="Arial" w:cs="Arial" w:eastAsia="Arial" w:hAnsi="Arial"/>
          <w:color w:val="000000"/>
          <w:sz w:val="22"/>
          <w:szCs w:val="22"/>
          <w:highlight w:val="white"/>
          <w:u w:val="single"/>
        </w:rPr>
      </w:pPr>
      <w:bookmarkStart w:colFirst="0" w:colLast="0" w:name="_heading=h.3znysh7" w:id="3"/>
      <w:bookmarkEnd w:id="3"/>
      <w:r w:rsidDel="00000000" w:rsidR="00000000" w:rsidRPr="00000000">
        <w:rPr>
          <w:rFonts w:ascii="Arial" w:cs="Arial" w:eastAsia="Arial" w:hAnsi="Arial"/>
          <w:color w:val="000000"/>
          <w:sz w:val="22"/>
          <w:szCs w:val="22"/>
          <w:highlight w:val="white"/>
          <w:u w:val="single"/>
          <w:rtl w:val="0"/>
        </w:rPr>
        <w:t xml:space="preserve">Financial factors:</w:t>
      </w:r>
    </w:p>
    <w:p w:rsidR="00000000" w:rsidDel="00000000" w:rsidP="00000000" w:rsidRDefault="00000000" w:rsidRPr="00000000" w14:paraId="0000002C">
      <w:pPr>
        <w:jc w:val="both"/>
        <w:rPr>
          <w:rFonts w:ascii="Arial" w:cs="Arial" w:eastAsia="Arial" w:hAnsi="Arial"/>
        </w:rPr>
      </w:pPr>
      <w:r w:rsidDel="00000000" w:rsidR="00000000" w:rsidRPr="00000000">
        <w:rPr>
          <w:rFonts w:ascii="Arial" w:cs="Arial" w:eastAsia="Arial" w:hAnsi="Arial"/>
          <w:rtl w:val="0"/>
        </w:rPr>
        <w:t xml:space="preserve">In the rodent industry, numerous financial concerns exist. These concerns have an effect on the economic viability and performance of the businesses in this sector (</w:t>
      </w:r>
      <w:r w:rsidDel="00000000" w:rsidR="00000000" w:rsidRPr="00000000">
        <w:rPr>
          <w:rFonts w:ascii="Arial" w:cs="Arial" w:eastAsia="Arial" w:hAnsi="Arial"/>
          <w:color w:val="222222"/>
          <w:sz w:val="20"/>
          <w:szCs w:val="20"/>
          <w:highlight w:val="white"/>
          <w:rtl w:val="0"/>
        </w:rPr>
        <w:t xml:space="preserve">Pisano 2006)</w:t>
      </w:r>
      <w:r w:rsidDel="00000000" w:rsidR="00000000" w:rsidRPr="00000000">
        <w:rPr>
          <w:rFonts w:ascii="Arial" w:cs="Arial" w:eastAsia="Arial" w:hAnsi="Arial"/>
          <w:rtl w:val="0"/>
        </w:rPr>
        <w:t xml:space="preserve">. This domain encompasses a multitude of issues. The present financial state is substantially impacted by the cost structure, which comprises research and development, manufacturing, promotion, and distribution. In light of the current economic climate, this framework is critical. Effective management of production expenses is critical for sustaining profitability in the manufacturing sector. Many considerations must be incorporated in order to accomplish this goal. A few examples include investments in personnel, resources, and technology. Effective and efficient pricing strategies are critical in a highly competitive market. The determination of a product's price is influenced by market position, market demand, and the product's perceived value. Analyzing the markets for gaming peripherals and ergonomic mice might contribute to the improvement of future financial health. By implementing strategies to increase revenue diversification, this objective can be achieved. Preferences of consumers and technological advancements can have an effect on sales and profitability. This is a possibility that could potentially transpire. The sector's financial health is significantly contingent upon its ability to innovate and adapt to evolving consumer preferences and market conditions. Further financial resources are required to support operational enhancements, research and development, and expansion, in light of the current financial climate. Furthermore, the current financial climate is of the utmost importance. To ensure financial stability, the mouse business must possess the capacity to endure external disruptions and economic cycles.</w:t>
      </w:r>
    </w:p>
    <w:p w:rsidR="00000000" w:rsidDel="00000000" w:rsidP="00000000" w:rsidRDefault="00000000" w:rsidRPr="00000000" w14:paraId="0000002D">
      <w:pPr>
        <w:pStyle w:val="Heading1"/>
        <w:jc w:val="both"/>
        <w:rPr>
          <w:rFonts w:ascii="Arial" w:cs="Arial" w:eastAsia="Arial" w:hAnsi="Arial"/>
          <w:i w:val="1"/>
          <w:color w:val="000000"/>
          <w:sz w:val="22"/>
          <w:szCs w:val="22"/>
          <w:highlight w:val="white"/>
          <w:u w:val="single"/>
        </w:rPr>
      </w:pPr>
      <w:bookmarkStart w:colFirst="0" w:colLast="0" w:name="_heading=h.2et92p0" w:id="4"/>
      <w:bookmarkEnd w:id="4"/>
      <w:r w:rsidDel="00000000" w:rsidR="00000000" w:rsidRPr="00000000">
        <w:rPr>
          <w:rFonts w:ascii="Arial" w:cs="Arial" w:eastAsia="Arial" w:hAnsi="Arial"/>
          <w:i w:val="1"/>
          <w:color w:val="000000"/>
          <w:sz w:val="22"/>
          <w:szCs w:val="22"/>
          <w:highlight w:val="white"/>
          <w:u w:val="single"/>
          <w:rtl w:val="0"/>
        </w:rPr>
        <w:t xml:space="preserve">SWOT: </w:t>
      </w:r>
    </w:p>
    <w:p w:rsidR="00000000" w:rsidDel="00000000" w:rsidP="00000000" w:rsidRDefault="00000000" w:rsidRPr="00000000" w14:paraId="0000002E">
      <w:pPr>
        <w:pStyle w:val="Heading2"/>
        <w:jc w:val="both"/>
        <w:rPr>
          <w:rFonts w:ascii="Arial" w:cs="Arial" w:eastAsia="Arial" w:hAnsi="Arial"/>
          <w:i w:val="1"/>
          <w:color w:val="000000"/>
          <w:sz w:val="22"/>
          <w:szCs w:val="22"/>
          <w:highlight w:val="white"/>
        </w:rPr>
      </w:pPr>
      <w:bookmarkStart w:colFirst="0" w:colLast="0" w:name="_heading=h.tyjcwt" w:id="5"/>
      <w:bookmarkEnd w:id="5"/>
      <w:r w:rsidDel="00000000" w:rsidR="00000000" w:rsidRPr="00000000">
        <w:rPr>
          <w:rFonts w:ascii="Arial" w:cs="Arial" w:eastAsia="Arial" w:hAnsi="Arial"/>
          <w:i w:val="1"/>
          <w:color w:val="000000"/>
          <w:sz w:val="22"/>
          <w:szCs w:val="22"/>
          <w:highlight w:val="white"/>
          <w:rtl w:val="0"/>
        </w:rPr>
        <w:t xml:space="preserve">Strengths:</w:t>
      </w:r>
    </w:p>
    <w:p w:rsidR="00000000" w:rsidDel="00000000" w:rsidP="00000000" w:rsidRDefault="00000000" w:rsidRPr="00000000" w14:paraId="0000002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276" w:lineRule="auto"/>
        <w:ind w:left="720" w:right="0" w:hanging="360"/>
        <w:jc w:val="both"/>
        <w:rPr>
          <w:rFonts w:ascii="Arial" w:cs="Arial" w:eastAsia="Arial" w:hAnsi="Arial"/>
          <w:b w:val="1"/>
          <w:i w:val="1"/>
          <w:smallCaps w:val="0"/>
          <w:strike w:val="0"/>
          <w:color w:val="252525"/>
          <w:sz w:val="22"/>
          <w:szCs w:val="22"/>
          <w:highlight w:val="white"/>
          <w:u w:val="none"/>
          <w:vertAlign w:val="baseline"/>
        </w:rPr>
      </w:pPr>
      <w:r w:rsidDel="00000000" w:rsidR="00000000" w:rsidRPr="00000000">
        <w:rPr>
          <w:rFonts w:ascii="Arial" w:cs="Arial" w:eastAsia="Arial" w:hAnsi="Arial"/>
          <w:b w:val="1"/>
          <w:i w:val="1"/>
          <w:smallCaps w:val="0"/>
          <w:strike w:val="0"/>
          <w:color w:val="252525"/>
          <w:sz w:val="22"/>
          <w:szCs w:val="22"/>
          <w:highlight w:val="white"/>
          <w:u w:val="none"/>
          <w:vertAlign w:val="baseline"/>
          <w:rtl w:val="0"/>
        </w:rPr>
        <w:t xml:space="preserve">Global Economic Impact:</w:t>
      </w:r>
    </w:p>
    <w:p w:rsidR="00000000" w:rsidDel="00000000" w:rsidP="00000000" w:rsidRDefault="00000000" w:rsidRPr="00000000" w14:paraId="00000030">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The (MICE) industry positively impacts to global economy in a substantial way. This can be attributed to the significant financial returns it generates and the employment opportunities it creates in a variety of industries.</w:t>
      </w:r>
    </w:p>
    <w:p w:rsidR="00000000" w:rsidDel="00000000" w:rsidP="00000000" w:rsidRDefault="00000000" w:rsidRPr="00000000" w14:paraId="0000003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276" w:lineRule="auto"/>
        <w:ind w:left="720" w:right="0" w:hanging="360"/>
        <w:jc w:val="both"/>
        <w:rPr>
          <w:rFonts w:ascii="Arial" w:cs="Arial" w:eastAsia="Arial" w:hAnsi="Arial"/>
          <w:b w:val="1"/>
          <w:i w:val="1"/>
          <w:smallCaps w:val="0"/>
          <w:strike w:val="0"/>
          <w:color w:val="252525"/>
          <w:sz w:val="22"/>
          <w:szCs w:val="22"/>
          <w:highlight w:val="white"/>
          <w:u w:val="none"/>
          <w:vertAlign w:val="baseline"/>
        </w:rPr>
      </w:pPr>
      <w:r w:rsidDel="00000000" w:rsidR="00000000" w:rsidRPr="00000000">
        <w:rPr>
          <w:rFonts w:ascii="Arial" w:cs="Arial" w:eastAsia="Arial" w:hAnsi="Arial"/>
          <w:b w:val="1"/>
          <w:i w:val="1"/>
          <w:smallCaps w:val="0"/>
          <w:strike w:val="0"/>
          <w:color w:val="252525"/>
          <w:sz w:val="22"/>
          <w:szCs w:val="22"/>
          <w:highlight w:val="white"/>
          <w:u w:val="none"/>
          <w:vertAlign w:val="baseline"/>
          <w:rtl w:val="0"/>
        </w:rPr>
        <w:t xml:space="preserve">Knowledge Transfer and Networking:</w:t>
      </w:r>
    </w:p>
    <w:p w:rsidR="00000000" w:rsidDel="00000000" w:rsidP="00000000" w:rsidRDefault="00000000" w:rsidRPr="00000000" w14:paraId="00000032">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MICE, which stands for meetings, incentives, conventions, and exhibits, facilitates the exchange of information, the development of novel ideas, and the establishment of fresh professional connections (</w:t>
      </w:r>
      <w:r w:rsidDel="00000000" w:rsidR="00000000" w:rsidRPr="00000000">
        <w:rPr>
          <w:rFonts w:ascii="Arial" w:cs="Arial" w:eastAsia="Arial" w:hAnsi="Arial"/>
          <w:color w:val="222222"/>
          <w:sz w:val="20"/>
          <w:szCs w:val="20"/>
          <w:highlight w:val="white"/>
          <w:rtl w:val="0"/>
        </w:rPr>
        <w:t xml:space="preserve">Mananda)</w:t>
      </w:r>
      <w:r w:rsidDel="00000000" w:rsidR="00000000" w:rsidRPr="00000000">
        <w:rPr>
          <w:rFonts w:ascii="Arial" w:cs="Arial" w:eastAsia="Arial" w:hAnsi="Arial"/>
          <w:highlight w:val="white"/>
          <w:rtl w:val="0"/>
        </w:rPr>
        <w:t xml:space="preserve">. Enterprises and professionals alike benefit from the exchange of knowledge on account of its capacity to foster innovation and enhance collaboration. This is as a result of its capacity to encourage collaborative undertakings.</w:t>
      </w:r>
    </w:p>
    <w:p w:rsidR="00000000" w:rsidDel="00000000" w:rsidP="00000000" w:rsidRDefault="00000000" w:rsidRPr="00000000" w14:paraId="00000033">
      <w:pPr>
        <w:pStyle w:val="Heading2"/>
        <w:jc w:val="both"/>
        <w:rPr>
          <w:rFonts w:ascii="Arial" w:cs="Arial" w:eastAsia="Arial" w:hAnsi="Arial"/>
          <w:i w:val="1"/>
          <w:color w:val="000000"/>
          <w:sz w:val="22"/>
          <w:szCs w:val="22"/>
          <w:highlight w:val="white"/>
        </w:rPr>
      </w:pPr>
      <w:bookmarkStart w:colFirst="0" w:colLast="0" w:name="_heading=h.3dy6vkm" w:id="6"/>
      <w:bookmarkEnd w:id="6"/>
      <w:r w:rsidDel="00000000" w:rsidR="00000000" w:rsidRPr="00000000">
        <w:rPr>
          <w:rFonts w:ascii="Arial" w:cs="Arial" w:eastAsia="Arial" w:hAnsi="Arial"/>
          <w:i w:val="1"/>
          <w:color w:val="000000"/>
          <w:sz w:val="22"/>
          <w:szCs w:val="22"/>
          <w:highlight w:val="white"/>
          <w:rtl w:val="0"/>
        </w:rPr>
        <w:t xml:space="preserve">Weaknesses:</w:t>
      </w:r>
    </w:p>
    <w:p w:rsidR="00000000" w:rsidDel="00000000" w:rsidP="00000000" w:rsidRDefault="00000000" w:rsidRPr="00000000" w14:paraId="0000003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276" w:lineRule="auto"/>
        <w:ind w:left="720" w:right="0" w:hanging="360"/>
        <w:jc w:val="both"/>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252525"/>
          <w:sz w:val="22"/>
          <w:szCs w:val="22"/>
          <w:highlight w:val="white"/>
          <w:u w:val="none"/>
          <w:vertAlign w:val="baseline"/>
          <w:rtl w:val="0"/>
        </w:rPr>
        <w:t xml:space="preserve">Vulnerability to Economic Downturns:</w:t>
      </w:r>
      <w:r w:rsidDel="00000000" w:rsidR="00000000" w:rsidRPr="00000000">
        <w:rPr>
          <w:rtl w:val="0"/>
        </w:rPr>
      </w:r>
    </w:p>
    <w:p w:rsidR="00000000" w:rsidDel="00000000" w:rsidP="00000000" w:rsidRDefault="00000000" w:rsidRPr="00000000" w14:paraId="00000035">
      <w:pPr>
        <w:jc w:val="both"/>
        <w:rPr>
          <w:rFonts w:ascii="Arial" w:cs="Arial" w:eastAsia="Arial" w:hAnsi="Arial"/>
        </w:rPr>
      </w:pPr>
      <w:r w:rsidDel="00000000" w:rsidR="00000000" w:rsidRPr="00000000">
        <w:rPr>
          <w:rFonts w:ascii="Arial" w:cs="Arial" w:eastAsia="Arial" w:hAnsi="Arial"/>
          <w:rtl w:val="0"/>
        </w:rPr>
        <w:t xml:space="preserve">During periods of economic recession, businesses may choose to reduce their spending on meetings, incentives, conventions, and exhibitions (MICE), which would have an impact on the revenue generation of the sector. This is due to the sector's inherent susceptibility to economic fluctuations, which is to some extent characteristic.</w:t>
      </w:r>
    </w:p>
    <w:p w:rsidR="00000000" w:rsidDel="00000000" w:rsidP="00000000" w:rsidRDefault="00000000" w:rsidRPr="00000000" w14:paraId="0000003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276" w:lineRule="auto"/>
        <w:ind w:left="720" w:right="0" w:hanging="360"/>
        <w:jc w:val="both"/>
        <w:rPr>
          <w:rFonts w:ascii="Arial" w:cs="Arial" w:eastAsia="Arial" w:hAnsi="Arial"/>
          <w:b w:val="1"/>
          <w:i w:val="1"/>
          <w:smallCaps w:val="0"/>
          <w:strike w:val="0"/>
          <w:color w:val="252525"/>
          <w:sz w:val="22"/>
          <w:szCs w:val="22"/>
          <w:highlight w:val="white"/>
          <w:u w:val="none"/>
          <w:vertAlign w:val="baseline"/>
        </w:rPr>
      </w:pPr>
      <w:r w:rsidDel="00000000" w:rsidR="00000000" w:rsidRPr="00000000">
        <w:rPr>
          <w:rFonts w:ascii="Arial" w:cs="Arial" w:eastAsia="Arial" w:hAnsi="Arial"/>
          <w:b w:val="1"/>
          <w:i w:val="1"/>
          <w:smallCaps w:val="0"/>
          <w:strike w:val="0"/>
          <w:color w:val="252525"/>
          <w:sz w:val="22"/>
          <w:szCs w:val="22"/>
          <w:highlight w:val="white"/>
          <w:u w:val="none"/>
          <w:vertAlign w:val="baseline"/>
          <w:rtl w:val="0"/>
        </w:rPr>
        <w:t xml:space="preserve">Dependence on International Travel:</w:t>
      </w:r>
    </w:p>
    <w:p w:rsidR="00000000" w:rsidDel="00000000" w:rsidP="00000000" w:rsidRDefault="00000000" w:rsidRPr="00000000" w14:paraId="00000037">
      <w:pPr>
        <w:jc w:val="both"/>
        <w:rPr>
          <w:rFonts w:ascii="Arial" w:cs="Arial" w:eastAsia="Arial" w:hAnsi="Arial"/>
        </w:rPr>
      </w:pPr>
      <w:r w:rsidDel="00000000" w:rsidR="00000000" w:rsidRPr="00000000">
        <w:rPr>
          <w:rFonts w:ascii="Arial" w:cs="Arial" w:eastAsia="Arial" w:hAnsi="Arial"/>
          <w:rtl w:val="0"/>
        </w:rPr>
        <w:t xml:space="preserve">The achievement of MICE, which stands for meetings, incentives, conventions, and exhibits, is predominantly attributed to global travel (</w:t>
      </w:r>
      <w:r w:rsidDel="00000000" w:rsidR="00000000" w:rsidRPr="00000000">
        <w:rPr>
          <w:rFonts w:ascii="Arial" w:cs="Arial" w:eastAsia="Arial" w:hAnsi="Arial"/>
          <w:color w:val="222222"/>
          <w:sz w:val="20"/>
          <w:szCs w:val="20"/>
          <w:highlight w:val="white"/>
          <w:rtl w:val="0"/>
        </w:rPr>
        <w:t xml:space="preserve">McCartney 2014)</w:t>
      </w:r>
      <w:r w:rsidDel="00000000" w:rsidR="00000000" w:rsidRPr="00000000">
        <w:rPr>
          <w:rFonts w:ascii="Arial" w:cs="Arial" w:eastAsia="Arial" w:hAnsi="Arial"/>
          <w:rtl w:val="0"/>
        </w:rPr>
        <w:t xml:space="preserve">. As a result, it is vulnerable to disruptions caused by geopolitical conflicts, natural disasters, or global health crises, including the events that transpired during the COVID-19 pandemic.</w:t>
      </w:r>
    </w:p>
    <w:p w:rsidR="00000000" w:rsidDel="00000000" w:rsidP="00000000" w:rsidRDefault="00000000" w:rsidRPr="00000000" w14:paraId="00000038">
      <w:pPr>
        <w:pStyle w:val="Heading2"/>
        <w:jc w:val="both"/>
        <w:rPr>
          <w:rFonts w:ascii="Arial" w:cs="Arial" w:eastAsia="Arial" w:hAnsi="Arial"/>
          <w:i w:val="1"/>
          <w:color w:val="000000"/>
          <w:sz w:val="24"/>
          <w:szCs w:val="24"/>
          <w:highlight w:val="white"/>
        </w:rPr>
      </w:pPr>
      <w:bookmarkStart w:colFirst="0" w:colLast="0" w:name="_heading=h.1t3h5sf" w:id="7"/>
      <w:bookmarkEnd w:id="7"/>
      <w:r w:rsidDel="00000000" w:rsidR="00000000" w:rsidRPr="00000000">
        <w:rPr>
          <w:rFonts w:ascii="Arial" w:cs="Arial" w:eastAsia="Arial" w:hAnsi="Arial"/>
          <w:i w:val="1"/>
          <w:color w:val="000000"/>
          <w:sz w:val="24"/>
          <w:szCs w:val="24"/>
          <w:highlight w:val="white"/>
          <w:rtl w:val="0"/>
        </w:rPr>
        <w:t xml:space="preserve">Opportunities: </w:t>
      </w:r>
    </w:p>
    <w:p w:rsidR="00000000" w:rsidDel="00000000" w:rsidP="00000000" w:rsidRDefault="00000000" w:rsidRPr="00000000" w14:paraId="0000003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276" w:lineRule="auto"/>
        <w:ind w:left="720" w:right="0" w:hanging="360"/>
        <w:jc w:val="both"/>
        <w:rPr>
          <w:rFonts w:ascii="Arial" w:cs="Arial" w:eastAsia="Arial" w:hAnsi="Arial"/>
          <w:b w:val="1"/>
          <w:i w:val="1"/>
          <w:smallCaps w:val="0"/>
          <w:strike w:val="0"/>
          <w:color w:val="252525"/>
          <w:sz w:val="22"/>
          <w:szCs w:val="22"/>
          <w:highlight w:val="white"/>
          <w:u w:val="none"/>
          <w:vertAlign w:val="baseline"/>
        </w:rPr>
      </w:pPr>
      <w:r w:rsidDel="00000000" w:rsidR="00000000" w:rsidRPr="00000000">
        <w:rPr>
          <w:rFonts w:ascii="Arial" w:cs="Arial" w:eastAsia="Arial" w:hAnsi="Arial"/>
          <w:b w:val="1"/>
          <w:i w:val="1"/>
          <w:smallCaps w:val="0"/>
          <w:strike w:val="0"/>
          <w:color w:val="252525"/>
          <w:sz w:val="22"/>
          <w:szCs w:val="22"/>
          <w:highlight w:val="white"/>
          <w:u w:val="none"/>
          <w:vertAlign w:val="baseline"/>
          <w:rtl w:val="0"/>
        </w:rPr>
        <w:t xml:space="preserve">Virtual and Hybrid Events:</w:t>
      </w:r>
    </w:p>
    <w:p w:rsidR="00000000" w:rsidDel="00000000" w:rsidP="00000000" w:rsidRDefault="00000000" w:rsidRPr="00000000" w14:paraId="0000003A">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As a result of the proliferation of virtual and hybrid event formats, it is now feasible to reach a bigger audience, save expenses, and provide participants with flexibility who may be constrained by travel limits (</w:t>
      </w:r>
      <w:r w:rsidDel="00000000" w:rsidR="00000000" w:rsidRPr="00000000">
        <w:rPr>
          <w:rFonts w:ascii="Arial" w:cs="Arial" w:eastAsia="Arial" w:hAnsi="Arial"/>
          <w:color w:val="222222"/>
          <w:sz w:val="20"/>
          <w:szCs w:val="20"/>
          <w:highlight w:val="white"/>
          <w:rtl w:val="0"/>
        </w:rPr>
        <w:t xml:space="preserve">Stefanoudis)</w:t>
      </w:r>
      <w:r w:rsidDel="00000000" w:rsidR="00000000" w:rsidRPr="00000000">
        <w:rPr>
          <w:rFonts w:ascii="Arial" w:cs="Arial" w:eastAsia="Arial" w:hAnsi="Arial"/>
          <w:highlight w:val="white"/>
          <w:rtl w:val="0"/>
        </w:rPr>
        <w:t xml:space="preserve">. As a result of the fact that there is now the possibility of reaching a bigger audience, these advantages have become open to the possibility of being realized. It is now possible for the general public to take advantage of these chances as a consequence of a phenomenon that is commonly known as "virtual event forms."</w:t>
      </w:r>
    </w:p>
    <w:p w:rsidR="00000000" w:rsidDel="00000000" w:rsidP="00000000" w:rsidRDefault="00000000" w:rsidRPr="00000000" w14:paraId="0000003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276" w:lineRule="auto"/>
        <w:ind w:left="720" w:right="0" w:hanging="360"/>
        <w:jc w:val="both"/>
        <w:rPr>
          <w:rFonts w:ascii="Arial" w:cs="Arial" w:eastAsia="Arial" w:hAnsi="Arial"/>
          <w:b w:val="1"/>
          <w:i w:val="1"/>
          <w:smallCaps w:val="0"/>
          <w:strike w:val="0"/>
          <w:color w:val="000000"/>
          <w:sz w:val="22"/>
          <w:szCs w:val="22"/>
          <w:highlight w:val="white"/>
          <w:u w:val="none"/>
          <w:vertAlign w:val="baseline"/>
        </w:rPr>
      </w:pPr>
      <w:r w:rsidDel="00000000" w:rsidR="00000000" w:rsidRPr="00000000">
        <w:rPr>
          <w:rFonts w:ascii="Arial" w:cs="Arial" w:eastAsia="Arial" w:hAnsi="Arial"/>
          <w:b w:val="1"/>
          <w:i w:val="1"/>
          <w:smallCaps w:val="0"/>
          <w:strike w:val="0"/>
          <w:color w:val="252525"/>
          <w:sz w:val="22"/>
          <w:szCs w:val="22"/>
          <w:highlight w:val="white"/>
          <w:u w:val="none"/>
          <w:vertAlign w:val="baseline"/>
          <w:rtl w:val="0"/>
        </w:rPr>
        <w:t xml:space="preserve">Emerging Markets:</w:t>
      </w:r>
      <w:r w:rsidDel="00000000" w:rsidR="00000000" w:rsidRPr="00000000">
        <w:rPr>
          <w:rtl w:val="0"/>
        </w:rPr>
      </w:r>
    </w:p>
    <w:p w:rsidR="00000000" w:rsidDel="00000000" w:rsidP="00000000" w:rsidRDefault="00000000" w:rsidRPr="00000000" w14:paraId="0000003C">
      <w:pPr>
        <w:jc w:val="both"/>
        <w:rPr>
          <w:rFonts w:ascii="Arial" w:cs="Arial" w:eastAsia="Arial" w:hAnsi="Arial"/>
        </w:rPr>
      </w:pPr>
      <w:r w:rsidDel="00000000" w:rsidR="00000000" w:rsidRPr="00000000">
        <w:rPr>
          <w:rFonts w:ascii="Arial" w:cs="Arial" w:eastAsia="Arial" w:hAnsi="Arial"/>
          <w:rtl w:val="0"/>
        </w:rPr>
        <w:t xml:space="preserve">On the off chance that the (MICE) industry makes use of new markets and analyzes them, there is a likelihood that it will have prospects for expansion (</w:t>
      </w:r>
      <w:r w:rsidDel="00000000" w:rsidR="00000000" w:rsidRPr="00000000">
        <w:rPr>
          <w:rFonts w:ascii="Arial" w:cs="Arial" w:eastAsia="Arial" w:hAnsi="Arial"/>
          <w:color w:val="222222"/>
          <w:sz w:val="20"/>
          <w:szCs w:val="20"/>
          <w:highlight w:val="white"/>
          <w:rtl w:val="0"/>
        </w:rPr>
        <w:t xml:space="preserve">Davidson 2015)</w:t>
      </w:r>
      <w:r w:rsidDel="00000000" w:rsidR="00000000" w:rsidRPr="00000000">
        <w:rPr>
          <w:rFonts w:ascii="Arial" w:cs="Arial" w:eastAsia="Arial" w:hAnsi="Arial"/>
          <w:rtl w:val="0"/>
        </w:rPr>
        <w:t xml:space="preserve">. The prospects that are included in this category can be discovered within the range of possibilities that pertain to start-up businesses. An alternative that could be taken into consideration is the identification of locations that have a healthy business climate and are expanding their infrastructure. Other potential alternatives include. This is something that can be accomplished by taking into consideration a wide range of distinct aspects and considerations all at once.</w:t>
      </w:r>
    </w:p>
    <w:p w:rsidR="00000000" w:rsidDel="00000000" w:rsidP="00000000" w:rsidRDefault="00000000" w:rsidRPr="00000000" w14:paraId="0000003D">
      <w:pPr>
        <w:pStyle w:val="Heading1"/>
        <w:jc w:val="both"/>
        <w:rPr>
          <w:rFonts w:ascii="Arial" w:cs="Arial" w:eastAsia="Arial" w:hAnsi="Arial"/>
          <w:i w:val="1"/>
          <w:color w:val="000000"/>
          <w:sz w:val="22"/>
          <w:szCs w:val="22"/>
          <w:highlight w:val="white"/>
          <w:u w:val="single"/>
        </w:rPr>
      </w:pPr>
      <w:bookmarkStart w:colFirst="0" w:colLast="0" w:name="_heading=h.4d34og8" w:id="8"/>
      <w:bookmarkEnd w:id="8"/>
      <w:r w:rsidDel="00000000" w:rsidR="00000000" w:rsidRPr="00000000">
        <w:rPr>
          <w:rFonts w:ascii="Arial" w:cs="Arial" w:eastAsia="Arial" w:hAnsi="Arial"/>
          <w:i w:val="1"/>
          <w:color w:val="000000"/>
          <w:sz w:val="22"/>
          <w:szCs w:val="22"/>
          <w:highlight w:val="white"/>
          <w:u w:val="single"/>
          <w:rtl w:val="0"/>
        </w:rPr>
        <w:t xml:space="preserve">PESTLE: </w:t>
      </w:r>
    </w:p>
    <w:p w:rsidR="00000000" w:rsidDel="00000000" w:rsidP="00000000" w:rsidRDefault="00000000" w:rsidRPr="00000000" w14:paraId="0000003E">
      <w:pPr>
        <w:pStyle w:val="Heading2"/>
        <w:jc w:val="both"/>
        <w:rPr>
          <w:rFonts w:ascii="Arial" w:cs="Arial" w:eastAsia="Arial" w:hAnsi="Arial"/>
          <w:i w:val="1"/>
          <w:color w:val="000000"/>
          <w:sz w:val="22"/>
          <w:szCs w:val="22"/>
          <w:highlight w:val="white"/>
        </w:rPr>
      </w:pPr>
      <w:bookmarkStart w:colFirst="0" w:colLast="0" w:name="_heading=h.2s8eyo1" w:id="9"/>
      <w:bookmarkEnd w:id="9"/>
      <w:r w:rsidDel="00000000" w:rsidR="00000000" w:rsidRPr="00000000">
        <w:rPr>
          <w:rFonts w:ascii="Arial" w:cs="Arial" w:eastAsia="Arial" w:hAnsi="Arial"/>
          <w:i w:val="1"/>
          <w:color w:val="000000"/>
          <w:sz w:val="22"/>
          <w:szCs w:val="22"/>
          <w:highlight w:val="white"/>
          <w:rtl w:val="0"/>
        </w:rPr>
        <w:t xml:space="preserve">Political Factors: </w:t>
      </w:r>
    </w:p>
    <w:p w:rsidR="00000000" w:rsidDel="00000000" w:rsidP="00000000" w:rsidRDefault="00000000" w:rsidRPr="00000000" w14:paraId="0000003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276" w:lineRule="auto"/>
        <w:ind w:left="720" w:right="0" w:hanging="360"/>
        <w:jc w:val="both"/>
        <w:rPr>
          <w:rFonts w:ascii="Arial" w:cs="Arial" w:eastAsia="Arial" w:hAnsi="Arial"/>
          <w:b w:val="1"/>
          <w:i w:val="1"/>
          <w:smallCaps w:val="0"/>
          <w:strike w:val="0"/>
          <w:color w:val="252525"/>
          <w:sz w:val="22"/>
          <w:szCs w:val="22"/>
          <w:highlight w:val="white"/>
          <w:u w:val="none"/>
          <w:vertAlign w:val="baseline"/>
        </w:rPr>
      </w:pPr>
      <w:r w:rsidDel="00000000" w:rsidR="00000000" w:rsidRPr="00000000">
        <w:rPr>
          <w:rFonts w:ascii="Arial" w:cs="Arial" w:eastAsia="Arial" w:hAnsi="Arial"/>
          <w:b w:val="1"/>
          <w:i w:val="1"/>
          <w:smallCaps w:val="0"/>
          <w:strike w:val="0"/>
          <w:color w:val="252525"/>
          <w:sz w:val="22"/>
          <w:szCs w:val="22"/>
          <w:highlight w:val="white"/>
          <w:u w:val="none"/>
          <w:vertAlign w:val="baseline"/>
          <w:rtl w:val="0"/>
        </w:rPr>
        <w:t xml:space="preserve">Government Policies:</w:t>
      </w:r>
    </w:p>
    <w:p w:rsidR="00000000" w:rsidDel="00000000" w:rsidP="00000000" w:rsidRDefault="00000000" w:rsidRPr="00000000" w14:paraId="00000040">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The industry that deals with meetings, incentives, conventions, and exhibits, which is sometimes referred to as MICE, may be affected by the rules and regulations that are implemented by the government (</w:t>
      </w:r>
      <w:r w:rsidDel="00000000" w:rsidR="00000000" w:rsidRPr="00000000">
        <w:rPr>
          <w:rFonts w:ascii="Arial" w:cs="Arial" w:eastAsia="Arial" w:hAnsi="Arial"/>
          <w:color w:val="222222"/>
          <w:sz w:val="20"/>
          <w:szCs w:val="20"/>
          <w:highlight w:val="white"/>
          <w:rtl w:val="0"/>
        </w:rPr>
        <w:t xml:space="preserve">Schlentrich 2008)</w:t>
      </w:r>
      <w:r w:rsidDel="00000000" w:rsidR="00000000" w:rsidRPr="00000000">
        <w:rPr>
          <w:rFonts w:ascii="Arial" w:cs="Arial" w:eastAsia="Arial" w:hAnsi="Arial"/>
          <w:highlight w:val="white"/>
          <w:rtl w:val="0"/>
        </w:rPr>
        <w:t xml:space="preserve">. It is probable that these actions will have an effect on the industry. The goal of encouraging the growth of the sector can be accomplished through the utilization of a variety of potential solutions, which can be applied in order to achieve the goal. The implementation of legislation, the supply of incentives, and the development of infrastructure are all examples of this. In order to achieve this target, it will be possible to put into action the strategies that were discussed earlier in the conversation.</w:t>
      </w:r>
    </w:p>
    <w:p w:rsidR="00000000" w:rsidDel="00000000" w:rsidP="00000000" w:rsidRDefault="00000000" w:rsidRPr="00000000" w14:paraId="0000004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276" w:lineRule="auto"/>
        <w:ind w:left="720" w:right="0" w:hanging="360"/>
        <w:jc w:val="both"/>
        <w:rPr>
          <w:rFonts w:ascii="Arial" w:cs="Arial" w:eastAsia="Arial" w:hAnsi="Arial"/>
          <w:b w:val="1"/>
          <w:i w:val="1"/>
          <w:smallCaps w:val="0"/>
          <w:strike w:val="0"/>
          <w:color w:val="252525"/>
          <w:sz w:val="22"/>
          <w:szCs w:val="22"/>
          <w:highlight w:val="white"/>
          <w:u w:val="none"/>
          <w:vertAlign w:val="baseline"/>
        </w:rPr>
      </w:pPr>
      <w:r w:rsidDel="00000000" w:rsidR="00000000" w:rsidRPr="00000000">
        <w:rPr>
          <w:rFonts w:ascii="Arial" w:cs="Arial" w:eastAsia="Arial" w:hAnsi="Arial"/>
          <w:b w:val="1"/>
          <w:i w:val="1"/>
          <w:smallCaps w:val="0"/>
          <w:strike w:val="0"/>
          <w:color w:val="252525"/>
          <w:sz w:val="22"/>
          <w:szCs w:val="22"/>
          <w:highlight w:val="white"/>
          <w:u w:val="none"/>
          <w:vertAlign w:val="baseline"/>
          <w:rtl w:val="0"/>
        </w:rPr>
        <w:t xml:space="preserve">Political Stability:</w:t>
      </w:r>
    </w:p>
    <w:p w:rsidR="00000000" w:rsidDel="00000000" w:rsidP="00000000" w:rsidRDefault="00000000" w:rsidRPr="00000000" w14:paraId="00000042">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The political stability of the nations that are hosting international events is an absolutely vital need for the successful staging of massive events. This is a requirement that cannot be ignored (</w:t>
      </w:r>
      <w:r w:rsidDel="00000000" w:rsidR="00000000" w:rsidRPr="00000000">
        <w:rPr>
          <w:rFonts w:ascii="Arial" w:cs="Arial" w:eastAsia="Arial" w:hAnsi="Arial"/>
          <w:color w:val="222222"/>
          <w:sz w:val="20"/>
          <w:szCs w:val="20"/>
          <w:highlight w:val="white"/>
          <w:rtl w:val="0"/>
        </w:rPr>
        <w:t xml:space="preserve">Getz 2019)</w:t>
      </w:r>
      <w:r w:rsidDel="00000000" w:rsidR="00000000" w:rsidRPr="00000000">
        <w:rPr>
          <w:rFonts w:ascii="Arial" w:cs="Arial" w:eastAsia="Arial" w:hAnsi="Arial"/>
          <w:highlight w:val="white"/>
          <w:rtl w:val="0"/>
        </w:rPr>
        <w:t xml:space="preserve">. These nations must ensure that they maintain their political stability in order to avoid any potential consequences. Such instability may discourage attendance and have an influence on logistics; therefore, it is essential that these nations maintain their political stability. The situation that has arisen as a consequence of the possibility that instability may have an impact on logistics is the one that is currently in place.</w:t>
      </w:r>
    </w:p>
    <w:p w:rsidR="00000000" w:rsidDel="00000000" w:rsidP="00000000" w:rsidRDefault="00000000" w:rsidRPr="00000000" w14:paraId="00000043">
      <w:pPr>
        <w:pStyle w:val="Heading2"/>
        <w:jc w:val="both"/>
        <w:rPr>
          <w:rFonts w:ascii="Arial" w:cs="Arial" w:eastAsia="Arial" w:hAnsi="Arial"/>
          <w:i w:val="1"/>
          <w:color w:val="000000"/>
          <w:sz w:val="22"/>
          <w:szCs w:val="22"/>
          <w:highlight w:val="white"/>
        </w:rPr>
      </w:pPr>
      <w:bookmarkStart w:colFirst="0" w:colLast="0" w:name="_heading=h.17dp8vu" w:id="10"/>
      <w:bookmarkEnd w:id="10"/>
      <w:r w:rsidDel="00000000" w:rsidR="00000000" w:rsidRPr="00000000">
        <w:rPr>
          <w:rFonts w:ascii="Arial" w:cs="Arial" w:eastAsia="Arial" w:hAnsi="Arial"/>
          <w:i w:val="1"/>
          <w:color w:val="000000"/>
          <w:sz w:val="22"/>
          <w:szCs w:val="22"/>
          <w:highlight w:val="white"/>
          <w:rtl w:val="0"/>
        </w:rPr>
        <w:t xml:space="preserve">Economic Factors: </w:t>
      </w:r>
    </w:p>
    <w:p w:rsidR="00000000" w:rsidDel="00000000" w:rsidP="00000000" w:rsidRDefault="00000000" w:rsidRPr="00000000" w14:paraId="0000004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00" w:before="0" w:line="276" w:lineRule="auto"/>
        <w:ind w:left="720" w:right="0" w:hanging="360"/>
        <w:jc w:val="both"/>
        <w:rPr>
          <w:rFonts w:ascii="Arial" w:cs="Arial" w:eastAsia="Arial" w:hAnsi="Arial"/>
          <w:b w:val="1"/>
          <w:i w:val="1"/>
          <w:smallCaps w:val="0"/>
          <w:strike w:val="0"/>
          <w:color w:val="252525"/>
          <w:sz w:val="22"/>
          <w:szCs w:val="22"/>
          <w:highlight w:val="white"/>
          <w:u w:val="none"/>
          <w:vertAlign w:val="baseline"/>
        </w:rPr>
      </w:pPr>
      <w:r w:rsidDel="00000000" w:rsidR="00000000" w:rsidRPr="00000000">
        <w:rPr>
          <w:rFonts w:ascii="Arial" w:cs="Arial" w:eastAsia="Arial" w:hAnsi="Arial"/>
          <w:b w:val="1"/>
          <w:i w:val="1"/>
          <w:smallCaps w:val="0"/>
          <w:strike w:val="0"/>
          <w:color w:val="252525"/>
          <w:sz w:val="22"/>
          <w:szCs w:val="22"/>
          <w:highlight w:val="white"/>
          <w:u w:val="none"/>
          <w:vertAlign w:val="baseline"/>
          <w:rtl w:val="0"/>
        </w:rPr>
        <w:t xml:space="preserve">Global Economic Conditions:</w:t>
      </w:r>
    </w:p>
    <w:p w:rsidR="00000000" w:rsidDel="00000000" w:rsidP="00000000" w:rsidRDefault="00000000" w:rsidRPr="00000000" w14:paraId="00000045">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There is a possibility that economic patterns, such as expansion or contraction, could have an effect on the overall demand for convention, exhibition, and meeting activities (also known as MICE). On the other hand, this can have an impact on the total amount of money that businesses spend on events. Because of this, there is a possibility that it will have an effect on the total amount of money that businesses spend on events.</w:t>
      </w:r>
    </w:p>
    <w:p w:rsidR="00000000" w:rsidDel="00000000" w:rsidP="00000000" w:rsidRDefault="00000000" w:rsidRPr="00000000" w14:paraId="0000004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00" w:before="0" w:line="276" w:lineRule="auto"/>
        <w:ind w:left="720" w:right="0" w:hanging="360"/>
        <w:jc w:val="both"/>
        <w:rPr>
          <w:rFonts w:ascii="Arial" w:cs="Arial" w:eastAsia="Arial" w:hAnsi="Arial"/>
          <w:b w:val="1"/>
          <w:i w:val="1"/>
          <w:smallCaps w:val="0"/>
          <w:strike w:val="0"/>
          <w:color w:val="252525"/>
          <w:sz w:val="22"/>
          <w:szCs w:val="22"/>
          <w:highlight w:val="white"/>
          <w:u w:val="none"/>
          <w:vertAlign w:val="baseline"/>
        </w:rPr>
      </w:pPr>
      <w:r w:rsidDel="00000000" w:rsidR="00000000" w:rsidRPr="00000000">
        <w:rPr>
          <w:rFonts w:ascii="Arial" w:cs="Arial" w:eastAsia="Arial" w:hAnsi="Arial"/>
          <w:b w:val="1"/>
          <w:i w:val="1"/>
          <w:smallCaps w:val="0"/>
          <w:strike w:val="0"/>
          <w:color w:val="252525"/>
          <w:sz w:val="22"/>
          <w:szCs w:val="22"/>
          <w:highlight w:val="white"/>
          <w:u w:val="none"/>
          <w:vertAlign w:val="baseline"/>
          <w:rtl w:val="0"/>
        </w:rPr>
        <w:t xml:space="preserve">Exchange Rates:</w:t>
      </w:r>
    </w:p>
    <w:p w:rsidR="00000000" w:rsidDel="00000000" w:rsidP="00000000" w:rsidRDefault="00000000" w:rsidRPr="00000000" w14:paraId="00000047">
      <w:pPr>
        <w:jc w:val="both"/>
        <w:rPr>
          <w:rFonts w:ascii="Arial" w:cs="Arial" w:eastAsia="Arial" w:hAnsi="Arial"/>
          <w:highlight w:val="white"/>
        </w:rPr>
      </w:pPr>
      <w:r w:rsidDel="00000000" w:rsidR="00000000" w:rsidRPr="00000000">
        <w:rPr>
          <w:rFonts w:ascii="Arial" w:cs="Arial" w:eastAsia="Arial" w:hAnsi="Arial"/>
          <w:rtl w:val="0"/>
        </w:rPr>
        <w:t xml:space="preserve">Whenever it comes to international events, fluctuations in currency values can have an impact on a variety of aspects, such as the costs and budgeting of the event, as well as the appeal of various locations for both the people who are organizing the event and the people who are participating in the event (</w:t>
      </w:r>
      <w:r w:rsidDel="00000000" w:rsidR="00000000" w:rsidRPr="00000000">
        <w:rPr>
          <w:rFonts w:ascii="Arial" w:cs="Arial" w:eastAsia="Arial" w:hAnsi="Arial"/>
          <w:color w:val="222222"/>
          <w:sz w:val="20"/>
          <w:szCs w:val="20"/>
          <w:highlight w:val="white"/>
          <w:rtl w:val="0"/>
        </w:rPr>
        <w:t xml:space="preserve">Bowdin 2012)</w:t>
      </w:r>
      <w:r w:rsidDel="00000000" w:rsidR="00000000" w:rsidRPr="00000000">
        <w:rPr>
          <w:rFonts w:ascii="Arial" w:cs="Arial" w:eastAsia="Arial" w:hAnsi="Arial"/>
          <w:rtl w:val="0"/>
        </w:rPr>
        <w:t xml:space="preserve">.</w:t>
      </w:r>
      <w:r w:rsidDel="00000000" w:rsidR="00000000" w:rsidRPr="00000000">
        <w:rPr>
          <w:rtl w:val="0"/>
        </w:rPr>
      </w:r>
    </w:p>
    <w:p w:rsidR="00000000" w:rsidDel="00000000" w:rsidP="00000000" w:rsidRDefault="00000000" w:rsidRPr="00000000" w14:paraId="00000048">
      <w:pPr>
        <w:pStyle w:val="Heading2"/>
        <w:jc w:val="both"/>
        <w:rPr>
          <w:rFonts w:ascii="Arial" w:cs="Arial" w:eastAsia="Arial" w:hAnsi="Arial"/>
          <w:i w:val="1"/>
          <w:color w:val="000000"/>
          <w:sz w:val="22"/>
          <w:szCs w:val="22"/>
          <w:highlight w:val="white"/>
        </w:rPr>
      </w:pPr>
      <w:bookmarkStart w:colFirst="0" w:colLast="0" w:name="_heading=h.3rdcrjn" w:id="11"/>
      <w:bookmarkEnd w:id="11"/>
      <w:r w:rsidDel="00000000" w:rsidR="00000000" w:rsidRPr="00000000">
        <w:rPr>
          <w:rFonts w:ascii="Arial" w:cs="Arial" w:eastAsia="Arial" w:hAnsi="Arial"/>
          <w:i w:val="1"/>
          <w:color w:val="000000"/>
          <w:sz w:val="22"/>
          <w:szCs w:val="22"/>
          <w:highlight w:val="white"/>
          <w:rtl w:val="0"/>
        </w:rPr>
        <w:t xml:space="preserve">Social Factors: </w:t>
      </w:r>
    </w:p>
    <w:p w:rsidR="00000000" w:rsidDel="00000000" w:rsidP="00000000" w:rsidRDefault="00000000" w:rsidRPr="00000000" w14:paraId="0000004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276" w:lineRule="auto"/>
        <w:ind w:left="720" w:right="0" w:hanging="360"/>
        <w:jc w:val="both"/>
        <w:rPr>
          <w:rFonts w:ascii="Arial" w:cs="Arial" w:eastAsia="Arial" w:hAnsi="Arial"/>
          <w:b w:val="1"/>
          <w:i w:val="1"/>
          <w:smallCaps w:val="0"/>
          <w:strike w:val="0"/>
          <w:color w:val="252525"/>
          <w:sz w:val="22"/>
          <w:szCs w:val="22"/>
          <w:highlight w:val="white"/>
          <w:u w:val="none"/>
          <w:vertAlign w:val="baseline"/>
        </w:rPr>
      </w:pPr>
      <w:r w:rsidDel="00000000" w:rsidR="00000000" w:rsidRPr="00000000">
        <w:rPr>
          <w:rFonts w:ascii="Arial" w:cs="Arial" w:eastAsia="Arial" w:hAnsi="Arial"/>
          <w:b w:val="1"/>
          <w:i w:val="1"/>
          <w:smallCaps w:val="0"/>
          <w:strike w:val="0"/>
          <w:color w:val="252525"/>
          <w:sz w:val="22"/>
          <w:szCs w:val="22"/>
          <w:highlight w:val="white"/>
          <w:u w:val="none"/>
          <w:vertAlign w:val="baseline"/>
          <w:rtl w:val="0"/>
        </w:rPr>
        <w:t xml:space="preserve">Cultural Considerations:</w:t>
      </w:r>
    </w:p>
    <w:p w:rsidR="00000000" w:rsidDel="00000000" w:rsidP="00000000" w:rsidRDefault="00000000" w:rsidRPr="00000000" w14:paraId="0000004A">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For individuals to be successful in the MICE sector, it is vital for them to be aware of cultural norms and to display respect for the values that are associated with various cultures. This is because the MICE industry is about bringing together people from different cultures (</w:t>
      </w:r>
      <w:r w:rsidDel="00000000" w:rsidR="00000000" w:rsidRPr="00000000">
        <w:rPr>
          <w:rFonts w:ascii="Arial" w:cs="Arial" w:eastAsia="Arial" w:hAnsi="Arial"/>
          <w:color w:val="222222"/>
          <w:sz w:val="20"/>
          <w:szCs w:val="20"/>
          <w:highlight w:val="white"/>
          <w:rtl w:val="0"/>
        </w:rPr>
        <w:t xml:space="preserve">McCartney 2008)</w:t>
      </w:r>
      <w:r w:rsidDel="00000000" w:rsidR="00000000" w:rsidRPr="00000000">
        <w:rPr>
          <w:rFonts w:ascii="Arial" w:cs="Arial" w:eastAsia="Arial" w:hAnsi="Arial"/>
          <w:highlight w:val="white"/>
          <w:rtl w:val="0"/>
        </w:rPr>
        <w:t xml:space="preserve">. This assertion is accurate due to the fact that events frequently attract attendees who come from a substantial number of different cultural backgrounds. It is for this reason that this remark is correct.</w:t>
      </w:r>
    </w:p>
    <w:p w:rsidR="00000000" w:rsidDel="00000000" w:rsidP="00000000" w:rsidRDefault="00000000" w:rsidRPr="00000000" w14:paraId="0000004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276" w:lineRule="auto"/>
        <w:ind w:left="720" w:right="0" w:hanging="360"/>
        <w:jc w:val="both"/>
        <w:rPr>
          <w:rFonts w:ascii="Arial" w:cs="Arial" w:eastAsia="Arial" w:hAnsi="Arial"/>
          <w:b w:val="1"/>
          <w:i w:val="1"/>
          <w:smallCaps w:val="0"/>
          <w:strike w:val="0"/>
          <w:color w:val="000000"/>
          <w:sz w:val="22"/>
          <w:szCs w:val="22"/>
          <w:highlight w:val="white"/>
          <w:u w:val="none"/>
          <w:vertAlign w:val="baseline"/>
        </w:rPr>
      </w:pPr>
      <w:r w:rsidDel="00000000" w:rsidR="00000000" w:rsidRPr="00000000">
        <w:rPr>
          <w:rFonts w:ascii="Arial" w:cs="Arial" w:eastAsia="Arial" w:hAnsi="Arial"/>
          <w:b w:val="1"/>
          <w:i w:val="1"/>
          <w:smallCaps w:val="0"/>
          <w:strike w:val="0"/>
          <w:color w:val="252525"/>
          <w:sz w:val="22"/>
          <w:szCs w:val="22"/>
          <w:highlight w:val="white"/>
          <w:u w:val="none"/>
          <w:vertAlign w:val="baseline"/>
          <w:rtl w:val="0"/>
        </w:rPr>
        <w:t xml:space="preserve">Social Trends:</w:t>
      </w:r>
      <w:r w:rsidDel="00000000" w:rsidR="00000000" w:rsidRPr="00000000">
        <w:rPr>
          <w:rtl w:val="0"/>
        </w:rPr>
      </w:r>
    </w:p>
    <w:p w:rsidR="00000000" w:rsidDel="00000000" w:rsidP="00000000" w:rsidRDefault="00000000" w:rsidRPr="00000000" w14:paraId="0000004C">
      <w:pPr>
        <w:jc w:val="both"/>
        <w:rPr>
          <w:rFonts w:ascii="Arial" w:cs="Arial" w:eastAsia="Arial" w:hAnsi="Arial"/>
        </w:rPr>
      </w:pPr>
      <w:r w:rsidDel="00000000" w:rsidR="00000000" w:rsidRPr="00000000">
        <w:rPr>
          <w:rFonts w:ascii="Arial" w:cs="Arial" w:eastAsia="Arial" w:hAnsi="Arial"/>
          <w:rtl w:val="0"/>
        </w:rPr>
        <w:t xml:space="preserve">Alterations in social trends, preferences, and expectations can have an impact on the kinds of events that are in demand, which in turn can have an effect on the products that the MICE Company produces.</w:t>
      </w:r>
    </w:p>
    <w:p w:rsidR="00000000" w:rsidDel="00000000" w:rsidP="00000000" w:rsidRDefault="00000000" w:rsidRPr="00000000" w14:paraId="0000004D">
      <w:pPr>
        <w:pStyle w:val="Heading1"/>
        <w:jc w:val="both"/>
        <w:rPr>
          <w:rFonts w:ascii="Arial" w:cs="Arial" w:eastAsia="Arial" w:hAnsi="Arial"/>
          <w:i w:val="1"/>
          <w:color w:val="000000"/>
          <w:sz w:val="22"/>
          <w:szCs w:val="22"/>
          <w:u w:val="single"/>
        </w:rPr>
      </w:pPr>
      <w:bookmarkStart w:colFirst="0" w:colLast="0" w:name="_heading=h.26in1rg" w:id="12"/>
      <w:bookmarkEnd w:id="12"/>
      <w:r w:rsidDel="00000000" w:rsidR="00000000" w:rsidRPr="00000000">
        <w:rPr>
          <w:rFonts w:ascii="Arial" w:cs="Arial" w:eastAsia="Arial" w:hAnsi="Arial"/>
          <w:i w:val="1"/>
          <w:color w:val="000000"/>
          <w:sz w:val="22"/>
          <w:szCs w:val="22"/>
          <w:u w:val="single"/>
          <w:rtl w:val="0"/>
        </w:rPr>
        <w:t xml:space="preserve">Conclusion:</w:t>
      </w:r>
    </w:p>
    <w:p w:rsidR="00000000" w:rsidDel="00000000" w:rsidP="00000000" w:rsidRDefault="00000000" w:rsidRPr="00000000" w14:paraId="0000004E">
      <w:pPr>
        <w:jc w:val="both"/>
        <w:rPr>
          <w:rFonts w:ascii="Arial" w:cs="Arial" w:eastAsia="Arial" w:hAnsi="Arial"/>
        </w:rPr>
      </w:pPr>
      <w:r w:rsidDel="00000000" w:rsidR="00000000" w:rsidRPr="00000000">
        <w:rPr>
          <w:rFonts w:ascii="Arial" w:cs="Arial" w:eastAsia="Arial" w:hAnsi="Arial"/>
          <w:rtl w:val="0"/>
        </w:rPr>
        <w:t xml:space="preserve">Within the larger business ecosystem that exists all over the world, the (MICE) industry is a dynamic and essential force that plays a significant role. It is a well-known fact that this is the circumstance that holds true when all factors are taken into account. As the process of picking domains of endeavor and pushing innovation continues, meetings, investments, conventions, and exhibitions (MICE) continue to play an important part in the process. These two processes are both ongoing at the moment. This is due to the fact that it has the capacity to foster economic expansion, facilitate the exchange of ideas between individuals, and boost the development of professional networks. When it comes to the formation of professional networks, each of these aspects is of critical significance. The sector has shown both resilience and adaptability in the face of the challenges it has faced, which include the instability of the economy, concerns about the environment, and the impact of global events. Despite these challenges, the industry has shown to be resilient and adaptable. It has been proved that the industry is capable of resolving these challenges, despite the fact that they exist. A variety of characteristics are determining the future of the (MICE) industry. These characteristics are defining the future of the sector. The utilization of cutting-edge technologies, the development of new event formats, and an increasing focus on environmental responsibility are some of the qualities that are highlighted here. In addition to these factors, the development of various kinds of events is another factor that is influencing the future of the sector. The industries that deal with events, meetings, conventions, and exhibits, which are collectively referred to as MICE, are in an excellent position to continue playing an important role in connecting individuals and businesses from all over the world. In spite of the fact that companies are expanding their activities on a global scale and searching for platforms that offer opportunities for collaboration, this is the situation that has currently come about. The meetings, incentives, conventions, and exhibitions (MICE) company is in a solid position to overcome issues, make the most of developing prospects, and continue to operate as a driving force behind expansion. In order for the industry to continue to function as a catalyst for growth, learning, and collaboration on a global basis, this is something that serves as a vital component. This is because the industry places a great amount of importance on taking into account a wide range of difficulties, including those associated with the market, operations, finances, and external concerns. This is the reason why this is the case. This is the reason why situations are the way they are</w:t>
      </w:r>
    </w:p>
    <w:p w:rsidR="00000000" w:rsidDel="00000000" w:rsidP="00000000" w:rsidRDefault="00000000" w:rsidRPr="00000000" w14:paraId="0000004F">
      <w:pPr>
        <w:pStyle w:val="Heading1"/>
        <w:jc w:val="both"/>
        <w:rPr>
          <w:rFonts w:ascii="Arial" w:cs="Arial" w:eastAsia="Arial" w:hAnsi="Arial"/>
          <w:i w:val="1"/>
          <w:color w:val="000000"/>
          <w:sz w:val="22"/>
          <w:szCs w:val="22"/>
          <w:highlight w:val="white"/>
          <w:u w:val="single"/>
        </w:rPr>
      </w:pPr>
      <w:bookmarkStart w:colFirst="0" w:colLast="0" w:name="_heading=h.lnxbz9" w:id="13"/>
      <w:bookmarkEnd w:id="13"/>
      <w:r w:rsidDel="00000000" w:rsidR="00000000" w:rsidRPr="00000000">
        <w:rPr>
          <w:rFonts w:ascii="Arial" w:cs="Arial" w:eastAsia="Arial" w:hAnsi="Arial"/>
          <w:i w:val="1"/>
          <w:color w:val="000000"/>
          <w:sz w:val="22"/>
          <w:szCs w:val="22"/>
          <w:highlight w:val="white"/>
          <w:u w:val="single"/>
          <w:rtl w:val="0"/>
        </w:rPr>
        <w:t xml:space="preserve">References:</w:t>
      </w:r>
    </w:p>
    <w:p w:rsidR="00000000" w:rsidDel="00000000" w:rsidP="00000000" w:rsidRDefault="00000000" w:rsidRPr="00000000" w14:paraId="00000050">
      <w:pPr>
        <w:jc w:val="both"/>
        <w:rPr>
          <w:rFonts w:ascii="Arial" w:cs="Arial" w:eastAsia="Arial" w:hAnsi="Arial"/>
        </w:rPr>
      </w:pPr>
      <w:r w:rsidDel="00000000" w:rsidR="00000000" w:rsidRPr="00000000">
        <w:rPr>
          <w:rtl w:val="0"/>
        </w:rPr>
      </w:r>
    </w:p>
    <w:p w:rsidR="00000000" w:rsidDel="00000000" w:rsidP="00000000" w:rsidRDefault="00000000" w:rsidRPr="00000000" w14:paraId="00000051">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Giroux, H.A. and Pollock, G., 2010. </w:t>
      </w:r>
      <w:r w:rsidDel="00000000" w:rsidR="00000000" w:rsidRPr="00000000">
        <w:rPr>
          <w:rFonts w:ascii="Arial" w:cs="Arial" w:eastAsia="Arial" w:hAnsi="Arial"/>
          <w:i w:val="1"/>
          <w:color w:val="222222"/>
          <w:sz w:val="24"/>
          <w:szCs w:val="24"/>
          <w:highlight w:val="white"/>
          <w:rtl w:val="0"/>
        </w:rPr>
        <w:t xml:space="preserve">The mouse that roared: Disney and the end of innocence</w:t>
      </w:r>
      <w:r w:rsidDel="00000000" w:rsidR="00000000" w:rsidRPr="00000000">
        <w:rPr>
          <w:rFonts w:ascii="Arial" w:cs="Arial" w:eastAsia="Arial" w:hAnsi="Arial"/>
          <w:color w:val="222222"/>
          <w:sz w:val="24"/>
          <w:szCs w:val="24"/>
          <w:highlight w:val="white"/>
          <w:rtl w:val="0"/>
        </w:rPr>
        <w:t xml:space="preserve">. Rowman &amp; Littlefield Publishers.</w:t>
      </w:r>
    </w:p>
    <w:p w:rsidR="00000000" w:rsidDel="00000000" w:rsidP="00000000" w:rsidRDefault="00000000" w:rsidRPr="00000000" w14:paraId="00000052">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Pang, A.S.K., 2002. The making of the mouse. </w:t>
      </w:r>
      <w:r w:rsidDel="00000000" w:rsidR="00000000" w:rsidRPr="00000000">
        <w:rPr>
          <w:rFonts w:ascii="Arial" w:cs="Arial" w:eastAsia="Arial" w:hAnsi="Arial"/>
          <w:i w:val="1"/>
          <w:color w:val="222222"/>
          <w:sz w:val="24"/>
          <w:szCs w:val="24"/>
          <w:highlight w:val="white"/>
          <w:rtl w:val="0"/>
        </w:rPr>
        <w:t xml:space="preserve">American Heritage of Invention and Technology</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17</w:t>
      </w:r>
      <w:r w:rsidDel="00000000" w:rsidR="00000000" w:rsidRPr="00000000">
        <w:rPr>
          <w:rFonts w:ascii="Arial" w:cs="Arial" w:eastAsia="Arial" w:hAnsi="Arial"/>
          <w:color w:val="222222"/>
          <w:sz w:val="24"/>
          <w:szCs w:val="24"/>
          <w:highlight w:val="white"/>
          <w:rtl w:val="0"/>
        </w:rPr>
        <w:t xml:space="preserve">(3), pp.48-54.</w:t>
      </w:r>
    </w:p>
    <w:p w:rsidR="00000000" w:rsidDel="00000000" w:rsidP="00000000" w:rsidRDefault="00000000" w:rsidRPr="00000000" w14:paraId="00000053">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Pisano, G.P., 2006. </w:t>
      </w:r>
      <w:r w:rsidDel="00000000" w:rsidR="00000000" w:rsidRPr="00000000">
        <w:rPr>
          <w:rFonts w:ascii="Arial" w:cs="Arial" w:eastAsia="Arial" w:hAnsi="Arial"/>
          <w:i w:val="1"/>
          <w:color w:val="222222"/>
          <w:sz w:val="24"/>
          <w:szCs w:val="24"/>
          <w:highlight w:val="white"/>
          <w:rtl w:val="0"/>
        </w:rPr>
        <w:t xml:space="preserve">Science business: The promise, the reality, and the future of biotech</w:t>
      </w:r>
      <w:r w:rsidDel="00000000" w:rsidR="00000000" w:rsidRPr="00000000">
        <w:rPr>
          <w:rFonts w:ascii="Arial" w:cs="Arial" w:eastAsia="Arial" w:hAnsi="Arial"/>
          <w:color w:val="222222"/>
          <w:sz w:val="24"/>
          <w:szCs w:val="24"/>
          <w:highlight w:val="white"/>
          <w:rtl w:val="0"/>
        </w:rPr>
        <w:t xml:space="preserve">. Harvard Business Press.</w:t>
      </w:r>
    </w:p>
    <w:p w:rsidR="00000000" w:rsidDel="00000000" w:rsidP="00000000" w:rsidRDefault="00000000" w:rsidRPr="00000000" w14:paraId="00000054">
      <w:pPr>
        <w:jc w:val="both"/>
        <w:rPr>
          <w:rFonts w:ascii="Arial" w:cs="Arial" w:eastAsia="Arial" w:hAnsi="Arial"/>
          <w:color w:val="222222"/>
          <w:highlight w:val="white"/>
        </w:rPr>
      </w:pPr>
      <w:bookmarkStart w:colFirst="0" w:colLast="0" w:name="_heading=h.35nkun2" w:id="14"/>
      <w:bookmarkEnd w:id="14"/>
      <w:r w:rsidDel="00000000" w:rsidR="00000000" w:rsidRPr="00000000">
        <w:rPr>
          <w:rFonts w:ascii="Arial" w:cs="Arial" w:eastAsia="Arial" w:hAnsi="Arial"/>
          <w:color w:val="222222"/>
          <w:highlight w:val="white"/>
          <w:rtl w:val="0"/>
        </w:rPr>
        <w:t xml:space="preserve">Mananda, I.G.S. and Dewi, L.G.L.K., DEVELOPMENT STRATEGIES OF UBUD VILLAGE AS A CULTURAL MICE (MEETING, INCENTIVES, CONVENTIONS, EXHIBITIONS) DESTINATION IN BALI. </w:t>
      </w:r>
      <w:r w:rsidDel="00000000" w:rsidR="00000000" w:rsidRPr="00000000">
        <w:rPr>
          <w:rFonts w:ascii="Arial" w:cs="Arial" w:eastAsia="Arial" w:hAnsi="Arial"/>
          <w:i w:val="1"/>
          <w:color w:val="222222"/>
          <w:highlight w:val="white"/>
          <w:rtl w:val="0"/>
        </w:rPr>
        <w:t xml:space="preserve">Jurnal IPTA p-ISSN</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2338</w:t>
      </w:r>
      <w:r w:rsidDel="00000000" w:rsidR="00000000" w:rsidRPr="00000000">
        <w:rPr>
          <w:rFonts w:ascii="Arial" w:cs="Arial" w:eastAsia="Arial" w:hAnsi="Arial"/>
          <w:color w:val="222222"/>
          <w:highlight w:val="white"/>
          <w:rtl w:val="0"/>
        </w:rPr>
        <w:t xml:space="preserve">, p.8633.</w:t>
      </w:r>
    </w:p>
    <w:p w:rsidR="00000000" w:rsidDel="00000000" w:rsidP="00000000" w:rsidRDefault="00000000" w:rsidRPr="00000000" w14:paraId="00000055">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McCartney, G., 2014, July. With or without you? Building a case for further MICE (meetings, incentive travel, conventions, exhibitions) development in Macao. In </w:t>
      </w:r>
      <w:r w:rsidDel="00000000" w:rsidR="00000000" w:rsidRPr="00000000">
        <w:rPr>
          <w:rFonts w:ascii="Arial" w:cs="Arial" w:eastAsia="Arial" w:hAnsi="Arial"/>
          <w:i w:val="1"/>
          <w:color w:val="222222"/>
          <w:highlight w:val="white"/>
          <w:rtl w:val="0"/>
        </w:rPr>
        <w:t xml:space="preserve">Journal of Convention &amp; Event Tourism</w:t>
      </w:r>
      <w:r w:rsidDel="00000000" w:rsidR="00000000" w:rsidRPr="00000000">
        <w:rPr>
          <w:rFonts w:ascii="Arial" w:cs="Arial" w:eastAsia="Arial" w:hAnsi="Arial"/>
          <w:color w:val="222222"/>
          <w:highlight w:val="white"/>
          <w:rtl w:val="0"/>
        </w:rPr>
        <w:t xml:space="preserve"> (Vol. 15, No. 3, pp. 173-197). Routledge.</w:t>
      </w:r>
    </w:p>
    <w:p w:rsidR="00000000" w:rsidDel="00000000" w:rsidP="00000000" w:rsidRDefault="00000000" w:rsidRPr="00000000" w14:paraId="00000056">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Stefanoudis, P.V., Biancani, L.M., Cambronero-Solano, S., Clark, M.R., Copley, J.T., Easton, E., Elmer, F., Haddock, S.H., Herrera, S., Iglesias, I.S. and Quattrini, A.M., 2021. Moving conferences online: lessons learned from an international virtual meeting. </w:t>
      </w:r>
      <w:r w:rsidDel="00000000" w:rsidR="00000000" w:rsidRPr="00000000">
        <w:rPr>
          <w:rFonts w:ascii="Arial" w:cs="Arial" w:eastAsia="Arial" w:hAnsi="Arial"/>
          <w:i w:val="1"/>
          <w:color w:val="222222"/>
          <w:highlight w:val="white"/>
          <w:rtl w:val="0"/>
        </w:rPr>
        <w:t xml:space="preserve">Proceedings of the Royal Society B</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288</w:t>
      </w:r>
      <w:r w:rsidDel="00000000" w:rsidR="00000000" w:rsidRPr="00000000">
        <w:rPr>
          <w:rFonts w:ascii="Arial" w:cs="Arial" w:eastAsia="Arial" w:hAnsi="Arial"/>
          <w:color w:val="222222"/>
          <w:highlight w:val="white"/>
          <w:rtl w:val="0"/>
        </w:rPr>
        <w:t xml:space="preserve">(1961), p.20211769.</w:t>
      </w:r>
    </w:p>
    <w:p w:rsidR="00000000" w:rsidDel="00000000" w:rsidP="00000000" w:rsidRDefault="00000000" w:rsidRPr="00000000" w14:paraId="00000057">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Rogers, T. and Davidson, R., 2015. </w:t>
      </w:r>
      <w:r w:rsidDel="00000000" w:rsidR="00000000" w:rsidRPr="00000000">
        <w:rPr>
          <w:rFonts w:ascii="Arial" w:cs="Arial" w:eastAsia="Arial" w:hAnsi="Arial"/>
          <w:i w:val="1"/>
          <w:color w:val="222222"/>
          <w:highlight w:val="white"/>
          <w:rtl w:val="0"/>
        </w:rPr>
        <w:t xml:space="preserve">Marketing destinations and venues for conferences, conventions and business events</w:t>
      </w:r>
      <w:r w:rsidDel="00000000" w:rsidR="00000000" w:rsidRPr="00000000">
        <w:rPr>
          <w:rFonts w:ascii="Arial" w:cs="Arial" w:eastAsia="Arial" w:hAnsi="Arial"/>
          <w:color w:val="222222"/>
          <w:highlight w:val="white"/>
          <w:rtl w:val="0"/>
        </w:rPr>
        <w:t xml:space="preserve">. Routledge.</w:t>
      </w:r>
    </w:p>
    <w:p w:rsidR="00000000" w:rsidDel="00000000" w:rsidP="00000000" w:rsidRDefault="00000000" w:rsidRPr="00000000" w14:paraId="00000058">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Schlentrich, U., 2008. The MICE industry: meetings, incentives conventions and exhibitions. </w:t>
      </w:r>
      <w:r w:rsidDel="00000000" w:rsidR="00000000" w:rsidRPr="00000000">
        <w:rPr>
          <w:rFonts w:ascii="Arial" w:cs="Arial" w:eastAsia="Arial" w:hAnsi="Arial"/>
          <w:i w:val="1"/>
          <w:color w:val="222222"/>
          <w:highlight w:val="white"/>
          <w:rtl w:val="0"/>
        </w:rPr>
        <w:t xml:space="preserve">The Sage handbook of hospitality management</w:t>
      </w:r>
      <w:r w:rsidDel="00000000" w:rsidR="00000000" w:rsidRPr="00000000">
        <w:rPr>
          <w:rFonts w:ascii="Arial" w:cs="Arial" w:eastAsia="Arial" w:hAnsi="Arial"/>
          <w:color w:val="222222"/>
          <w:highlight w:val="white"/>
          <w:rtl w:val="0"/>
        </w:rPr>
        <w:t xml:space="preserve">, p.400e420.</w:t>
      </w:r>
    </w:p>
    <w:p w:rsidR="00000000" w:rsidDel="00000000" w:rsidP="00000000" w:rsidRDefault="00000000" w:rsidRPr="00000000" w14:paraId="00000059">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Getz, D. and Page, S.J., 2019. </w:t>
      </w:r>
      <w:r w:rsidDel="00000000" w:rsidR="00000000" w:rsidRPr="00000000">
        <w:rPr>
          <w:rFonts w:ascii="Arial" w:cs="Arial" w:eastAsia="Arial" w:hAnsi="Arial"/>
          <w:i w:val="1"/>
          <w:color w:val="222222"/>
          <w:highlight w:val="white"/>
          <w:rtl w:val="0"/>
        </w:rPr>
        <w:t xml:space="preserve">Event studies: Theory, research and policy for planned events</w:t>
      </w:r>
      <w:r w:rsidDel="00000000" w:rsidR="00000000" w:rsidRPr="00000000">
        <w:rPr>
          <w:rFonts w:ascii="Arial" w:cs="Arial" w:eastAsia="Arial" w:hAnsi="Arial"/>
          <w:color w:val="222222"/>
          <w:highlight w:val="white"/>
          <w:rtl w:val="0"/>
        </w:rPr>
        <w:t xml:space="preserve">. Routledge.</w:t>
      </w:r>
    </w:p>
    <w:p w:rsidR="00000000" w:rsidDel="00000000" w:rsidP="00000000" w:rsidRDefault="00000000" w:rsidRPr="00000000" w14:paraId="0000005A">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Bowdin, G., Allen, J., Harris, R., McDonnell, I. and O'toole, W., 2012. </w:t>
      </w:r>
      <w:r w:rsidDel="00000000" w:rsidR="00000000" w:rsidRPr="00000000">
        <w:rPr>
          <w:rFonts w:ascii="Arial" w:cs="Arial" w:eastAsia="Arial" w:hAnsi="Arial"/>
          <w:i w:val="1"/>
          <w:color w:val="222222"/>
          <w:highlight w:val="white"/>
          <w:rtl w:val="0"/>
        </w:rPr>
        <w:t xml:space="preserve">Events management</w:t>
      </w:r>
      <w:r w:rsidDel="00000000" w:rsidR="00000000" w:rsidRPr="00000000">
        <w:rPr>
          <w:rFonts w:ascii="Arial" w:cs="Arial" w:eastAsia="Arial" w:hAnsi="Arial"/>
          <w:color w:val="222222"/>
          <w:highlight w:val="white"/>
          <w:rtl w:val="0"/>
        </w:rPr>
        <w:t xml:space="preserve">. Routledge.</w:t>
      </w:r>
    </w:p>
    <w:p w:rsidR="00000000" w:rsidDel="00000000" w:rsidP="00000000" w:rsidRDefault="00000000" w:rsidRPr="00000000" w14:paraId="0000005B">
      <w:pPr>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McCartney, G., 2008, November. The CAT (casino tourism) and the MICE (meetings, incentives, conventions, exhibitions): Key development considerations for the convention and exhibition industry in Macao. In </w:t>
      </w:r>
      <w:r w:rsidDel="00000000" w:rsidR="00000000" w:rsidRPr="00000000">
        <w:rPr>
          <w:rFonts w:ascii="Arial" w:cs="Arial" w:eastAsia="Arial" w:hAnsi="Arial"/>
          <w:i w:val="1"/>
          <w:color w:val="222222"/>
          <w:highlight w:val="white"/>
          <w:rtl w:val="0"/>
        </w:rPr>
        <w:t xml:space="preserve">Journal of convention &amp; event tourism</w:t>
      </w:r>
      <w:r w:rsidDel="00000000" w:rsidR="00000000" w:rsidRPr="00000000">
        <w:rPr>
          <w:rFonts w:ascii="Arial" w:cs="Arial" w:eastAsia="Arial" w:hAnsi="Arial"/>
          <w:color w:val="222222"/>
          <w:highlight w:val="white"/>
          <w:rtl w:val="0"/>
        </w:rPr>
        <w:t xml:space="preserve"> (Vol. 9, No. 4, pp. 293-308). Taylor &amp; Francis Group.</w:t>
      </w:r>
    </w:p>
    <w:p w:rsidR="00000000" w:rsidDel="00000000" w:rsidP="00000000" w:rsidRDefault="00000000" w:rsidRPr="00000000" w14:paraId="0000005C">
      <w:pPr>
        <w:ind w:left="142" w:firstLine="0"/>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Anas, M.S., Maddiah, N.A., Noor Eizamly, N.U.E., Sulaiman, N.A. and Wee, H., 2020. Key success factors toward MICE industry: A systematic literature review. </w:t>
      </w:r>
      <w:r w:rsidDel="00000000" w:rsidR="00000000" w:rsidRPr="00000000">
        <w:rPr>
          <w:rFonts w:ascii="Arial" w:cs="Arial" w:eastAsia="Arial" w:hAnsi="Arial"/>
          <w:i w:val="1"/>
          <w:color w:val="222222"/>
          <w:highlight w:val="white"/>
          <w:rtl w:val="0"/>
        </w:rPr>
        <w:t xml:space="preserve">Journal of Tourism, Hospitality &amp; Culinary Arts (JTHCA)</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12</w:t>
      </w:r>
      <w:r w:rsidDel="00000000" w:rsidR="00000000" w:rsidRPr="00000000">
        <w:rPr>
          <w:rFonts w:ascii="Arial" w:cs="Arial" w:eastAsia="Arial" w:hAnsi="Arial"/>
          <w:color w:val="222222"/>
          <w:highlight w:val="white"/>
          <w:rtl w:val="0"/>
        </w:rPr>
        <w:t xml:space="preserve">(1), pp.1-34.</w:t>
      </w:r>
    </w:p>
    <w:p w:rsidR="00000000" w:rsidDel="00000000" w:rsidP="00000000" w:rsidRDefault="00000000" w:rsidRPr="00000000" w14:paraId="0000005D">
      <w:pPr>
        <w:ind w:left="142" w:firstLine="0"/>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Sandy Sou, K.I. and McCartney, G., 2015. An assessment of the human resources challenges of Macao's meeting, incentive, convention, and exhibition (MICE) industry. </w:t>
      </w:r>
      <w:r w:rsidDel="00000000" w:rsidR="00000000" w:rsidRPr="00000000">
        <w:rPr>
          <w:rFonts w:ascii="Arial" w:cs="Arial" w:eastAsia="Arial" w:hAnsi="Arial"/>
          <w:i w:val="1"/>
          <w:color w:val="222222"/>
          <w:highlight w:val="white"/>
          <w:rtl w:val="0"/>
        </w:rPr>
        <w:t xml:space="preserve">Journal of Human Resources in Hospitality &amp; Tourism</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14</w:t>
      </w:r>
      <w:r w:rsidDel="00000000" w:rsidR="00000000" w:rsidRPr="00000000">
        <w:rPr>
          <w:rFonts w:ascii="Arial" w:cs="Arial" w:eastAsia="Arial" w:hAnsi="Arial"/>
          <w:color w:val="222222"/>
          <w:highlight w:val="white"/>
          <w:rtl w:val="0"/>
        </w:rPr>
        <w:t xml:space="preserve">(3), pp.244-266.</w:t>
      </w:r>
    </w:p>
    <w:p w:rsidR="00000000" w:rsidDel="00000000" w:rsidP="00000000" w:rsidRDefault="00000000" w:rsidRPr="00000000" w14:paraId="0000005E">
      <w:pPr>
        <w:ind w:left="142" w:firstLine="0"/>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Nyurenberger, L., Sewruikov, I., Luchina, N. and Shchetinina, N., 2019. Congress tourism as an indicator of the development of the global and national mice industry. </w:t>
      </w:r>
      <w:r w:rsidDel="00000000" w:rsidR="00000000" w:rsidRPr="00000000">
        <w:rPr>
          <w:rFonts w:ascii="Arial" w:cs="Arial" w:eastAsia="Arial" w:hAnsi="Arial"/>
          <w:i w:val="1"/>
          <w:color w:val="222222"/>
          <w:highlight w:val="white"/>
          <w:rtl w:val="0"/>
        </w:rPr>
        <w:t xml:space="preserve">Economic and Social Development: Book of Proceedings</w:t>
      </w:r>
      <w:r w:rsidDel="00000000" w:rsidR="00000000" w:rsidRPr="00000000">
        <w:rPr>
          <w:rFonts w:ascii="Arial" w:cs="Arial" w:eastAsia="Arial" w:hAnsi="Arial"/>
          <w:color w:val="222222"/>
          <w:highlight w:val="white"/>
          <w:rtl w:val="0"/>
        </w:rPr>
        <w:t xml:space="preserve">, pp.237-246.</w:t>
      </w:r>
    </w:p>
    <w:p w:rsidR="00000000" w:rsidDel="00000000" w:rsidP="00000000" w:rsidRDefault="00000000" w:rsidRPr="00000000" w14:paraId="0000005F">
      <w:pPr>
        <w:ind w:left="142" w:firstLine="0"/>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Wang, M. and Luo, Q., 2018. Exploring the MICE industry career path. </w:t>
      </w:r>
      <w:r w:rsidDel="00000000" w:rsidR="00000000" w:rsidRPr="00000000">
        <w:rPr>
          <w:rFonts w:ascii="Arial" w:cs="Arial" w:eastAsia="Arial" w:hAnsi="Arial"/>
          <w:i w:val="1"/>
          <w:color w:val="222222"/>
          <w:highlight w:val="white"/>
          <w:rtl w:val="0"/>
        </w:rPr>
        <w:t xml:space="preserve">International Journal of Contemporary Hospitality Management</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30</w:t>
      </w:r>
      <w:r w:rsidDel="00000000" w:rsidR="00000000" w:rsidRPr="00000000">
        <w:rPr>
          <w:rFonts w:ascii="Arial" w:cs="Arial" w:eastAsia="Arial" w:hAnsi="Arial"/>
          <w:color w:val="222222"/>
          <w:highlight w:val="white"/>
          <w:rtl w:val="0"/>
        </w:rPr>
        <w:t xml:space="preserve">(5), pp.2308-2326.</w:t>
      </w:r>
    </w:p>
    <w:p w:rsidR="00000000" w:rsidDel="00000000" w:rsidP="00000000" w:rsidRDefault="00000000" w:rsidRPr="00000000" w14:paraId="00000060">
      <w:pPr>
        <w:ind w:left="142" w:firstLine="0"/>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Hur, D., Lee, S. and Kim, H., 2022. Are we ready for MICE 5.0? An investigation of technology use in the MICE industry using social media big data. </w:t>
      </w:r>
      <w:r w:rsidDel="00000000" w:rsidR="00000000" w:rsidRPr="00000000">
        <w:rPr>
          <w:rFonts w:ascii="Arial" w:cs="Arial" w:eastAsia="Arial" w:hAnsi="Arial"/>
          <w:i w:val="1"/>
          <w:color w:val="222222"/>
          <w:highlight w:val="white"/>
          <w:rtl w:val="0"/>
        </w:rPr>
        <w:t xml:space="preserve">Tourism Management Perspectives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43</w:t>
      </w:r>
      <w:r w:rsidDel="00000000" w:rsidR="00000000" w:rsidRPr="00000000">
        <w:rPr>
          <w:rFonts w:ascii="Arial" w:cs="Arial" w:eastAsia="Arial" w:hAnsi="Arial"/>
          <w:color w:val="222222"/>
          <w:highlight w:val="white"/>
          <w:rtl w:val="0"/>
        </w:rPr>
        <w:t xml:space="preserve">, p.100991.</w:t>
      </w:r>
    </w:p>
    <w:p w:rsidR="00000000" w:rsidDel="00000000" w:rsidP="00000000" w:rsidRDefault="00000000" w:rsidRPr="00000000" w14:paraId="00000061">
      <w:pPr>
        <w:ind w:left="142" w:firstLine="0"/>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McCartney, G., 2008, November. The CAT (casino tourism) and the MICE (meetings, incentives, conventions, exhibitions): Key development considerations for the convention and exhibition industry in Macao. In </w:t>
      </w:r>
      <w:r w:rsidDel="00000000" w:rsidR="00000000" w:rsidRPr="00000000">
        <w:rPr>
          <w:rFonts w:ascii="Arial" w:cs="Arial" w:eastAsia="Arial" w:hAnsi="Arial"/>
          <w:i w:val="1"/>
          <w:color w:val="222222"/>
          <w:highlight w:val="white"/>
          <w:rtl w:val="0"/>
        </w:rPr>
        <w:t xml:space="preserve">Journal of convention &amp; event tourism</w:t>
      </w:r>
      <w:r w:rsidDel="00000000" w:rsidR="00000000" w:rsidRPr="00000000">
        <w:rPr>
          <w:rFonts w:ascii="Arial" w:cs="Arial" w:eastAsia="Arial" w:hAnsi="Arial"/>
          <w:color w:val="222222"/>
          <w:highlight w:val="white"/>
          <w:rtl w:val="0"/>
        </w:rPr>
        <w:t xml:space="preserve"> (Vol. 9, No. 4, pp. 293-308). Taylor &amp; Francis Group.</w:t>
      </w:r>
    </w:p>
    <w:p w:rsidR="00000000" w:rsidDel="00000000" w:rsidP="00000000" w:rsidRDefault="00000000" w:rsidRPr="00000000" w14:paraId="00000062">
      <w:pPr>
        <w:ind w:left="142" w:firstLine="0"/>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Wu, J. and Xiao, X., 2012. Pattern and policies of mainland China's MICE industry. </w:t>
      </w:r>
      <w:r w:rsidDel="00000000" w:rsidR="00000000" w:rsidRPr="00000000">
        <w:rPr>
          <w:rFonts w:ascii="Arial" w:cs="Arial" w:eastAsia="Arial" w:hAnsi="Arial"/>
          <w:i w:val="1"/>
          <w:color w:val="222222"/>
          <w:highlight w:val="white"/>
          <w:rtl w:val="0"/>
        </w:rPr>
        <w:t xml:space="preserve">Chinese Studies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w:t>
      </w:r>
      <w:r w:rsidDel="00000000" w:rsidR="00000000" w:rsidRPr="00000000">
        <w:rPr>
          <w:rFonts w:ascii="Arial" w:cs="Arial" w:eastAsia="Arial" w:hAnsi="Arial"/>
          <w:color w:val="222222"/>
          <w:highlight w:val="white"/>
          <w:rtl w:val="0"/>
        </w:rPr>
        <w:t xml:space="preserve">(2), pp.5-8.</w:t>
      </w:r>
    </w:p>
    <w:p w:rsidR="00000000" w:rsidDel="00000000" w:rsidP="00000000" w:rsidRDefault="00000000" w:rsidRPr="00000000" w14:paraId="00000063">
      <w:pPr>
        <w:ind w:left="142" w:firstLine="0"/>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Reshetnikova, N. and Magomedov, M., 2019. Influence strategic competitive advantage on the MICE industry and its sustainability. </w:t>
      </w:r>
      <w:r w:rsidDel="00000000" w:rsidR="00000000" w:rsidRPr="00000000">
        <w:rPr>
          <w:rFonts w:ascii="Arial" w:cs="Arial" w:eastAsia="Arial" w:hAnsi="Arial"/>
          <w:i w:val="1"/>
          <w:color w:val="222222"/>
          <w:highlight w:val="white"/>
          <w:rtl w:val="0"/>
        </w:rPr>
        <w:t xml:space="preserve">Studia Ekonomiczne</w:t>
      </w:r>
      <w:r w:rsidDel="00000000" w:rsidR="00000000" w:rsidRPr="00000000">
        <w:rPr>
          <w:rFonts w:ascii="Arial" w:cs="Arial" w:eastAsia="Arial" w:hAnsi="Arial"/>
          <w:color w:val="222222"/>
          <w:highlight w:val="white"/>
          <w:rtl w:val="0"/>
        </w:rPr>
        <w:t xml:space="preserve">, (382), pp.170-185.</w:t>
      </w:r>
    </w:p>
    <w:p w:rsidR="00000000" w:rsidDel="00000000" w:rsidP="00000000" w:rsidRDefault="00000000" w:rsidRPr="00000000" w14:paraId="00000064">
      <w:pPr>
        <w:ind w:left="142" w:firstLine="0"/>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Muresan, M.L., 2020. Economic and Social Features of MICE Industry Development and Business Tourism. In </w:t>
      </w:r>
      <w:r w:rsidDel="00000000" w:rsidR="00000000" w:rsidRPr="00000000">
        <w:rPr>
          <w:rFonts w:ascii="Arial" w:cs="Arial" w:eastAsia="Arial" w:hAnsi="Arial"/>
          <w:i w:val="1"/>
          <w:color w:val="222222"/>
          <w:highlight w:val="white"/>
          <w:rtl w:val="0"/>
        </w:rPr>
        <w:t xml:space="preserve">New Trends and Opportunities for Central and Eastern European Tourism</w:t>
      </w:r>
      <w:r w:rsidDel="00000000" w:rsidR="00000000" w:rsidRPr="00000000">
        <w:rPr>
          <w:rFonts w:ascii="Arial" w:cs="Arial" w:eastAsia="Arial" w:hAnsi="Arial"/>
          <w:color w:val="222222"/>
          <w:highlight w:val="white"/>
          <w:rtl w:val="0"/>
        </w:rPr>
        <w:t xml:space="preserve"> (pp. 142-167). IGI Global.</w:t>
      </w:r>
    </w:p>
    <w:p w:rsidR="00000000" w:rsidDel="00000000" w:rsidP="00000000" w:rsidRDefault="00000000" w:rsidRPr="00000000" w14:paraId="00000065">
      <w:pPr>
        <w:ind w:left="142" w:firstLine="0"/>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Tiecheng, L. and Li, L., 2014. An Empirical Study of the Economic Impact of the MICE Industry in China Using Interregional Input-output Models (IRIO). </w:t>
      </w:r>
      <w:r w:rsidDel="00000000" w:rsidR="00000000" w:rsidRPr="00000000">
        <w:rPr>
          <w:rFonts w:ascii="Arial" w:cs="Arial" w:eastAsia="Arial" w:hAnsi="Arial"/>
          <w:i w:val="1"/>
          <w:color w:val="222222"/>
          <w:highlight w:val="white"/>
          <w:rtl w:val="0"/>
        </w:rPr>
        <w:t xml:space="preserve">Tourism Tribune/Lvyou Xuekan</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29</w:t>
      </w:r>
      <w:r w:rsidDel="00000000" w:rsidR="00000000" w:rsidRPr="00000000">
        <w:rPr>
          <w:rFonts w:ascii="Arial" w:cs="Arial" w:eastAsia="Arial" w:hAnsi="Arial"/>
          <w:color w:val="222222"/>
          <w:highlight w:val="white"/>
          <w:rtl w:val="0"/>
        </w:rPr>
        <w:t xml:space="preserve">(6).</w:t>
      </w:r>
    </w:p>
    <w:p w:rsidR="00000000" w:rsidDel="00000000" w:rsidP="00000000" w:rsidRDefault="00000000" w:rsidRPr="00000000" w14:paraId="00000066">
      <w:pPr>
        <w:ind w:left="142" w:firstLine="0"/>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Disimulacion, M.A.T., 2020. MICE tourism during Covid-19 and future directions for the new normal. </w:t>
      </w:r>
      <w:r w:rsidDel="00000000" w:rsidR="00000000" w:rsidRPr="00000000">
        <w:rPr>
          <w:rFonts w:ascii="Arial" w:cs="Arial" w:eastAsia="Arial" w:hAnsi="Arial"/>
          <w:i w:val="1"/>
          <w:color w:val="222222"/>
          <w:highlight w:val="white"/>
          <w:rtl w:val="0"/>
        </w:rPr>
        <w:t xml:space="preserve">Asia Pacific International Events Management Journal</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w:t>
      </w:r>
      <w:r w:rsidDel="00000000" w:rsidR="00000000" w:rsidRPr="00000000">
        <w:rPr>
          <w:rFonts w:ascii="Arial" w:cs="Arial" w:eastAsia="Arial" w:hAnsi="Arial"/>
          <w:color w:val="222222"/>
          <w:highlight w:val="white"/>
          <w:rtl w:val="0"/>
        </w:rPr>
        <w:t xml:space="preserve">(2), pp.11-17.</w:t>
      </w:r>
    </w:p>
    <w:p w:rsidR="00000000" w:rsidDel="00000000" w:rsidP="00000000" w:rsidRDefault="00000000" w:rsidRPr="00000000" w14:paraId="00000067">
      <w:pPr>
        <w:ind w:left="142" w:firstLine="0"/>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Dwyer, L. and Mistilis, N., 1999, August. Development of MICE tourism in Australia: Opportunities and challenges. In </w:t>
      </w:r>
      <w:r w:rsidDel="00000000" w:rsidR="00000000" w:rsidRPr="00000000">
        <w:rPr>
          <w:rFonts w:ascii="Arial" w:cs="Arial" w:eastAsia="Arial" w:hAnsi="Arial"/>
          <w:i w:val="1"/>
          <w:color w:val="222222"/>
          <w:highlight w:val="white"/>
          <w:rtl w:val="0"/>
        </w:rPr>
        <w:t xml:space="preserve">Journal of Convention &amp; Exhibition Management</w:t>
      </w:r>
      <w:r w:rsidDel="00000000" w:rsidR="00000000" w:rsidRPr="00000000">
        <w:rPr>
          <w:rFonts w:ascii="Arial" w:cs="Arial" w:eastAsia="Arial" w:hAnsi="Arial"/>
          <w:color w:val="222222"/>
          <w:highlight w:val="white"/>
          <w:rtl w:val="0"/>
        </w:rPr>
        <w:t xml:space="preserve"> (Vol. 1, No. 4, pp. 85-100). Taylor &amp; Francis Group.</w:t>
      </w:r>
    </w:p>
    <w:p w:rsidR="00000000" w:rsidDel="00000000" w:rsidP="00000000" w:rsidRDefault="00000000" w:rsidRPr="00000000" w14:paraId="00000068">
      <w:pPr>
        <w:ind w:left="142" w:firstLine="0"/>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Spencer, J.P. and Bavuma, Z., 2018. How important are mice to the tourism economy?. </w:t>
      </w:r>
      <w:r w:rsidDel="00000000" w:rsidR="00000000" w:rsidRPr="00000000">
        <w:rPr>
          <w:rFonts w:ascii="Arial" w:cs="Arial" w:eastAsia="Arial" w:hAnsi="Arial"/>
          <w:i w:val="1"/>
          <w:color w:val="222222"/>
          <w:highlight w:val="white"/>
          <w:rtl w:val="0"/>
        </w:rPr>
        <w:t xml:space="preserve">The Business and Management Review</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9</w:t>
      </w:r>
      <w:r w:rsidDel="00000000" w:rsidR="00000000" w:rsidRPr="00000000">
        <w:rPr>
          <w:rFonts w:ascii="Arial" w:cs="Arial" w:eastAsia="Arial" w:hAnsi="Arial"/>
          <w:color w:val="222222"/>
          <w:highlight w:val="white"/>
          <w:rtl w:val="0"/>
        </w:rPr>
        <w:t xml:space="preserve">(4), pp.125-143.</w:t>
      </w:r>
    </w:p>
    <w:p w:rsidR="00000000" w:rsidDel="00000000" w:rsidP="00000000" w:rsidRDefault="00000000" w:rsidRPr="00000000" w14:paraId="00000069">
      <w:pPr>
        <w:jc w:val="both"/>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6A">
      <w:pPr>
        <w:jc w:val="both"/>
        <w:rPr>
          <w:rFonts w:ascii="Arial" w:cs="Arial" w:eastAsia="Arial" w:hAnsi="Arial"/>
        </w:rPr>
      </w:pPr>
      <w:r w:rsidDel="00000000" w:rsidR="00000000" w:rsidRPr="00000000">
        <w:rPr>
          <w:rtl w:val="0"/>
        </w:rPr>
      </w:r>
    </w:p>
    <w:sectPr>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Georgia"/>
  <w:font w:name="Arial"/>
  <w:font w:name="Courier New"/>
  <w:font w:name="Algerian"/>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spacing w:after="0" w:before="200" w:lineRule="auto"/>
    </w:pPr>
    <w:rPr>
      <w:rFonts w:ascii="Cambria" w:cs="Cambria" w:eastAsia="Cambria" w:hAnsi="Cambria"/>
      <w:b w:val="1"/>
      <w:color w:val="4f81bd"/>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7F668B"/>
  </w:style>
  <w:style w:type="paragraph" w:styleId="Heading1">
    <w:name w:val="heading 1"/>
    <w:basedOn w:val="Normal"/>
    <w:next w:val="Normal"/>
    <w:link w:val="Heading1Char"/>
    <w:uiPriority w:val="9"/>
    <w:qFormat w:val="1"/>
    <w:rsid w:val="007F668B"/>
    <w:pPr>
      <w:keepNext w:val="1"/>
      <w:keepLines w:val="1"/>
      <w:spacing w:after="0" w:before="480"/>
      <w:outlineLvl w:val="0"/>
    </w:pPr>
    <w:rPr>
      <w:rFonts w:asciiTheme="majorHAnsi" w:cstheme="majorBidi" w:eastAsiaTheme="majorEastAsia" w:hAnsiTheme="majorHAnsi"/>
      <w:b w:val="1"/>
      <w:bCs w:val="1"/>
      <w:color w:val="365f91" w:themeColor="accent1" w:themeShade="0000BF"/>
      <w:sz w:val="28"/>
      <w:szCs w:val="28"/>
    </w:rPr>
  </w:style>
  <w:style w:type="paragraph" w:styleId="Heading2">
    <w:name w:val="heading 2"/>
    <w:basedOn w:val="Normal"/>
    <w:next w:val="Normal"/>
    <w:link w:val="Heading2Char"/>
    <w:uiPriority w:val="9"/>
    <w:unhideWhenUsed w:val="1"/>
    <w:qFormat w:val="1"/>
    <w:rsid w:val="00F67C30"/>
    <w:pPr>
      <w:keepNext w:val="1"/>
      <w:keepLines w:val="1"/>
      <w:spacing w:after="0" w:before="200"/>
      <w:outlineLvl w:val="1"/>
    </w:pPr>
    <w:rPr>
      <w:rFonts w:asciiTheme="majorHAnsi" w:cstheme="majorBidi" w:eastAsiaTheme="majorEastAsia" w:hAnsiTheme="majorHAnsi"/>
      <w:b w:val="1"/>
      <w:bCs w:val="1"/>
      <w:color w:val="4f81bd" w:themeColor="accent1"/>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7F668B"/>
    <w:pPr>
      <w:ind w:left="720"/>
      <w:contextualSpacing w:val="1"/>
    </w:pPr>
  </w:style>
  <w:style w:type="character" w:styleId="Heading1Char" w:customStyle="1">
    <w:name w:val="Heading 1 Char"/>
    <w:basedOn w:val="DefaultParagraphFont"/>
    <w:link w:val="Heading1"/>
    <w:uiPriority w:val="9"/>
    <w:rsid w:val="007F668B"/>
    <w:rPr>
      <w:rFonts w:asciiTheme="majorHAnsi" w:cstheme="majorBidi" w:eastAsiaTheme="majorEastAsia" w:hAnsiTheme="majorHAnsi"/>
      <w:b w:val="1"/>
      <w:bCs w:val="1"/>
      <w:color w:val="365f91" w:themeColor="accent1" w:themeShade="0000BF"/>
      <w:sz w:val="28"/>
      <w:szCs w:val="28"/>
    </w:rPr>
  </w:style>
  <w:style w:type="character" w:styleId="Heading2Char" w:customStyle="1">
    <w:name w:val="Heading 2 Char"/>
    <w:basedOn w:val="DefaultParagraphFont"/>
    <w:link w:val="Heading2"/>
    <w:uiPriority w:val="9"/>
    <w:rsid w:val="00F67C30"/>
    <w:rPr>
      <w:rFonts w:asciiTheme="majorHAnsi" w:cstheme="majorBidi" w:eastAsiaTheme="majorEastAsia" w:hAnsiTheme="majorHAnsi"/>
      <w:b w:val="1"/>
      <w:bCs w:val="1"/>
      <w:color w:val="4f81bd" w:themeColor="accent1"/>
      <w:sz w:val="26"/>
      <w:szCs w:val="26"/>
    </w:rPr>
  </w:style>
  <w:style w:type="paragraph" w:styleId="NoSpacing">
    <w:name w:val="No Spacing"/>
    <w:link w:val="NoSpacingChar"/>
    <w:uiPriority w:val="1"/>
    <w:qFormat w:val="1"/>
    <w:rsid w:val="00C00522"/>
    <w:pPr>
      <w:spacing w:after="0" w:line="240" w:lineRule="auto"/>
    </w:pPr>
    <w:rPr>
      <w:rFonts w:eastAsiaTheme="minorEastAsia"/>
      <w:lang w:eastAsia="ja-JP"/>
    </w:rPr>
  </w:style>
  <w:style w:type="character" w:styleId="NoSpacingChar" w:customStyle="1">
    <w:name w:val="No Spacing Char"/>
    <w:basedOn w:val="DefaultParagraphFont"/>
    <w:link w:val="NoSpacing"/>
    <w:uiPriority w:val="1"/>
    <w:rsid w:val="00C00522"/>
    <w:rPr>
      <w:rFonts w:eastAsiaTheme="minorEastAsia"/>
      <w:lang w:eastAsia="ja-JP"/>
    </w:rPr>
  </w:style>
  <w:style w:type="paragraph" w:styleId="BalloonText">
    <w:name w:val="Balloon Text"/>
    <w:basedOn w:val="Normal"/>
    <w:link w:val="BalloonTextChar"/>
    <w:uiPriority w:val="99"/>
    <w:semiHidden w:val="1"/>
    <w:unhideWhenUsed w:val="1"/>
    <w:rsid w:val="00C00522"/>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C00522"/>
    <w:rPr>
      <w:rFonts w:ascii="Tahoma" w:cs="Tahoma" w:hAnsi="Tahoma"/>
      <w:sz w:val="16"/>
      <w:szCs w:val="16"/>
    </w:rPr>
  </w:style>
  <w:style w:type="paragraph" w:styleId="TOCHeading">
    <w:name w:val="TOC Heading"/>
    <w:basedOn w:val="Heading1"/>
    <w:next w:val="Normal"/>
    <w:uiPriority w:val="39"/>
    <w:semiHidden w:val="1"/>
    <w:unhideWhenUsed w:val="1"/>
    <w:qFormat w:val="1"/>
    <w:rsid w:val="00C00522"/>
    <w:pPr>
      <w:outlineLvl w:val="9"/>
    </w:pPr>
    <w:rPr>
      <w:lang w:eastAsia="ja-JP"/>
    </w:rPr>
  </w:style>
  <w:style w:type="paragraph" w:styleId="TOC1">
    <w:name w:val="toc 1"/>
    <w:basedOn w:val="Normal"/>
    <w:next w:val="Normal"/>
    <w:autoRedefine w:val="1"/>
    <w:uiPriority w:val="39"/>
    <w:unhideWhenUsed w:val="1"/>
    <w:rsid w:val="00C00522"/>
    <w:pPr>
      <w:spacing w:after="100"/>
    </w:pPr>
  </w:style>
  <w:style w:type="paragraph" w:styleId="TOC2">
    <w:name w:val="toc 2"/>
    <w:basedOn w:val="Normal"/>
    <w:next w:val="Normal"/>
    <w:autoRedefine w:val="1"/>
    <w:uiPriority w:val="39"/>
    <w:unhideWhenUsed w:val="1"/>
    <w:rsid w:val="00C00522"/>
    <w:pPr>
      <w:spacing w:after="100"/>
      <w:ind w:left="220"/>
    </w:pPr>
  </w:style>
  <w:style w:type="character" w:styleId="Hyperlink">
    <w:name w:val="Hyperlink"/>
    <w:basedOn w:val="DefaultParagraphFont"/>
    <w:uiPriority w:val="99"/>
    <w:unhideWhenUsed w:val="1"/>
    <w:rsid w:val="00C00522"/>
    <w:rPr>
      <w:color w:val="0000ff"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3.png"/><Relationship Id="rId10" Type="http://schemas.openxmlformats.org/officeDocument/2006/relationships/image" Target="media/image1.png"/><Relationship Id="rId9" Type="http://schemas.openxmlformats.org/officeDocument/2006/relationships/image" Target="media/image5.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4.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7Ivtg2DQN4K171O/HwB3QV+IWuA==">CgMxLjAyCGguZ2pkZ3hzMgloLjMwajB6bGwyCWguMWZvYjl0ZTIJaC4zem55c2g3MgloLjJldDkycDAyCGgudHlqY3d0MgloLjNkeTZ2a20yCWguMXQzaDVzZjIJaC40ZDM0b2c4MgloLjJzOGV5bzEyCWguMTdkcDh2dTIJaC4zcmRjcmpuMgloLjI2aW4xcmcyCGgubG54Yno5MgloLjM1bmt1bjI4AHIhMU9TMjB5cnRDWVpkZWx4NXRUYXBhMDA1R2dSMmxwTEdH</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2024-02-17T08:58:00Z</dcterms:created>
</cp:coreProperties>
</file>