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rFonts w:ascii="Arial" w:cs="Arial" w:eastAsia="Arial" w:hAnsi="Arial"/>
          <w:b w:val="1"/>
          <w:sz w:val="56"/>
          <w:szCs w:val="56"/>
        </w:rPr>
      </w:pPr>
      <w:r w:rsidDel="00000000" w:rsidR="00000000" w:rsidRPr="00000000">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rFonts w:ascii="Arial" w:cs="Arial" w:eastAsia="Arial" w:hAnsi="Arial"/>
          <w:b w:val="1"/>
          <w:sz w:val="56"/>
          <w:szCs w:val="56"/>
        </w:rPr>
      </w:pP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sz w:val="40"/>
          <w:szCs w:val="40"/>
          <w:highlight w:val="yellow"/>
        </w:rPr>
      </w:pPr>
      <w:r w:rsidDel="00000000" w:rsidR="00000000" w:rsidRPr="00000000">
        <w:rPr>
          <w:rFonts w:ascii="Arial" w:cs="Arial" w:eastAsia="Arial" w:hAnsi="Arial"/>
          <w:b w:val="1"/>
          <w:sz w:val="48"/>
          <w:szCs w:val="48"/>
          <w:rtl w:val="0"/>
        </w:rPr>
        <w:t xml:space="preserve">MODULE CODE: </w:t>
      </w:r>
      <w:r w:rsidDel="00000000" w:rsidR="00000000" w:rsidRPr="00000000">
        <w:rPr>
          <w:rFonts w:ascii="Arial" w:cs="Arial" w:eastAsia="Arial" w:hAnsi="Arial"/>
          <w:b w:val="1"/>
          <w:sz w:val="40"/>
          <w:szCs w:val="40"/>
          <w:rtl w:val="0"/>
        </w:rPr>
        <w:t xml:space="preserve">ECPW5007 </w:t>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ASSESSMENT COMPONENT: </w:t>
      </w:r>
      <w:r w:rsidDel="00000000" w:rsidR="00000000" w:rsidRPr="00000000">
        <w:rPr>
          <w:rFonts w:ascii="Arial" w:cs="Arial" w:eastAsia="Arial" w:hAnsi="Arial"/>
          <w:b w:val="1"/>
          <w:sz w:val="40"/>
          <w:szCs w:val="40"/>
          <w:rtl w:val="0"/>
        </w:rPr>
        <w:t xml:space="preserve">A1 Practical Teaching Session</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STUDENT NAME: Daniel Sion Rumbelow </w:t>
      </w:r>
    </w:p>
    <w:p w:rsidR="00000000" w:rsidDel="00000000" w:rsidP="00000000" w:rsidRDefault="00000000" w:rsidRPr="00000000" w14:paraId="00000008">
      <w:pPr>
        <w:spacing w:before="3" w:lineRule="auto"/>
        <w:rPr>
          <w:rFonts w:ascii="Arial" w:cs="Arial" w:eastAsia="Arial" w:hAnsi="Arial"/>
          <w:b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sz w:val="48"/>
          <w:szCs w:val="48"/>
        </w:rPr>
      </w:pPr>
      <w:r w:rsidDel="00000000" w:rsidR="00000000" w:rsidRPr="00000000">
        <w:rPr>
          <w:rFonts w:ascii="Arial" w:cs="Arial" w:eastAsia="Arial" w:hAnsi="Arial"/>
          <w:b w:val="1"/>
          <w:sz w:val="48"/>
          <w:szCs w:val="48"/>
          <w:rtl w:val="0"/>
        </w:rPr>
        <w:t xml:space="preserve">STUDENT NUMBER: 2224566</w:t>
      </w:r>
    </w:p>
    <w:p w:rsidR="00000000" w:rsidDel="00000000" w:rsidP="00000000" w:rsidRDefault="00000000" w:rsidRPr="00000000" w14:paraId="0000000A">
      <w:pPr>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B">
      <w:pPr>
        <w:ind w:left="100" w:firstLine="0"/>
        <w:jc w:val="center"/>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C">
      <w:pPr>
        <w:ind w:left="100" w:firstLine="0"/>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12">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5">
      <w:pPr>
        <w:spacing w:after="0" w:line="240" w:lineRule="auto"/>
        <w:ind w:left="90" w:firstLine="0"/>
        <w:jc w:val="both"/>
        <w:rPr>
          <w:rFonts w:ascii="Quattrocento Sans" w:cs="Quattrocento Sans" w:eastAsia="Quattrocento Sans" w:hAnsi="Quattrocento Sans"/>
          <w:color w:val="0f4761"/>
          <w:sz w:val="22"/>
          <w:szCs w:val="22"/>
        </w:rPr>
      </w:pPr>
      <w:r w:rsidDel="00000000" w:rsidR="00000000" w:rsidRPr="00000000">
        <w:rPr>
          <w:rFonts w:ascii="Quattrocento Sans" w:cs="Quattrocento Sans" w:eastAsia="Quattrocento Sans" w:hAnsi="Quattrocento Sans"/>
          <w:color w:val="0f4761"/>
          <w:sz w:val="22"/>
          <w:szCs w:val="22"/>
          <w:rtl w:val="0"/>
        </w:rPr>
        <w:t xml:space="preserve">(Lecturer to indicate Yes or No against each element)</w:t>
      </w:r>
    </w:p>
    <w:p w:rsidR="00000000" w:rsidDel="00000000" w:rsidP="00000000" w:rsidRDefault="00000000" w:rsidRPr="00000000" w14:paraId="00000016">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B">
      <w:pPr>
        <w:rPr>
          <w:b w:val="1"/>
          <w:sz w:val="32"/>
          <w:szCs w:val="32"/>
          <w:u w:val="single"/>
        </w:rPr>
      </w:pPr>
      <w:r w:rsidDel="00000000" w:rsidR="00000000" w:rsidRPr="00000000">
        <w:rPr>
          <w:rtl w:val="0"/>
        </w:rPr>
      </w:r>
    </w:p>
    <w:p w:rsidR="00000000" w:rsidDel="00000000" w:rsidP="00000000" w:rsidRDefault="00000000" w:rsidRPr="00000000" w14:paraId="0000003C">
      <w:pPr>
        <w:rPr>
          <w:b w:val="1"/>
          <w:sz w:val="32"/>
          <w:szCs w:val="32"/>
          <w:u w:val="single"/>
        </w:rPr>
      </w:pPr>
      <w:r w:rsidDel="00000000" w:rsidR="00000000" w:rsidRPr="00000000">
        <w:rPr>
          <w:rtl w:val="0"/>
        </w:rPr>
      </w:r>
    </w:p>
    <w:p w:rsidR="00000000" w:rsidDel="00000000" w:rsidP="00000000" w:rsidRDefault="00000000" w:rsidRPr="00000000" w14:paraId="0000003D">
      <w:pPr>
        <w:rPr>
          <w:b w:val="1"/>
          <w:sz w:val="32"/>
          <w:szCs w:val="32"/>
          <w:u w:val="single"/>
        </w:rPr>
      </w:pPr>
      <w:r w:rsidDel="00000000" w:rsidR="00000000" w:rsidRPr="00000000">
        <w:rPr>
          <w:rtl w:val="0"/>
        </w:rPr>
      </w:r>
    </w:p>
    <w:p w:rsidR="00000000" w:rsidDel="00000000" w:rsidP="00000000" w:rsidRDefault="00000000" w:rsidRPr="00000000" w14:paraId="0000003E">
      <w:pPr>
        <w:rPr>
          <w:b w:val="1"/>
          <w:sz w:val="32"/>
          <w:szCs w:val="32"/>
          <w:u w:val="single"/>
        </w:rPr>
      </w:pPr>
      <w:r w:rsidDel="00000000" w:rsidR="00000000" w:rsidRPr="00000000">
        <w:rPr>
          <w:rtl w:val="0"/>
        </w:rPr>
      </w:r>
    </w:p>
    <w:p w:rsidR="00000000" w:rsidDel="00000000" w:rsidP="00000000" w:rsidRDefault="00000000" w:rsidRPr="00000000" w14:paraId="0000003F">
      <w:pPr>
        <w:rPr>
          <w:b w:val="1"/>
          <w:sz w:val="32"/>
          <w:szCs w:val="32"/>
          <w:u w:val="single"/>
        </w:rPr>
      </w:pPr>
      <w:r w:rsidDel="00000000" w:rsidR="00000000" w:rsidRPr="00000000">
        <w:rPr>
          <w:rtl w:val="0"/>
        </w:rPr>
      </w:r>
    </w:p>
    <w:p w:rsidR="00000000" w:rsidDel="00000000" w:rsidP="00000000" w:rsidRDefault="00000000" w:rsidRPr="00000000" w14:paraId="00000040">
      <w:pPr>
        <w:rPr>
          <w:b w:val="1"/>
          <w:sz w:val="32"/>
          <w:szCs w:val="32"/>
          <w:u w:val="single"/>
        </w:rPr>
      </w:pPr>
      <w:r w:rsidDel="00000000" w:rsidR="00000000" w:rsidRPr="00000000">
        <w:rPr>
          <w:rtl w:val="0"/>
        </w:rPr>
      </w:r>
    </w:p>
    <w:p w:rsidR="00000000" w:rsidDel="00000000" w:rsidP="00000000" w:rsidRDefault="00000000" w:rsidRPr="00000000" w14:paraId="00000041">
      <w:pPr>
        <w:rPr>
          <w:b w:val="1"/>
          <w:sz w:val="32"/>
          <w:szCs w:val="32"/>
          <w:u w:val="single"/>
        </w:rPr>
      </w:pPr>
      <w:r w:rsidDel="00000000" w:rsidR="00000000" w:rsidRPr="00000000">
        <w:rPr>
          <w:rtl w:val="0"/>
        </w:rPr>
      </w:r>
    </w:p>
    <w:p w:rsidR="00000000" w:rsidDel="00000000" w:rsidP="00000000" w:rsidRDefault="00000000" w:rsidRPr="00000000" w14:paraId="00000042">
      <w:pPr>
        <w:rPr>
          <w:b w:val="1"/>
          <w:sz w:val="32"/>
          <w:szCs w:val="32"/>
          <w:u w:val="single"/>
        </w:rPr>
      </w:pPr>
      <w:r w:rsidDel="00000000" w:rsidR="00000000" w:rsidRPr="00000000">
        <w:rPr>
          <w:rtl w:val="0"/>
        </w:rPr>
      </w:r>
    </w:p>
    <w:p w:rsidR="00000000" w:rsidDel="00000000" w:rsidP="00000000" w:rsidRDefault="00000000" w:rsidRPr="00000000" w14:paraId="00000043">
      <w:pPr>
        <w:rPr>
          <w:b w:val="1"/>
          <w:sz w:val="32"/>
          <w:szCs w:val="32"/>
          <w:u w:val="single"/>
        </w:rPr>
      </w:pPr>
      <w:r w:rsidDel="00000000" w:rsidR="00000000" w:rsidRPr="00000000">
        <w:rPr>
          <w:b w:val="1"/>
          <w:sz w:val="32"/>
          <w:szCs w:val="32"/>
          <w:u w:val="single"/>
          <w:rtl w:val="0"/>
        </w:rPr>
        <w:t xml:space="preserve">AI Acknowledgement  </w:t>
      </w:r>
    </w:p>
    <w:p w:rsidR="00000000" w:rsidDel="00000000" w:rsidP="00000000" w:rsidRDefault="00000000" w:rsidRPr="00000000" w14:paraId="00000044">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045">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046">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b w:val="1"/>
          <w:rtl w:val="0"/>
        </w:rPr>
        <w:t xml:space="preserve">OR: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acknowledge the use of [AI Tool] [(AI Tool url)] on [Date] to [Purpose my work]. I used the prompt(s): </w:t>
      </w:r>
    </w:p>
    <w:p w:rsidR="00000000" w:rsidDel="00000000" w:rsidP="00000000" w:rsidRDefault="00000000" w:rsidRPr="00000000" w14:paraId="0000004B">
      <w:pPr>
        <w:rPr/>
      </w:pPr>
      <w:r w:rsidDel="00000000" w:rsidR="00000000" w:rsidRPr="00000000">
        <w:rPr>
          <w:rtl w:val="0"/>
        </w:rPr>
        <w:t xml:space="preserve">1. [Prompt] </w:t>
      </w:r>
    </w:p>
    <w:p w:rsidR="00000000" w:rsidDel="00000000" w:rsidP="00000000" w:rsidRDefault="00000000" w:rsidRPr="00000000" w14:paraId="0000004C">
      <w:pPr>
        <w:rPr/>
      </w:pPr>
      <w:r w:rsidDel="00000000" w:rsidR="00000000" w:rsidRPr="00000000">
        <w:rPr>
          <w:rtl w:val="0"/>
        </w:rPr>
        <w:t xml:space="preserve">2. [Prompt] </w:t>
      </w:r>
    </w:p>
    <w:p w:rsidR="00000000" w:rsidDel="00000000" w:rsidP="00000000" w:rsidRDefault="00000000" w:rsidRPr="00000000" w14:paraId="0000004D">
      <w:pPr>
        <w:rPr/>
      </w:pPr>
      <w:r w:rsidDel="00000000" w:rsidR="00000000" w:rsidRPr="00000000">
        <w:rPr>
          <w:rtl w:val="0"/>
        </w:rPr>
        <w:t xml:space="preserve">3. [Prompt] </w:t>
      </w:r>
    </w:p>
    <w:p w:rsidR="00000000" w:rsidDel="00000000" w:rsidP="00000000" w:rsidRDefault="00000000" w:rsidRPr="00000000" w14:paraId="0000004E">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4F">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Please refer to the next page for examples.</w:t>
      </w:r>
    </w:p>
    <w:p w:rsidR="00000000" w:rsidDel="00000000" w:rsidP="00000000" w:rsidRDefault="00000000" w:rsidRPr="00000000" w14:paraId="00000052">
      <w:pPr>
        <w:rPr/>
      </w:pPr>
      <w:r w:rsidDel="00000000" w:rsidR="00000000" w:rsidRPr="00000000">
        <w:rPr>
          <w:rtl w:val="0"/>
        </w:rPr>
        <w:t xml:space="preserve">Prior to submission of your assignment, please delete any information on these pages that is not relevant to your submission, including the examples given below.</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u w:val="single"/>
        </w:rPr>
      </w:pPr>
      <w:r w:rsidDel="00000000" w:rsidR="00000000" w:rsidRPr="00000000">
        <w:rPr>
          <w:rtl w:val="0"/>
        </w:rPr>
      </w:r>
    </w:p>
    <w:p w:rsidR="00000000" w:rsidDel="00000000" w:rsidP="00000000" w:rsidRDefault="00000000" w:rsidRPr="00000000" w14:paraId="0000005B">
      <w:pPr>
        <w:rPr>
          <w:b w:val="1"/>
          <w:u w:val="single"/>
        </w:rPr>
      </w:pPr>
      <w:r w:rsidDel="00000000" w:rsidR="00000000" w:rsidRPr="00000000">
        <w:rPr>
          <w:rtl w:val="0"/>
        </w:rPr>
      </w:r>
    </w:p>
    <w:p w:rsidR="00000000" w:rsidDel="00000000" w:rsidP="00000000" w:rsidRDefault="00000000" w:rsidRPr="00000000" w14:paraId="0000005C">
      <w:pPr>
        <w:rPr>
          <w:b w:val="1"/>
          <w:u w:val="single"/>
        </w:rPr>
      </w:pPr>
      <w:r w:rsidDel="00000000" w:rsidR="00000000" w:rsidRPr="00000000">
        <w:rPr>
          <w:b w:val="1"/>
          <w:u w:val="single"/>
          <w:rtl w:val="0"/>
        </w:rPr>
        <w:t xml:space="preserve">Examples of AI statements</w:t>
      </w:r>
    </w:p>
    <w:p w:rsidR="00000000" w:rsidDel="00000000" w:rsidP="00000000" w:rsidRDefault="00000000" w:rsidRPr="00000000" w14:paraId="0000005D">
      <w:pPr>
        <w:rPr>
          <w:sz w:val="16"/>
          <w:szCs w:val="16"/>
        </w:rPr>
      </w:pPr>
      <w:r w:rsidDel="00000000" w:rsidR="00000000" w:rsidRPr="00000000">
        <w:rPr>
          <w:b w:val="1"/>
          <w:sz w:val="16"/>
          <w:szCs w:val="16"/>
          <w:rtl w:val="0"/>
        </w:rPr>
        <w:t xml:space="preserve">Example 1: </w:t>
      </w:r>
      <w:r w:rsidDel="00000000" w:rsidR="00000000" w:rsidRPr="00000000">
        <w:rPr>
          <w:rtl w:val="0"/>
        </w:rPr>
      </w:r>
    </w:p>
    <w:p w:rsidR="00000000" w:rsidDel="00000000" w:rsidP="00000000" w:rsidRDefault="00000000" w:rsidRPr="00000000" w14:paraId="0000005E">
      <w:pPr>
        <w:rPr>
          <w:sz w:val="16"/>
          <w:szCs w:val="16"/>
        </w:rPr>
      </w:pPr>
      <w:r w:rsidDel="00000000" w:rsidR="00000000" w:rsidRPr="00000000">
        <w:rPr>
          <w:sz w:val="16"/>
          <w:szCs w:val="16"/>
          <w:rtl w:val="0"/>
        </w:rPr>
        <w:t xml:space="preserve">I acknowledge the use of Grammarly (https://www.grammarly.com/) on 10 February 2024 to check my work using the prompt(s): </w:t>
      </w:r>
    </w:p>
    <w:p w:rsidR="00000000" w:rsidDel="00000000" w:rsidP="00000000" w:rsidRDefault="00000000" w:rsidRPr="00000000" w14:paraId="0000005F">
      <w:pPr>
        <w:rPr>
          <w:sz w:val="16"/>
          <w:szCs w:val="16"/>
        </w:rPr>
      </w:pPr>
      <w:r w:rsidDel="00000000" w:rsidR="00000000" w:rsidRPr="00000000">
        <w:rPr>
          <w:sz w:val="16"/>
          <w:szCs w:val="16"/>
          <w:rtl w:val="0"/>
        </w:rPr>
        <w:t xml:space="preserve">1. Please check the following text for readability, grammar and syntax. </w:t>
      </w:r>
    </w:p>
    <w:p w:rsidR="00000000" w:rsidDel="00000000" w:rsidP="00000000" w:rsidRDefault="00000000" w:rsidRPr="00000000" w14:paraId="00000060">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1">
      <w:pPr>
        <w:rPr>
          <w:sz w:val="16"/>
          <w:szCs w:val="16"/>
        </w:rPr>
      </w:pPr>
      <w:r w:rsidDel="00000000" w:rsidR="00000000" w:rsidRPr="00000000">
        <w:rPr>
          <w:b w:val="1"/>
          <w:sz w:val="16"/>
          <w:szCs w:val="16"/>
          <w:rtl w:val="0"/>
        </w:rPr>
        <w:t xml:space="preserve">Example 2: </w:t>
      </w:r>
      <w:r w:rsidDel="00000000" w:rsidR="00000000" w:rsidRPr="00000000">
        <w:rPr>
          <w:rtl w:val="0"/>
        </w:rPr>
      </w:r>
    </w:p>
    <w:p w:rsidR="00000000" w:rsidDel="00000000" w:rsidP="00000000" w:rsidRDefault="00000000" w:rsidRPr="00000000" w14:paraId="00000062">
      <w:pPr>
        <w:rPr>
          <w:sz w:val="16"/>
          <w:szCs w:val="16"/>
        </w:rPr>
      </w:pPr>
      <w:r w:rsidDel="00000000" w:rsidR="00000000" w:rsidRPr="00000000">
        <w:rPr>
          <w:sz w:val="16"/>
          <w:szCs w:val="16"/>
          <w:rtl w:val="0"/>
        </w:rPr>
        <w:t xml:space="preserve">I acknowledge the use of SciSpace (https://typeset.io/) on 7 March 2024 to support my research using the prompt(s): </w:t>
      </w:r>
    </w:p>
    <w:p w:rsidR="00000000" w:rsidDel="00000000" w:rsidP="00000000" w:rsidRDefault="00000000" w:rsidRPr="00000000" w14:paraId="00000063">
      <w:pPr>
        <w:rPr>
          <w:sz w:val="16"/>
          <w:szCs w:val="16"/>
        </w:rPr>
      </w:pPr>
      <w:r w:rsidDel="00000000" w:rsidR="00000000" w:rsidRPr="00000000">
        <w:rPr>
          <w:sz w:val="16"/>
          <w:szCs w:val="16"/>
          <w:rtl w:val="0"/>
        </w:rPr>
        <w:t xml:space="preserve">1. Please provide me with materials on the biology of the liver. </w:t>
      </w:r>
    </w:p>
    <w:p w:rsidR="00000000" w:rsidDel="00000000" w:rsidP="00000000" w:rsidRDefault="00000000" w:rsidRPr="00000000" w14:paraId="00000064">
      <w:pPr>
        <w:rPr>
          <w:sz w:val="16"/>
          <w:szCs w:val="16"/>
        </w:rPr>
      </w:pPr>
      <w:r w:rsidDel="00000000" w:rsidR="00000000" w:rsidRPr="00000000">
        <w:rPr>
          <w:sz w:val="16"/>
          <w:szCs w:val="16"/>
          <w:rtl w:val="0"/>
        </w:rPr>
        <w:t xml:space="preserve">2. Please provide me with materials on liver cells. </w:t>
      </w:r>
    </w:p>
    <w:p w:rsidR="00000000" w:rsidDel="00000000" w:rsidP="00000000" w:rsidRDefault="00000000" w:rsidRPr="00000000" w14:paraId="00000065">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6">
      <w:pPr>
        <w:rPr>
          <w:sz w:val="16"/>
          <w:szCs w:val="16"/>
        </w:rPr>
      </w:pPr>
      <w:r w:rsidDel="00000000" w:rsidR="00000000" w:rsidRPr="00000000">
        <w:rPr>
          <w:b w:val="1"/>
          <w:sz w:val="16"/>
          <w:szCs w:val="16"/>
          <w:rtl w:val="0"/>
        </w:rPr>
        <w:t xml:space="preserve">Example 3: </w:t>
      </w:r>
      <w:r w:rsidDel="00000000" w:rsidR="00000000" w:rsidRPr="00000000">
        <w:rPr>
          <w:rtl w:val="0"/>
        </w:rPr>
      </w:r>
    </w:p>
    <w:p w:rsidR="00000000" w:rsidDel="00000000" w:rsidP="00000000" w:rsidRDefault="00000000" w:rsidRPr="00000000" w14:paraId="00000067">
      <w:pPr>
        <w:rPr>
          <w:sz w:val="16"/>
          <w:szCs w:val="16"/>
        </w:rPr>
      </w:pPr>
      <w:r w:rsidDel="00000000" w:rsidR="00000000" w:rsidRPr="00000000">
        <w:rPr>
          <w:sz w:val="16"/>
          <w:szCs w:val="16"/>
          <w:rtl w:val="0"/>
        </w:rPr>
        <w:t xml:space="preserve">I acknowledge the use of ChatGPT (https://chatgpt.com/) on 13 April 2024 to write my notes into submission format using the prompt(s): </w:t>
      </w:r>
    </w:p>
    <w:p w:rsidR="00000000" w:rsidDel="00000000" w:rsidP="00000000" w:rsidRDefault="00000000" w:rsidRPr="00000000" w14:paraId="00000068">
      <w:pPr>
        <w:rPr>
          <w:sz w:val="16"/>
          <w:szCs w:val="16"/>
        </w:rPr>
      </w:pPr>
      <w:r w:rsidDel="00000000" w:rsidR="00000000" w:rsidRPr="00000000">
        <w:rPr>
          <w:sz w:val="16"/>
          <w:szCs w:val="16"/>
          <w:rtl w:val="0"/>
        </w:rPr>
        <w:t xml:space="preserve">1. Please write up these bullet points as an essay paragraph at university level. </w:t>
      </w:r>
    </w:p>
    <w:p w:rsidR="00000000" w:rsidDel="00000000" w:rsidP="00000000" w:rsidRDefault="00000000" w:rsidRPr="00000000" w14:paraId="00000069">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A">
      <w:pPr>
        <w:rPr>
          <w:b w:val="1"/>
          <w:sz w:val="16"/>
          <w:szCs w:val="16"/>
          <w:u w:val="single"/>
        </w:rPr>
      </w:pPr>
      <w:r w:rsidDel="00000000" w:rsidR="00000000" w:rsidRPr="00000000">
        <w:rPr>
          <w:rtl w:val="0"/>
        </w:rPr>
      </w:r>
    </w:p>
    <w:p w:rsidR="00000000" w:rsidDel="00000000" w:rsidP="00000000" w:rsidRDefault="00000000" w:rsidRPr="00000000" w14:paraId="0000006B">
      <w:pPr>
        <w:rPr>
          <w:b w:val="1"/>
          <w:sz w:val="16"/>
          <w:szCs w:val="16"/>
          <w:u w:val="single"/>
        </w:rPr>
      </w:pPr>
      <w:r w:rsidDel="00000000" w:rsidR="00000000" w:rsidRPr="00000000">
        <w:rPr>
          <w:b w:val="1"/>
          <w:sz w:val="16"/>
          <w:szCs w:val="16"/>
          <w:rtl w:val="0"/>
        </w:rPr>
        <w:t xml:space="preserve">Example 4 - acknowledgement of the use of multiple AI tools:</w:t>
      </w:r>
      <w:r w:rsidDel="00000000" w:rsidR="00000000" w:rsidRPr="00000000">
        <w:rPr>
          <w:b w:val="1"/>
          <w:sz w:val="16"/>
          <w:szCs w:val="16"/>
          <w:u w:val="single"/>
          <w:rtl w:val="0"/>
        </w:rPr>
        <w:t xml:space="preserve"> </w:t>
      </w:r>
    </w:p>
    <w:p w:rsidR="00000000" w:rsidDel="00000000" w:rsidP="00000000" w:rsidRDefault="00000000" w:rsidRPr="00000000" w14:paraId="0000006C">
      <w:pPr>
        <w:rPr>
          <w:sz w:val="16"/>
          <w:szCs w:val="16"/>
        </w:rPr>
      </w:pPr>
      <w:r w:rsidDel="00000000" w:rsidR="00000000" w:rsidRPr="00000000">
        <w:rPr>
          <w:sz w:val="16"/>
          <w:szCs w:val="16"/>
          <w:rtl w:val="0"/>
        </w:rPr>
        <w:t xml:space="preserve">I acknowledge the use of SciSpace (https://typeset.io/) on 28 June 2024 to support my research using the prompt(s): </w:t>
      </w:r>
    </w:p>
    <w:p w:rsidR="00000000" w:rsidDel="00000000" w:rsidP="00000000" w:rsidRDefault="00000000" w:rsidRPr="00000000" w14:paraId="0000006D">
      <w:pPr>
        <w:rPr>
          <w:sz w:val="16"/>
          <w:szCs w:val="16"/>
        </w:rPr>
      </w:pPr>
      <w:r w:rsidDel="00000000" w:rsidR="00000000" w:rsidRPr="00000000">
        <w:rPr>
          <w:sz w:val="16"/>
          <w:szCs w:val="16"/>
          <w:rtl w:val="0"/>
        </w:rPr>
        <w:t xml:space="preserve">1. Please provide me with materials on the American Civil War. </w:t>
      </w:r>
    </w:p>
    <w:p w:rsidR="00000000" w:rsidDel="00000000" w:rsidP="00000000" w:rsidRDefault="00000000" w:rsidRPr="00000000" w14:paraId="0000006E">
      <w:pPr>
        <w:rPr>
          <w:sz w:val="16"/>
          <w:szCs w:val="16"/>
        </w:rPr>
      </w:pPr>
      <w:r w:rsidDel="00000000" w:rsidR="00000000" w:rsidRPr="00000000">
        <w:rPr>
          <w:sz w:val="16"/>
          <w:szCs w:val="16"/>
          <w:rtl w:val="0"/>
        </w:rPr>
        <w:t xml:space="preserve">2. Please provide me with materials on the reception of Gone with the Wind. </w:t>
      </w:r>
    </w:p>
    <w:p w:rsidR="00000000" w:rsidDel="00000000" w:rsidP="00000000" w:rsidRDefault="00000000" w:rsidRPr="00000000" w14:paraId="0000006F">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0">
      <w:pPr>
        <w:rPr>
          <w:sz w:val="16"/>
          <w:szCs w:val="16"/>
        </w:rPr>
      </w:pPr>
      <w:r w:rsidDel="00000000" w:rsidR="00000000" w:rsidRPr="00000000">
        <w:rPr>
          <w:sz w:val="16"/>
          <w:szCs w:val="16"/>
          <w:rtl w:val="0"/>
        </w:rPr>
        <w:t xml:space="preserve">I acknowledge the use of Adobe Express (https://www.adobe.com/express/) on 24 June 2024 to edit photographic material: </w:t>
      </w:r>
    </w:p>
    <w:p w:rsidR="00000000" w:rsidDel="00000000" w:rsidP="00000000" w:rsidRDefault="00000000" w:rsidRPr="00000000" w14:paraId="00000071">
      <w:pPr>
        <w:rPr>
          <w:sz w:val="16"/>
          <w:szCs w:val="16"/>
        </w:rPr>
      </w:pPr>
      <w:r w:rsidDel="00000000" w:rsidR="00000000" w:rsidRPr="00000000">
        <w:rPr>
          <w:sz w:val="16"/>
          <w:szCs w:val="16"/>
          <w:rtl w:val="0"/>
        </w:rPr>
        <w:t xml:space="preserve">1. Remove background from Figure 1. </w:t>
      </w:r>
    </w:p>
    <w:p w:rsidR="00000000" w:rsidDel="00000000" w:rsidP="00000000" w:rsidRDefault="00000000" w:rsidRPr="00000000" w14:paraId="00000072">
      <w:pPr>
        <w:rPr>
          <w:sz w:val="16"/>
          <w:szCs w:val="16"/>
        </w:rPr>
      </w:pPr>
      <w:r w:rsidDel="00000000" w:rsidR="00000000" w:rsidRPr="00000000">
        <w:rPr>
          <w:sz w:val="16"/>
          <w:szCs w:val="16"/>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3">
      <w:pPr>
        <w:rPr>
          <w:sz w:val="16"/>
          <w:szCs w:val="16"/>
        </w:rPr>
      </w:pPr>
      <w:r w:rsidDel="00000000" w:rsidR="00000000" w:rsidRPr="00000000">
        <w:rPr>
          <w:rtl w:val="0"/>
        </w:rPr>
      </w:r>
    </w:p>
    <w:p w:rsidR="00000000" w:rsidDel="00000000" w:rsidP="00000000" w:rsidRDefault="00000000" w:rsidRPr="00000000" w14:paraId="00000074">
      <w:pPr>
        <w:rPr>
          <w:sz w:val="16"/>
          <w:szCs w:val="16"/>
        </w:rPr>
      </w:pPr>
      <w:r w:rsidDel="00000000" w:rsidR="00000000" w:rsidRPr="00000000">
        <w:rPr>
          <w:rtl w:val="0"/>
        </w:rPr>
      </w:r>
    </w:p>
    <w:p w:rsidR="00000000" w:rsidDel="00000000" w:rsidP="00000000" w:rsidRDefault="00000000" w:rsidRPr="00000000" w14:paraId="00000075">
      <w:pPr>
        <w:rPr>
          <w:sz w:val="16"/>
          <w:szCs w:val="16"/>
        </w:rPr>
      </w:pPr>
      <w:r w:rsidDel="00000000" w:rsidR="00000000" w:rsidRPr="00000000">
        <w:rPr>
          <w:rtl w:val="0"/>
        </w:rPr>
      </w:r>
    </w:p>
    <w:p w:rsidR="00000000" w:rsidDel="00000000" w:rsidP="00000000" w:rsidRDefault="00000000" w:rsidRPr="00000000" w14:paraId="00000076">
      <w:pPr>
        <w:rPr>
          <w:sz w:val="16"/>
          <w:szCs w:val="16"/>
        </w:rPr>
      </w:pPr>
      <w:r w:rsidDel="00000000" w:rsidR="00000000" w:rsidRPr="00000000">
        <w:rPr>
          <w:rtl w:val="0"/>
        </w:rPr>
      </w:r>
    </w:p>
    <w:p w:rsidR="00000000" w:rsidDel="00000000" w:rsidP="00000000" w:rsidRDefault="00000000" w:rsidRPr="00000000" w14:paraId="00000077">
      <w:pPr>
        <w:rPr>
          <w:sz w:val="16"/>
          <w:szCs w:val="16"/>
        </w:rPr>
      </w:pPr>
      <w:r w:rsidDel="00000000" w:rsidR="00000000" w:rsidRPr="00000000">
        <w:rPr>
          <w:rtl w:val="0"/>
        </w:rPr>
      </w:r>
    </w:p>
    <w:p w:rsidR="00000000" w:rsidDel="00000000" w:rsidP="00000000" w:rsidRDefault="00000000" w:rsidRPr="00000000" w14:paraId="00000078">
      <w:pPr>
        <w:rPr>
          <w:sz w:val="16"/>
          <w:szCs w:val="16"/>
        </w:rPr>
      </w:pPr>
      <w:r w:rsidDel="00000000" w:rsidR="00000000" w:rsidRPr="00000000">
        <w:rPr>
          <w:rtl w:val="0"/>
        </w:rPr>
      </w:r>
    </w:p>
    <w:p w:rsidR="00000000" w:rsidDel="00000000" w:rsidP="00000000" w:rsidRDefault="00000000" w:rsidRPr="00000000" w14:paraId="00000079">
      <w:pPr>
        <w:rPr>
          <w:sz w:val="16"/>
          <w:szCs w:val="16"/>
        </w:rPr>
      </w:pPr>
      <w:r w:rsidDel="00000000" w:rsidR="00000000" w:rsidRPr="00000000">
        <w:rPr>
          <w:rtl w:val="0"/>
        </w:rPr>
      </w:r>
    </w:p>
    <w:p w:rsidR="00000000" w:rsidDel="00000000" w:rsidP="00000000" w:rsidRDefault="00000000" w:rsidRPr="00000000" w14:paraId="0000007A">
      <w:pPr>
        <w:rPr>
          <w:sz w:val="16"/>
          <w:szCs w:val="16"/>
        </w:rPr>
      </w:pPr>
      <w:r w:rsidDel="00000000" w:rsidR="00000000" w:rsidRPr="00000000">
        <w:rPr>
          <w:rtl w:val="0"/>
        </w:rPr>
      </w:r>
    </w:p>
    <w:p w:rsidR="00000000" w:rsidDel="00000000" w:rsidP="00000000" w:rsidRDefault="00000000" w:rsidRPr="00000000" w14:paraId="0000007B">
      <w:pPr>
        <w:rPr>
          <w:sz w:val="16"/>
          <w:szCs w:val="16"/>
        </w:rPr>
      </w:pPr>
      <w:r w:rsidDel="00000000" w:rsidR="00000000" w:rsidRPr="00000000">
        <w:rPr>
          <w:rtl w:val="0"/>
        </w:rPr>
      </w:r>
    </w:p>
    <w:p w:rsidR="00000000" w:rsidDel="00000000" w:rsidP="00000000" w:rsidRDefault="00000000" w:rsidRPr="00000000" w14:paraId="0000007C">
      <w:pPr>
        <w:rPr>
          <w:sz w:val="16"/>
          <w:szCs w:val="16"/>
        </w:rPr>
      </w:pPr>
      <w:r w:rsidDel="00000000" w:rsidR="00000000" w:rsidRPr="00000000">
        <w:rPr>
          <w:rtl w:val="0"/>
        </w:rPr>
      </w:r>
    </w:p>
    <w:p w:rsidR="00000000" w:rsidDel="00000000" w:rsidP="00000000" w:rsidRDefault="00000000" w:rsidRPr="00000000" w14:paraId="0000007D">
      <w:pPr>
        <w:rPr>
          <w:rFonts w:ascii="Arial" w:cs="Arial" w:eastAsia="Arial" w:hAnsi="Arial"/>
          <w:b w:val="1"/>
          <w:sz w:val="26"/>
          <w:szCs w:val="26"/>
          <w:u w:val="single"/>
        </w:rPr>
      </w:pPr>
      <w:r w:rsidDel="00000000" w:rsidR="00000000" w:rsidRPr="00000000">
        <w:rPr>
          <w:rFonts w:ascii="Arial" w:cs="Arial" w:eastAsia="Arial" w:hAnsi="Arial"/>
          <w:b w:val="1"/>
          <w:sz w:val="26"/>
          <w:szCs w:val="26"/>
          <w:u w:val="single"/>
          <w:rtl w:val="0"/>
        </w:rPr>
        <w:t xml:space="preserve">Reflection </w:t>
      </w:r>
    </w:p>
    <w:p w:rsidR="00000000" w:rsidDel="00000000" w:rsidP="00000000" w:rsidRDefault="00000000" w:rsidRPr="00000000" w14:paraId="0000007E">
      <w:pPr>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Reflective model:</w:t>
      </w:r>
    </w:p>
    <w:p w:rsidR="00000000" w:rsidDel="00000000" w:rsidP="00000000" w:rsidRDefault="00000000" w:rsidRPr="00000000" w14:paraId="0000007F">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Reflecting on my MicroTeach, I used Driscoll’s (1994) model, which is shaped around three questions: What? So what? Now what?. The framework is very helpful in teaching practice as it provides a clear, purposeful structure for professional reflection and in depth learning (Jasper, 2013; Agomo, 2025). I have also included elements from Gibbs (1988) reflective cycle, especially feelings and analysis, to deepen the depth of my reflection.  </w:t>
      </w:r>
    </w:p>
    <w:p w:rsidR="00000000" w:rsidDel="00000000" w:rsidP="00000000" w:rsidRDefault="00000000" w:rsidRPr="00000000" w14:paraId="00000080">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Machost et al (2023) says reflecting on teacher training will enhance professional development, improve pedagogical understanding and support future practice. </w:t>
      </w:r>
    </w:p>
    <w:p w:rsidR="00000000" w:rsidDel="00000000" w:rsidP="00000000" w:rsidRDefault="00000000" w:rsidRPr="00000000" w14:paraId="00000081">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82">
      <w:pPr>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What? </w:t>
      </w:r>
    </w:p>
    <w:p w:rsidR="00000000" w:rsidDel="00000000" w:rsidP="00000000" w:rsidRDefault="00000000" w:rsidRPr="00000000" w14:paraId="00000083">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I delivered a 30 minute </w:t>
      </w:r>
      <w:r w:rsidDel="00000000" w:rsidR="00000000" w:rsidRPr="00000000">
        <w:rPr>
          <w:rFonts w:ascii="Arial" w:cs="Arial" w:eastAsia="Arial" w:hAnsi="Arial"/>
          <w:color w:val="1d2125"/>
          <w:sz w:val="22"/>
          <w:szCs w:val="22"/>
          <w:highlight w:val="white"/>
          <w:rtl w:val="0"/>
        </w:rPr>
        <w:t xml:space="preserve">microteach</w:t>
      </w:r>
      <w:r w:rsidDel="00000000" w:rsidR="00000000" w:rsidRPr="00000000">
        <w:rPr>
          <w:rFonts w:ascii="Arial" w:cs="Arial" w:eastAsia="Arial" w:hAnsi="Arial"/>
          <w:color w:val="1d2125"/>
          <w:sz w:val="22"/>
          <w:szCs w:val="22"/>
          <w:highlight w:val="white"/>
          <w:rtl w:val="0"/>
        </w:rPr>
        <w:t xml:space="preserve"> on the 22nd of September 2025 to a small group of 6 students on the topic, RAMP warm up. The topic falls under strength and conditioning, an interest of mine. This being my first teaching experience, I can express that I felt very anxious and overwhelmed beforehand. I was concerned about maintaining engagement, timing and my delivery style. </w:t>
      </w:r>
    </w:p>
    <w:p w:rsidR="00000000" w:rsidDel="00000000" w:rsidP="00000000" w:rsidRDefault="00000000" w:rsidRPr="00000000" w14:paraId="00000084">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Regardless of my nerves, my detailed lesson plan provided structure and confidence. It consisted of a variety of strategies, such as direct instruction, questioning, visuals, group work, feedback and formative assessment. The lesson started off brilliantly, using Welsh to greet and a quick icebreaker before going into a mini lecture, practical demonstrations and group activities. Just as the lesson was progressing and learners were more engaged, I felt relaxed and very focused. I have to highlight that the learners responded fantastically, remained engaged throughout, and particularly found that task very fun. I was successful with my timing and managed to cover all aims and objectives. </w:t>
      </w:r>
    </w:p>
    <w:p w:rsidR="00000000" w:rsidDel="00000000" w:rsidP="00000000" w:rsidRDefault="00000000" w:rsidRPr="00000000" w14:paraId="00000085">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86">
      <w:pPr>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So what? </w:t>
      </w:r>
    </w:p>
    <w:p w:rsidR="00000000" w:rsidDel="00000000" w:rsidP="00000000" w:rsidRDefault="00000000" w:rsidRPr="00000000" w14:paraId="00000087">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This experience shared vital insights about myself as a developing teacher and the requirements of effective teaching. First of all, my lesson plan demonstrated a strong foundation. My tutor praised the structure, clarity of learning outcomes, and well lined up teaching methods, which linked very nicely with professional standards around “planning and delivering effective learning, teaching and assessment” (The Education and Training Foundation, 2022). </w:t>
      </w:r>
    </w:p>
    <w:p w:rsidR="00000000" w:rsidDel="00000000" w:rsidP="00000000" w:rsidRDefault="00000000" w:rsidRPr="00000000" w14:paraId="00000088">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My peers reflected this positive feedback. Describing the session as “very engaging” and made comments on my having good confidence, strong presentable skills and came across very likable and friendly. Many of my peers explained that the task was strong, helping them recognise and remember the RAMP model. The feedback reassured me that my delivery style was effective and I was confident, despite feeling the opposite inside. </w:t>
      </w:r>
    </w:p>
    <w:p w:rsidR="00000000" w:rsidDel="00000000" w:rsidP="00000000" w:rsidRDefault="00000000" w:rsidRPr="00000000" w14:paraId="00000089">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Gibbs Cycle (1988) emphasises on reflecting on feeling during and after is very important. Starting the lesson off feeling nervous, I was very happy that I could manage, control and change this feeling into a calm and professional one. My tutor made a comment on my “excellent classroom presence, confident, clear, good body language and open posture”, which met my goal of creating a safe and inclusive learning environment. </w:t>
      </w:r>
    </w:p>
    <w:p w:rsidR="00000000" w:rsidDel="00000000" w:rsidP="00000000" w:rsidRDefault="00000000" w:rsidRPr="00000000" w14:paraId="0000008A">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Applying Welsh greetings and promoting bilingual inclusivity was positively illustrated by my tutor, however one area of improvements set by my peer was to incorporate more Welsh, spoken and written. This lines up well with professional expectations of “understanding and promoting Welsh culture and Language” as said by Estyn (2025). </w:t>
      </w:r>
    </w:p>
    <w:p w:rsidR="00000000" w:rsidDel="00000000" w:rsidP="00000000" w:rsidRDefault="00000000" w:rsidRPr="00000000" w14:paraId="0000008B">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A second area to improve, as identified by peers and tutor feedback, is to make sure that text on the presentation is readable from the back of the room. This minor adjustment will improve accessibility and inclusion. Reece and Walker (2007) say that inclusive teaching must consider multi sensory engagement, supported by accessible visual and audio content. Highlighting that effective learning strategies blend student activity, resources and tutor support, areas that I feel were demonstrated in my lesson. </w:t>
      </w:r>
    </w:p>
    <w:p w:rsidR="00000000" w:rsidDel="00000000" w:rsidP="00000000" w:rsidRDefault="00000000" w:rsidRPr="00000000" w14:paraId="0000008C">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From a theory point of view, my teaching reflected the essence of constructivism, specially through group work and peer interaction. How I encouraged group tasks and questioning, links to Vygotsky’s social development theory which explains learning through social interaction (McLeod, 2025). I did aim to promote Humanistic education, which values learners autonomy and self direction (Reece &amp; Walker, 2007) by providing the students with space to design their own warm ups. </w:t>
      </w:r>
    </w:p>
    <w:p w:rsidR="00000000" w:rsidDel="00000000" w:rsidP="00000000" w:rsidRDefault="00000000" w:rsidRPr="00000000" w14:paraId="0000008D">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8E">
      <w:pPr>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Now what? </w:t>
      </w:r>
    </w:p>
    <w:p w:rsidR="00000000" w:rsidDel="00000000" w:rsidP="00000000" w:rsidRDefault="00000000" w:rsidRPr="00000000" w14:paraId="0000008F">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It was a very progressive experience. I have established that teaching is the way for me and has provided clear insight on how to balance planning, delivery, engagement and assessment in practice. </w:t>
      </w:r>
    </w:p>
    <w:p w:rsidR="00000000" w:rsidDel="00000000" w:rsidP="00000000" w:rsidRDefault="00000000" w:rsidRPr="00000000" w14:paraId="00000090">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Looking ahead, I will: </w:t>
      </w:r>
    </w:p>
    <w:p w:rsidR="00000000" w:rsidDel="00000000" w:rsidP="00000000" w:rsidRDefault="00000000" w:rsidRPr="00000000" w14:paraId="00000091">
      <w:pPr>
        <w:numPr>
          <w:ilvl w:val="0"/>
          <w:numId w:val="1"/>
        </w:numPr>
        <w:spacing w:after="0" w:afterAutospacing="0"/>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Maintain a plan in good detail, which will include contingency plans and differentiation to help diverse learners. I will line up my lessons well with the professional standards, which are vitally important and will make sure my lessons will be accountable and evidence based. </w:t>
      </w:r>
    </w:p>
    <w:p w:rsidR="00000000" w:rsidDel="00000000" w:rsidP="00000000" w:rsidRDefault="00000000" w:rsidRPr="00000000" w14:paraId="00000092">
      <w:pPr>
        <w:numPr>
          <w:ilvl w:val="0"/>
          <w:numId w:val="1"/>
        </w:numPr>
        <w:spacing w:after="0" w:afterAutospacing="0"/>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Modify my visuals, to make it clear and accessible for all learners. I will measure this by checking if any presentable work is readable, the font size and the structure. </w:t>
      </w:r>
    </w:p>
    <w:p w:rsidR="00000000" w:rsidDel="00000000" w:rsidP="00000000" w:rsidRDefault="00000000" w:rsidRPr="00000000" w14:paraId="00000093">
      <w:pPr>
        <w:numPr>
          <w:ilvl w:val="0"/>
          <w:numId w:val="1"/>
        </w:numPr>
        <w:spacing w:after="0" w:afterAutospacing="0"/>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For future lessons, students will be encouraged to lead plenary areas, for example sharing their one takeaways and asking questions. What this does, is support constructivist teaching principles and metacognitive development (Brookfield, 2025).</w:t>
      </w:r>
    </w:p>
    <w:p w:rsidR="00000000" w:rsidDel="00000000" w:rsidP="00000000" w:rsidRDefault="00000000" w:rsidRPr="00000000" w14:paraId="00000094">
      <w:pPr>
        <w:numPr>
          <w:ilvl w:val="0"/>
          <w:numId w:val="1"/>
        </w:numPr>
        <w:spacing w:after="0" w:afterAutospacing="0"/>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I am looking to concentrate on my delivery further by practicing speech, pausing for effect and being conscious with how I present my body (body language) and eye contact. From the feedback, it is suggested, I “demonstrated excellent presence” but I must maintain a good standard of this and make it a strength of mine. </w:t>
      </w:r>
    </w:p>
    <w:p w:rsidR="00000000" w:rsidDel="00000000" w:rsidP="00000000" w:rsidRDefault="00000000" w:rsidRPr="00000000" w14:paraId="00000095">
      <w:pPr>
        <w:numPr>
          <w:ilvl w:val="0"/>
          <w:numId w:val="1"/>
        </w:numPr>
        <w:spacing w:after="0" w:afterAutospacing="0"/>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The way I ask questions, I want to advance further with techniques such as using open ended and high order questions, which I relate from Bloom’s Taxonomy as it progresses students' learning and assesses their depth understanding (Wilson, 2016). </w:t>
      </w:r>
    </w:p>
    <w:p w:rsidR="00000000" w:rsidDel="00000000" w:rsidP="00000000" w:rsidRDefault="00000000" w:rsidRPr="00000000" w14:paraId="00000096">
      <w:pPr>
        <w:numPr>
          <w:ilvl w:val="0"/>
          <w:numId w:val="1"/>
        </w:numPr>
        <w:ind w:left="720" w:hanging="360"/>
        <w:rPr>
          <w:rFonts w:ascii="Arial" w:cs="Arial" w:eastAsia="Arial" w:hAnsi="Arial"/>
          <w:color w:val="1d2125"/>
          <w:sz w:val="22"/>
          <w:szCs w:val="22"/>
          <w:highlight w:val="white"/>
          <w:u w:val="none"/>
        </w:rPr>
      </w:pPr>
      <w:r w:rsidDel="00000000" w:rsidR="00000000" w:rsidRPr="00000000">
        <w:rPr>
          <w:rFonts w:ascii="Arial" w:cs="Arial" w:eastAsia="Arial" w:hAnsi="Arial"/>
          <w:color w:val="1d2125"/>
          <w:sz w:val="22"/>
          <w:szCs w:val="22"/>
          <w:highlight w:val="white"/>
          <w:rtl w:val="0"/>
        </w:rPr>
        <w:t xml:space="preserve">I could potentially consider recording lessons (with consent) to measure progress and observe my own practice. Measure how I transition, respond, meet professional standards and how I apply teaching strategies. </w:t>
      </w:r>
    </w:p>
    <w:p w:rsidR="00000000" w:rsidDel="00000000" w:rsidP="00000000" w:rsidRDefault="00000000" w:rsidRPr="00000000" w14:paraId="00000097">
      <w:pPr>
        <w:ind w:left="0" w:firstLine="0"/>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98">
      <w:pPr>
        <w:ind w:left="0" w:firstLine="0"/>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Conclusion</w:t>
      </w:r>
    </w:p>
    <w:p w:rsidR="00000000" w:rsidDel="00000000" w:rsidP="00000000" w:rsidRDefault="00000000" w:rsidRPr="00000000" w14:paraId="00000099">
      <w:pPr>
        <w:rPr>
          <w:rFonts w:ascii="Arial" w:cs="Arial" w:eastAsia="Arial" w:hAnsi="Arial"/>
          <w:color w:val="1d2125"/>
          <w:sz w:val="22"/>
          <w:szCs w:val="22"/>
          <w:highlight w:val="white"/>
        </w:rPr>
      </w:pPr>
      <w:r w:rsidDel="00000000" w:rsidR="00000000" w:rsidRPr="00000000">
        <w:rPr>
          <w:rFonts w:ascii="Arial" w:cs="Arial" w:eastAsia="Arial" w:hAnsi="Arial"/>
          <w:color w:val="1d2125"/>
          <w:sz w:val="22"/>
          <w:szCs w:val="22"/>
          <w:highlight w:val="white"/>
          <w:rtl w:val="0"/>
        </w:rPr>
        <w:t xml:space="preserve">Using Driscoll's (1994) model, supported by elements of Gibbs (1988), allowed me to critically assess my MicroTeach. It has helped develop my first teaching experience into a professional learning plan. Starting off with nerves to then feeling successful after delivery, my confidence in my ability has increased and I have a clear understanding of what makes a lesson effective, inclusive and engaging. Crucially, I have actionable strategies to build on and progress with which will help develop professional skills and grow as a teacher. </w:t>
      </w:r>
    </w:p>
    <w:p w:rsidR="00000000" w:rsidDel="00000000" w:rsidP="00000000" w:rsidRDefault="00000000" w:rsidRPr="00000000" w14:paraId="0000009A">
      <w:pPr>
        <w:rPr>
          <w:rFonts w:ascii="Arial" w:cs="Arial" w:eastAsia="Arial" w:hAnsi="Arial"/>
          <w:b w:val="1"/>
          <w:color w:val="1d2125"/>
          <w:highlight w:val="white"/>
          <w:u w:val="single"/>
        </w:rPr>
      </w:pPr>
      <w:r w:rsidDel="00000000" w:rsidR="00000000" w:rsidRPr="00000000">
        <w:rPr>
          <w:rtl w:val="0"/>
        </w:rPr>
      </w:r>
    </w:p>
    <w:p w:rsidR="00000000" w:rsidDel="00000000" w:rsidP="00000000" w:rsidRDefault="00000000" w:rsidRPr="00000000" w14:paraId="0000009B">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9C">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9D">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9E">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9F">
      <w:pPr>
        <w:spacing w:after="240" w:before="240" w:lineRule="auto"/>
        <w:ind w:left="0" w:firstLine="0"/>
        <w:rPr>
          <w:rFonts w:ascii="Roboto" w:cs="Roboto" w:eastAsia="Roboto" w:hAnsi="Roboto"/>
          <w:color w:val="1d2125"/>
          <w:sz w:val="23"/>
          <w:szCs w:val="23"/>
          <w:highlight w:val="white"/>
        </w:rPr>
      </w:pPr>
      <w:r w:rsidDel="00000000" w:rsidR="00000000" w:rsidRPr="00000000">
        <w:rPr>
          <w:rtl w:val="0"/>
        </w:rPr>
      </w:r>
    </w:p>
    <w:p w:rsidR="00000000" w:rsidDel="00000000" w:rsidP="00000000" w:rsidRDefault="00000000" w:rsidRPr="00000000" w14:paraId="000000A0">
      <w:pPr>
        <w:rPr>
          <w:rFonts w:ascii="Roboto" w:cs="Roboto" w:eastAsia="Roboto" w:hAnsi="Roboto"/>
          <w:color w:val="1d2125"/>
          <w:sz w:val="23"/>
          <w:szCs w:val="23"/>
          <w:highlight w:val="white"/>
        </w:rPr>
      </w:pPr>
      <w:r w:rsidDel="00000000" w:rsidR="00000000" w:rsidRPr="00000000">
        <w:rPr>
          <w:rtl w:val="0"/>
        </w:rPr>
      </w:r>
    </w:p>
    <w:p w:rsidR="00000000" w:rsidDel="00000000" w:rsidP="00000000" w:rsidRDefault="00000000" w:rsidRPr="00000000" w14:paraId="000000A1">
      <w:pPr>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A2">
      <w:pPr>
        <w:rPr>
          <w:rFonts w:ascii="Arial" w:cs="Arial" w:eastAsia="Arial" w:hAnsi="Arial"/>
          <w:color w:val="1d2125"/>
          <w:highlight w:val="white"/>
        </w:rPr>
      </w:pPr>
      <w:r w:rsidDel="00000000" w:rsidR="00000000" w:rsidRPr="00000000">
        <w:rPr>
          <w:rtl w:val="0"/>
        </w:rPr>
      </w:r>
    </w:p>
    <w:p w:rsidR="00000000" w:rsidDel="00000000" w:rsidP="00000000" w:rsidRDefault="00000000" w:rsidRPr="00000000" w14:paraId="000000A3">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4">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5">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6">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7">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8">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9">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A">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B">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C">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D">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E">
      <w:pPr>
        <w:rPr>
          <w:rFonts w:ascii="Arial" w:cs="Arial" w:eastAsia="Arial" w:hAnsi="Arial"/>
          <w:b w:val="1"/>
          <w:color w:val="1d2125"/>
          <w:highlight w:val="white"/>
        </w:rPr>
      </w:pPr>
      <w:r w:rsidDel="00000000" w:rsidR="00000000" w:rsidRPr="00000000">
        <w:rPr>
          <w:rtl w:val="0"/>
        </w:rPr>
      </w:r>
    </w:p>
    <w:p w:rsidR="00000000" w:rsidDel="00000000" w:rsidP="00000000" w:rsidRDefault="00000000" w:rsidRPr="00000000" w14:paraId="000000AF">
      <w:pPr>
        <w:rPr>
          <w:rFonts w:ascii="Arial" w:cs="Arial" w:eastAsia="Arial" w:hAnsi="Arial"/>
          <w:b w:val="1"/>
          <w:color w:val="1d2125"/>
          <w:highlight w:val="white"/>
        </w:rPr>
      </w:pPr>
      <w:r w:rsidDel="00000000" w:rsidR="00000000" w:rsidRPr="00000000">
        <w:rPr>
          <w:rFonts w:ascii="Arial" w:cs="Arial" w:eastAsia="Arial" w:hAnsi="Arial"/>
          <w:b w:val="1"/>
          <w:color w:val="1d2125"/>
          <w:highlight w:val="white"/>
          <w:rtl w:val="0"/>
        </w:rPr>
        <w:t xml:space="preserve">References: </w:t>
      </w:r>
    </w:p>
    <w:p w:rsidR="00000000" w:rsidDel="00000000" w:rsidP="00000000" w:rsidRDefault="00000000" w:rsidRPr="00000000" w14:paraId="000000B0">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Agomo, C. (2025). </w:t>
      </w:r>
      <w:r w:rsidDel="00000000" w:rsidR="00000000" w:rsidRPr="00000000">
        <w:rPr>
          <w:rFonts w:ascii="Arial" w:cs="Arial" w:eastAsia="Arial" w:hAnsi="Arial"/>
          <w:i w:val="1"/>
          <w:sz w:val="22"/>
          <w:szCs w:val="22"/>
          <w:highlight w:val="white"/>
          <w:rtl w:val="0"/>
        </w:rPr>
        <w:t xml:space="preserve">Jasper, M. (2013). Beginning Reflective Practice (2nd ed.). Nelson Thornes. - References - Scientific Research Publishing</w:t>
      </w:r>
      <w:r w:rsidDel="00000000" w:rsidR="00000000" w:rsidRPr="00000000">
        <w:rPr>
          <w:rFonts w:ascii="Arial" w:cs="Arial" w:eastAsia="Arial" w:hAnsi="Arial"/>
          <w:sz w:val="22"/>
          <w:szCs w:val="22"/>
          <w:highlight w:val="white"/>
          <w:rtl w:val="0"/>
        </w:rPr>
        <w:t xml:space="preserve">. Available at: https://www.scirp.org/reference/referencespapers?referenceid=3955434. [Accessed 26 September 2025]. </w:t>
      </w:r>
    </w:p>
    <w:p w:rsidR="00000000" w:rsidDel="00000000" w:rsidP="00000000" w:rsidRDefault="00000000" w:rsidRPr="00000000" w14:paraId="000000B1">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Brookfield , S.D. (2025). Available at: https://digitallibrary.mes.ac.in/server/api/core/bitstreams/d8484c7c-915d-43c2-b8af-5bf49c9ee032/content. [Accessed 29 September 2025]. </w:t>
      </w:r>
    </w:p>
    <w:p w:rsidR="00000000" w:rsidDel="00000000" w:rsidP="00000000" w:rsidRDefault="00000000" w:rsidRPr="00000000" w14:paraId="000000B2">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Department of Education and Training (2017). </w:t>
      </w:r>
      <w:r w:rsidDel="00000000" w:rsidR="00000000" w:rsidRPr="00000000">
        <w:rPr>
          <w:rFonts w:ascii="Arial" w:cs="Arial" w:eastAsia="Arial" w:hAnsi="Arial"/>
          <w:i w:val="1"/>
          <w:sz w:val="22"/>
          <w:szCs w:val="22"/>
          <w:highlight w:val="white"/>
          <w:rtl w:val="0"/>
        </w:rPr>
        <w:t xml:space="preserve">High Impact Teaching Strategies</w:t>
      </w:r>
      <w:r w:rsidDel="00000000" w:rsidR="00000000" w:rsidRPr="00000000">
        <w:rPr>
          <w:rFonts w:ascii="Arial" w:cs="Arial" w:eastAsia="Arial" w:hAnsi="Arial"/>
          <w:sz w:val="22"/>
          <w:szCs w:val="22"/>
          <w:highlight w:val="white"/>
          <w:rtl w:val="0"/>
        </w:rPr>
        <w:t xml:space="preserve">. Available at: https://www.education.vic.gov.au/Documents/school/teachers/management/highimpactteachingstrat.pdf. [Accessed 27 September 2025]. </w:t>
      </w:r>
    </w:p>
    <w:p w:rsidR="00000000" w:rsidDel="00000000" w:rsidP="00000000" w:rsidRDefault="00000000" w:rsidRPr="00000000" w14:paraId="000000B3">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Estyn (2025). </w:t>
      </w:r>
      <w:r w:rsidDel="00000000" w:rsidR="00000000" w:rsidRPr="00000000">
        <w:rPr>
          <w:rFonts w:ascii="Arial" w:cs="Arial" w:eastAsia="Arial" w:hAnsi="Arial"/>
          <w:i w:val="1"/>
          <w:sz w:val="22"/>
          <w:szCs w:val="22"/>
          <w:highlight w:val="white"/>
          <w:rtl w:val="0"/>
        </w:rPr>
        <w:t xml:space="preserve">International Languages in Schools in Wales Languages Matter -Talking Points</w:t>
      </w:r>
      <w:r w:rsidDel="00000000" w:rsidR="00000000" w:rsidRPr="00000000">
        <w:rPr>
          <w:rFonts w:ascii="Arial" w:cs="Arial" w:eastAsia="Arial" w:hAnsi="Arial"/>
          <w:sz w:val="22"/>
          <w:szCs w:val="22"/>
          <w:highlight w:val="white"/>
          <w:rtl w:val="0"/>
        </w:rPr>
        <w:t xml:space="preserve">. Available at: https://estyn.gov.wales/app/uploads/2025/07/International-Languages-in-Schools-in-Wales.pdf [Accessed 27 September 2025]. </w:t>
      </w:r>
    </w:p>
    <w:p w:rsidR="00000000" w:rsidDel="00000000" w:rsidP="00000000" w:rsidRDefault="00000000" w:rsidRPr="00000000" w14:paraId="000000B4">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Machost, H. and Stains, M. (2023). Reflective Practices in education: a Primer for Practitioners. </w:t>
      </w:r>
      <w:r w:rsidDel="00000000" w:rsidR="00000000" w:rsidRPr="00000000">
        <w:rPr>
          <w:rFonts w:ascii="Arial" w:cs="Arial" w:eastAsia="Arial" w:hAnsi="Arial"/>
          <w:i w:val="1"/>
          <w:sz w:val="22"/>
          <w:szCs w:val="22"/>
          <w:highlight w:val="white"/>
          <w:rtl w:val="0"/>
        </w:rPr>
        <w:t xml:space="preserve">CBE—Life Sciences Education</w:t>
      </w:r>
      <w:r w:rsidDel="00000000" w:rsidR="00000000" w:rsidRPr="00000000">
        <w:rPr>
          <w:rFonts w:ascii="Arial" w:cs="Arial" w:eastAsia="Arial" w:hAnsi="Arial"/>
          <w:sz w:val="22"/>
          <w:szCs w:val="22"/>
          <w:highlight w:val="white"/>
          <w:rtl w:val="0"/>
        </w:rPr>
        <w:t xml:space="preserve">,  22(2), pp.1–11. doi:https://doi.org/10.1187/cbe.22-07-0148. [Accessed 26 September 2025]. </w:t>
      </w:r>
    </w:p>
    <w:p w:rsidR="00000000" w:rsidDel="00000000" w:rsidP="00000000" w:rsidRDefault="00000000" w:rsidRPr="00000000" w14:paraId="000000B5">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McLeod, S. (2025). </w:t>
      </w:r>
      <w:r w:rsidDel="00000000" w:rsidR="00000000" w:rsidRPr="00000000">
        <w:rPr>
          <w:rFonts w:ascii="Arial" w:cs="Arial" w:eastAsia="Arial" w:hAnsi="Arial"/>
          <w:i w:val="1"/>
          <w:sz w:val="22"/>
          <w:szCs w:val="22"/>
          <w:highlight w:val="white"/>
          <w:rtl w:val="0"/>
        </w:rPr>
        <w:t xml:space="preserve">Vygotsky’s sociocultural theory of cognitive development</w:t>
      </w:r>
      <w:r w:rsidDel="00000000" w:rsidR="00000000" w:rsidRPr="00000000">
        <w:rPr>
          <w:rFonts w:ascii="Arial" w:cs="Arial" w:eastAsia="Arial" w:hAnsi="Arial"/>
          <w:sz w:val="22"/>
          <w:szCs w:val="22"/>
          <w:highlight w:val="white"/>
          <w:rtl w:val="0"/>
        </w:rPr>
        <w:t xml:space="preserve">. Available at: https://www.simplypsychology.org/vygotsky.html. [Accessed 27 September 2025]. </w:t>
      </w:r>
    </w:p>
    <w:p w:rsidR="00000000" w:rsidDel="00000000" w:rsidP="00000000" w:rsidRDefault="00000000" w:rsidRPr="00000000" w14:paraId="000000B6">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Petty, G. (2016). </w:t>
      </w:r>
      <w:r w:rsidDel="00000000" w:rsidR="00000000" w:rsidRPr="00000000">
        <w:rPr>
          <w:rFonts w:ascii="Arial" w:cs="Arial" w:eastAsia="Arial" w:hAnsi="Arial"/>
          <w:i w:val="1"/>
          <w:sz w:val="22"/>
          <w:szCs w:val="22"/>
          <w:highlight w:val="white"/>
          <w:rtl w:val="0"/>
        </w:rPr>
        <w:t xml:space="preserve">Teaching Today: A Practical Guide</w:t>
      </w:r>
      <w:r w:rsidDel="00000000" w:rsidR="00000000" w:rsidRPr="00000000">
        <w:rPr>
          <w:rFonts w:ascii="Arial" w:cs="Arial" w:eastAsia="Arial" w:hAnsi="Arial"/>
          <w:sz w:val="22"/>
          <w:szCs w:val="22"/>
          <w:highlight w:val="white"/>
          <w:rtl w:val="0"/>
        </w:rPr>
        <w:t xml:space="preserve">. OUP Oxford. Available at: https://www.google.co.uk/books/edition/Teaching_Today_A_Practical_Guide/mYIiEAAAQBAJ?hl=</w:t>
      </w:r>
      <w:r w:rsidDel="00000000" w:rsidR="00000000" w:rsidRPr="00000000">
        <w:rPr>
          <w:rFonts w:ascii="Arial" w:cs="Arial" w:eastAsia="Arial" w:hAnsi="Arial"/>
          <w:sz w:val="22"/>
          <w:szCs w:val="22"/>
          <w:highlight w:val="white"/>
          <w:rtl w:val="0"/>
        </w:rPr>
        <w:t xml:space="preserve">en&amp;gbpv</w:t>
      </w:r>
      <w:r w:rsidDel="00000000" w:rsidR="00000000" w:rsidRPr="00000000">
        <w:rPr>
          <w:rFonts w:ascii="Arial" w:cs="Arial" w:eastAsia="Arial" w:hAnsi="Arial"/>
          <w:sz w:val="22"/>
          <w:szCs w:val="22"/>
          <w:highlight w:val="white"/>
          <w:rtl w:val="0"/>
        </w:rPr>
        <w:t xml:space="preserve">=1&amp;dq=Petty. [Accessed 27 September 2025]. </w:t>
      </w:r>
    </w:p>
    <w:p w:rsidR="00000000" w:rsidDel="00000000" w:rsidP="00000000" w:rsidRDefault="00000000" w:rsidRPr="00000000" w14:paraId="000000B7">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The Education and Training Foundation (2022). </w:t>
      </w:r>
      <w:r w:rsidDel="00000000" w:rsidR="00000000" w:rsidRPr="00000000">
        <w:rPr>
          <w:rFonts w:ascii="Arial" w:cs="Arial" w:eastAsia="Arial" w:hAnsi="Arial"/>
          <w:i w:val="1"/>
          <w:sz w:val="22"/>
          <w:szCs w:val="22"/>
          <w:highlight w:val="white"/>
          <w:rtl w:val="0"/>
        </w:rPr>
        <w:t xml:space="preserve">Professional Standards for Teachers and Trainers</w:t>
      </w:r>
      <w:r w:rsidDel="00000000" w:rsidR="00000000" w:rsidRPr="00000000">
        <w:rPr>
          <w:rFonts w:ascii="Arial" w:cs="Arial" w:eastAsia="Arial" w:hAnsi="Arial"/>
          <w:sz w:val="22"/>
          <w:szCs w:val="22"/>
          <w:highlight w:val="white"/>
          <w:rtl w:val="0"/>
        </w:rPr>
        <w:t xml:space="preserve">. Available at: https://www.et-foundation.co.uk/professional-standards/teachers/. [Accessed 27 September 2025]. </w:t>
      </w:r>
    </w:p>
    <w:p w:rsidR="00000000" w:rsidDel="00000000" w:rsidP="00000000" w:rsidRDefault="00000000" w:rsidRPr="00000000" w14:paraId="000000B8">
      <w:pPr>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Walker, C. (2003). Teaching, Training and Learning 5th Edition. Available at: https://www.researchgate.net/publication/331167384_Teaching_Training_and_Learning_5th_Edition. [Accessed 2 October 2025]. </w:t>
      </w:r>
      <w:r w:rsidDel="00000000" w:rsidR="00000000" w:rsidRPr="00000000">
        <w:rPr>
          <w:rtl w:val="0"/>
        </w:rPr>
      </w:r>
    </w:p>
    <w:p w:rsidR="00000000" w:rsidDel="00000000" w:rsidP="00000000" w:rsidRDefault="00000000" w:rsidRPr="00000000" w14:paraId="000000B9">
      <w:pPr>
        <w:spacing w:after="240" w:line="360" w:lineRule="auto"/>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BA">
      <w:pPr>
        <w:spacing w:after="240" w:line="360"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Wilson, L.O. (2016). </w:t>
      </w:r>
      <w:r w:rsidDel="00000000" w:rsidR="00000000" w:rsidRPr="00000000">
        <w:rPr>
          <w:rFonts w:ascii="Arial" w:cs="Arial" w:eastAsia="Arial" w:hAnsi="Arial"/>
          <w:i w:val="1"/>
          <w:sz w:val="22"/>
          <w:szCs w:val="22"/>
          <w:highlight w:val="white"/>
          <w:rtl w:val="0"/>
        </w:rPr>
        <w:t xml:space="preserve">Anderson and Krathwohl bloom’s Taxonomy Revised</w:t>
      </w:r>
      <w:r w:rsidDel="00000000" w:rsidR="00000000" w:rsidRPr="00000000">
        <w:rPr>
          <w:rFonts w:ascii="Arial" w:cs="Arial" w:eastAsia="Arial" w:hAnsi="Arial"/>
          <w:sz w:val="22"/>
          <w:szCs w:val="22"/>
          <w:highlight w:val="white"/>
          <w:rtl w:val="0"/>
        </w:rPr>
        <w:t xml:space="preserve">. Available at: https://quincycollege.edu/wp-content/uploads/Anderson-and-Krathwohl_Revised-Blooms-Taxonomy.pdf. [Accessed 29 September 2025]. </w:t>
      </w:r>
    </w:p>
    <w:p w:rsidR="00000000" w:rsidDel="00000000" w:rsidP="00000000" w:rsidRDefault="00000000" w:rsidRPr="00000000" w14:paraId="000000BB">
      <w:pPr>
        <w:spacing w:after="240" w:line="360" w:lineRule="auto"/>
        <w:rPr>
          <w:rFonts w:ascii="Arial" w:cs="Arial" w:eastAsia="Arial" w:hAnsi="Arial"/>
          <w:color w:val="1d2125"/>
          <w:sz w:val="22"/>
          <w:szCs w:val="22"/>
          <w:highlight w:val="white"/>
        </w:rPr>
      </w:pPr>
      <w:r w:rsidDel="00000000" w:rsidR="00000000" w:rsidRPr="00000000">
        <w:rPr>
          <w:rtl w:val="0"/>
        </w:rPr>
      </w:r>
    </w:p>
    <w:p w:rsidR="00000000" w:rsidDel="00000000" w:rsidP="00000000" w:rsidRDefault="00000000" w:rsidRPr="00000000" w14:paraId="000000BC">
      <w:pPr>
        <w:spacing w:after="240" w:line="360" w:lineRule="auto"/>
        <w:rPr>
          <w:rFonts w:ascii="Arial" w:cs="Arial" w:eastAsia="Arial" w:hAnsi="Arial"/>
          <w:b w:val="1"/>
          <w:color w:val="1d2125"/>
          <w:highlight w:val="white"/>
          <w:u w:val="single"/>
        </w:rPr>
      </w:pPr>
      <w:r w:rsidDel="00000000" w:rsidR="00000000" w:rsidRPr="00000000">
        <w:rPr>
          <w:rtl w:val="0"/>
        </w:rPr>
      </w:r>
    </w:p>
    <w:p w:rsidR="00000000" w:rsidDel="00000000" w:rsidP="00000000" w:rsidRDefault="00000000" w:rsidRPr="00000000" w14:paraId="000000BD">
      <w:pPr>
        <w:spacing w:after="240" w:line="360" w:lineRule="auto"/>
        <w:rPr>
          <w:rFonts w:ascii="Arial" w:cs="Arial" w:eastAsia="Arial" w:hAnsi="Arial"/>
          <w:b w:val="1"/>
          <w:color w:val="1d2125"/>
          <w:highlight w:val="white"/>
          <w:u w:val="single"/>
        </w:rPr>
      </w:pPr>
      <w:r w:rsidDel="00000000" w:rsidR="00000000" w:rsidRPr="00000000">
        <w:rPr>
          <w:rtl w:val="0"/>
        </w:rPr>
      </w:r>
    </w:p>
    <w:p w:rsidR="00000000" w:rsidDel="00000000" w:rsidP="00000000" w:rsidRDefault="00000000" w:rsidRPr="00000000" w14:paraId="000000BE">
      <w:pPr>
        <w:spacing w:after="240" w:line="360" w:lineRule="auto"/>
        <w:rPr>
          <w:rFonts w:ascii="Arial" w:cs="Arial" w:eastAsia="Arial" w:hAnsi="Arial"/>
          <w:b w:val="1"/>
          <w:color w:val="1d2125"/>
          <w:highlight w:val="white"/>
          <w:u w:val="single"/>
        </w:rPr>
      </w:pPr>
      <w:r w:rsidDel="00000000" w:rsidR="00000000" w:rsidRPr="00000000">
        <w:rPr>
          <w:rtl w:val="0"/>
        </w:rPr>
      </w:r>
    </w:p>
    <w:p w:rsidR="00000000" w:rsidDel="00000000" w:rsidP="00000000" w:rsidRDefault="00000000" w:rsidRPr="00000000" w14:paraId="000000BF">
      <w:pPr>
        <w:spacing w:after="240" w:before="240" w:lineRule="auto"/>
        <w:rPr>
          <w:rFonts w:ascii="Roboto" w:cs="Roboto" w:eastAsia="Roboto" w:hAnsi="Roboto"/>
          <w:color w:val="1d2125"/>
          <w:sz w:val="23"/>
          <w:szCs w:val="23"/>
          <w:highlight w:val="white"/>
        </w:rPr>
      </w:pPr>
      <w:r w:rsidDel="00000000" w:rsidR="00000000" w:rsidRPr="00000000">
        <w:rPr>
          <w:rtl w:val="0"/>
        </w:rPr>
      </w:r>
    </w:p>
    <w:p w:rsidR="00000000" w:rsidDel="00000000" w:rsidP="00000000" w:rsidRDefault="00000000" w:rsidRPr="00000000" w14:paraId="000000C0">
      <w:pPr>
        <w:rPr>
          <w:rFonts w:ascii="Roboto" w:cs="Roboto" w:eastAsia="Roboto" w:hAnsi="Roboto"/>
          <w:color w:val="1d2125"/>
          <w:sz w:val="23"/>
          <w:szCs w:val="23"/>
          <w:highlight w:val="whit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QuattrocentoSans-boldItalic.ttf"/><Relationship Id="rId9" Type="http://schemas.openxmlformats.org/officeDocument/2006/relationships/font" Target="fonts/QuattrocentoSans-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