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135E" w:rsidRDefault="0035135E" w:rsidP="00157783">
      <w:pPr>
        <w:jc w:val="center"/>
        <w:rPr>
          <w:u w:val="single"/>
        </w:rPr>
      </w:pPr>
      <w:r>
        <w:rPr>
          <w:u w:val="single"/>
        </w:rPr>
        <w:t>Commenta</w:t>
      </w:r>
      <w:r w:rsidR="00157783">
        <w:rPr>
          <w:u w:val="single"/>
        </w:rPr>
        <w:t xml:space="preserve">ry on an illumination </w:t>
      </w:r>
      <w:r>
        <w:rPr>
          <w:u w:val="single"/>
        </w:rPr>
        <w:t xml:space="preserve">of the Royal </w:t>
      </w:r>
      <w:r w:rsidRPr="0035135E">
        <w:rPr>
          <w:u w:val="single"/>
        </w:rPr>
        <w:t>MS 14 B V</w:t>
      </w:r>
      <w:r w:rsidR="00157783">
        <w:rPr>
          <w:u w:val="single"/>
        </w:rPr>
        <w:t xml:space="preserve">: </w:t>
      </w:r>
      <w:r w:rsidR="00915D87">
        <w:rPr>
          <w:u w:val="single"/>
        </w:rPr>
        <w:t>membrane four and five</w:t>
      </w:r>
    </w:p>
    <w:p w:rsidR="00157783" w:rsidRDefault="00157783" w:rsidP="00157783">
      <w:pPr>
        <w:rPr>
          <w:u w:val="single"/>
        </w:rPr>
      </w:pPr>
      <w:r>
        <w:rPr>
          <w:noProof/>
          <w:u w:val="single"/>
          <w:lang w:eastAsia="en-GB"/>
        </w:rPr>
        <w:drawing>
          <wp:anchor distT="0" distB="0" distL="114300" distR="114300" simplePos="0" relativeHeight="251666432" behindDoc="1" locked="0" layoutInCell="1" allowOverlap="1">
            <wp:simplePos x="914400" y="1485900"/>
            <wp:positionH relativeFrom="margin">
              <wp:align>center</wp:align>
            </wp:positionH>
            <wp:positionV relativeFrom="margin">
              <wp:align>center</wp:align>
            </wp:positionV>
            <wp:extent cx="5731510" cy="7886065"/>
            <wp:effectExtent l="0" t="0" r="2540" b="63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60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:rsidR="00157783" w:rsidRDefault="00157783" w:rsidP="00157783">
      <w:pPr>
        <w:jc w:val="center"/>
        <w:rPr>
          <w:u w:val="single"/>
        </w:rPr>
      </w:pPr>
    </w:p>
    <w:p w:rsidR="00157783" w:rsidRDefault="00157783" w:rsidP="00157783">
      <w:pPr>
        <w:rPr>
          <w:u w:val="single"/>
        </w:rPr>
      </w:pPr>
    </w:p>
    <w:p w:rsidR="006B75F5" w:rsidRDefault="00915D87" w:rsidP="00157783">
      <w:r>
        <w:lastRenderedPageBreak/>
        <w:t>The Royal MS 14 BV, was produced in the th</w:t>
      </w:r>
      <w:r w:rsidR="004D7B14">
        <w:t xml:space="preserve">irteenth century and is titled </w:t>
      </w:r>
      <w:r w:rsidRPr="004D7B14">
        <w:rPr>
          <w:i/>
        </w:rPr>
        <w:t>The Genealogical Chronicle of the English Kings</w:t>
      </w:r>
      <w:r w:rsidR="00941891">
        <w:t>.</w:t>
      </w:r>
      <w:r w:rsidR="00941891">
        <w:rPr>
          <w:rStyle w:val="FootnoteReference"/>
        </w:rPr>
        <w:footnoteReference w:id="1"/>
      </w:r>
      <w:r>
        <w:t xml:space="preserve"> </w:t>
      </w:r>
      <w:r w:rsidR="00E4203D">
        <w:t>From this date</w:t>
      </w:r>
      <w:r w:rsidR="00D52B02">
        <w:t>, it is clear the</w:t>
      </w:r>
      <w:r w:rsidR="00E4203D">
        <w:t xml:space="preserve"> produc</w:t>
      </w:r>
      <w:r w:rsidR="00D52B02">
        <w:t>tion was</w:t>
      </w:r>
      <w:r w:rsidR="001F7C08">
        <w:t xml:space="preserve"> after the Conquest of England</w:t>
      </w:r>
      <w:r w:rsidR="00E4203D">
        <w:t xml:space="preserve"> in 1066 AD</w:t>
      </w:r>
      <w:r w:rsidR="001D7714">
        <w:t>, established after the events of the Battle of Hastings</w:t>
      </w:r>
      <w:r w:rsidR="00E4203D">
        <w:t>.</w:t>
      </w:r>
      <w:r w:rsidR="001D7714">
        <w:rPr>
          <w:rStyle w:val="FootnoteReference"/>
        </w:rPr>
        <w:footnoteReference w:id="2"/>
      </w:r>
      <w:r w:rsidR="00E4203D">
        <w:t xml:space="preserve"> </w:t>
      </w:r>
      <w:r w:rsidR="00687873">
        <w:t>It could be concluded, then, that the purpose of this documentation</w:t>
      </w:r>
      <w:r w:rsidR="009738AE">
        <w:t>,</w:t>
      </w:r>
      <w:r w:rsidR="00687873">
        <w:t xml:space="preserve"> </w:t>
      </w:r>
      <w:r w:rsidR="001F7C08">
        <w:t>which depicts the succession of the English monarchy</w:t>
      </w:r>
      <w:r w:rsidR="00A152DF">
        <w:t xml:space="preserve"> and royal family tree</w:t>
      </w:r>
      <w:r w:rsidR="001F7C08">
        <w:t>,</w:t>
      </w:r>
      <w:r w:rsidR="00687873">
        <w:t xml:space="preserve"> was to legitimise Norman rule over an An</w:t>
      </w:r>
      <w:r w:rsidR="00FD7E3F">
        <w:t>glo-Saxon population, which eventually</w:t>
      </w:r>
      <w:r w:rsidR="00687873">
        <w:t xml:space="preserve"> transitioned into </w:t>
      </w:r>
      <w:r w:rsidR="00F96DAE">
        <w:t xml:space="preserve">a shared Anglo-Norman identity </w:t>
      </w:r>
      <w:r w:rsidR="00365DD7">
        <w:t>after gradual assimilation.</w:t>
      </w:r>
      <w:r w:rsidR="00FD7E3F">
        <w:t xml:space="preserve"> </w:t>
      </w:r>
      <w:r w:rsidR="007D7FDF">
        <w:t>The use of imagery, colour</w:t>
      </w:r>
      <w:r w:rsidR="00AD37CF">
        <w:t xml:space="preserve"> and layout, establishes the Norman ‘dynasty’</w:t>
      </w:r>
      <w:r w:rsidR="006B75F5">
        <w:t xml:space="preserve"> within</w:t>
      </w:r>
      <w:r w:rsidR="003947B8">
        <w:t xml:space="preserve"> E</w:t>
      </w:r>
      <w:r w:rsidR="00550B54">
        <w:t>ngland, as well as relating</w:t>
      </w:r>
      <w:r w:rsidR="00DD3E40">
        <w:t xml:space="preserve"> Norman success</w:t>
      </w:r>
      <w:r w:rsidR="003947B8">
        <w:t xml:space="preserve"> across medieval Europe to the original leader of the Normans: Rollo. </w:t>
      </w:r>
      <w:r w:rsidR="0058790B">
        <w:t>(See figure</w:t>
      </w:r>
      <w:r w:rsidR="001C77D8">
        <w:t xml:space="preserve"> one) </w:t>
      </w:r>
      <w:r w:rsidR="009E0879">
        <w:t xml:space="preserve">This seems peculiar, as the purpose of this scroll was to display and legitimise the reigns of the kings of England, though Rollo never received </w:t>
      </w:r>
      <w:r w:rsidR="00123A25">
        <w:t>this title. In fact, Rollo was the great, great, g</w:t>
      </w:r>
      <w:r w:rsidR="001B07F5">
        <w:t>reat grand-father of William I.</w:t>
      </w:r>
      <w:r w:rsidR="00E63E1F">
        <w:rPr>
          <w:rStyle w:val="FootnoteReference"/>
        </w:rPr>
        <w:footnoteReference w:id="3"/>
      </w:r>
      <w:r w:rsidR="00857B08">
        <w:t xml:space="preserve"> </w:t>
      </w:r>
      <w:r w:rsidR="00E61596">
        <w:t>This highlights the significance and value that the</w:t>
      </w:r>
      <w:r w:rsidR="00525E8C">
        <w:t xml:space="preserve"> Normans he</w:t>
      </w:r>
      <w:r w:rsidR="001C77D8">
        <w:t>ld</w:t>
      </w:r>
      <w:r w:rsidR="00E61596">
        <w:t xml:space="preserve"> on legitim</w:t>
      </w:r>
      <w:r w:rsidR="003D3F67">
        <w:t>ising their claim to the throne. Rollo was the initiator of the Norman ‘movement’, and</w:t>
      </w:r>
      <w:r w:rsidR="00525E8C">
        <w:t xml:space="preserve"> so Norman predecessors credit him</w:t>
      </w:r>
      <w:r w:rsidR="003D3F67">
        <w:t xml:space="preserve"> for their success, </w:t>
      </w:r>
      <w:r w:rsidR="00E61596">
        <w:t xml:space="preserve">especially </w:t>
      </w:r>
      <w:r w:rsidR="00C03EF2">
        <w:t>as their succession</w:t>
      </w:r>
      <w:r w:rsidR="00FB78BC">
        <w:t xml:space="preserve"> in England</w:t>
      </w:r>
      <w:r w:rsidR="00C03EF2">
        <w:t xml:space="preserve"> was of controversial </w:t>
      </w:r>
      <w:r w:rsidR="00815F0F">
        <w:t>debate</w:t>
      </w:r>
      <w:r w:rsidR="001C77D8">
        <w:t>.</w:t>
      </w:r>
      <w:r w:rsidR="00815F0F">
        <w:t xml:space="preserve"> This is evident in the conflict between Harold Godwinson and William the Conqueror</w:t>
      </w:r>
      <w:r w:rsidR="00444AF5">
        <w:t xml:space="preserve">: ‘Harold based his claim on the nomination of his predecessor </w:t>
      </w:r>
      <w:r w:rsidR="00ED2884">
        <w:t xml:space="preserve">[Edward the Confessor] </w:t>
      </w:r>
      <w:r w:rsidR="00444AF5">
        <w:t>and the acclamation of the English people’</w:t>
      </w:r>
      <w:r w:rsidR="00E02DB8">
        <w:t>.</w:t>
      </w:r>
      <w:r w:rsidR="00A6213F">
        <w:rPr>
          <w:rStyle w:val="FootnoteReference"/>
        </w:rPr>
        <w:footnoteReference w:id="4"/>
      </w:r>
      <w:r w:rsidR="00444AF5">
        <w:t xml:space="preserve"> </w:t>
      </w:r>
      <w:r w:rsidR="003E7403">
        <w:t>This is important in relation to the analysis and commentary of t</w:t>
      </w:r>
      <w:r w:rsidR="00B12F9B">
        <w:t>his material, as it emphasises</w:t>
      </w:r>
      <w:r w:rsidR="00696457">
        <w:t xml:space="preserve"> the necessity of cementing the Normans in English history, and therefore may explain the use of certai</w:t>
      </w:r>
      <w:r w:rsidR="00617B84">
        <w:t>n artistic styles and textual layout</w:t>
      </w:r>
      <w:r w:rsidR="00696457">
        <w:t xml:space="preserve"> which will be encountered throughout this </w:t>
      </w:r>
      <w:r w:rsidR="00E02DB8">
        <w:t>analytical exploration.</w:t>
      </w:r>
      <w:r w:rsidR="00696457">
        <w:t xml:space="preserve"> </w:t>
      </w:r>
    </w:p>
    <w:p w:rsidR="00144443" w:rsidRDefault="005B5366" w:rsidP="00157783">
      <w:r>
        <w:t>It is hard to igno</w:t>
      </w:r>
      <w:r w:rsidR="00D7477A">
        <w:t>re the depiction of a royal hunt</w:t>
      </w:r>
      <w:r w:rsidR="00F11F32">
        <w:t xml:space="preserve"> </w:t>
      </w:r>
      <w:r w:rsidR="0058790B">
        <w:t>(see figure</w:t>
      </w:r>
      <w:r w:rsidR="0003302D">
        <w:t xml:space="preserve"> two</w:t>
      </w:r>
      <w:r w:rsidR="00F11F32">
        <w:t>)</w:t>
      </w:r>
      <w:r>
        <w:t>, which is positioned</w:t>
      </w:r>
      <w:r w:rsidR="00513793">
        <w:t xml:space="preserve"> across the entire</w:t>
      </w:r>
      <w:r w:rsidR="00827D56">
        <w:t xml:space="preserve"> centre</w:t>
      </w:r>
      <w:r w:rsidR="00513793">
        <w:t xml:space="preserve"> width of the scroll</w:t>
      </w:r>
      <w:r w:rsidR="00827D56">
        <w:t xml:space="preserve">. This </w:t>
      </w:r>
      <w:r w:rsidR="00B9632A">
        <w:t>presents</w:t>
      </w:r>
      <w:r w:rsidR="00616893">
        <w:t xml:space="preserve"> a </w:t>
      </w:r>
      <w:r w:rsidR="000C603C">
        <w:t>predator and prey scene</w:t>
      </w:r>
      <w:r w:rsidR="00616893">
        <w:t>, though with a</w:t>
      </w:r>
      <w:r w:rsidR="00634CCB">
        <w:t xml:space="preserve"> </w:t>
      </w:r>
      <w:r w:rsidR="000C603C">
        <w:t>fictional twist.</w:t>
      </w:r>
      <w:r w:rsidR="00471E4F">
        <w:t xml:space="preserve"> </w:t>
      </w:r>
      <w:r w:rsidR="00616893">
        <w:t>Medieval drawings can tell the audience a lot about the culture which the manuscript</w:t>
      </w:r>
      <w:r w:rsidR="008B7152">
        <w:t xml:space="preserve"> derives </w:t>
      </w:r>
      <w:r w:rsidR="008103E8">
        <w:t>from. For example, hunting was an important aspect of medieval life, particula</w:t>
      </w:r>
      <w:r w:rsidR="00FC1AB7">
        <w:t>rly popular within the nobility</w:t>
      </w:r>
      <w:r w:rsidR="00827D56">
        <w:t>.</w:t>
      </w:r>
      <w:r w:rsidR="009B1E80">
        <w:t xml:space="preserve"> The popularity of hunting is also found in other manuscripts, such as the Harvey 324,</w:t>
      </w:r>
      <w:r w:rsidR="000C33E8">
        <w:rPr>
          <w:rStyle w:val="FootnoteReference"/>
        </w:rPr>
        <w:footnoteReference w:id="5"/>
      </w:r>
      <w:r w:rsidR="009B1E80">
        <w:t xml:space="preserve"> produced around the same time</w:t>
      </w:r>
      <w:r w:rsidR="00CC6CB7">
        <w:t xml:space="preserve">, as well as within </w:t>
      </w:r>
      <w:r w:rsidR="00680B48">
        <w:t>epic poetry;</w:t>
      </w:r>
      <w:r w:rsidR="00680B48" w:rsidRPr="00680B48">
        <w:t xml:space="preserve"> using a popular medieval sport to exemplify strength and heroic traits</w:t>
      </w:r>
      <w:r w:rsidR="00680B48">
        <w:t>.</w:t>
      </w:r>
      <w:r w:rsidR="00680B48">
        <w:rPr>
          <w:rStyle w:val="FootnoteReference"/>
        </w:rPr>
        <w:footnoteReference w:id="6"/>
      </w:r>
      <w:r w:rsidR="009B1E80">
        <w:t xml:space="preserve"> </w:t>
      </w:r>
      <w:r w:rsidR="0058790B">
        <w:t xml:space="preserve">(See figure three) </w:t>
      </w:r>
      <w:r w:rsidR="00340FC8">
        <w:t>We can tell that it was a favoured past t</w:t>
      </w:r>
      <w:r w:rsidR="007D5AD5">
        <w:t>ime and sport for the nobility by</w:t>
      </w:r>
      <w:r w:rsidR="00340FC8">
        <w:t xml:space="preserve"> looking at particular individuals who lived in the middle ages</w:t>
      </w:r>
      <w:r w:rsidR="00827D56">
        <w:t>;</w:t>
      </w:r>
      <w:r w:rsidR="00FC1AB7">
        <w:t xml:space="preserve"> a</w:t>
      </w:r>
      <w:r w:rsidR="00B9448C">
        <w:t xml:space="preserve"> noble known as Gaston Phoebus, owned over eight hundred hunting hounds.</w:t>
      </w:r>
      <w:r w:rsidR="00CA43D6">
        <w:rPr>
          <w:rStyle w:val="FootnoteReference"/>
        </w:rPr>
        <w:footnoteReference w:id="7"/>
      </w:r>
      <w:r w:rsidR="00B9448C">
        <w:t xml:space="preserve"> </w:t>
      </w:r>
      <w:r w:rsidR="00C34D51">
        <w:t xml:space="preserve">Duke William himself, is said to have relished in the act of hunting, for his own enjoyment and for those he associated himself with. ‘[He was] </w:t>
      </w:r>
      <w:r w:rsidR="00C34D51" w:rsidRPr="00C34D51">
        <w:t>fond of hunting and took pains to ensure its enjoyment for himself and his heirs</w:t>
      </w:r>
      <w:r w:rsidR="000B1A13">
        <w:t>’</w:t>
      </w:r>
      <w:r w:rsidR="00C34D51">
        <w:t>.</w:t>
      </w:r>
      <w:r w:rsidR="00C34D51">
        <w:rPr>
          <w:rStyle w:val="FootnoteReference"/>
        </w:rPr>
        <w:footnoteReference w:id="8"/>
      </w:r>
      <w:r w:rsidR="00D82E10">
        <w:t xml:space="preserve"> </w:t>
      </w:r>
      <w:r w:rsidR="00DE387D">
        <w:t>Further political evidence is found in t</w:t>
      </w:r>
      <w:r w:rsidR="001760B4">
        <w:t>he</w:t>
      </w:r>
      <w:r w:rsidR="00976D2A">
        <w:t xml:space="preserve"> Law of the Forest,</w:t>
      </w:r>
      <w:r w:rsidR="00B06070">
        <w:t xml:space="preserve"> </w:t>
      </w:r>
      <w:r w:rsidR="00B81118">
        <w:t xml:space="preserve">which punished those who foraged </w:t>
      </w:r>
      <w:r w:rsidR="001760B4">
        <w:t xml:space="preserve">or poached in </w:t>
      </w:r>
      <w:r w:rsidR="00B81118">
        <w:t>forest</w:t>
      </w:r>
      <w:r w:rsidR="001760B4">
        <w:t>s</w:t>
      </w:r>
      <w:r w:rsidR="000A11A1">
        <w:t xml:space="preserve"> owned by the king for the sole purpose</w:t>
      </w:r>
      <w:r w:rsidR="00B81118">
        <w:t xml:space="preserve"> of hunting.</w:t>
      </w:r>
      <w:r w:rsidR="000A11A1">
        <w:rPr>
          <w:rStyle w:val="FootnoteReference"/>
        </w:rPr>
        <w:footnoteReference w:id="9"/>
      </w:r>
      <w:r w:rsidR="003E4255">
        <w:t xml:space="preserve"> </w:t>
      </w:r>
      <w:r w:rsidR="00FC1AB7">
        <w:t xml:space="preserve">Medieval hunting also led to the </w:t>
      </w:r>
      <w:r w:rsidR="009E0E27">
        <w:t>ex</w:t>
      </w:r>
      <w:r w:rsidR="00FC1AB7">
        <w:t>tinction of certain</w:t>
      </w:r>
      <w:r w:rsidR="009E0E27">
        <w:t xml:space="preserve"> species and deforestation</w:t>
      </w:r>
      <w:r w:rsidR="003E4255">
        <w:t>.</w:t>
      </w:r>
      <w:r w:rsidR="0092702B">
        <w:rPr>
          <w:rStyle w:val="FootnoteReference"/>
        </w:rPr>
        <w:footnoteReference w:id="10"/>
      </w:r>
      <w:r w:rsidR="009B0C37">
        <w:t xml:space="preserve"> </w:t>
      </w:r>
      <w:r w:rsidR="00682281">
        <w:t>As well as identifying Norman characteristics</w:t>
      </w:r>
      <w:r w:rsidR="00680B48">
        <w:t xml:space="preserve"> and activity</w:t>
      </w:r>
      <w:r w:rsidR="00682281">
        <w:t xml:space="preserve">, </w:t>
      </w:r>
      <w:r w:rsidR="00C10B3E">
        <w:t>the illustrations in this scroll are used to establish the luxuries</w:t>
      </w:r>
      <w:r w:rsidR="007C6ED4">
        <w:t xml:space="preserve"> and characteristics</w:t>
      </w:r>
      <w:r w:rsidR="00C10B3E">
        <w:t xml:space="preserve"> experienced</w:t>
      </w:r>
      <w:r w:rsidR="007C6ED4">
        <w:t xml:space="preserve"> and associated with </w:t>
      </w:r>
      <w:r w:rsidR="00C10B3E">
        <w:t>Norman kings during their monarchical</w:t>
      </w:r>
      <w:r w:rsidR="003B1509">
        <w:t xml:space="preserve"> rule and</w:t>
      </w:r>
      <w:r w:rsidR="00C10B3E">
        <w:t xml:space="preserve"> period in England. </w:t>
      </w:r>
    </w:p>
    <w:p w:rsidR="001328C7" w:rsidRDefault="001328C7" w:rsidP="00157783">
      <w:r>
        <w:lastRenderedPageBreak/>
        <w:t xml:space="preserve">The visual aids used throughout </w:t>
      </w:r>
      <w:r w:rsidR="00D524F6">
        <w:t>these membranes can also tell the reader</w:t>
      </w:r>
      <w:r>
        <w:t xml:space="preserve"> a lot about the</w:t>
      </w:r>
      <w:r w:rsidR="00D524F6">
        <w:t xml:space="preserve"> scroll’s</w:t>
      </w:r>
      <w:r>
        <w:t xml:space="preserve"> purpose</w:t>
      </w:r>
      <w:r w:rsidR="00D524F6">
        <w:t>.</w:t>
      </w:r>
      <w:r w:rsidR="00C8549F">
        <w:t xml:space="preserve"> For example, focusing attention on</w:t>
      </w:r>
      <w:r>
        <w:t xml:space="preserve"> the hunting scene once more, it is noticeable that the nature of the drawings is to tell a story. The transition</w:t>
      </w:r>
      <w:r w:rsidR="00B91596">
        <w:t xml:space="preserve"> and story</w:t>
      </w:r>
      <w:r>
        <w:t xml:space="preserve"> of the characters could be used as a visual aid for those illiterate, often </w:t>
      </w:r>
      <w:r w:rsidR="00B91596">
        <w:t>being</w:t>
      </w:r>
      <w:r w:rsidR="003C26CC">
        <w:t xml:space="preserve"> laity, who could</w:t>
      </w:r>
      <w:r>
        <w:t xml:space="preserve"> </w:t>
      </w:r>
      <w:r w:rsidR="00B91596">
        <w:t>identif</w:t>
      </w:r>
      <w:r>
        <w:t>y the</w:t>
      </w:r>
      <w:r w:rsidR="003C26CC">
        <w:t xml:space="preserve"> important</w:t>
      </w:r>
      <w:r>
        <w:t xml:space="preserve"> individuals in the roundel and also depict the marginal stories as well. This would have made the scroll more enjoyable to read, as though the </w:t>
      </w:r>
      <w:r w:rsidR="006E35C1">
        <w:t xml:space="preserve">main purpose is to legitimise genealogy, the </w:t>
      </w:r>
      <w:r w:rsidR="00AF3469">
        <w:t>other purpose of such an item, is to create fantastical stories to engage with the audience in the first</w:t>
      </w:r>
      <w:r w:rsidR="006A27B6">
        <w:t xml:space="preserve"> place. For example, the hunt </w:t>
      </w:r>
      <w:r w:rsidR="00AF3469">
        <w:t xml:space="preserve">shows a hare wearing a quiver and blowing a horn, whilst riding on the back of a hound. However, if we assume that the characters involved in this manuscript are narrative and transitional throughout the pages, </w:t>
      </w:r>
      <w:r w:rsidR="00606510">
        <w:t xml:space="preserve">then </w:t>
      </w:r>
      <w:r w:rsidR="00AF3469">
        <w:t>it is important to note that the hare and hound are seen previously, with the hound chasing the hare across the left side of the page</w:t>
      </w:r>
      <w:r w:rsidR="00087681">
        <w:t xml:space="preserve"> </w:t>
      </w:r>
      <w:r w:rsidR="0058790B">
        <w:t>(</w:t>
      </w:r>
      <w:r w:rsidR="00C423B8">
        <w:t>s</w:t>
      </w:r>
      <w:r w:rsidR="00087681">
        <w:t>ee</w:t>
      </w:r>
      <w:r w:rsidR="0058790B">
        <w:t xml:space="preserve"> figure four</w:t>
      </w:r>
      <w:r w:rsidR="00AF3469">
        <w:t>).</w:t>
      </w:r>
      <w:r w:rsidR="006E35C1">
        <w:t xml:space="preserve"> </w:t>
      </w:r>
      <w:r w:rsidR="00E01817">
        <w:t>The use of visual aids not only captivates the audience’s eyes to the scroll in the first place, but also tells marginal stories which ca</w:t>
      </w:r>
      <w:r w:rsidR="00C13938">
        <w:t>n</w:t>
      </w:r>
      <w:r w:rsidR="00F74AB4">
        <w:t xml:space="preserve"> be enjoyed </w:t>
      </w:r>
      <w:r w:rsidR="00D06018">
        <w:t>separate</w:t>
      </w:r>
      <w:r w:rsidR="00E01817">
        <w:t xml:space="preserve"> from the main purpose o</w:t>
      </w:r>
      <w:r w:rsidR="00EF0E46">
        <w:t xml:space="preserve">f the scroll itself. </w:t>
      </w:r>
    </w:p>
    <w:p w:rsidR="00E01817" w:rsidRDefault="00D17A15" w:rsidP="00157783">
      <w:r>
        <w:t>The use of colour throughout manuscripts</w:t>
      </w:r>
      <w:r w:rsidR="00F370B2">
        <w:t xml:space="preserve"> is often a prominent</w:t>
      </w:r>
      <w:r w:rsidR="00633088">
        <w:t xml:space="preserve"> factor in understanding the purpose, wealth and </w:t>
      </w:r>
      <w:r w:rsidR="00CF2A79">
        <w:t>origin of such a creation</w:t>
      </w:r>
      <w:r w:rsidR="009C59F9">
        <w:t xml:space="preserve"> and the creators</w:t>
      </w:r>
      <w:r w:rsidR="00CF2A79">
        <w:t xml:space="preserve">. </w:t>
      </w:r>
      <w:r w:rsidR="00D06018">
        <w:t>D</w:t>
      </w:r>
      <w:r w:rsidR="00AF7613">
        <w:t>ifferent colours used within a ma</w:t>
      </w:r>
      <w:r w:rsidR="000B6B3D">
        <w:t>nuscript</w:t>
      </w:r>
      <w:r w:rsidR="00D06018">
        <w:t xml:space="preserve"> var</w:t>
      </w:r>
      <w:r w:rsidR="000B6B3D">
        <w:t>y</w:t>
      </w:r>
      <w:r w:rsidR="00D06018">
        <w:t xml:space="preserve"> on price depending on the materials they use.</w:t>
      </w:r>
      <w:r w:rsidR="00AF7613">
        <w:t xml:space="preserve"> The great amount of blue used throughout this scroll, to highlight the lines of genealogy</w:t>
      </w:r>
      <w:r w:rsidR="0063770B">
        <w:t xml:space="preserve"> as well as the clothes that the monarchs wear</w:t>
      </w:r>
      <w:r w:rsidR="0058790B">
        <w:t xml:space="preserve"> (see figure five</w:t>
      </w:r>
      <w:r w:rsidR="00EF0E46">
        <w:t>)</w:t>
      </w:r>
      <w:r w:rsidR="00AF7613">
        <w:t xml:space="preserve">, </w:t>
      </w:r>
      <w:r w:rsidR="005119D6">
        <w:t>is an expensive colour to produce, using ultramarine to create darker tones which are often connected to the regality of the monarchy,</w:t>
      </w:r>
      <w:r w:rsidR="00047F4D">
        <w:rPr>
          <w:rStyle w:val="FootnoteReference"/>
        </w:rPr>
        <w:footnoteReference w:id="11"/>
      </w:r>
      <w:r w:rsidR="005119D6">
        <w:t xml:space="preserve"> and in particula</w:t>
      </w:r>
      <w:r w:rsidR="00570F69">
        <w:t xml:space="preserve">r that of the Frankish monarchy, as their coat of arms included blue with gold crests. </w:t>
      </w:r>
      <w:r w:rsidR="000414B5">
        <w:t xml:space="preserve">This is unlike colours such as the combination of purple and gold, creating connotations with the Byzantine and Imperial empires. </w:t>
      </w:r>
      <w:r w:rsidR="00D74B3A">
        <w:t xml:space="preserve">This could be an attempt by the Normans to establish their origin, </w:t>
      </w:r>
      <w:r w:rsidR="00DF53A4">
        <w:t xml:space="preserve">where their success started and the place from which they </w:t>
      </w:r>
      <w:r w:rsidR="00B442DC">
        <w:t xml:space="preserve">expanded their </w:t>
      </w:r>
      <w:r w:rsidR="00BB6C8E">
        <w:t>‘</w:t>
      </w:r>
      <w:r w:rsidR="00B442DC">
        <w:t>empire</w:t>
      </w:r>
      <w:r w:rsidR="00BB6C8E">
        <w:t>’</w:t>
      </w:r>
      <w:r w:rsidR="00B442DC">
        <w:t>, to create their own identity</w:t>
      </w:r>
      <w:r w:rsidR="004B285B">
        <w:t xml:space="preserve"> amongst the recently conquered Anglo-Saxons</w:t>
      </w:r>
      <w:r w:rsidR="00B442DC">
        <w:t>.</w:t>
      </w:r>
      <w:r w:rsidR="00181EB5">
        <w:t xml:space="preserve"> </w:t>
      </w:r>
      <w:r w:rsidR="0087577F">
        <w:t xml:space="preserve">The wealth of colours, including gold leaf in the roundels marking out the individuals in the family trees, </w:t>
      </w:r>
      <w:r w:rsidR="00831BAD">
        <w:t xml:space="preserve">gives the audience an idea of who commissioned the work, </w:t>
      </w:r>
      <w:r w:rsidR="00A05C16">
        <w:t>in this case a person of the nobility</w:t>
      </w:r>
      <w:r w:rsidR="00C665A6">
        <w:t>, as they would need to be wealthy</w:t>
      </w:r>
      <w:r w:rsidR="0051420E">
        <w:t>.</w:t>
      </w:r>
      <w:r w:rsidR="00F01660">
        <w:t xml:space="preserve"> It can be concluded</w:t>
      </w:r>
      <w:r w:rsidR="0051420E">
        <w:t>, then,</w:t>
      </w:r>
      <w:r w:rsidR="00F01660">
        <w:t xml:space="preserve"> that the purpose of this manuscript, at least through the presentation of colour found throughout, is to identify the </w:t>
      </w:r>
      <w:r w:rsidR="00C665A6">
        <w:t xml:space="preserve">creator of such a work, as well as the </w:t>
      </w:r>
      <w:r w:rsidR="00F01660">
        <w:t>Normans predecessors</w:t>
      </w:r>
      <w:r w:rsidR="00C665A6">
        <w:t xml:space="preserve"> and beginning. It is also used to establish </w:t>
      </w:r>
      <w:r w:rsidR="00F01660">
        <w:t xml:space="preserve">their </w:t>
      </w:r>
      <w:r w:rsidR="00C665A6">
        <w:t xml:space="preserve">legitimate </w:t>
      </w:r>
      <w:r w:rsidR="00F01660">
        <w:t>ki</w:t>
      </w:r>
      <w:r w:rsidR="00183502">
        <w:t>n</w:t>
      </w:r>
      <w:r w:rsidR="007213AB">
        <w:t xml:space="preserve">gship over England. </w:t>
      </w:r>
    </w:p>
    <w:p w:rsidR="00F45FD3" w:rsidRDefault="00FE6C7E" w:rsidP="00157783">
      <w:r>
        <w:t>The last key thing to note in this scroll is the language that it is presented in. Though produced in England, the text is written in Old French. Thi</w:t>
      </w:r>
      <w:r w:rsidR="00741794">
        <w:t>s is significant as it identifies that the main audience of</w:t>
      </w:r>
      <w:r w:rsidR="00E427E8">
        <w:t xml:space="preserve"> this manuscript were the invading Normans</w:t>
      </w:r>
      <w:r w:rsidR="00493779">
        <w:t xml:space="preserve"> nobility</w:t>
      </w:r>
      <w:r w:rsidR="00E427E8">
        <w:t xml:space="preserve"> themselves. Rather than to legitimise themselves to the English, which this manuscript does by visual aid, the text in this scroll establishes the Norman suprem</w:t>
      </w:r>
      <w:r w:rsidR="00741794">
        <w:t>acy over England and initiates</w:t>
      </w:r>
      <w:r w:rsidR="00E427E8">
        <w:t xml:space="preserve"> the </w:t>
      </w:r>
      <w:r w:rsidR="005971C5">
        <w:t xml:space="preserve">remembrance and </w:t>
      </w:r>
      <w:r w:rsidR="00741794">
        <w:t>Norma</w:t>
      </w:r>
      <w:r w:rsidR="00163E84">
        <w:t>n</w:t>
      </w:r>
      <w:r w:rsidR="00741794">
        <w:t xml:space="preserve"> </w:t>
      </w:r>
      <w:r w:rsidR="005971C5">
        <w:t xml:space="preserve">documentation of the Norman conquest. </w:t>
      </w:r>
      <w:r w:rsidR="00FB1EBA">
        <w:t>It is inferred then, that the Normans did not feel the need to legitimise their kingship over the Anglo-Saxon subjects,</w:t>
      </w:r>
      <w:r w:rsidR="004004ED">
        <w:t xml:space="preserve"> as they had obtained their dominan</w:t>
      </w:r>
      <w:r w:rsidR="00C00761">
        <w:t>ce by conquering and k</w:t>
      </w:r>
      <w:r w:rsidR="004004ED">
        <w:t xml:space="preserve">illing the other legitimate successor. </w:t>
      </w:r>
      <w:r w:rsidR="007213AB">
        <w:t xml:space="preserve">The language of this </w:t>
      </w:r>
      <w:r w:rsidR="006F4C60">
        <w:t xml:space="preserve">scroll is significant as it helps to identify the </w:t>
      </w:r>
      <w:r w:rsidR="00C8145E">
        <w:t xml:space="preserve">audience of this manuscript, at least in textual understanding. </w:t>
      </w:r>
    </w:p>
    <w:p w:rsidR="00C00761" w:rsidRPr="004D7B14" w:rsidRDefault="00DC64C9" w:rsidP="00C00761">
      <w:r>
        <w:t xml:space="preserve">To conclude, </w:t>
      </w:r>
      <w:r w:rsidR="00502E6A">
        <w:t xml:space="preserve">this folio page taken from the Royal MS 14 BV </w:t>
      </w:r>
      <w:r w:rsidR="008F2557">
        <w:t>is signif</w:t>
      </w:r>
      <w:r w:rsidR="00E260A4">
        <w:t xml:space="preserve">icant in identifying the purpose of the genealogical scroll, </w:t>
      </w:r>
      <w:r w:rsidR="00D437EB">
        <w:t>the audience that it is aimed at and the context during which it was developed and made. Uses of imagery,</w:t>
      </w:r>
      <w:r w:rsidR="00A757B7">
        <w:t xml:space="preserve"> symbolism, colour</w:t>
      </w:r>
      <w:r w:rsidR="00D437EB">
        <w:t xml:space="preserve"> and language, </w:t>
      </w:r>
      <w:r w:rsidR="00A757B7">
        <w:t xml:space="preserve">can lead to the broadened understanding of </w:t>
      </w:r>
      <w:r w:rsidR="004D7B14">
        <w:t>the society the</w:t>
      </w:r>
      <w:r w:rsidR="00D91DE2">
        <w:t xml:space="preserve"> manuscript was born from</w:t>
      </w:r>
      <w:r w:rsidR="004D7B14">
        <w:t xml:space="preserve">. The </w:t>
      </w:r>
      <w:r w:rsidR="004D7B14">
        <w:rPr>
          <w:i/>
        </w:rPr>
        <w:t xml:space="preserve">Genealogical Chronicle of the English Kings </w:t>
      </w:r>
      <w:r w:rsidR="004D7B14">
        <w:t>was commissioned as a way to remember the conquest of England in 1066, establish genealogical links in relation to success</w:t>
      </w:r>
      <w:r w:rsidR="00F35C28">
        <w:t xml:space="preserve">ion to the </w:t>
      </w:r>
      <w:r w:rsidR="00D91DE2">
        <w:t xml:space="preserve">English </w:t>
      </w:r>
      <w:bookmarkStart w:id="0" w:name="_GoBack"/>
      <w:bookmarkEnd w:id="0"/>
      <w:r w:rsidR="00F35C28">
        <w:t xml:space="preserve">crown, and to highlight the origin of </w:t>
      </w:r>
      <w:r w:rsidR="00F35C28">
        <w:lastRenderedPageBreak/>
        <w:t xml:space="preserve">Norman success, supporting the Normans hereditary right to the English throne. Artistic styles and elements are used to establish the characteristics associated with Norman identity, </w:t>
      </w:r>
      <w:r w:rsidR="003C2049">
        <w:t xml:space="preserve">the different functions that the manuscript holds in relation to the literate and illiterate, and the popular customs associated with the medieval society. </w:t>
      </w:r>
    </w:p>
    <w:p w:rsidR="00C00761" w:rsidRDefault="00C00761" w:rsidP="00C00761"/>
    <w:p w:rsidR="00C00761" w:rsidRDefault="00C00761" w:rsidP="00C00761"/>
    <w:p w:rsidR="00060FA3" w:rsidRPr="00C00761" w:rsidRDefault="00060FA3" w:rsidP="00C00761">
      <w:pPr>
        <w:jc w:val="center"/>
      </w:pPr>
      <w:r>
        <w:rPr>
          <w:u w:val="single"/>
        </w:rPr>
        <w:t>IMAGES</w:t>
      </w:r>
    </w:p>
    <w:p w:rsidR="00060FA3" w:rsidRDefault="00A23726" w:rsidP="009B5D44">
      <w:r>
        <w:t>FIGURE</w:t>
      </w:r>
      <w:r w:rsidR="009B5D44">
        <w:t xml:space="preserve"> ONE:</w:t>
      </w:r>
      <w:r w:rsidR="00025205">
        <w:t xml:space="preserve"> </w:t>
      </w:r>
    </w:p>
    <w:p w:rsidR="00780FF6" w:rsidRDefault="009B5D44" w:rsidP="00060FA3">
      <w:r>
        <w:rPr>
          <w:noProof/>
          <w:lang w:eastAsia="en-GB"/>
        </w:rPr>
        <w:drawing>
          <wp:inline distT="0" distB="0" distL="0" distR="0" wp14:anchorId="07D68915">
            <wp:extent cx="5730875" cy="2529840"/>
            <wp:effectExtent l="0" t="0" r="3175" b="381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5298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025205">
        <w:t>f.4r</w:t>
      </w:r>
    </w:p>
    <w:p w:rsidR="00025205" w:rsidRDefault="00025205" w:rsidP="00060FA3">
      <w:r>
        <w:t xml:space="preserve"> </w:t>
      </w:r>
    </w:p>
    <w:p w:rsidR="00060FA3" w:rsidRDefault="00A23726" w:rsidP="00060FA3">
      <w:r>
        <w:t>FIGURE</w:t>
      </w:r>
      <w:r w:rsidR="009B5D44">
        <w:t xml:space="preserve"> TWO</w:t>
      </w:r>
      <w:r w:rsidR="00060FA3">
        <w:t xml:space="preserve">: </w:t>
      </w:r>
    </w:p>
    <w:p w:rsidR="00060FA3" w:rsidRDefault="00060FA3" w:rsidP="00060FA3">
      <w:pPr>
        <w:rPr>
          <w:i/>
        </w:rPr>
      </w:pPr>
      <w:r w:rsidRPr="00060FA3">
        <w:rPr>
          <w:i/>
          <w:noProof/>
          <w:lang w:eastAsia="en-GB"/>
        </w:rPr>
        <w:drawing>
          <wp:anchor distT="0" distB="0" distL="114300" distR="114300" simplePos="0" relativeHeight="251667456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635</wp:posOffset>
            </wp:positionV>
            <wp:extent cx="2481580" cy="2115185"/>
            <wp:effectExtent l="0" t="0" r="0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1580" cy="21151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Pr="00060FA3">
        <w:rPr>
          <w:i/>
          <w:noProof/>
          <w:lang w:eastAsia="en-GB"/>
        </w:rPr>
        <w:drawing>
          <wp:inline distT="0" distB="0" distL="0" distR="0" wp14:anchorId="25A7E33A">
            <wp:extent cx="2700655" cy="2115185"/>
            <wp:effectExtent l="0" t="0" r="444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0655" cy="21151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226E77" w:rsidRDefault="00780FF6" w:rsidP="00060FA3">
      <w:r>
        <w:t>f.4r</w:t>
      </w:r>
    </w:p>
    <w:p w:rsidR="008E69B0" w:rsidRDefault="008E69B0" w:rsidP="00060FA3"/>
    <w:p w:rsidR="008E69B0" w:rsidRDefault="003A5B9A" w:rsidP="00060FA3">
      <w:r>
        <w:rPr>
          <w:noProof/>
          <w:lang w:eastAsia="en-GB"/>
        </w:rPr>
        <w:lastRenderedPageBreak/>
        <w:drawing>
          <wp:anchor distT="0" distB="0" distL="114300" distR="114300" simplePos="0" relativeHeight="251669504" behindDoc="1" locked="0" layoutInCell="1" allowOverlap="1">
            <wp:simplePos x="0" y="0"/>
            <wp:positionH relativeFrom="column">
              <wp:posOffset>544</wp:posOffset>
            </wp:positionH>
            <wp:positionV relativeFrom="paragraph">
              <wp:posOffset>212090</wp:posOffset>
            </wp:positionV>
            <wp:extent cx="4267200" cy="1586135"/>
            <wp:effectExtent l="0" t="0" r="0" b="0"/>
            <wp:wrapTight wrapText="bothSides">
              <wp:wrapPolygon edited="0">
                <wp:start x="0" y="0"/>
                <wp:lineTo x="0" y="21280"/>
                <wp:lineTo x="21504" y="21280"/>
                <wp:lineTo x="21504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67200" cy="15861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E69B0">
        <w:t>FIGURE THREE:</w:t>
      </w:r>
    </w:p>
    <w:p w:rsidR="00780FF6" w:rsidRDefault="00780FF6" w:rsidP="00060FA3"/>
    <w:p w:rsidR="008E69B0" w:rsidRDefault="008E69B0" w:rsidP="00060FA3"/>
    <w:p w:rsidR="008E69B0" w:rsidRDefault="008E69B0" w:rsidP="00060FA3"/>
    <w:p w:rsidR="008E69B0" w:rsidRDefault="008E69B0" w:rsidP="00060FA3"/>
    <w:p w:rsidR="008E69B0" w:rsidRPr="00226E77" w:rsidRDefault="008E69B0" w:rsidP="00060FA3"/>
    <w:p w:rsidR="00A63B77" w:rsidRDefault="00A23726" w:rsidP="00060FA3">
      <w:r>
        <w:t>FIGURE FOUR</w:t>
      </w:r>
      <w:r w:rsidR="00060FA3">
        <w:t>:</w:t>
      </w:r>
    </w:p>
    <w:p w:rsidR="009A2D62" w:rsidRDefault="00A63B77" w:rsidP="00464A30">
      <w:pPr>
        <w:rPr>
          <w:i/>
        </w:rPr>
      </w:pPr>
      <w:r>
        <w:rPr>
          <w:i/>
          <w:noProof/>
          <w:lang w:eastAsia="en-GB"/>
        </w:rPr>
        <w:drawing>
          <wp:inline distT="0" distB="0" distL="0" distR="0" wp14:anchorId="7D0CF082">
            <wp:extent cx="5730875" cy="1335405"/>
            <wp:effectExtent l="0" t="0" r="317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13354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72027" w:rsidRDefault="009A2D62" w:rsidP="00464A30">
      <w:r>
        <w:t>f.4r</w:t>
      </w:r>
    </w:p>
    <w:p w:rsidR="00E72027" w:rsidRDefault="00E72027" w:rsidP="00464A30"/>
    <w:p w:rsidR="00464A30" w:rsidRDefault="00E72027" w:rsidP="00464A30">
      <w:pPr>
        <w:rPr>
          <w:i/>
        </w:rPr>
      </w:pPr>
      <w:r>
        <w:rPr>
          <w:noProof/>
          <w:lang w:eastAsia="en-GB"/>
        </w:rPr>
        <w:drawing>
          <wp:anchor distT="0" distB="0" distL="114300" distR="114300" simplePos="0" relativeHeight="251668480" behindDoc="1" locked="0" layoutInCell="1" allowOverlap="1">
            <wp:simplePos x="0" y="0"/>
            <wp:positionH relativeFrom="column">
              <wp:posOffset>-635</wp:posOffset>
            </wp:positionH>
            <wp:positionV relativeFrom="paragraph">
              <wp:posOffset>266065</wp:posOffset>
            </wp:positionV>
            <wp:extent cx="2390775" cy="2223770"/>
            <wp:effectExtent l="0" t="0" r="9525" b="5080"/>
            <wp:wrapTight wrapText="bothSides">
              <wp:wrapPolygon edited="0">
                <wp:start x="0" y="0"/>
                <wp:lineTo x="0" y="21464"/>
                <wp:lineTo x="21514" y="21464"/>
                <wp:lineTo x="21514" y="0"/>
                <wp:lineTo x="0" y="0"/>
              </wp:wrapPolygon>
            </wp:wrapTight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90775" cy="22237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t>FIGURE FIVE:</w:t>
      </w:r>
    </w:p>
    <w:p w:rsidR="007D66DA" w:rsidRDefault="007D66DA" w:rsidP="00464A30">
      <w:pPr>
        <w:rPr>
          <w:i/>
        </w:rPr>
      </w:pPr>
    </w:p>
    <w:p w:rsidR="007D66DA" w:rsidRDefault="007D66DA" w:rsidP="00464A30">
      <w:pPr>
        <w:rPr>
          <w:i/>
        </w:rPr>
      </w:pPr>
    </w:p>
    <w:p w:rsidR="007D66DA" w:rsidRDefault="007D66DA" w:rsidP="00464A30">
      <w:pPr>
        <w:rPr>
          <w:i/>
        </w:rPr>
      </w:pPr>
    </w:p>
    <w:p w:rsidR="007D66DA" w:rsidRDefault="007D66DA" w:rsidP="00464A30">
      <w:pPr>
        <w:rPr>
          <w:i/>
        </w:rPr>
      </w:pPr>
    </w:p>
    <w:p w:rsidR="007D66DA" w:rsidRDefault="007D66DA" w:rsidP="00464A30">
      <w:pPr>
        <w:rPr>
          <w:i/>
        </w:rPr>
      </w:pPr>
    </w:p>
    <w:p w:rsidR="007D66DA" w:rsidRDefault="007D66DA" w:rsidP="00464A30">
      <w:pPr>
        <w:rPr>
          <w:i/>
        </w:rPr>
      </w:pPr>
    </w:p>
    <w:p w:rsidR="007D66DA" w:rsidRDefault="007D66DA" w:rsidP="00464A30">
      <w:pPr>
        <w:rPr>
          <w:i/>
        </w:rPr>
      </w:pPr>
    </w:p>
    <w:p w:rsidR="007D66DA" w:rsidRDefault="007D66DA" w:rsidP="00464A30">
      <w:pPr>
        <w:rPr>
          <w:i/>
        </w:rPr>
      </w:pPr>
    </w:p>
    <w:p w:rsidR="007D66DA" w:rsidRPr="00C00761" w:rsidRDefault="00C825FA" w:rsidP="00464A30">
      <w:r>
        <w:t>f.5r</w:t>
      </w:r>
    </w:p>
    <w:p w:rsidR="00776D2A" w:rsidRDefault="00776D2A" w:rsidP="00776D2A">
      <w:pPr>
        <w:tabs>
          <w:tab w:val="left" w:pos="3825"/>
        </w:tabs>
        <w:rPr>
          <w:i/>
        </w:rPr>
      </w:pPr>
    </w:p>
    <w:p w:rsidR="000D504C" w:rsidRDefault="000D504C" w:rsidP="00776D2A">
      <w:pPr>
        <w:tabs>
          <w:tab w:val="left" w:pos="3825"/>
        </w:tabs>
        <w:jc w:val="center"/>
        <w:rPr>
          <w:u w:val="single"/>
        </w:rPr>
      </w:pPr>
    </w:p>
    <w:p w:rsidR="000D504C" w:rsidRDefault="000D504C" w:rsidP="00776D2A">
      <w:pPr>
        <w:tabs>
          <w:tab w:val="left" w:pos="3825"/>
        </w:tabs>
        <w:jc w:val="center"/>
        <w:rPr>
          <w:u w:val="single"/>
        </w:rPr>
      </w:pPr>
    </w:p>
    <w:p w:rsidR="000D504C" w:rsidRDefault="000D504C" w:rsidP="00776D2A">
      <w:pPr>
        <w:tabs>
          <w:tab w:val="left" w:pos="3825"/>
        </w:tabs>
        <w:jc w:val="center"/>
        <w:rPr>
          <w:u w:val="single"/>
        </w:rPr>
      </w:pPr>
    </w:p>
    <w:p w:rsidR="000D504C" w:rsidRDefault="000D504C" w:rsidP="00776D2A">
      <w:pPr>
        <w:tabs>
          <w:tab w:val="left" w:pos="3825"/>
        </w:tabs>
        <w:jc w:val="center"/>
        <w:rPr>
          <w:u w:val="single"/>
        </w:rPr>
      </w:pPr>
    </w:p>
    <w:p w:rsidR="000D504C" w:rsidRDefault="000D504C" w:rsidP="00776D2A">
      <w:pPr>
        <w:tabs>
          <w:tab w:val="left" w:pos="3825"/>
        </w:tabs>
        <w:jc w:val="center"/>
        <w:rPr>
          <w:u w:val="single"/>
        </w:rPr>
      </w:pPr>
    </w:p>
    <w:p w:rsidR="000D504C" w:rsidRDefault="000D504C" w:rsidP="00776D2A">
      <w:pPr>
        <w:tabs>
          <w:tab w:val="left" w:pos="3825"/>
        </w:tabs>
        <w:jc w:val="center"/>
        <w:rPr>
          <w:u w:val="single"/>
        </w:rPr>
      </w:pPr>
    </w:p>
    <w:p w:rsidR="002269EB" w:rsidRDefault="005305C6" w:rsidP="00776D2A">
      <w:pPr>
        <w:tabs>
          <w:tab w:val="left" w:pos="3825"/>
        </w:tabs>
        <w:jc w:val="center"/>
        <w:rPr>
          <w:u w:val="single"/>
        </w:rPr>
      </w:pPr>
      <w:r>
        <w:rPr>
          <w:u w:val="single"/>
        </w:rPr>
        <w:lastRenderedPageBreak/>
        <w:t>BIBLIOGRAPHY</w:t>
      </w:r>
    </w:p>
    <w:p w:rsidR="005305C6" w:rsidRDefault="005305C6" w:rsidP="005305C6">
      <w:pPr>
        <w:tabs>
          <w:tab w:val="left" w:pos="3825"/>
        </w:tabs>
      </w:pPr>
      <w:r>
        <w:t>PRIMARY SOURCE MATERIALS:</w:t>
      </w:r>
    </w:p>
    <w:p w:rsidR="0049385B" w:rsidRPr="0049385B" w:rsidRDefault="0049385B" w:rsidP="0049385B">
      <w:pPr>
        <w:tabs>
          <w:tab w:val="left" w:pos="3825"/>
        </w:tabs>
      </w:pPr>
      <w:r w:rsidRPr="0049385B">
        <w:t xml:space="preserve">Geoffrey Malaterra, </w:t>
      </w:r>
      <w:r w:rsidRPr="0049385B">
        <w:rPr>
          <w:i/>
        </w:rPr>
        <w:t>The Deeds of Count Roger of Calabria and Robert Guiscard</w:t>
      </w:r>
      <w:r w:rsidRPr="0049385B">
        <w:t>, trans. G.A. Loud, provided in module reader.</w:t>
      </w:r>
    </w:p>
    <w:p w:rsidR="00776D2A" w:rsidRDefault="00776D2A" w:rsidP="00776D2A">
      <w:pPr>
        <w:tabs>
          <w:tab w:val="left" w:pos="3825"/>
        </w:tabs>
      </w:pPr>
      <w:r w:rsidRPr="00776D2A">
        <w:t>London, British Library Archives, Harvey 324, f.4v, available at http://www.bl.uk/catalogues/illuminatedmanuscripts/ILLUMIN.ASP?Size=mid&amp;IllID=15181, accessed on [07/11/2018].</w:t>
      </w:r>
    </w:p>
    <w:p w:rsidR="005305C6" w:rsidRDefault="005305C6" w:rsidP="005305C6">
      <w:pPr>
        <w:tabs>
          <w:tab w:val="left" w:pos="3825"/>
        </w:tabs>
      </w:pPr>
    </w:p>
    <w:p w:rsidR="005305C6" w:rsidRDefault="005305C6" w:rsidP="005305C6">
      <w:pPr>
        <w:tabs>
          <w:tab w:val="left" w:pos="3825"/>
        </w:tabs>
      </w:pPr>
      <w:r>
        <w:t>SECONDARY SOURCE MATERIALS:</w:t>
      </w:r>
    </w:p>
    <w:p w:rsidR="000D504C" w:rsidRDefault="000D504C" w:rsidP="005305C6">
      <w:pPr>
        <w:tabs>
          <w:tab w:val="left" w:pos="3825"/>
        </w:tabs>
      </w:pPr>
      <w:r w:rsidRPr="00A34F6B">
        <w:rPr>
          <w:i/>
        </w:rPr>
        <w:t xml:space="preserve">A Companion to the Anglo-Norman World, </w:t>
      </w:r>
      <w:r w:rsidRPr="00A34F6B">
        <w:t>ed. C. Harper Bill and E.V. Houts (Woodbridge: Boydell Press, 2002</w:t>
      </w:r>
      <w:r>
        <w:t xml:space="preserve">). </w:t>
      </w:r>
    </w:p>
    <w:p w:rsidR="000D504C" w:rsidRDefault="000D504C" w:rsidP="005305C6">
      <w:pPr>
        <w:tabs>
          <w:tab w:val="left" w:pos="3825"/>
        </w:tabs>
      </w:pPr>
      <w:r w:rsidRPr="001749A2">
        <w:t>Chibnall,</w:t>
      </w:r>
      <w:r>
        <w:t xml:space="preserve"> M.,</w:t>
      </w:r>
      <w:r w:rsidRPr="001749A2">
        <w:t xml:space="preserve"> </w:t>
      </w:r>
      <w:r w:rsidRPr="001749A2">
        <w:rPr>
          <w:i/>
        </w:rPr>
        <w:t>The Normans</w:t>
      </w:r>
      <w:r w:rsidRPr="001749A2">
        <w:t xml:space="preserve"> (Oxford: Blackwell Publishing, 2006</w:t>
      </w:r>
      <w:r>
        <w:t>).</w:t>
      </w:r>
    </w:p>
    <w:p w:rsidR="000D504C" w:rsidRPr="005305C6" w:rsidRDefault="000D504C" w:rsidP="005305C6">
      <w:pPr>
        <w:tabs>
          <w:tab w:val="left" w:pos="3825"/>
        </w:tabs>
      </w:pPr>
      <w:r w:rsidRPr="00332613">
        <w:t>Crouch,</w:t>
      </w:r>
      <w:r>
        <w:t xml:space="preserve"> D.,</w:t>
      </w:r>
      <w:r w:rsidRPr="00332613">
        <w:t xml:space="preserve"> </w:t>
      </w:r>
      <w:r w:rsidRPr="00332613">
        <w:rPr>
          <w:i/>
        </w:rPr>
        <w:t>The Normans: The History of a Dynasty</w:t>
      </w:r>
      <w:r w:rsidRPr="00332613">
        <w:t xml:space="preserve"> (London: Hambledon Continuum, 2002</w:t>
      </w:r>
      <w:r>
        <w:t>).</w:t>
      </w:r>
    </w:p>
    <w:p w:rsidR="000D504C" w:rsidRDefault="000D504C" w:rsidP="005305C6">
      <w:pPr>
        <w:tabs>
          <w:tab w:val="left" w:pos="3825"/>
        </w:tabs>
      </w:pPr>
      <w:r w:rsidRPr="00F572FC">
        <w:t>Digitised Manuscripts, Royal MS 14 B V, British Library, available at http://www.bl.uk/manuscripts/FullDisplay.aspx?ref=Royal_MS_14_b_v, accessed on [06/11/2018].</w:t>
      </w:r>
    </w:p>
    <w:p w:rsidR="00D91DE2" w:rsidRDefault="00D91DE2" w:rsidP="005305C6">
      <w:pPr>
        <w:tabs>
          <w:tab w:val="left" w:pos="3825"/>
        </w:tabs>
      </w:pPr>
      <w:r w:rsidRPr="00D91DE2">
        <w:t xml:space="preserve">The Fitzwilliam Museum, The Illuminators Palette, The Fitzwilliam Museum: Cambridge, available at https://www.fitzmuseum.cam.ac.uk/colour/explore/2, accessed on [07/11/2018]. </w:t>
      </w:r>
    </w:p>
    <w:p w:rsidR="000D504C" w:rsidRPr="00F572FC" w:rsidRDefault="000D504C" w:rsidP="000D504C">
      <w:pPr>
        <w:tabs>
          <w:tab w:val="left" w:pos="3825"/>
        </w:tabs>
      </w:pPr>
      <w:r>
        <w:t>Savage,</w:t>
      </w:r>
      <w:r>
        <w:t xml:space="preserve"> H., L.,</w:t>
      </w:r>
      <w:r>
        <w:t xml:space="preserve"> ‘Hunting in the Middle Ages’, </w:t>
      </w:r>
      <w:r w:rsidRPr="000D504C">
        <w:rPr>
          <w:i/>
        </w:rPr>
        <w:t>Speculum</w:t>
      </w:r>
      <w:r>
        <w:t>,</w:t>
      </w:r>
      <w:r>
        <w:t xml:space="preserve"> vol.8, no.1 (Jan., 1933).</w:t>
      </w:r>
    </w:p>
    <w:p w:rsidR="000D504C" w:rsidRDefault="000D504C" w:rsidP="000D504C">
      <w:pPr>
        <w:tabs>
          <w:tab w:val="left" w:pos="3825"/>
        </w:tabs>
      </w:pPr>
      <w:r w:rsidRPr="00F572FC">
        <w:t>Wheeler,</w:t>
      </w:r>
      <w:r>
        <w:t xml:space="preserve"> E.,</w:t>
      </w:r>
      <w:r w:rsidRPr="00F572FC">
        <w:t xml:space="preserve"> ‘The Battle of Hastings: Math, Myth and Melee’, </w:t>
      </w:r>
      <w:r w:rsidRPr="00F572FC">
        <w:rPr>
          <w:i/>
        </w:rPr>
        <w:t>Military Affairs</w:t>
      </w:r>
      <w:r w:rsidRPr="00F572FC">
        <w:t>, vo</w:t>
      </w:r>
      <w:r>
        <w:t xml:space="preserve">l.52, no.3 (Jul., 1988), pp.128-134. </w:t>
      </w:r>
    </w:p>
    <w:sectPr w:rsidR="000D50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77563" w:rsidRDefault="00C77563" w:rsidP="00941891">
      <w:pPr>
        <w:spacing w:after="0" w:line="240" w:lineRule="auto"/>
      </w:pPr>
      <w:r>
        <w:separator/>
      </w:r>
    </w:p>
  </w:endnote>
  <w:endnote w:type="continuationSeparator" w:id="0">
    <w:p w:rsidR="00C77563" w:rsidRDefault="00C77563" w:rsidP="009418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77563" w:rsidRDefault="00C77563" w:rsidP="00941891">
      <w:pPr>
        <w:spacing w:after="0" w:line="240" w:lineRule="auto"/>
      </w:pPr>
      <w:r>
        <w:separator/>
      </w:r>
    </w:p>
  </w:footnote>
  <w:footnote w:type="continuationSeparator" w:id="0">
    <w:p w:rsidR="00C77563" w:rsidRDefault="00C77563" w:rsidP="00941891">
      <w:pPr>
        <w:spacing w:after="0" w:line="240" w:lineRule="auto"/>
      </w:pPr>
      <w:r>
        <w:continuationSeparator/>
      </w:r>
    </w:p>
  </w:footnote>
  <w:footnote w:id="1">
    <w:p w:rsidR="00941891" w:rsidRDefault="00941891">
      <w:pPr>
        <w:pStyle w:val="FootnoteText"/>
      </w:pPr>
      <w:r w:rsidRPr="00941891">
        <w:rPr>
          <w:rStyle w:val="FootnoteReference"/>
          <w:sz w:val="18"/>
        </w:rPr>
        <w:footnoteRef/>
      </w:r>
      <w:r w:rsidRPr="00941891">
        <w:rPr>
          <w:sz w:val="18"/>
        </w:rPr>
        <w:t xml:space="preserve"> </w:t>
      </w:r>
      <w:r w:rsidR="00D85361">
        <w:rPr>
          <w:sz w:val="18"/>
        </w:rPr>
        <w:t xml:space="preserve">Digitised Manuscripts, </w:t>
      </w:r>
      <w:r w:rsidR="00D85361" w:rsidRPr="00D85361">
        <w:rPr>
          <w:sz w:val="18"/>
        </w:rPr>
        <w:t>Royal MS 14 B V</w:t>
      </w:r>
      <w:r w:rsidR="00D85361">
        <w:rPr>
          <w:sz w:val="18"/>
        </w:rPr>
        <w:t xml:space="preserve">, British Library, available at </w:t>
      </w:r>
      <w:r w:rsidR="00D85361" w:rsidRPr="00D85361">
        <w:rPr>
          <w:sz w:val="18"/>
        </w:rPr>
        <w:t>http://www.bl.uk/manuscripts/FullDisplay.aspx?ref=Royal_MS_14_b_v</w:t>
      </w:r>
      <w:r w:rsidR="00D85361">
        <w:rPr>
          <w:sz w:val="18"/>
        </w:rPr>
        <w:t>, accessed on [06/11/2018].</w:t>
      </w:r>
    </w:p>
  </w:footnote>
  <w:footnote w:id="2">
    <w:p w:rsidR="001D7714" w:rsidRPr="00BA0D10" w:rsidRDefault="001D7714">
      <w:pPr>
        <w:pStyle w:val="FootnoteText"/>
      </w:pPr>
      <w:r w:rsidRPr="001D7714">
        <w:rPr>
          <w:rStyle w:val="FootnoteReference"/>
          <w:sz w:val="18"/>
        </w:rPr>
        <w:footnoteRef/>
      </w:r>
      <w:r w:rsidRPr="001D7714">
        <w:rPr>
          <w:sz w:val="18"/>
        </w:rPr>
        <w:t xml:space="preserve"> </w:t>
      </w:r>
      <w:r w:rsidR="00BA0D10">
        <w:rPr>
          <w:sz w:val="18"/>
        </w:rPr>
        <w:t xml:space="preserve">Edd Wheeler, ‘The Battle of Hastings: Math, Myth and Melee’, </w:t>
      </w:r>
      <w:r w:rsidR="00BA0D10">
        <w:rPr>
          <w:i/>
          <w:sz w:val="18"/>
        </w:rPr>
        <w:t>Military Affairs</w:t>
      </w:r>
      <w:r w:rsidR="00BA0D10">
        <w:rPr>
          <w:sz w:val="18"/>
        </w:rPr>
        <w:t>, vo</w:t>
      </w:r>
      <w:r w:rsidR="00267EF3">
        <w:rPr>
          <w:sz w:val="18"/>
        </w:rPr>
        <w:t>l.52, no.3 (Jul., 1988), p.128.</w:t>
      </w:r>
    </w:p>
  </w:footnote>
  <w:footnote w:id="3">
    <w:p w:rsidR="00E63E1F" w:rsidRPr="00E63E1F" w:rsidRDefault="00E63E1F">
      <w:pPr>
        <w:pStyle w:val="FootnoteText"/>
      </w:pPr>
      <w:r w:rsidRPr="00E63E1F">
        <w:rPr>
          <w:rStyle w:val="FootnoteReference"/>
          <w:sz w:val="18"/>
        </w:rPr>
        <w:footnoteRef/>
      </w:r>
      <w:r w:rsidRPr="00E63E1F">
        <w:rPr>
          <w:sz w:val="18"/>
        </w:rPr>
        <w:t xml:space="preserve"> </w:t>
      </w:r>
      <w:r>
        <w:rPr>
          <w:sz w:val="18"/>
        </w:rPr>
        <w:t xml:space="preserve">M. Chibnall, </w:t>
      </w:r>
      <w:r>
        <w:rPr>
          <w:i/>
          <w:sz w:val="18"/>
        </w:rPr>
        <w:t>The Normans</w:t>
      </w:r>
      <w:r>
        <w:rPr>
          <w:sz w:val="18"/>
        </w:rPr>
        <w:t xml:space="preserve"> (Oxford: Blackwell Publishing, 2006), p.21. </w:t>
      </w:r>
    </w:p>
  </w:footnote>
  <w:footnote w:id="4">
    <w:p w:rsidR="00A6213F" w:rsidRPr="00A6213F" w:rsidRDefault="00A6213F">
      <w:pPr>
        <w:pStyle w:val="FootnoteText"/>
      </w:pPr>
      <w:r w:rsidRPr="00A6213F">
        <w:rPr>
          <w:rStyle w:val="FootnoteReference"/>
          <w:sz w:val="18"/>
        </w:rPr>
        <w:footnoteRef/>
      </w:r>
      <w:r w:rsidRPr="00A6213F">
        <w:rPr>
          <w:sz w:val="18"/>
        </w:rPr>
        <w:t xml:space="preserve"> </w:t>
      </w:r>
      <w:r>
        <w:rPr>
          <w:sz w:val="18"/>
        </w:rPr>
        <w:t xml:space="preserve">D. Crouch, </w:t>
      </w:r>
      <w:r>
        <w:rPr>
          <w:i/>
          <w:sz w:val="18"/>
        </w:rPr>
        <w:t>The Normans: The History of a Dynasty</w:t>
      </w:r>
      <w:r>
        <w:rPr>
          <w:sz w:val="18"/>
        </w:rPr>
        <w:t xml:space="preserve"> (London: Hambledon Continuum, 2002), p.206.</w:t>
      </w:r>
    </w:p>
  </w:footnote>
  <w:footnote w:id="5">
    <w:p w:rsidR="000C33E8" w:rsidRDefault="000C33E8">
      <w:pPr>
        <w:pStyle w:val="FootnoteText"/>
      </w:pPr>
      <w:r w:rsidRPr="000C33E8">
        <w:rPr>
          <w:rStyle w:val="FootnoteReference"/>
          <w:sz w:val="18"/>
        </w:rPr>
        <w:footnoteRef/>
      </w:r>
      <w:r w:rsidRPr="000C33E8">
        <w:rPr>
          <w:sz w:val="18"/>
        </w:rPr>
        <w:t xml:space="preserve"> </w:t>
      </w:r>
      <w:r>
        <w:rPr>
          <w:sz w:val="18"/>
        </w:rPr>
        <w:t xml:space="preserve">London, British Library Archives, Harvey 324, f.4v, available at </w:t>
      </w:r>
      <w:r w:rsidRPr="000C33E8">
        <w:rPr>
          <w:sz w:val="18"/>
        </w:rPr>
        <w:t>http://www.bl.uk/catalogues/illuminatedmanuscripts/ILLUMIN.ASP?Size=mid&amp;IllID=15181</w:t>
      </w:r>
      <w:r>
        <w:rPr>
          <w:sz w:val="18"/>
        </w:rPr>
        <w:t>, accessed on [07/11/2018].</w:t>
      </w:r>
    </w:p>
  </w:footnote>
  <w:footnote w:id="6">
    <w:p w:rsidR="00680B48" w:rsidRPr="00254AAB" w:rsidRDefault="00680B48" w:rsidP="00680B48">
      <w:pPr>
        <w:pStyle w:val="FootnoteText"/>
      </w:pPr>
      <w:r w:rsidRPr="00D72622">
        <w:rPr>
          <w:rStyle w:val="FootnoteReference"/>
          <w:sz w:val="18"/>
        </w:rPr>
        <w:footnoteRef/>
      </w:r>
      <w:r w:rsidRPr="00D72622">
        <w:rPr>
          <w:sz w:val="18"/>
        </w:rPr>
        <w:t xml:space="preserve"> </w:t>
      </w:r>
      <w:r>
        <w:rPr>
          <w:sz w:val="18"/>
        </w:rPr>
        <w:t xml:space="preserve">See Geoffrey Malaterra, </w:t>
      </w:r>
      <w:r>
        <w:rPr>
          <w:i/>
          <w:sz w:val="18"/>
        </w:rPr>
        <w:t>The Deeds of Count Roger of Calabria and Robert Guiscard</w:t>
      </w:r>
      <w:r>
        <w:rPr>
          <w:sz w:val="18"/>
        </w:rPr>
        <w:t>, trans. G.A. Loud, provided in module reader. For a depiction of Tancred de Hauteville hunting a boar.</w:t>
      </w:r>
    </w:p>
  </w:footnote>
  <w:footnote w:id="7">
    <w:p w:rsidR="00CA43D6" w:rsidRDefault="00CA43D6">
      <w:pPr>
        <w:pStyle w:val="FootnoteText"/>
      </w:pPr>
      <w:r w:rsidRPr="00CA43D6">
        <w:rPr>
          <w:rStyle w:val="FootnoteReference"/>
          <w:sz w:val="18"/>
        </w:rPr>
        <w:footnoteRef/>
      </w:r>
      <w:r w:rsidRPr="00CA43D6">
        <w:rPr>
          <w:sz w:val="18"/>
        </w:rPr>
        <w:t xml:space="preserve"> Henry L. Savage, ‘Hunting in the Middle Ages’, </w:t>
      </w:r>
      <w:r w:rsidRPr="00CA43D6">
        <w:rPr>
          <w:i/>
          <w:sz w:val="18"/>
        </w:rPr>
        <w:t>Speculum</w:t>
      </w:r>
      <w:r w:rsidRPr="00CA43D6">
        <w:rPr>
          <w:sz w:val="18"/>
        </w:rPr>
        <w:t>, vol.8, no.1 (Jan., 1933)</w:t>
      </w:r>
      <w:r>
        <w:rPr>
          <w:sz w:val="18"/>
        </w:rPr>
        <w:t xml:space="preserve">, p.31. </w:t>
      </w:r>
    </w:p>
  </w:footnote>
  <w:footnote w:id="8">
    <w:p w:rsidR="00C34D51" w:rsidRDefault="00C34D51">
      <w:pPr>
        <w:pStyle w:val="FootnoteText"/>
      </w:pPr>
      <w:r w:rsidRPr="00C34D51">
        <w:rPr>
          <w:rStyle w:val="FootnoteReference"/>
          <w:sz w:val="18"/>
        </w:rPr>
        <w:footnoteRef/>
      </w:r>
      <w:r w:rsidRPr="00C34D51">
        <w:rPr>
          <w:sz w:val="18"/>
        </w:rPr>
        <w:t xml:space="preserve"> </w:t>
      </w:r>
      <w:r w:rsidR="00293A13">
        <w:rPr>
          <w:sz w:val="18"/>
        </w:rPr>
        <w:t>Savage, Hunting in the Middle Ages</w:t>
      </w:r>
      <w:r>
        <w:rPr>
          <w:sz w:val="18"/>
        </w:rPr>
        <w:t>, p.32.</w:t>
      </w:r>
    </w:p>
  </w:footnote>
  <w:footnote w:id="9">
    <w:p w:rsidR="000A11A1" w:rsidRDefault="000A11A1">
      <w:pPr>
        <w:pStyle w:val="FootnoteText"/>
      </w:pPr>
      <w:r w:rsidRPr="000A11A1">
        <w:rPr>
          <w:rStyle w:val="FootnoteReference"/>
          <w:sz w:val="18"/>
        </w:rPr>
        <w:footnoteRef/>
      </w:r>
      <w:r w:rsidRPr="000A11A1">
        <w:rPr>
          <w:sz w:val="18"/>
        </w:rPr>
        <w:t xml:space="preserve"> </w:t>
      </w:r>
      <w:r>
        <w:rPr>
          <w:sz w:val="18"/>
        </w:rPr>
        <w:t>Ibid., pp.32-33.</w:t>
      </w:r>
    </w:p>
  </w:footnote>
  <w:footnote w:id="10">
    <w:p w:rsidR="0092702B" w:rsidRDefault="0092702B">
      <w:pPr>
        <w:pStyle w:val="FootnoteText"/>
      </w:pPr>
      <w:r w:rsidRPr="0092702B">
        <w:rPr>
          <w:rStyle w:val="FootnoteReference"/>
          <w:sz w:val="18"/>
        </w:rPr>
        <w:footnoteRef/>
      </w:r>
      <w:r w:rsidRPr="0092702B">
        <w:rPr>
          <w:sz w:val="18"/>
        </w:rPr>
        <w:t xml:space="preserve"> </w:t>
      </w:r>
      <w:r>
        <w:rPr>
          <w:sz w:val="18"/>
        </w:rPr>
        <w:t>Ibid., p.35.</w:t>
      </w:r>
    </w:p>
  </w:footnote>
  <w:footnote w:id="11">
    <w:p w:rsidR="00047F4D" w:rsidRDefault="00047F4D">
      <w:pPr>
        <w:pStyle w:val="FootnoteText"/>
      </w:pPr>
      <w:r w:rsidRPr="00047F4D">
        <w:rPr>
          <w:rStyle w:val="FootnoteReference"/>
          <w:sz w:val="18"/>
        </w:rPr>
        <w:footnoteRef/>
      </w:r>
      <w:r w:rsidRPr="00047F4D">
        <w:rPr>
          <w:sz w:val="18"/>
        </w:rPr>
        <w:t xml:space="preserve"> </w:t>
      </w:r>
      <w:r>
        <w:rPr>
          <w:sz w:val="18"/>
        </w:rPr>
        <w:t xml:space="preserve">The Fitzwilliam Museum, The Illuminators Palette, The Fitzwilliam Museum: Cambridge, available at </w:t>
      </w:r>
      <w:r w:rsidRPr="00047F4D">
        <w:rPr>
          <w:sz w:val="18"/>
        </w:rPr>
        <w:t>https://www.fitzmuseum.cam.ac.uk/colour/explore/2</w:t>
      </w:r>
      <w:r>
        <w:rPr>
          <w:sz w:val="18"/>
        </w:rPr>
        <w:t xml:space="preserve">, accessed on [07/11/2018]. 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87328"/>
    <w:rsid w:val="00000547"/>
    <w:rsid w:val="000037E4"/>
    <w:rsid w:val="00006F97"/>
    <w:rsid w:val="000125AB"/>
    <w:rsid w:val="00013C29"/>
    <w:rsid w:val="00025205"/>
    <w:rsid w:val="0003302D"/>
    <w:rsid w:val="000414B5"/>
    <w:rsid w:val="000430F6"/>
    <w:rsid w:val="00047F4D"/>
    <w:rsid w:val="00053D74"/>
    <w:rsid w:val="00060FA3"/>
    <w:rsid w:val="00061ACC"/>
    <w:rsid w:val="00087681"/>
    <w:rsid w:val="000A11A1"/>
    <w:rsid w:val="000B1A13"/>
    <w:rsid w:val="000B6B3D"/>
    <w:rsid w:val="000C2509"/>
    <w:rsid w:val="000C33E8"/>
    <w:rsid w:val="000C4426"/>
    <w:rsid w:val="000C603C"/>
    <w:rsid w:val="000D1363"/>
    <w:rsid w:val="000D504C"/>
    <w:rsid w:val="000D575D"/>
    <w:rsid w:val="000E381D"/>
    <w:rsid w:val="000F306E"/>
    <w:rsid w:val="00100948"/>
    <w:rsid w:val="001076E0"/>
    <w:rsid w:val="00123A25"/>
    <w:rsid w:val="001328C7"/>
    <w:rsid w:val="0014005F"/>
    <w:rsid w:val="00144443"/>
    <w:rsid w:val="0014746A"/>
    <w:rsid w:val="001529FB"/>
    <w:rsid w:val="001542F2"/>
    <w:rsid w:val="0015651F"/>
    <w:rsid w:val="00157783"/>
    <w:rsid w:val="00163E84"/>
    <w:rsid w:val="001749A2"/>
    <w:rsid w:val="001760B4"/>
    <w:rsid w:val="00180D75"/>
    <w:rsid w:val="00181EB5"/>
    <w:rsid w:val="00183502"/>
    <w:rsid w:val="001A059A"/>
    <w:rsid w:val="001A501B"/>
    <w:rsid w:val="001B07F5"/>
    <w:rsid w:val="001B677A"/>
    <w:rsid w:val="001C1182"/>
    <w:rsid w:val="001C77D8"/>
    <w:rsid w:val="001C7ED3"/>
    <w:rsid w:val="001D7714"/>
    <w:rsid w:val="001E5EF9"/>
    <w:rsid w:val="001F7C08"/>
    <w:rsid w:val="00215EC9"/>
    <w:rsid w:val="002269EB"/>
    <w:rsid w:val="00226E77"/>
    <w:rsid w:val="002466BC"/>
    <w:rsid w:val="00254AAB"/>
    <w:rsid w:val="00265F49"/>
    <w:rsid w:val="002678A7"/>
    <w:rsid w:val="00267EF3"/>
    <w:rsid w:val="00287816"/>
    <w:rsid w:val="00293A13"/>
    <w:rsid w:val="00297BF8"/>
    <w:rsid w:val="00332613"/>
    <w:rsid w:val="00340FC8"/>
    <w:rsid w:val="00344B9C"/>
    <w:rsid w:val="0035135E"/>
    <w:rsid w:val="00355F50"/>
    <w:rsid w:val="00360927"/>
    <w:rsid w:val="00365DD7"/>
    <w:rsid w:val="00371D49"/>
    <w:rsid w:val="003947B8"/>
    <w:rsid w:val="00396565"/>
    <w:rsid w:val="003A5B9A"/>
    <w:rsid w:val="003A5DFB"/>
    <w:rsid w:val="003A6C34"/>
    <w:rsid w:val="003B1509"/>
    <w:rsid w:val="003B204F"/>
    <w:rsid w:val="003C2049"/>
    <w:rsid w:val="003C2388"/>
    <w:rsid w:val="003C26CC"/>
    <w:rsid w:val="003D3F67"/>
    <w:rsid w:val="003E4255"/>
    <w:rsid w:val="003E7403"/>
    <w:rsid w:val="004004ED"/>
    <w:rsid w:val="00412155"/>
    <w:rsid w:val="004351AA"/>
    <w:rsid w:val="00444AF5"/>
    <w:rsid w:val="00445CE0"/>
    <w:rsid w:val="00451FC2"/>
    <w:rsid w:val="00464A30"/>
    <w:rsid w:val="00471E4F"/>
    <w:rsid w:val="004840DC"/>
    <w:rsid w:val="00493779"/>
    <w:rsid w:val="0049385B"/>
    <w:rsid w:val="004B285B"/>
    <w:rsid w:val="004D58D2"/>
    <w:rsid w:val="004D7A51"/>
    <w:rsid w:val="004D7B14"/>
    <w:rsid w:val="00502E6A"/>
    <w:rsid w:val="005119D6"/>
    <w:rsid w:val="00513793"/>
    <w:rsid w:val="0051420E"/>
    <w:rsid w:val="005155FA"/>
    <w:rsid w:val="00525E8C"/>
    <w:rsid w:val="005304AF"/>
    <w:rsid w:val="005305C6"/>
    <w:rsid w:val="00536EA8"/>
    <w:rsid w:val="0055057B"/>
    <w:rsid w:val="00550B54"/>
    <w:rsid w:val="00570F69"/>
    <w:rsid w:val="0058790B"/>
    <w:rsid w:val="005971C5"/>
    <w:rsid w:val="0059752D"/>
    <w:rsid w:val="005B5366"/>
    <w:rsid w:val="005D50A7"/>
    <w:rsid w:val="005D63FE"/>
    <w:rsid w:val="005D6D2E"/>
    <w:rsid w:val="005E7124"/>
    <w:rsid w:val="00606510"/>
    <w:rsid w:val="00616893"/>
    <w:rsid w:val="00617B84"/>
    <w:rsid w:val="00624C9D"/>
    <w:rsid w:val="00626EA8"/>
    <w:rsid w:val="00633088"/>
    <w:rsid w:val="00634CCB"/>
    <w:rsid w:val="0063770B"/>
    <w:rsid w:val="0064237F"/>
    <w:rsid w:val="0065001D"/>
    <w:rsid w:val="00672FF7"/>
    <w:rsid w:val="00680B48"/>
    <w:rsid w:val="00682281"/>
    <w:rsid w:val="006864CA"/>
    <w:rsid w:val="00687873"/>
    <w:rsid w:val="00696457"/>
    <w:rsid w:val="006A27B6"/>
    <w:rsid w:val="006B75F5"/>
    <w:rsid w:val="006E35C1"/>
    <w:rsid w:val="006E509E"/>
    <w:rsid w:val="006E5155"/>
    <w:rsid w:val="006E5CC3"/>
    <w:rsid w:val="006F4C60"/>
    <w:rsid w:val="00710114"/>
    <w:rsid w:val="007129A3"/>
    <w:rsid w:val="00716011"/>
    <w:rsid w:val="007176D3"/>
    <w:rsid w:val="007213AB"/>
    <w:rsid w:val="007214AE"/>
    <w:rsid w:val="00725D61"/>
    <w:rsid w:val="00740A74"/>
    <w:rsid w:val="00741794"/>
    <w:rsid w:val="00751120"/>
    <w:rsid w:val="00776D2A"/>
    <w:rsid w:val="00780FF6"/>
    <w:rsid w:val="007C6ED4"/>
    <w:rsid w:val="007D5AD5"/>
    <w:rsid w:val="007D66DA"/>
    <w:rsid w:val="007D7FDF"/>
    <w:rsid w:val="007F1371"/>
    <w:rsid w:val="007F5A35"/>
    <w:rsid w:val="007F6605"/>
    <w:rsid w:val="008103E8"/>
    <w:rsid w:val="00813165"/>
    <w:rsid w:val="008134A1"/>
    <w:rsid w:val="00815F0F"/>
    <w:rsid w:val="0082576A"/>
    <w:rsid w:val="00827D56"/>
    <w:rsid w:val="00831385"/>
    <w:rsid w:val="00831BAD"/>
    <w:rsid w:val="00840D07"/>
    <w:rsid w:val="00857B08"/>
    <w:rsid w:val="0087577F"/>
    <w:rsid w:val="00886159"/>
    <w:rsid w:val="0088680E"/>
    <w:rsid w:val="008B7152"/>
    <w:rsid w:val="008D1785"/>
    <w:rsid w:val="008E26AE"/>
    <w:rsid w:val="008E69B0"/>
    <w:rsid w:val="008F2557"/>
    <w:rsid w:val="008F52B8"/>
    <w:rsid w:val="00915D87"/>
    <w:rsid w:val="00917689"/>
    <w:rsid w:val="0092702B"/>
    <w:rsid w:val="00941891"/>
    <w:rsid w:val="00947E23"/>
    <w:rsid w:val="0096408A"/>
    <w:rsid w:val="009738AE"/>
    <w:rsid w:val="00976D2A"/>
    <w:rsid w:val="00986380"/>
    <w:rsid w:val="00986439"/>
    <w:rsid w:val="009928D8"/>
    <w:rsid w:val="009A1B0D"/>
    <w:rsid w:val="009A2D62"/>
    <w:rsid w:val="009A3998"/>
    <w:rsid w:val="009A68D4"/>
    <w:rsid w:val="009B0C37"/>
    <w:rsid w:val="009B1E80"/>
    <w:rsid w:val="009B5D44"/>
    <w:rsid w:val="009C59F9"/>
    <w:rsid w:val="009C61F8"/>
    <w:rsid w:val="009E0879"/>
    <w:rsid w:val="009E0E27"/>
    <w:rsid w:val="009E3DDF"/>
    <w:rsid w:val="00A05C16"/>
    <w:rsid w:val="00A060AF"/>
    <w:rsid w:val="00A152DF"/>
    <w:rsid w:val="00A2237B"/>
    <w:rsid w:val="00A23726"/>
    <w:rsid w:val="00A34F6B"/>
    <w:rsid w:val="00A50E4B"/>
    <w:rsid w:val="00A6213F"/>
    <w:rsid w:val="00A63B77"/>
    <w:rsid w:val="00A71B1A"/>
    <w:rsid w:val="00A72F51"/>
    <w:rsid w:val="00A757B7"/>
    <w:rsid w:val="00A87328"/>
    <w:rsid w:val="00A92BB6"/>
    <w:rsid w:val="00A957A6"/>
    <w:rsid w:val="00AB4E4F"/>
    <w:rsid w:val="00AC43B0"/>
    <w:rsid w:val="00AD37CF"/>
    <w:rsid w:val="00AF3469"/>
    <w:rsid w:val="00AF7613"/>
    <w:rsid w:val="00B06070"/>
    <w:rsid w:val="00B06CB7"/>
    <w:rsid w:val="00B12F9B"/>
    <w:rsid w:val="00B4084D"/>
    <w:rsid w:val="00B442DC"/>
    <w:rsid w:val="00B4596F"/>
    <w:rsid w:val="00B75D2C"/>
    <w:rsid w:val="00B81118"/>
    <w:rsid w:val="00B84B24"/>
    <w:rsid w:val="00B8736F"/>
    <w:rsid w:val="00B91596"/>
    <w:rsid w:val="00B9448C"/>
    <w:rsid w:val="00B9632A"/>
    <w:rsid w:val="00BA0D10"/>
    <w:rsid w:val="00BB501C"/>
    <w:rsid w:val="00BB6C8E"/>
    <w:rsid w:val="00BC754A"/>
    <w:rsid w:val="00BD2550"/>
    <w:rsid w:val="00BF087F"/>
    <w:rsid w:val="00C00761"/>
    <w:rsid w:val="00C03EF2"/>
    <w:rsid w:val="00C05E6D"/>
    <w:rsid w:val="00C10B3E"/>
    <w:rsid w:val="00C13938"/>
    <w:rsid w:val="00C34D51"/>
    <w:rsid w:val="00C36235"/>
    <w:rsid w:val="00C423B8"/>
    <w:rsid w:val="00C44EFA"/>
    <w:rsid w:val="00C46D66"/>
    <w:rsid w:val="00C6060C"/>
    <w:rsid w:val="00C616A6"/>
    <w:rsid w:val="00C665A6"/>
    <w:rsid w:val="00C66B7D"/>
    <w:rsid w:val="00C77563"/>
    <w:rsid w:val="00C8145E"/>
    <w:rsid w:val="00C825FA"/>
    <w:rsid w:val="00C8549F"/>
    <w:rsid w:val="00CA3E86"/>
    <w:rsid w:val="00CA43D6"/>
    <w:rsid w:val="00CC6CB7"/>
    <w:rsid w:val="00CC7943"/>
    <w:rsid w:val="00CD5CD6"/>
    <w:rsid w:val="00CD7BB0"/>
    <w:rsid w:val="00CE4AB6"/>
    <w:rsid w:val="00CF1A3F"/>
    <w:rsid w:val="00CF2A79"/>
    <w:rsid w:val="00D06018"/>
    <w:rsid w:val="00D17A15"/>
    <w:rsid w:val="00D32C8F"/>
    <w:rsid w:val="00D437EB"/>
    <w:rsid w:val="00D524F6"/>
    <w:rsid w:val="00D52B02"/>
    <w:rsid w:val="00D62AB4"/>
    <w:rsid w:val="00D72622"/>
    <w:rsid w:val="00D7477A"/>
    <w:rsid w:val="00D74B3A"/>
    <w:rsid w:val="00D82E10"/>
    <w:rsid w:val="00D85361"/>
    <w:rsid w:val="00D91DE2"/>
    <w:rsid w:val="00DC64C9"/>
    <w:rsid w:val="00DD3E40"/>
    <w:rsid w:val="00DD4581"/>
    <w:rsid w:val="00DE387D"/>
    <w:rsid w:val="00DF25F1"/>
    <w:rsid w:val="00DF53A4"/>
    <w:rsid w:val="00E01817"/>
    <w:rsid w:val="00E02DB8"/>
    <w:rsid w:val="00E157A2"/>
    <w:rsid w:val="00E16458"/>
    <w:rsid w:val="00E260A4"/>
    <w:rsid w:val="00E3700D"/>
    <w:rsid w:val="00E4203D"/>
    <w:rsid w:val="00E427E8"/>
    <w:rsid w:val="00E61596"/>
    <w:rsid w:val="00E63E1F"/>
    <w:rsid w:val="00E701E8"/>
    <w:rsid w:val="00E72027"/>
    <w:rsid w:val="00E779B0"/>
    <w:rsid w:val="00E94A90"/>
    <w:rsid w:val="00E967EF"/>
    <w:rsid w:val="00ED2884"/>
    <w:rsid w:val="00ED3BF7"/>
    <w:rsid w:val="00EE05A8"/>
    <w:rsid w:val="00EF0E46"/>
    <w:rsid w:val="00F0091E"/>
    <w:rsid w:val="00F01660"/>
    <w:rsid w:val="00F11F32"/>
    <w:rsid w:val="00F17D10"/>
    <w:rsid w:val="00F27A80"/>
    <w:rsid w:val="00F31A72"/>
    <w:rsid w:val="00F35C28"/>
    <w:rsid w:val="00F362BE"/>
    <w:rsid w:val="00F370B2"/>
    <w:rsid w:val="00F453D2"/>
    <w:rsid w:val="00F45FD3"/>
    <w:rsid w:val="00F572FC"/>
    <w:rsid w:val="00F74AB4"/>
    <w:rsid w:val="00F96DAE"/>
    <w:rsid w:val="00FA03D0"/>
    <w:rsid w:val="00FA67F7"/>
    <w:rsid w:val="00FB1EBA"/>
    <w:rsid w:val="00FB78BC"/>
    <w:rsid w:val="00FC113D"/>
    <w:rsid w:val="00FC1AB7"/>
    <w:rsid w:val="00FD7E3F"/>
    <w:rsid w:val="00FE6C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D25F975-576A-43BE-BCFA-7E0E3AB2D7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13165"/>
    <w:rPr>
      <w:color w:val="0563C1" w:themeColor="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94189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4189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41891"/>
    <w:rPr>
      <w:vertAlign w:val="superscript"/>
    </w:rPr>
  </w:style>
  <w:style w:type="character" w:styleId="Strong">
    <w:name w:val="Strong"/>
    <w:basedOn w:val="DefaultParagraphFont"/>
    <w:uiPriority w:val="22"/>
    <w:qFormat/>
    <w:rsid w:val="00E967EF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A04B7E8-1C15-40C8-A727-D4BCC69961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5021</TotalTime>
  <Pages>1</Pages>
  <Words>1398</Words>
  <Characters>7970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Phoebe McGowan</dc:creator>
  <cp:keywords/>
  <dc:description/>
  <cp:lastModifiedBy>Phoebe McGowan</cp:lastModifiedBy>
  <cp:revision>441</cp:revision>
  <dcterms:created xsi:type="dcterms:W3CDTF">2018-11-03T13:17:00Z</dcterms:created>
  <dcterms:modified xsi:type="dcterms:W3CDTF">2018-11-09T16:48:00Z</dcterms:modified>
</cp:coreProperties>
</file>