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D4A26" w14:textId="77777777" w:rsidR="0025057C" w:rsidRDefault="0025057C" w:rsidP="0025057C">
      <w:pPr>
        <w:rPr>
          <w:b/>
          <w:sz w:val="28"/>
          <w:szCs w:val="28"/>
        </w:rPr>
      </w:pPr>
      <w:r>
        <w:rPr>
          <w:noProof/>
        </w:rPr>
        <w:drawing>
          <wp:inline distT="0" distB="0" distL="0" distR="0" wp14:anchorId="1473AB07" wp14:editId="3474E1B8">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79325AAF" w14:textId="77777777" w:rsidR="0025057C" w:rsidRDefault="0025057C" w:rsidP="0025057C">
      <w:pPr>
        <w:rPr>
          <w:b/>
          <w:sz w:val="28"/>
          <w:szCs w:val="28"/>
        </w:rPr>
      </w:pPr>
    </w:p>
    <w:p w14:paraId="1BCDE556" w14:textId="77777777" w:rsidR="0025057C" w:rsidRPr="00F927A1" w:rsidRDefault="0025057C" w:rsidP="0025057C">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44E3CE29" w14:textId="77777777" w:rsidR="0025057C" w:rsidRPr="00DC2924" w:rsidRDefault="0025057C" w:rsidP="0025057C">
      <w:pPr>
        <w:ind w:right="-957"/>
        <w:rPr>
          <w:rFonts w:ascii="Times New Roman" w:hAnsi="Times New Roman" w:cs="Times New Roman"/>
          <w:b/>
          <w:sz w:val="48"/>
        </w:rPr>
      </w:pPr>
      <w:r w:rsidRPr="00DC2924">
        <w:rPr>
          <w:rFonts w:ascii="Times New Roman" w:hAnsi="Times New Roman" w:cs="Times New Roman"/>
          <w:b/>
          <w:sz w:val="48"/>
        </w:rPr>
        <w:t>LEVEL 6 - 60 Credits</w:t>
      </w:r>
    </w:p>
    <w:p w14:paraId="7268E464" w14:textId="77777777" w:rsidR="0025057C" w:rsidRPr="0085230E" w:rsidRDefault="0025057C" w:rsidP="0025057C">
      <w:pPr>
        <w:ind w:right="-957"/>
        <w:rPr>
          <w:rFonts w:ascii="Times New Roman" w:hAnsi="Times New Roman" w:cs="Times New Roman"/>
          <w:b/>
          <w:sz w:val="48"/>
        </w:rPr>
      </w:pPr>
      <w:r w:rsidRPr="00DC2924">
        <w:rPr>
          <w:rFonts w:ascii="Times New Roman" w:hAnsi="Times New Roman" w:cs="Times New Roman"/>
          <w:b/>
          <w:sz w:val="48"/>
        </w:rPr>
        <w:t>BMPF6044</w:t>
      </w:r>
    </w:p>
    <w:p w14:paraId="3D0EC6F1" w14:textId="77777777" w:rsidR="0025057C" w:rsidRDefault="0025057C" w:rsidP="0025057C">
      <w:pPr>
        <w:ind w:right="-957"/>
        <w:rPr>
          <w:rFonts w:ascii="Times New Roman" w:hAnsi="Times New Roman" w:cs="Times New Roman"/>
          <w:b/>
          <w:sz w:val="48"/>
        </w:rPr>
      </w:pPr>
    </w:p>
    <w:p w14:paraId="7AF2D3B4" w14:textId="77777777" w:rsidR="0025057C" w:rsidRPr="00FE5F90" w:rsidRDefault="0025057C" w:rsidP="0025057C">
      <w:pPr>
        <w:ind w:right="-957"/>
        <w:rPr>
          <w:rFonts w:ascii="Times New Roman" w:hAnsi="Times New Roman" w:cs="Times New Roman"/>
          <w:b/>
          <w:sz w:val="18"/>
          <w:szCs w:val="2"/>
        </w:rPr>
      </w:pPr>
    </w:p>
    <w:p w14:paraId="50B09D85" w14:textId="77777777" w:rsidR="0025057C" w:rsidRPr="00F927A1" w:rsidRDefault="0025057C" w:rsidP="0025057C">
      <w:pPr>
        <w:ind w:right="-957"/>
        <w:rPr>
          <w:rFonts w:ascii="Times New Roman" w:hAnsi="Times New Roman" w:cs="Times New Roman"/>
          <w:b/>
          <w:sz w:val="48"/>
        </w:rPr>
      </w:pPr>
      <w:r>
        <w:rPr>
          <w:rFonts w:ascii="Times New Roman" w:hAnsi="Times New Roman" w:cs="Times New Roman"/>
          <w:b/>
          <w:sz w:val="48"/>
        </w:rPr>
        <w:t>LEARNER PORTFOLIO</w:t>
      </w:r>
    </w:p>
    <w:p w14:paraId="2297DE58" w14:textId="77777777" w:rsidR="0025057C" w:rsidRPr="00706BB5" w:rsidRDefault="0025057C" w:rsidP="0025057C">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3739A671" w14:textId="77777777" w:rsidR="0025057C" w:rsidRPr="00FE5F90" w:rsidRDefault="0025057C" w:rsidP="0025057C">
      <w:pPr>
        <w:ind w:right="-957"/>
        <w:rPr>
          <w:rFonts w:ascii="Times New Roman" w:hAnsi="Times New Roman" w:cs="Times New Roman"/>
          <w:b/>
          <w:sz w:val="14"/>
          <w:szCs w:val="2"/>
        </w:rPr>
      </w:pPr>
    </w:p>
    <w:p w14:paraId="39B31A0A" w14:textId="77777777" w:rsidR="0025057C" w:rsidRPr="00F927A1" w:rsidRDefault="0025057C" w:rsidP="0025057C">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25057C" w:rsidRPr="005D3F07" w14:paraId="740C3C56" w14:textId="77777777" w:rsidTr="006201F7">
        <w:tc>
          <w:tcPr>
            <w:tcW w:w="9209" w:type="dxa"/>
            <w:shd w:val="clear" w:color="auto" w:fill="auto"/>
          </w:tcPr>
          <w:p w14:paraId="26FAB512" w14:textId="0A61875C" w:rsidR="0025057C" w:rsidRDefault="0025057C" w:rsidP="006201F7">
            <w:pPr>
              <w:ind w:right="-957"/>
              <w:rPr>
                <w:rFonts w:ascii="Times New Roman" w:hAnsi="Times New Roman" w:cs="Times New Roman"/>
                <w:b/>
                <w:sz w:val="48"/>
              </w:rPr>
            </w:pPr>
            <w:r>
              <w:rPr>
                <w:rFonts w:ascii="Times New Roman" w:hAnsi="Times New Roman" w:cs="Times New Roman"/>
                <w:b/>
                <w:sz w:val="48"/>
              </w:rPr>
              <w:t>Learner’s name: J</w:t>
            </w:r>
            <w:r w:rsidR="001E2EDB">
              <w:rPr>
                <w:rFonts w:ascii="Times New Roman" w:hAnsi="Times New Roman" w:cs="Times New Roman"/>
                <w:b/>
                <w:sz w:val="48"/>
              </w:rPr>
              <w:t xml:space="preserve">ulie Wright </w:t>
            </w:r>
          </w:p>
          <w:p w14:paraId="7B01394B" w14:textId="77777777" w:rsidR="0025057C" w:rsidRDefault="0025057C" w:rsidP="006201F7">
            <w:pPr>
              <w:ind w:right="-957"/>
              <w:rPr>
                <w:rFonts w:ascii="Times New Roman" w:hAnsi="Times New Roman" w:cs="Times New Roman"/>
                <w:b/>
                <w:sz w:val="48"/>
              </w:rPr>
            </w:pPr>
          </w:p>
          <w:p w14:paraId="78FFF691" w14:textId="203B322C" w:rsidR="0025057C" w:rsidRDefault="0025057C" w:rsidP="006201F7">
            <w:pPr>
              <w:ind w:right="-957"/>
              <w:rPr>
                <w:rFonts w:ascii="Times New Roman" w:hAnsi="Times New Roman" w:cs="Times New Roman"/>
                <w:b/>
                <w:sz w:val="48"/>
              </w:rPr>
            </w:pPr>
            <w:r>
              <w:rPr>
                <w:rFonts w:ascii="Times New Roman" w:hAnsi="Times New Roman" w:cs="Times New Roman"/>
                <w:b/>
                <w:sz w:val="48"/>
              </w:rPr>
              <w:t>Email address:</w:t>
            </w:r>
            <w:r w:rsidR="001E2EDB">
              <w:rPr>
                <w:rFonts w:ascii="Times New Roman" w:hAnsi="Times New Roman" w:cs="Times New Roman"/>
                <w:b/>
                <w:sz w:val="48"/>
              </w:rPr>
              <w:t xml:space="preserve"> </w:t>
            </w:r>
            <w:hyperlink r:id="rId11" w:history="1">
              <w:r w:rsidR="001E2EDB" w:rsidRPr="00F51AEA">
                <w:rPr>
                  <w:rStyle w:val="Hyperlink"/>
                  <w:rFonts w:ascii="Times New Roman" w:hAnsi="Times New Roman" w:cs="Times New Roman"/>
                  <w:b/>
                  <w:sz w:val="48"/>
                </w:rPr>
                <w:t>j.wright@npt.gov.uk</w:t>
              </w:r>
            </w:hyperlink>
            <w:r w:rsidR="001E2EDB">
              <w:rPr>
                <w:rFonts w:ascii="Times New Roman" w:hAnsi="Times New Roman" w:cs="Times New Roman"/>
                <w:b/>
                <w:sz w:val="48"/>
              </w:rPr>
              <w:t xml:space="preserve"> </w:t>
            </w:r>
          </w:p>
          <w:p w14:paraId="0EA3107D" w14:textId="77777777" w:rsidR="0025057C" w:rsidRDefault="0025057C" w:rsidP="006201F7">
            <w:pPr>
              <w:ind w:right="-957"/>
              <w:rPr>
                <w:rFonts w:ascii="Times New Roman" w:hAnsi="Times New Roman" w:cs="Times New Roman"/>
                <w:b/>
                <w:sz w:val="48"/>
              </w:rPr>
            </w:pPr>
          </w:p>
          <w:p w14:paraId="20BC4FF9" w14:textId="690AB2C7" w:rsidR="0025057C" w:rsidRPr="0025057C" w:rsidRDefault="0025057C" w:rsidP="006201F7">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7354BEA6" w14:textId="590AD29B" w:rsidR="0025057C" w:rsidRPr="005D3F07" w:rsidRDefault="00F25116" w:rsidP="006201F7">
            <w:pPr>
              <w:ind w:right="-957"/>
              <w:rPr>
                <w:rFonts w:ascii="Times New Roman" w:hAnsi="Times New Roman" w:cs="Times New Roman"/>
                <w:b/>
                <w:sz w:val="48"/>
              </w:rPr>
            </w:pPr>
            <w:r>
              <w:rPr>
                <w:rFonts w:ascii="Times New Roman" w:hAnsi="Times New Roman" w:cs="Times New Roman"/>
                <w:b/>
                <w:sz w:val="48"/>
              </w:rPr>
              <w:t>2329425</w:t>
            </w:r>
          </w:p>
          <w:p w14:paraId="1522D32E" w14:textId="77777777" w:rsidR="0025057C" w:rsidRPr="005D3F07" w:rsidRDefault="0025057C" w:rsidP="006201F7">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23</w:t>
            </w:r>
          </w:p>
        </w:tc>
      </w:tr>
    </w:tbl>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4A17F4">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64924D66" w14:textId="77777777" w:rsidR="00861D3C"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12977EE9" w14:textId="77777777" w:rsidR="00861D3C" w:rsidRDefault="00861D3C" w:rsidP="00FF7EBB">
            <w:pPr>
              <w:jc w:val="both"/>
              <w:rPr>
                <w:sz w:val="24"/>
                <w:szCs w:val="24"/>
              </w:rPr>
            </w:pPr>
          </w:p>
          <w:p w14:paraId="408E8A15" w14:textId="77777777" w:rsidR="001E2EDB" w:rsidRDefault="001E2EDB" w:rsidP="00FF7EBB">
            <w:pPr>
              <w:jc w:val="both"/>
              <w:rPr>
                <w:sz w:val="24"/>
                <w:szCs w:val="24"/>
              </w:rPr>
            </w:pPr>
            <w:bookmarkStart w:id="0" w:name="_Hlk187415865"/>
            <w:bookmarkStart w:id="1" w:name="_Hlk187417423"/>
            <w:bookmarkStart w:id="2" w:name="_Hlk187415443"/>
          </w:p>
          <w:p w14:paraId="117B6B03" w14:textId="6D935411" w:rsidR="001E2EDB" w:rsidRPr="001E2EDB" w:rsidRDefault="001E2EDB" w:rsidP="00991174">
            <w:pPr>
              <w:spacing w:line="276" w:lineRule="auto"/>
              <w:jc w:val="both"/>
              <w:rPr>
                <w:sz w:val="24"/>
                <w:szCs w:val="24"/>
              </w:rPr>
            </w:pPr>
            <w:r w:rsidRPr="001E2EDB">
              <w:rPr>
                <w:sz w:val="24"/>
                <w:szCs w:val="24"/>
              </w:rPr>
              <w:t>As</w:t>
            </w:r>
            <w:r>
              <w:rPr>
                <w:sz w:val="24"/>
                <w:szCs w:val="24"/>
              </w:rPr>
              <w:t xml:space="preserve"> I </w:t>
            </w:r>
            <w:r w:rsidRPr="001E2EDB">
              <w:rPr>
                <w:sz w:val="24"/>
                <w:szCs w:val="24"/>
              </w:rPr>
              <w:t>work</w:t>
            </w:r>
            <w:r>
              <w:rPr>
                <w:sz w:val="24"/>
                <w:szCs w:val="24"/>
              </w:rPr>
              <w:t xml:space="preserve"> in</w:t>
            </w:r>
            <w:r w:rsidRPr="001E2EDB">
              <w:rPr>
                <w:sz w:val="24"/>
                <w:szCs w:val="24"/>
              </w:rPr>
              <w:t xml:space="preserve"> children</w:t>
            </w:r>
            <w:r>
              <w:rPr>
                <w:sz w:val="24"/>
                <w:szCs w:val="24"/>
              </w:rPr>
              <w:t>’s services</w:t>
            </w:r>
            <w:r w:rsidRPr="001E2EDB">
              <w:rPr>
                <w:sz w:val="24"/>
                <w:szCs w:val="24"/>
              </w:rPr>
              <w:t>,</w:t>
            </w:r>
            <w:r>
              <w:rPr>
                <w:sz w:val="24"/>
                <w:szCs w:val="24"/>
              </w:rPr>
              <w:t xml:space="preserve"> I </w:t>
            </w:r>
            <w:r w:rsidRPr="001E2EDB">
              <w:rPr>
                <w:sz w:val="24"/>
                <w:szCs w:val="24"/>
              </w:rPr>
              <w:t xml:space="preserve">will </w:t>
            </w:r>
            <w:r>
              <w:rPr>
                <w:sz w:val="24"/>
                <w:szCs w:val="24"/>
              </w:rPr>
              <w:t>be focusing</w:t>
            </w:r>
            <w:r w:rsidRPr="001E2EDB">
              <w:rPr>
                <w:sz w:val="24"/>
                <w:szCs w:val="24"/>
              </w:rPr>
              <w:t xml:space="preserve"> on safeguarding adults. Safeguarding</w:t>
            </w:r>
            <w:r>
              <w:rPr>
                <w:sz w:val="24"/>
                <w:szCs w:val="24"/>
              </w:rPr>
              <w:t xml:space="preserve"> is defined as </w:t>
            </w:r>
            <w:r w:rsidRPr="001E2EDB">
              <w:rPr>
                <w:sz w:val="24"/>
                <w:szCs w:val="24"/>
              </w:rPr>
              <w:t>protecting a person’s right to live safely, free from abuse and neglect</w:t>
            </w:r>
            <w:r>
              <w:rPr>
                <w:sz w:val="24"/>
                <w:szCs w:val="24"/>
              </w:rPr>
              <w:t xml:space="preserve"> (Welsh Government, 2014). </w:t>
            </w:r>
            <w:r w:rsidRPr="001E2EDB">
              <w:rPr>
                <w:sz w:val="24"/>
                <w:szCs w:val="24"/>
              </w:rPr>
              <w:t>The main law for safeguarding</w:t>
            </w:r>
            <w:r>
              <w:rPr>
                <w:sz w:val="24"/>
                <w:szCs w:val="24"/>
              </w:rPr>
              <w:t xml:space="preserve"> adults</w:t>
            </w:r>
            <w:r w:rsidRPr="001E2EDB">
              <w:rPr>
                <w:sz w:val="24"/>
                <w:szCs w:val="24"/>
              </w:rPr>
              <w:t xml:space="preserve"> in Wales is the Social Services and Well-being (Wales) Act 2014. This law says an adult at risk is someone aged 18 or over who</w:t>
            </w:r>
            <w:r>
              <w:rPr>
                <w:sz w:val="24"/>
                <w:szCs w:val="24"/>
              </w:rPr>
              <w:t xml:space="preserve"> </w:t>
            </w:r>
            <w:r w:rsidRPr="001E2EDB">
              <w:rPr>
                <w:sz w:val="24"/>
                <w:szCs w:val="24"/>
              </w:rPr>
              <w:t>is experiencing or</w:t>
            </w:r>
            <w:r>
              <w:rPr>
                <w:sz w:val="24"/>
                <w:szCs w:val="24"/>
              </w:rPr>
              <w:t xml:space="preserve"> is</w:t>
            </w:r>
            <w:r w:rsidRPr="001E2EDB">
              <w:rPr>
                <w:sz w:val="24"/>
                <w:szCs w:val="24"/>
              </w:rPr>
              <w:t xml:space="preserve"> at risk of abuse or neglect,</w:t>
            </w:r>
            <w:r>
              <w:rPr>
                <w:sz w:val="24"/>
                <w:szCs w:val="24"/>
              </w:rPr>
              <w:t xml:space="preserve"> </w:t>
            </w:r>
            <w:r w:rsidRPr="001E2EDB">
              <w:rPr>
                <w:sz w:val="24"/>
                <w:szCs w:val="24"/>
              </w:rPr>
              <w:t>has care and support needs, and</w:t>
            </w:r>
            <w:r>
              <w:rPr>
                <w:sz w:val="24"/>
                <w:szCs w:val="24"/>
              </w:rPr>
              <w:t xml:space="preserve"> </w:t>
            </w:r>
            <w:r w:rsidRPr="001E2EDB">
              <w:rPr>
                <w:sz w:val="24"/>
                <w:szCs w:val="24"/>
              </w:rPr>
              <w:t>cannot protect themselves because of those needs (Welsh Government, 2014).</w:t>
            </w:r>
            <w:r>
              <w:rPr>
                <w:sz w:val="24"/>
                <w:szCs w:val="24"/>
              </w:rPr>
              <w:t xml:space="preserve"> </w:t>
            </w:r>
            <w:r w:rsidRPr="001E2EDB">
              <w:rPr>
                <w:sz w:val="24"/>
                <w:szCs w:val="24"/>
              </w:rPr>
              <w:t xml:space="preserve">Under this law, all professionals, </w:t>
            </w:r>
            <w:r>
              <w:rPr>
                <w:sz w:val="24"/>
                <w:szCs w:val="24"/>
              </w:rPr>
              <w:t>such as</w:t>
            </w:r>
            <w:r w:rsidRPr="001E2EDB">
              <w:rPr>
                <w:sz w:val="24"/>
                <w:szCs w:val="24"/>
              </w:rPr>
              <w:t xml:space="preserve"> social workers, health staff, and police, must report any concerns they have about an adult being at risk. This is </w:t>
            </w:r>
            <w:r>
              <w:rPr>
                <w:sz w:val="24"/>
                <w:szCs w:val="24"/>
              </w:rPr>
              <w:t>deemed ‘</w:t>
            </w:r>
            <w:r w:rsidRPr="001E2EDB">
              <w:rPr>
                <w:sz w:val="24"/>
                <w:szCs w:val="24"/>
              </w:rPr>
              <w:t>the duty to report</w:t>
            </w:r>
            <w:r>
              <w:rPr>
                <w:sz w:val="24"/>
                <w:szCs w:val="24"/>
              </w:rPr>
              <w:t>’</w:t>
            </w:r>
            <w:r w:rsidRPr="001E2EDB">
              <w:rPr>
                <w:sz w:val="24"/>
                <w:szCs w:val="24"/>
              </w:rPr>
              <w:t xml:space="preserve"> (Welsh Government, 2014). When a report is </w:t>
            </w:r>
            <w:r w:rsidR="002A6C9E">
              <w:rPr>
                <w:sz w:val="24"/>
                <w:szCs w:val="24"/>
              </w:rPr>
              <w:t>received</w:t>
            </w:r>
            <w:r w:rsidRPr="001E2EDB">
              <w:rPr>
                <w:sz w:val="24"/>
                <w:szCs w:val="24"/>
              </w:rPr>
              <w:t>, the local authority must</w:t>
            </w:r>
            <w:r>
              <w:rPr>
                <w:sz w:val="24"/>
                <w:szCs w:val="24"/>
              </w:rPr>
              <w:t xml:space="preserve"> </w:t>
            </w:r>
            <w:r w:rsidR="002A6C9E">
              <w:rPr>
                <w:sz w:val="24"/>
                <w:szCs w:val="24"/>
              </w:rPr>
              <w:t xml:space="preserve">carry out checks and </w:t>
            </w:r>
            <w:r>
              <w:rPr>
                <w:sz w:val="24"/>
                <w:szCs w:val="24"/>
              </w:rPr>
              <w:t xml:space="preserve">make </w:t>
            </w:r>
            <w:r w:rsidR="002A6C9E">
              <w:rPr>
                <w:sz w:val="24"/>
                <w:szCs w:val="24"/>
              </w:rPr>
              <w:t>enquiries</w:t>
            </w:r>
            <w:r>
              <w:rPr>
                <w:sz w:val="24"/>
                <w:szCs w:val="24"/>
              </w:rPr>
              <w:t xml:space="preserve"> to determine what</w:t>
            </w:r>
            <w:r w:rsidRPr="001E2EDB">
              <w:rPr>
                <w:sz w:val="24"/>
                <w:szCs w:val="24"/>
              </w:rPr>
              <w:t xml:space="preserve"> help or protection is needed. </w:t>
            </w:r>
          </w:p>
          <w:p w14:paraId="46C50F4E" w14:textId="77777777" w:rsidR="001E2EDB" w:rsidRPr="001E2EDB" w:rsidRDefault="001E2EDB" w:rsidP="00991174">
            <w:pPr>
              <w:spacing w:line="276" w:lineRule="auto"/>
              <w:jc w:val="both"/>
              <w:rPr>
                <w:sz w:val="24"/>
                <w:szCs w:val="24"/>
              </w:rPr>
            </w:pPr>
          </w:p>
          <w:p w14:paraId="10E90C8A" w14:textId="2E267C9B" w:rsidR="001E2EDB" w:rsidRPr="001E2EDB" w:rsidRDefault="001E2EDB" w:rsidP="00991174">
            <w:pPr>
              <w:spacing w:line="276" w:lineRule="auto"/>
              <w:jc w:val="both"/>
              <w:rPr>
                <w:sz w:val="24"/>
                <w:szCs w:val="24"/>
              </w:rPr>
            </w:pPr>
            <w:r w:rsidRPr="001E2EDB">
              <w:rPr>
                <w:sz w:val="24"/>
                <w:szCs w:val="24"/>
              </w:rPr>
              <w:t xml:space="preserve">There are many types of abuse, </w:t>
            </w:r>
            <w:r w:rsidR="002A6C9E">
              <w:rPr>
                <w:sz w:val="24"/>
                <w:szCs w:val="24"/>
              </w:rPr>
              <w:t xml:space="preserve">that adults might experience </w:t>
            </w:r>
            <w:r w:rsidRPr="001E2EDB">
              <w:rPr>
                <w:sz w:val="24"/>
                <w:szCs w:val="24"/>
              </w:rPr>
              <w:t>such as physical, emotional, sexual, financial abuse, and neglect. Adults at risk might be living in care homes, hospitals, or even in their own homes. Warning signs can include unexplained injuries, fear of carers, poor hygiene, or sudden changes in behaviour (Social Care Wales, 2019).</w:t>
            </w:r>
          </w:p>
          <w:p w14:paraId="5792BE82" w14:textId="77777777" w:rsidR="001E2EDB" w:rsidRPr="001E2EDB" w:rsidRDefault="001E2EDB" w:rsidP="00991174">
            <w:pPr>
              <w:spacing w:line="276" w:lineRule="auto"/>
              <w:jc w:val="both"/>
              <w:rPr>
                <w:sz w:val="24"/>
                <w:szCs w:val="24"/>
              </w:rPr>
            </w:pPr>
          </w:p>
          <w:p w14:paraId="33A359CB" w14:textId="20EF7A7C" w:rsidR="001E2EDB" w:rsidRPr="001E2EDB" w:rsidRDefault="001E2EDB" w:rsidP="00991174">
            <w:pPr>
              <w:spacing w:line="276" w:lineRule="auto"/>
              <w:jc w:val="both"/>
              <w:rPr>
                <w:sz w:val="24"/>
                <w:szCs w:val="24"/>
              </w:rPr>
            </w:pPr>
            <w:r w:rsidRPr="001E2EDB">
              <w:rPr>
                <w:sz w:val="24"/>
                <w:szCs w:val="24"/>
              </w:rPr>
              <w:t xml:space="preserve">The Mental Capacity Act </w:t>
            </w:r>
            <w:r w:rsidR="00991174">
              <w:rPr>
                <w:sz w:val="24"/>
                <w:szCs w:val="24"/>
              </w:rPr>
              <w:t>(</w:t>
            </w:r>
            <w:r w:rsidRPr="001E2EDB">
              <w:rPr>
                <w:sz w:val="24"/>
                <w:szCs w:val="24"/>
              </w:rPr>
              <w:t>2005</w:t>
            </w:r>
            <w:r w:rsidR="00991174">
              <w:rPr>
                <w:sz w:val="24"/>
                <w:szCs w:val="24"/>
              </w:rPr>
              <w:t>)</w:t>
            </w:r>
            <w:r w:rsidRPr="001E2EDB">
              <w:rPr>
                <w:sz w:val="24"/>
                <w:szCs w:val="24"/>
              </w:rPr>
              <w:t xml:space="preserve"> is also important in adult safeguarding. It protects people who may not be able to make certain decisions for themselves. For example, if someone has dementia, a learning disability or a brain injury, they might lack the mental capacity to decide about their care or safety. The Act says people should be supported to make their own decisions as much as possible, and any decision made for them must be in their best interests (Department for Constitutional Affairs, 2007).</w:t>
            </w:r>
          </w:p>
          <w:p w14:paraId="1CB88F0C" w14:textId="77777777" w:rsidR="001E2EDB" w:rsidRPr="001E2EDB" w:rsidRDefault="001E2EDB" w:rsidP="00991174">
            <w:pPr>
              <w:spacing w:line="276" w:lineRule="auto"/>
              <w:jc w:val="both"/>
              <w:rPr>
                <w:sz w:val="24"/>
                <w:szCs w:val="24"/>
              </w:rPr>
            </w:pPr>
          </w:p>
          <w:p w14:paraId="6F549214" w14:textId="77777777" w:rsidR="001E2EDB" w:rsidRPr="001E2EDB" w:rsidRDefault="001E2EDB" w:rsidP="00991174">
            <w:pPr>
              <w:spacing w:line="276" w:lineRule="auto"/>
              <w:jc w:val="both"/>
              <w:rPr>
                <w:sz w:val="24"/>
                <w:szCs w:val="24"/>
              </w:rPr>
            </w:pPr>
            <w:r w:rsidRPr="001E2EDB">
              <w:rPr>
                <w:sz w:val="24"/>
                <w:szCs w:val="24"/>
              </w:rPr>
              <w:lastRenderedPageBreak/>
              <w:t>The Human Rights Act 1998 also supports adult safeguarding by protecting people’s rights, like the right to life and the right not to be treated in a cruel or inhumane way. These rights must be respected when making any safeguarding decision (Equality and Human Rights Commission, 2021).</w:t>
            </w:r>
          </w:p>
          <w:p w14:paraId="1A74F77D" w14:textId="77777777" w:rsidR="001E2EDB" w:rsidRPr="001E2EDB" w:rsidRDefault="001E2EDB" w:rsidP="001E2EDB">
            <w:pPr>
              <w:jc w:val="both"/>
              <w:rPr>
                <w:sz w:val="24"/>
                <w:szCs w:val="24"/>
              </w:rPr>
            </w:pPr>
          </w:p>
          <w:p w14:paraId="0E7F642D" w14:textId="782F924E" w:rsidR="001E2EDB" w:rsidRPr="001E2EDB" w:rsidRDefault="001E2EDB" w:rsidP="00991174">
            <w:pPr>
              <w:spacing w:line="276" w:lineRule="auto"/>
              <w:jc w:val="both"/>
              <w:rPr>
                <w:sz w:val="24"/>
                <w:szCs w:val="24"/>
              </w:rPr>
            </w:pPr>
            <w:r w:rsidRPr="001E2EDB">
              <w:rPr>
                <w:sz w:val="24"/>
                <w:szCs w:val="24"/>
              </w:rPr>
              <w:t>In Wales, the Wales Safeguarding Procedures (2019) give clear steps for professionals to follow when they suspect an adult is at risk. These procedures apply across all areas of Wales to make sure adults get the same level of support wherever they live (Cardiff and Vale Regional Safeguarding Board, 2019).</w:t>
            </w:r>
            <w:r w:rsidR="00991174">
              <w:rPr>
                <w:sz w:val="24"/>
                <w:szCs w:val="24"/>
              </w:rPr>
              <w:t xml:space="preserve"> </w:t>
            </w:r>
            <w:r w:rsidRPr="001E2EDB">
              <w:rPr>
                <w:sz w:val="24"/>
                <w:szCs w:val="24"/>
              </w:rPr>
              <w:t xml:space="preserve">Each local </w:t>
            </w:r>
            <w:r w:rsidR="002A6C9E">
              <w:rPr>
                <w:sz w:val="24"/>
                <w:szCs w:val="24"/>
              </w:rPr>
              <w:t>authority</w:t>
            </w:r>
            <w:r w:rsidRPr="001E2EDB">
              <w:rPr>
                <w:sz w:val="24"/>
                <w:szCs w:val="24"/>
              </w:rPr>
              <w:t xml:space="preserve"> also has its own Regional Safeguarding Board, which provides training, local policies, and guidance. Social workers and staff are expected to follow these and their own organisation’s safeguarding policies, which explain how to report concerns, who to speak to, and how to record information safely.</w:t>
            </w:r>
          </w:p>
          <w:p w14:paraId="4832B94F" w14:textId="77777777" w:rsidR="001E2EDB" w:rsidRPr="001E2EDB" w:rsidRDefault="001E2EDB" w:rsidP="00991174">
            <w:pPr>
              <w:spacing w:line="276" w:lineRule="auto"/>
              <w:jc w:val="both"/>
              <w:rPr>
                <w:sz w:val="24"/>
                <w:szCs w:val="24"/>
              </w:rPr>
            </w:pPr>
          </w:p>
          <w:p w14:paraId="5CFBF6EC" w14:textId="68161F4A" w:rsidR="001E2EDB" w:rsidRPr="001E2EDB" w:rsidRDefault="001E2EDB" w:rsidP="00991174">
            <w:pPr>
              <w:spacing w:line="276" w:lineRule="auto"/>
              <w:jc w:val="both"/>
              <w:rPr>
                <w:sz w:val="24"/>
                <w:szCs w:val="24"/>
              </w:rPr>
            </w:pPr>
            <w:r w:rsidRPr="001E2EDB">
              <w:rPr>
                <w:sz w:val="24"/>
                <w:szCs w:val="24"/>
              </w:rPr>
              <w:t>In</w:t>
            </w:r>
            <w:r w:rsidR="002A6C9E">
              <w:rPr>
                <w:sz w:val="24"/>
                <w:szCs w:val="24"/>
              </w:rPr>
              <w:t xml:space="preserve"> conclusion</w:t>
            </w:r>
            <w:r w:rsidRPr="001E2EDB">
              <w:rPr>
                <w:sz w:val="24"/>
                <w:szCs w:val="24"/>
              </w:rPr>
              <w:t>, safeguarding adults in Wales is guided by strong laws and policies. It’s a shared responsibility between professionals and organisations to notice signs of abuse, report concerns, and make sure adults are protected from harm.</w:t>
            </w:r>
          </w:p>
          <w:p w14:paraId="493C92CD" w14:textId="77777777" w:rsidR="001E2EDB" w:rsidRPr="001E2EDB" w:rsidRDefault="001E2EDB" w:rsidP="001E2EDB">
            <w:pPr>
              <w:jc w:val="both"/>
              <w:rPr>
                <w:sz w:val="24"/>
                <w:szCs w:val="24"/>
              </w:rPr>
            </w:pPr>
          </w:p>
          <w:p w14:paraId="33D89EDC" w14:textId="66B6DF4F" w:rsidR="001E2EDB" w:rsidRDefault="00991174" w:rsidP="001E2EDB">
            <w:pPr>
              <w:jc w:val="both"/>
              <w:rPr>
                <w:sz w:val="24"/>
                <w:szCs w:val="24"/>
              </w:rPr>
            </w:pPr>
            <w:r>
              <w:rPr>
                <w:sz w:val="24"/>
                <w:szCs w:val="24"/>
              </w:rPr>
              <w:t>Word count 467</w:t>
            </w:r>
          </w:p>
          <w:p w14:paraId="7C506F09" w14:textId="77777777" w:rsidR="00991174" w:rsidRPr="001E2EDB" w:rsidRDefault="00991174" w:rsidP="001E2EDB">
            <w:pPr>
              <w:jc w:val="both"/>
              <w:rPr>
                <w:sz w:val="24"/>
                <w:szCs w:val="24"/>
              </w:rPr>
            </w:pPr>
          </w:p>
          <w:p w14:paraId="3B8C2545" w14:textId="77777777" w:rsidR="001E2EDB" w:rsidRDefault="001E2EDB" w:rsidP="00FF7EBB">
            <w:pPr>
              <w:jc w:val="both"/>
              <w:rPr>
                <w:sz w:val="24"/>
                <w:szCs w:val="24"/>
              </w:rPr>
            </w:pPr>
          </w:p>
          <w:p w14:paraId="35A343A3" w14:textId="77777777" w:rsidR="001E2EDB" w:rsidRDefault="001E2EDB" w:rsidP="00FF7EBB">
            <w:pPr>
              <w:jc w:val="both"/>
              <w:rPr>
                <w:sz w:val="24"/>
                <w:szCs w:val="24"/>
              </w:rPr>
            </w:pPr>
          </w:p>
          <w:p w14:paraId="21E73AFA" w14:textId="77777777" w:rsidR="001E2EDB" w:rsidRDefault="001E2EDB" w:rsidP="00FF7EBB">
            <w:pPr>
              <w:jc w:val="both"/>
              <w:rPr>
                <w:sz w:val="24"/>
                <w:szCs w:val="24"/>
              </w:rPr>
            </w:pPr>
          </w:p>
          <w:p w14:paraId="0BA681DC" w14:textId="77777777" w:rsidR="001E2EDB" w:rsidRDefault="001E2EDB" w:rsidP="00FF7EBB">
            <w:pPr>
              <w:jc w:val="both"/>
              <w:rPr>
                <w:sz w:val="24"/>
                <w:szCs w:val="24"/>
              </w:rPr>
            </w:pPr>
          </w:p>
          <w:p w14:paraId="1363EA5C" w14:textId="77777777" w:rsidR="001E2EDB" w:rsidRDefault="001E2EDB" w:rsidP="00FF7EBB">
            <w:pPr>
              <w:jc w:val="both"/>
              <w:rPr>
                <w:sz w:val="24"/>
                <w:szCs w:val="24"/>
              </w:rPr>
            </w:pPr>
          </w:p>
          <w:bookmarkEnd w:id="0"/>
          <w:bookmarkEnd w:id="1"/>
          <w:p w14:paraId="6581EFEB" w14:textId="13952537" w:rsidR="00582684" w:rsidRDefault="00582684" w:rsidP="00FF7EBB">
            <w:pPr>
              <w:jc w:val="both"/>
              <w:rPr>
                <w:sz w:val="24"/>
                <w:szCs w:val="24"/>
              </w:rPr>
            </w:pPr>
          </w:p>
          <w:p w14:paraId="1CB9C774" w14:textId="77777777" w:rsidR="00582684" w:rsidRDefault="00582684" w:rsidP="00FF7EBB">
            <w:pPr>
              <w:jc w:val="both"/>
              <w:rPr>
                <w:sz w:val="24"/>
                <w:szCs w:val="24"/>
              </w:rPr>
            </w:pPr>
          </w:p>
          <w:bookmarkEnd w:id="2"/>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97240A">
        <w:tc>
          <w:tcPr>
            <w:tcW w:w="10070"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bookmarkStart w:id="3" w:name="_Hlk187423489"/>
          </w:p>
          <w:p w14:paraId="4022E185" w14:textId="394A7A91" w:rsidR="003F4681" w:rsidRPr="003F4681" w:rsidRDefault="003F4681" w:rsidP="00991174">
            <w:pPr>
              <w:spacing w:line="276" w:lineRule="auto"/>
              <w:jc w:val="both"/>
              <w:rPr>
                <w:sz w:val="24"/>
                <w:szCs w:val="24"/>
              </w:rPr>
            </w:pPr>
            <w:bookmarkStart w:id="4" w:name="_Hlk187422414"/>
            <w:r w:rsidRPr="003F4681">
              <w:rPr>
                <w:sz w:val="24"/>
                <w:szCs w:val="24"/>
              </w:rPr>
              <w:t xml:space="preserve">One of the </w:t>
            </w:r>
            <w:r>
              <w:rPr>
                <w:sz w:val="24"/>
                <w:szCs w:val="24"/>
              </w:rPr>
              <w:t>main</w:t>
            </w:r>
            <w:r w:rsidRPr="003F4681">
              <w:rPr>
                <w:sz w:val="24"/>
                <w:szCs w:val="24"/>
              </w:rPr>
              <w:t xml:space="preserve"> differences between safeguarding adults and children is the level of involvement individuals have in decisions about their own safety. Adults are generally more involved in deciding what actions are taken to protect them. Gaining an adult’s informed consent is often a necessary part of the safeguarding process. With children, however, while </w:t>
            </w:r>
            <w:r w:rsidRPr="003F4681">
              <w:rPr>
                <w:sz w:val="24"/>
                <w:szCs w:val="24"/>
              </w:rPr>
              <w:lastRenderedPageBreak/>
              <w:t>consent is encouraged, there’s more emphasis on acting in the child’s best interests even if consent is not given.</w:t>
            </w:r>
          </w:p>
          <w:p w14:paraId="15327A98" w14:textId="77777777" w:rsidR="003F4681" w:rsidRPr="003F4681" w:rsidRDefault="003F4681" w:rsidP="003F4681">
            <w:pPr>
              <w:jc w:val="both"/>
              <w:rPr>
                <w:sz w:val="24"/>
                <w:szCs w:val="24"/>
              </w:rPr>
            </w:pPr>
          </w:p>
          <w:p w14:paraId="0720E8CC" w14:textId="29CFE002" w:rsidR="003F4681" w:rsidRPr="003F4681" w:rsidRDefault="003F4681" w:rsidP="00991174">
            <w:pPr>
              <w:spacing w:line="276" w:lineRule="auto"/>
              <w:jc w:val="both"/>
              <w:rPr>
                <w:sz w:val="24"/>
                <w:szCs w:val="24"/>
              </w:rPr>
            </w:pPr>
            <w:r w:rsidRPr="003F4681">
              <w:rPr>
                <w:sz w:val="24"/>
                <w:szCs w:val="24"/>
              </w:rPr>
              <w:t>The Wales Safeguarding Procedures (2019) highlight this distinction. For children, professionals should aim to gain consent from parents or carers. For adults, consent should be obtained from the individual wherever possible. Overriding this can be difficult and may cause tension between professionals and families. However, the procedures emphasise that obtaining consent can lead to stronger working relationships and better outcomes (Wales Safeguarding Procedures, 2019).</w:t>
            </w:r>
            <w:r w:rsidR="00991174">
              <w:rPr>
                <w:sz w:val="24"/>
                <w:szCs w:val="24"/>
              </w:rPr>
              <w:t xml:space="preserve"> </w:t>
            </w:r>
            <w:r w:rsidRPr="003F4681">
              <w:rPr>
                <w:sz w:val="24"/>
                <w:szCs w:val="24"/>
              </w:rPr>
              <w:t xml:space="preserve">Another important difference is how mental capacity is assessed. The Mental Capacity Act </w:t>
            </w:r>
            <w:r>
              <w:rPr>
                <w:sz w:val="24"/>
                <w:szCs w:val="24"/>
              </w:rPr>
              <w:t>(</w:t>
            </w:r>
            <w:r w:rsidRPr="003F4681">
              <w:rPr>
                <w:sz w:val="24"/>
                <w:szCs w:val="24"/>
              </w:rPr>
              <w:t>2005</w:t>
            </w:r>
            <w:r>
              <w:rPr>
                <w:sz w:val="24"/>
                <w:szCs w:val="24"/>
              </w:rPr>
              <w:t>)</w:t>
            </w:r>
            <w:r w:rsidRPr="003F4681">
              <w:rPr>
                <w:sz w:val="24"/>
                <w:szCs w:val="24"/>
              </w:rPr>
              <w:t xml:space="preserve"> applies to individuals aged 16 and over and outlines how to assess whether someone </w:t>
            </w:r>
            <w:proofErr w:type="gramStart"/>
            <w:r w:rsidRPr="003F4681">
              <w:rPr>
                <w:sz w:val="24"/>
                <w:szCs w:val="24"/>
              </w:rPr>
              <w:t>is able to</w:t>
            </w:r>
            <w:proofErr w:type="gramEnd"/>
            <w:r w:rsidRPr="003F4681">
              <w:rPr>
                <w:sz w:val="24"/>
                <w:szCs w:val="24"/>
              </w:rPr>
              <w:t xml:space="preserve"> make their own decisions. In adult safeguarding, we must consider whether the person understands the information, can retain it, weigh it up, and communicate their decision. If they are assessed as lacking capacity, professionals must act in their best interests (Department for Constitutional Affairs, 2007).</w:t>
            </w:r>
          </w:p>
          <w:p w14:paraId="148F7D54" w14:textId="77777777" w:rsidR="003F4681" w:rsidRPr="003F4681" w:rsidRDefault="003F4681" w:rsidP="00991174">
            <w:pPr>
              <w:spacing w:line="276" w:lineRule="auto"/>
              <w:jc w:val="both"/>
              <w:rPr>
                <w:sz w:val="24"/>
                <w:szCs w:val="24"/>
              </w:rPr>
            </w:pPr>
          </w:p>
          <w:p w14:paraId="6C8AEBB1" w14:textId="77777777" w:rsidR="00991174" w:rsidRDefault="003F4681" w:rsidP="00991174">
            <w:pPr>
              <w:spacing w:line="276" w:lineRule="auto"/>
              <w:jc w:val="both"/>
              <w:rPr>
                <w:sz w:val="24"/>
                <w:szCs w:val="24"/>
              </w:rPr>
            </w:pPr>
            <w:r w:rsidRPr="003F4681">
              <w:rPr>
                <w:sz w:val="24"/>
                <w:szCs w:val="24"/>
              </w:rPr>
              <w:t xml:space="preserve">Children under 16 are not covered by the Mental Capacity Act, but their ability to make decisions can be assessed using Gillick competence. This legal concept, based on Gillick v West Norfolk (1984), allows professionals to decide whether a child is mature enough to understand the situation and make an informed decision. As the NSPCC (2022) notes, the child must be capable of understanding the advantages and disadvantages of the decision </w:t>
            </w:r>
            <w:proofErr w:type="gramStart"/>
            <w:r w:rsidRPr="003F4681">
              <w:rPr>
                <w:sz w:val="24"/>
                <w:szCs w:val="24"/>
              </w:rPr>
              <w:t>in order for</w:t>
            </w:r>
            <w:proofErr w:type="gramEnd"/>
            <w:r w:rsidRPr="003F4681">
              <w:rPr>
                <w:sz w:val="24"/>
                <w:szCs w:val="24"/>
              </w:rPr>
              <w:t xml:space="preserve"> their consent to be considered valid.</w:t>
            </w:r>
            <w:r w:rsidR="00991174">
              <w:rPr>
                <w:sz w:val="24"/>
                <w:szCs w:val="24"/>
              </w:rPr>
              <w:t xml:space="preserve"> </w:t>
            </w:r>
          </w:p>
          <w:p w14:paraId="72FA22BB" w14:textId="77777777" w:rsidR="00991174" w:rsidRDefault="00991174" w:rsidP="00991174">
            <w:pPr>
              <w:spacing w:line="276" w:lineRule="auto"/>
              <w:jc w:val="both"/>
              <w:rPr>
                <w:sz w:val="24"/>
                <w:szCs w:val="24"/>
              </w:rPr>
            </w:pPr>
          </w:p>
          <w:p w14:paraId="45817A2D" w14:textId="5BF4F792" w:rsidR="003F4681" w:rsidRPr="003F4681" w:rsidRDefault="003F4681" w:rsidP="00991174">
            <w:pPr>
              <w:spacing w:line="276" w:lineRule="auto"/>
              <w:jc w:val="both"/>
              <w:rPr>
                <w:sz w:val="24"/>
                <w:szCs w:val="24"/>
              </w:rPr>
            </w:pPr>
            <w:r w:rsidRPr="003F4681">
              <w:rPr>
                <w:sz w:val="24"/>
                <w:szCs w:val="24"/>
              </w:rPr>
              <w:t>Self-neglect is another area where approaches differ. Adults have more freedom to live in ways others might consider risky or harmful, provided they have capacity and understand the consequences. Unless the person lacks capacity or there’s a significant risk, professionals cannot force them to accept help. However, according to the West Glamorgan Safeguarding Board (2023b), if an adult is believed to be at high risk of serious harm and refuses support, a safeguarding enquiry should still be considered.</w:t>
            </w:r>
            <w:r w:rsidR="00991174">
              <w:rPr>
                <w:sz w:val="24"/>
                <w:szCs w:val="24"/>
              </w:rPr>
              <w:t xml:space="preserve"> </w:t>
            </w:r>
            <w:r w:rsidRPr="003F4681">
              <w:rPr>
                <w:sz w:val="24"/>
                <w:szCs w:val="24"/>
              </w:rPr>
              <w:t>In contrast, with children, any signs of self-neglect often require immediate intervention. The Children Act 1989 places a duty on professionals to prioritise the child’s safety and well-being, even if this means acting without the child’s or parents’ agreement (Children Act, 1989).</w:t>
            </w:r>
          </w:p>
          <w:p w14:paraId="1338DA61" w14:textId="77777777" w:rsidR="003F4681" w:rsidRPr="003F4681" w:rsidRDefault="003F4681" w:rsidP="003F4681">
            <w:pPr>
              <w:jc w:val="both"/>
              <w:rPr>
                <w:sz w:val="24"/>
                <w:szCs w:val="24"/>
              </w:rPr>
            </w:pPr>
          </w:p>
          <w:p w14:paraId="071E8067" w14:textId="22D29065" w:rsidR="003F4681" w:rsidRPr="003F4681" w:rsidRDefault="003F4681" w:rsidP="003F4681">
            <w:pPr>
              <w:jc w:val="both"/>
              <w:rPr>
                <w:sz w:val="24"/>
                <w:szCs w:val="24"/>
              </w:rPr>
            </w:pPr>
            <w:r w:rsidRPr="003F4681">
              <w:rPr>
                <w:sz w:val="24"/>
                <w:szCs w:val="24"/>
              </w:rPr>
              <w:t xml:space="preserve">In </w:t>
            </w:r>
            <w:r>
              <w:rPr>
                <w:sz w:val="24"/>
                <w:szCs w:val="24"/>
              </w:rPr>
              <w:t>conclusion</w:t>
            </w:r>
            <w:r w:rsidRPr="003F4681">
              <w:rPr>
                <w:sz w:val="24"/>
                <w:szCs w:val="24"/>
              </w:rPr>
              <w:t>, while the principles of safeguarding remain consistent</w:t>
            </w:r>
            <w:r>
              <w:rPr>
                <w:sz w:val="24"/>
                <w:szCs w:val="24"/>
              </w:rPr>
              <w:t xml:space="preserve"> - </w:t>
            </w:r>
            <w:r w:rsidRPr="003F4681">
              <w:rPr>
                <w:sz w:val="24"/>
                <w:szCs w:val="24"/>
              </w:rPr>
              <w:t>protecting people from harm</w:t>
            </w:r>
            <w:r>
              <w:rPr>
                <w:sz w:val="24"/>
                <w:szCs w:val="24"/>
              </w:rPr>
              <w:t xml:space="preserve">, </w:t>
            </w:r>
            <w:r w:rsidRPr="003F4681">
              <w:rPr>
                <w:sz w:val="24"/>
                <w:szCs w:val="24"/>
              </w:rPr>
              <w:t>the way this is carried out differs depending on the person’s age, legal rights, and capacity to make decisions.</w:t>
            </w:r>
          </w:p>
          <w:p w14:paraId="383095A2" w14:textId="77777777" w:rsidR="003F4681" w:rsidRPr="003F4681" w:rsidRDefault="003F4681" w:rsidP="003F4681">
            <w:pPr>
              <w:jc w:val="both"/>
              <w:rPr>
                <w:sz w:val="24"/>
                <w:szCs w:val="24"/>
              </w:rPr>
            </w:pPr>
          </w:p>
          <w:p w14:paraId="3AE933C1" w14:textId="1D670194" w:rsidR="003F4681" w:rsidRPr="003F4681" w:rsidRDefault="00991174" w:rsidP="003F4681">
            <w:pPr>
              <w:jc w:val="both"/>
              <w:rPr>
                <w:sz w:val="24"/>
                <w:szCs w:val="24"/>
              </w:rPr>
            </w:pPr>
            <w:r>
              <w:rPr>
                <w:sz w:val="24"/>
                <w:szCs w:val="24"/>
              </w:rPr>
              <w:t>Word count 437</w:t>
            </w:r>
          </w:p>
          <w:p w14:paraId="1F734D08" w14:textId="77777777" w:rsidR="003F4681" w:rsidRPr="003F4681" w:rsidRDefault="003F4681" w:rsidP="003F4681">
            <w:pPr>
              <w:jc w:val="both"/>
              <w:rPr>
                <w:sz w:val="24"/>
                <w:szCs w:val="24"/>
              </w:rPr>
            </w:pPr>
          </w:p>
          <w:p w14:paraId="255EDE2F" w14:textId="77777777" w:rsidR="003F4681" w:rsidRPr="003F4681" w:rsidRDefault="003F4681" w:rsidP="003F4681">
            <w:pPr>
              <w:jc w:val="both"/>
              <w:rPr>
                <w:sz w:val="24"/>
                <w:szCs w:val="24"/>
              </w:rPr>
            </w:pPr>
          </w:p>
          <w:p w14:paraId="308D2545" w14:textId="77777777" w:rsidR="003F4681" w:rsidRPr="003F4681" w:rsidRDefault="003F4681" w:rsidP="003F4681">
            <w:pPr>
              <w:jc w:val="both"/>
              <w:rPr>
                <w:sz w:val="24"/>
                <w:szCs w:val="24"/>
              </w:rPr>
            </w:pPr>
          </w:p>
          <w:p w14:paraId="31DBA5CE" w14:textId="77777777" w:rsidR="003F4681" w:rsidRPr="003F4681" w:rsidRDefault="003F4681" w:rsidP="003F4681">
            <w:pPr>
              <w:jc w:val="both"/>
              <w:rPr>
                <w:sz w:val="24"/>
                <w:szCs w:val="24"/>
              </w:rPr>
            </w:pPr>
          </w:p>
          <w:p w14:paraId="396A6825" w14:textId="77777777" w:rsidR="003F4681" w:rsidRPr="003F4681" w:rsidRDefault="003F4681" w:rsidP="003F4681">
            <w:pPr>
              <w:jc w:val="both"/>
              <w:rPr>
                <w:sz w:val="24"/>
                <w:szCs w:val="24"/>
              </w:rPr>
            </w:pPr>
          </w:p>
          <w:p w14:paraId="4DB1BC75" w14:textId="77777777" w:rsidR="00250C7F" w:rsidRDefault="00250C7F" w:rsidP="00FC0334">
            <w:pPr>
              <w:jc w:val="both"/>
              <w:rPr>
                <w:sz w:val="24"/>
                <w:szCs w:val="24"/>
              </w:rPr>
            </w:pPr>
          </w:p>
          <w:bookmarkEnd w:id="3"/>
          <w:bookmarkEnd w:id="4"/>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9C6664"/>
    <w:multiLevelType w:val="hybridMultilevel"/>
    <w:tmpl w:val="9DE63194"/>
    <w:lvl w:ilvl="0" w:tplc="3FEA5DF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26725FD"/>
    <w:multiLevelType w:val="hybridMultilevel"/>
    <w:tmpl w:val="24F06206"/>
    <w:lvl w:ilvl="0" w:tplc="3FEA5DF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59A5B30"/>
    <w:multiLevelType w:val="hybridMultilevel"/>
    <w:tmpl w:val="AE92AAF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0F07324"/>
    <w:multiLevelType w:val="hybridMultilevel"/>
    <w:tmpl w:val="F7644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9"/>
  </w:num>
  <w:num w:numId="4" w16cid:durableId="1850633156">
    <w:abstractNumId w:val="51"/>
  </w:num>
  <w:num w:numId="5" w16cid:durableId="2042589495">
    <w:abstractNumId w:val="37"/>
  </w:num>
  <w:num w:numId="6" w16cid:durableId="933980368">
    <w:abstractNumId w:val="35"/>
  </w:num>
  <w:num w:numId="7" w16cid:durableId="1060399973">
    <w:abstractNumId w:val="32"/>
  </w:num>
  <w:num w:numId="8" w16cid:durableId="1237400777">
    <w:abstractNumId w:val="33"/>
  </w:num>
  <w:num w:numId="9" w16cid:durableId="1914463563">
    <w:abstractNumId w:val="11"/>
  </w:num>
  <w:num w:numId="10" w16cid:durableId="693307142">
    <w:abstractNumId w:val="36"/>
  </w:num>
  <w:num w:numId="11" w16cid:durableId="141846751">
    <w:abstractNumId w:val="18"/>
  </w:num>
  <w:num w:numId="12" w16cid:durableId="1310867263">
    <w:abstractNumId w:val="17"/>
  </w:num>
  <w:num w:numId="13" w16cid:durableId="65736213">
    <w:abstractNumId w:val="29"/>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30"/>
  </w:num>
  <w:num w:numId="24" w16cid:durableId="317615789">
    <w:abstractNumId w:val="20"/>
  </w:num>
  <w:num w:numId="25" w16cid:durableId="856430468">
    <w:abstractNumId w:val="44"/>
  </w:num>
  <w:num w:numId="26" w16cid:durableId="1104690971">
    <w:abstractNumId w:val="38"/>
  </w:num>
  <w:num w:numId="27" w16cid:durableId="1201670287">
    <w:abstractNumId w:val="43"/>
  </w:num>
  <w:num w:numId="28" w16cid:durableId="598562144">
    <w:abstractNumId w:val="21"/>
  </w:num>
  <w:num w:numId="29" w16cid:durableId="871068292">
    <w:abstractNumId w:val="47"/>
  </w:num>
  <w:num w:numId="30" w16cid:durableId="482159744">
    <w:abstractNumId w:val="34"/>
  </w:num>
  <w:num w:numId="31" w16cid:durableId="1565527110">
    <w:abstractNumId w:val="13"/>
  </w:num>
  <w:num w:numId="32" w16cid:durableId="1175995731">
    <w:abstractNumId w:val="48"/>
  </w:num>
  <w:num w:numId="33" w16cid:durableId="694232600">
    <w:abstractNumId w:val="42"/>
  </w:num>
  <w:num w:numId="34" w16cid:durableId="1062095063">
    <w:abstractNumId w:val="6"/>
  </w:num>
  <w:num w:numId="35" w16cid:durableId="2051881075">
    <w:abstractNumId w:val="50"/>
  </w:num>
  <w:num w:numId="36" w16cid:durableId="2107188112">
    <w:abstractNumId w:val="46"/>
  </w:num>
  <w:num w:numId="37" w16cid:durableId="1313413796">
    <w:abstractNumId w:val="39"/>
  </w:num>
  <w:num w:numId="38" w16cid:durableId="1682197957">
    <w:abstractNumId w:val="40"/>
  </w:num>
  <w:num w:numId="39" w16cid:durableId="340203735">
    <w:abstractNumId w:val="5"/>
  </w:num>
  <w:num w:numId="40" w16cid:durableId="1266502755">
    <w:abstractNumId w:val="7"/>
  </w:num>
  <w:num w:numId="41" w16cid:durableId="2138642120">
    <w:abstractNumId w:val="26"/>
  </w:num>
  <w:num w:numId="42" w16cid:durableId="2082366208">
    <w:abstractNumId w:val="8"/>
  </w:num>
  <w:num w:numId="43" w16cid:durableId="488403910">
    <w:abstractNumId w:val="4"/>
  </w:num>
  <w:num w:numId="44" w16cid:durableId="210268195">
    <w:abstractNumId w:val="41"/>
  </w:num>
  <w:num w:numId="45" w16cid:durableId="891695978">
    <w:abstractNumId w:val="0"/>
  </w:num>
  <w:num w:numId="46" w16cid:durableId="827289017">
    <w:abstractNumId w:val="15"/>
  </w:num>
  <w:num w:numId="47" w16cid:durableId="167212813">
    <w:abstractNumId w:val="52"/>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0"/>
  </w:num>
  <w:num w:numId="51" w16cid:durableId="536360681">
    <w:abstractNumId w:val="25"/>
  </w:num>
  <w:num w:numId="52" w16cid:durableId="1666274935">
    <w:abstractNumId w:val="22"/>
  </w:num>
  <w:num w:numId="53" w16cid:durableId="435172075">
    <w:abstractNumId w:val="2"/>
  </w:num>
  <w:num w:numId="54" w16cid:durableId="1693190300">
    <w:abstractNumId w:val="45"/>
  </w:num>
  <w:num w:numId="55" w16cid:durableId="171919471">
    <w:abstractNumId w:val="28"/>
  </w:num>
  <w:num w:numId="56" w16cid:durableId="1977173670">
    <w:abstractNumId w:val="3"/>
  </w:num>
  <w:num w:numId="57" w16cid:durableId="2126145264">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2D80"/>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193A"/>
    <w:rsid w:val="00083D99"/>
    <w:rsid w:val="00084DA6"/>
    <w:rsid w:val="00085699"/>
    <w:rsid w:val="00090160"/>
    <w:rsid w:val="00091F52"/>
    <w:rsid w:val="00092970"/>
    <w:rsid w:val="00093720"/>
    <w:rsid w:val="000938E6"/>
    <w:rsid w:val="00093B3C"/>
    <w:rsid w:val="0009488C"/>
    <w:rsid w:val="00095C1B"/>
    <w:rsid w:val="00095F2F"/>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7EA5"/>
    <w:rsid w:val="0019496C"/>
    <w:rsid w:val="001961CF"/>
    <w:rsid w:val="001A59BB"/>
    <w:rsid w:val="001A607E"/>
    <w:rsid w:val="001A6A51"/>
    <w:rsid w:val="001A79C4"/>
    <w:rsid w:val="001B331A"/>
    <w:rsid w:val="001C0237"/>
    <w:rsid w:val="001C0E74"/>
    <w:rsid w:val="001C4DB8"/>
    <w:rsid w:val="001C50B8"/>
    <w:rsid w:val="001D229F"/>
    <w:rsid w:val="001E2EB6"/>
    <w:rsid w:val="001E2EDB"/>
    <w:rsid w:val="001E5901"/>
    <w:rsid w:val="001F4552"/>
    <w:rsid w:val="002019EB"/>
    <w:rsid w:val="00203EF9"/>
    <w:rsid w:val="00204B58"/>
    <w:rsid w:val="00205051"/>
    <w:rsid w:val="002062E8"/>
    <w:rsid w:val="00211F65"/>
    <w:rsid w:val="00214047"/>
    <w:rsid w:val="00216563"/>
    <w:rsid w:val="0021792F"/>
    <w:rsid w:val="00220D06"/>
    <w:rsid w:val="002246A0"/>
    <w:rsid w:val="00230439"/>
    <w:rsid w:val="002309A7"/>
    <w:rsid w:val="00232A09"/>
    <w:rsid w:val="00235176"/>
    <w:rsid w:val="00236061"/>
    <w:rsid w:val="0024100E"/>
    <w:rsid w:val="00241C1B"/>
    <w:rsid w:val="0024288B"/>
    <w:rsid w:val="00243DB0"/>
    <w:rsid w:val="00247265"/>
    <w:rsid w:val="0025057C"/>
    <w:rsid w:val="00250C7F"/>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A6C9E"/>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6629D"/>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4681"/>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17F4"/>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E7DDB"/>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4EEB"/>
    <w:rsid w:val="00546187"/>
    <w:rsid w:val="00547B11"/>
    <w:rsid w:val="00557D77"/>
    <w:rsid w:val="00562EAA"/>
    <w:rsid w:val="00563B58"/>
    <w:rsid w:val="005640C4"/>
    <w:rsid w:val="0056684C"/>
    <w:rsid w:val="00574A0C"/>
    <w:rsid w:val="0057780F"/>
    <w:rsid w:val="00581E0A"/>
    <w:rsid w:val="00582684"/>
    <w:rsid w:val="00586D89"/>
    <w:rsid w:val="005877C8"/>
    <w:rsid w:val="00587923"/>
    <w:rsid w:val="00594F9F"/>
    <w:rsid w:val="005A1B4C"/>
    <w:rsid w:val="005A545C"/>
    <w:rsid w:val="005B1811"/>
    <w:rsid w:val="005B271A"/>
    <w:rsid w:val="005B3A2D"/>
    <w:rsid w:val="005C1567"/>
    <w:rsid w:val="005C20D1"/>
    <w:rsid w:val="005C28D3"/>
    <w:rsid w:val="005C43CE"/>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A68E8"/>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583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1D3C"/>
    <w:rsid w:val="008629E5"/>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56E1"/>
    <w:rsid w:val="00956AE9"/>
    <w:rsid w:val="00964CC6"/>
    <w:rsid w:val="00967BFA"/>
    <w:rsid w:val="0097240A"/>
    <w:rsid w:val="0098262C"/>
    <w:rsid w:val="0098427C"/>
    <w:rsid w:val="00986B43"/>
    <w:rsid w:val="00986C0B"/>
    <w:rsid w:val="00986D46"/>
    <w:rsid w:val="00991174"/>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28D7"/>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08AD"/>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4D30"/>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488"/>
    <w:rsid w:val="00D0274B"/>
    <w:rsid w:val="00D0503D"/>
    <w:rsid w:val="00D052BC"/>
    <w:rsid w:val="00D07026"/>
    <w:rsid w:val="00D146AE"/>
    <w:rsid w:val="00D22C8F"/>
    <w:rsid w:val="00D3203C"/>
    <w:rsid w:val="00D33491"/>
    <w:rsid w:val="00D3442D"/>
    <w:rsid w:val="00D36F00"/>
    <w:rsid w:val="00D378FA"/>
    <w:rsid w:val="00D44B67"/>
    <w:rsid w:val="00D44F8E"/>
    <w:rsid w:val="00D51FD5"/>
    <w:rsid w:val="00D55DE0"/>
    <w:rsid w:val="00D607EF"/>
    <w:rsid w:val="00D60F88"/>
    <w:rsid w:val="00D646BD"/>
    <w:rsid w:val="00D65558"/>
    <w:rsid w:val="00D71201"/>
    <w:rsid w:val="00D720C7"/>
    <w:rsid w:val="00D74CCF"/>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27A3"/>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A60"/>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116"/>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EC0A60"/>
    <w:rPr>
      <w:color w:val="605E5C"/>
      <w:shd w:val="clear" w:color="auto" w:fill="E1DFDD"/>
    </w:rPr>
  </w:style>
  <w:style w:type="paragraph" w:styleId="ListParagraph">
    <w:name w:val="List Paragraph"/>
    <w:basedOn w:val="Normal"/>
    <w:uiPriority w:val="34"/>
    <w:qFormat/>
    <w:rsid w:val="00D74C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wright@npt.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1120</Words>
  <Characters>6123</Characters>
  <Application>Microsoft Office Word</Application>
  <DocSecurity>0</DocSecurity>
  <Lines>165</Lines>
  <Paragraphs>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Julie Wright</cp:lastModifiedBy>
  <cp:revision>2</cp:revision>
  <cp:lastPrinted>2020-02-11T19:20:00Z</cp:lastPrinted>
  <dcterms:created xsi:type="dcterms:W3CDTF">2025-07-21T09:15:00Z</dcterms:created>
  <dcterms:modified xsi:type="dcterms:W3CDTF">2025-07-21T09:15:00Z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443f8ced79ae681ee026e23474bd56b682238a625d58088210a8eff529da1647</vt:lpwstr>
  </property>
</Properties>
</file>