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5187A" w14:textId="77777777" w:rsidR="00A8763A" w:rsidRPr="00A8763A" w:rsidRDefault="00A8763A" w:rsidP="007A020C">
      <w:pPr>
        <w:pStyle w:val="p1"/>
        <w:rPr>
          <w:rFonts w:ascii="Arial" w:eastAsia="SimSun" w:hAnsi="Arial" w:cs="Arial"/>
          <w:color w:val="000000" w:themeColor="text1"/>
          <w:kern w:val="24"/>
          <w:sz w:val="24"/>
          <w:szCs w:val="24"/>
        </w:rPr>
      </w:pPr>
      <w:r w:rsidRPr="00A8763A">
        <w:rPr>
          <w:rFonts w:ascii="Arial" w:eastAsia="SimSun" w:hAnsi="Arial" w:cs="Arial"/>
          <w:color w:val="000000" w:themeColor="text1"/>
          <w:kern w:val="24"/>
          <w:sz w:val="24"/>
          <w:szCs w:val="24"/>
        </w:rPr>
        <w:t>I confirm that I have not presented any AI generated text as my own work. I confirm I have copies of my drafts, notes, and other resources I used before, and after the use of AI tools which I may be asked to provide in evidence.</w:t>
      </w:r>
    </w:p>
    <w:p w14:paraId="3578EB2B" w14:textId="77777777" w:rsidR="00A8763A" w:rsidRPr="00A8763A" w:rsidRDefault="00A8763A" w:rsidP="007A020C">
      <w:pPr>
        <w:pStyle w:val="p1"/>
        <w:rPr>
          <w:rFonts w:ascii="Arial" w:eastAsia="SimSun" w:hAnsi="Arial" w:cs="Arial"/>
          <w:color w:val="000000" w:themeColor="text1"/>
          <w:kern w:val="24"/>
          <w:sz w:val="24"/>
          <w:szCs w:val="24"/>
        </w:rPr>
      </w:pPr>
    </w:p>
    <w:p w14:paraId="7AE2AB35" w14:textId="77777777" w:rsidR="00A8763A" w:rsidRPr="00A8763A" w:rsidRDefault="00A8763A" w:rsidP="007A020C">
      <w:pPr>
        <w:pStyle w:val="p1"/>
        <w:rPr>
          <w:rFonts w:ascii="Arial" w:hAnsi="Arial" w:cs="Arial"/>
          <w:b/>
          <w:bCs/>
          <w:color w:val="000000" w:themeColor="text1"/>
          <w:sz w:val="24"/>
          <w:szCs w:val="24"/>
        </w:rPr>
      </w:pPr>
    </w:p>
    <w:p w14:paraId="64CF013E" w14:textId="3D97FD0A" w:rsidR="00A8763A" w:rsidRPr="00A8763A" w:rsidRDefault="00A8763A" w:rsidP="007A020C">
      <w:pPr>
        <w:pStyle w:val="p1"/>
        <w:rPr>
          <w:rStyle w:val="apple-converted-space"/>
          <w:rFonts w:ascii="Arial" w:eastAsia="Times New Roman" w:hAnsi="Arial" w:cs="Arial"/>
          <w:b/>
          <w:bCs/>
          <w:color w:val="000000" w:themeColor="text1"/>
          <w:sz w:val="24"/>
          <w:szCs w:val="24"/>
          <w:shd w:val="clear" w:color="auto" w:fill="FFFFFF"/>
        </w:rPr>
      </w:pPr>
      <w:r w:rsidRPr="00A8763A">
        <w:rPr>
          <w:rFonts w:ascii="Arial" w:hAnsi="Arial" w:cs="Arial"/>
          <w:b/>
          <w:bCs/>
          <w:color w:val="000000" w:themeColor="text1"/>
          <w:sz w:val="24"/>
          <w:szCs w:val="24"/>
        </w:rPr>
        <w:t>People across Time (HPFY3014)</w:t>
      </w:r>
      <w:r w:rsidRPr="00A8763A">
        <w:rPr>
          <w:rFonts w:ascii="Arial" w:hAnsi="Arial" w:cs="Arial"/>
          <w:color w:val="000000" w:themeColor="text1"/>
          <w:sz w:val="24"/>
          <w:szCs w:val="24"/>
        </w:rPr>
        <w:t xml:space="preserve">, </w:t>
      </w:r>
      <w:r w:rsidRPr="00A8763A">
        <w:rPr>
          <w:rFonts w:ascii="Arial" w:eastAsia="Times New Roman" w:hAnsi="Arial" w:cs="Arial"/>
          <w:b/>
          <w:bCs/>
          <w:color w:val="000000" w:themeColor="text1"/>
          <w:sz w:val="24"/>
          <w:szCs w:val="24"/>
          <w:shd w:val="clear" w:color="auto" w:fill="FFFFFF"/>
        </w:rPr>
        <w:t>Essay</w:t>
      </w:r>
    </w:p>
    <w:p w14:paraId="5465E2A8" w14:textId="77777777" w:rsidR="00A8763A" w:rsidRDefault="00A8763A" w:rsidP="00787A0E">
      <w:pPr>
        <w:pStyle w:val="Title"/>
        <w:rPr>
          <w:rFonts w:ascii="Arial" w:hAnsi="Arial" w:cs="Arial"/>
          <w:b/>
          <w:bCs/>
          <w:color w:val="000000" w:themeColor="text1"/>
          <w:sz w:val="24"/>
          <w:szCs w:val="24"/>
        </w:rPr>
      </w:pPr>
    </w:p>
    <w:p w14:paraId="4E8A24CE" w14:textId="53F40B64" w:rsidR="00787A0E" w:rsidRPr="00605A3E" w:rsidRDefault="000629CD" w:rsidP="00787A0E">
      <w:pPr>
        <w:pStyle w:val="Title"/>
        <w:rPr>
          <w:rFonts w:ascii="Arial" w:hAnsi="Arial" w:cs="Arial"/>
          <w:b/>
          <w:bCs/>
          <w:color w:val="000000" w:themeColor="text1"/>
          <w:sz w:val="24"/>
          <w:szCs w:val="24"/>
        </w:rPr>
      </w:pPr>
      <w:r w:rsidRPr="00605A3E">
        <w:rPr>
          <w:rFonts w:ascii="Arial" w:hAnsi="Arial" w:cs="Arial"/>
          <w:b/>
          <w:bCs/>
          <w:color w:val="000000" w:themeColor="text1"/>
          <w:sz w:val="24"/>
          <w:szCs w:val="24"/>
        </w:rPr>
        <w:t>Adapt and Rule: Environmental and Cultural Adaptation in British India, 1757–1857</w:t>
      </w:r>
    </w:p>
    <w:p w14:paraId="6654A44D" w14:textId="6C85AC6E"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During the Modern World period, the British Empire reached its apex as the largest imperial power in history</w:t>
      </w:r>
      <w:r w:rsidR="00010344" w:rsidRPr="003007C7">
        <w:rPr>
          <w:rFonts w:ascii="Arial" w:hAnsi="Arial" w:cs="Arial"/>
          <w:color w:val="000000" w:themeColor="text1"/>
          <w:szCs w:val="24"/>
        </w:rPr>
        <w:t xml:space="preserve">. The Empire </w:t>
      </w:r>
      <w:r w:rsidR="00A93DF1" w:rsidRPr="003007C7">
        <w:rPr>
          <w:rFonts w:ascii="Arial" w:hAnsi="Arial" w:cs="Arial"/>
          <w:color w:val="000000" w:themeColor="text1"/>
          <w:szCs w:val="24"/>
        </w:rPr>
        <w:t>the sun never set</w:t>
      </w:r>
      <w:r w:rsidR="002329C1" w:rsidRPr="003007C7">
        <w:rPr>
          <w:rFonts w:ascii="Arial" w:hAnsi="Arial" w:cs="Arial"/>
          <w:color w:val="000000" w:themeColor="text1"/>
          <w:szCs w:val="24"/>
        </w:rPr>
        <w:t>s, nowhere</w:t>
      </w:r>
      <w:r w:rsidRPr="003007C7">
        <w:rPr>
          <w:rFonts w:ascii="Arial" w:hAnsi="Arial" w:cs="Arial"/>
          <w:color w:val="000000" w:themeColor="text1"/>
          <w:szCs w:val="24"/>
        </w:rPr>
        <w:t xml:space="preserve"> was its influence</w:t>
      </w:r>
      <w:r w:rsidR="003060B8" w:rsidRPr="003007C7">
        <w:rPr>
          <w:rFonts w:ascii="Arial" w:hAnsi="Arial" w:cs="Arial"/>
          <w:color w:val="000000" w:themeColor="text1"/>
          <w:szCs w:val="24"/>
        </w:rPr>
        <w:t xml:space="preserve"> more</w:t>
      </w:r>
      <w:r w:rsidRPr="003007C7">
        <w:rPr>
          <w:rFonts w:ascii="Arial" w:hAnsi="Arial" w:cs="Arial"/>
          <w:color w:val="000000" w:themeColor="text1"/>
          <w:szCs w:val="24"/>
        </w:rPr>
        <w:t xml:space="preserve"> profound than in India, which came under </w:t>
      </w:r>
      <w:r w:rsidR="00065E65" w:rsidRPr="003007C7">
        <w:rPr>
          <w:rFonts w:ascii="Arial" w:hAnsi="Arial" w:cs="Arial"/>
          <w:color w:val="000000" w:themeColor="text1"/>
          <w:szCs w:val="24"/>
        </w:rPr>
        <w:t>r</w:t>
      </w:r>
      <w:r w:rsidR="001E2312" w:rsidRPr="003007C7">
        <w:rPr>
          <w:rFonts w:ascii="Arial" w:hAnsi="Arial" w:cs="Arial"/>
          <w:color w:val="000000" w:themeColor="text1"/>
          <w:szCs w:val="24"/>
        </w:rPr>
        <w:t>eign</w:t>
      </w:r>
      <w:r w:rsidR="00065E65" w:rsidRPr="003007C7">
        <w:rPr>
          <w:rFonts w:ascii="Arial" w:hAnsi="Arial" w:cs="Arial"/>
          <w:color w:val="000000" w:themeColor="text1"/>
          <w:szCs w:val="24"/>
        </w:rPr>
        <w:t xml:space="preserve"> of the </w:t>
      </w:r>
      <w:r w:rsidR="006F4223" w:rsidRPr="003007C7">
        <w:rPr>
          <w:rFonts w:ascii="Arial" w:hAnsi="Arial" w:cs="Arial"/>
          <w:color w:val="000000" w:themeColor="text1"/>
          <w:szCs w:val="24"/>
        </w:rPr>
        <w:t>British Empire</w:t>
      </w:r>
      <w:r w:rsidRPr="003007C7">
        <w:rPr>
          <w:rFonts w:ascii="Arial" w:hAnsi="Arial" w:cs="Arial"/>
          <w:color w:val="000000" w:themeColor="text1"/>
          <w:szCs w:val="24"/>
        </w:rPr>
        <w:t xml:space="preserve"> following the East India Company’s victory at the Battle of Plassey in 1757. Over the next century, India became not only the "jewel in the crown" of British imperialism, but also a complex site of cultural negotiation and environmental adaptation. </w:t>
      </w:r>
      <w:r w:rsidR="00F95096">
        <w:rPr>
          <w:rFonts w:ascii="Arial" w:hAnsi="Arial" w:cs="Arial"/>
          <w:color w:val="000000" w:themeColor="text1"/>
          <w:szCs w:val="24"/>
        </w:rPr>
        <w:t>Within this</w:t>
      </w:r>
      <w:r w:rsidRPr="003007C7">
        <w:rPr>
          <w:rFonts w:ascii="Arial" w:hAnsi="Arial" w:cs="Arial"/>
          <w:color w:val="000000" w:themeColor="text1"/>
          <w:szCs w:val="24"/>
        </w:rPr>
        <w:t xml:space="preserve"> essay</w:t>
      </w:r>
      <w:r w:rsidR="00CF62C9">
        <w:rPr>
          <w:rFonts w:ascii="Arial" w:hAnsi="Arial" w:cs="Arial"/>
          <w:color w:val="000000" w:themeColor="text1"/>
          <w:szCs w:val="24"/>
        </w:rPr>
        <w:t xml:space="preserve"> I have </w:t>
      </w:r>
      <w:r w:rsidRPr="003007C7">
        <w:rPr>
          <w:rFonts w:ascii="Arial" w:hAnsi="Arial" w:cs="Arial"/>
          <w:color w:val="000000" w:themeColor="text1"/>
          <w:szCs w:val="24"/>
        </w:rPr>
        <w:t>examine</w:t>
      </w:r>
      <w:r w:rsidR="00CF62C9">
        <w:rPr>
          <w:rFonts w:ascii="Arial" w:hAnsi="Arial" w:cs="Arial"/>
          <w:color w:val="000000" w:themeColor="text1"/>
          <w:szCs w:val="24"/>
        </w:rPr>
        <w:t>d</w:t>
      </w:r>
      <w:r w:rsidRPr="003007C7">
        <w:rPr>
          <w:rFonts w:ascii="Arial" w:hAnsi="Arial" w:cs="Arial"/>
          <w:color w:val="000000" w:themeColor="text1"/>
          <w:szCs w:val="24"/>
        </w:rPr>
        <w:t xml:space="preserve"> how British officials and settlers adapted to India’s physical environment and cultural landscape between 1757 and 1857. Through an analysis of primary sources, colonial correspondence, and modern postcolonial scholarship, it argues that these adaptations were not merely responses to local conditions, but strategic tools for sustaining and legitimising British imperial rule. British environmental and cultural adaptations, though often framed as practical or benevolent, were deeply entangled with mechanisms of control, surveillance, and symbolic domination.</w:t>
      </w:r>
      <w:r w:rsidRPr="003007C7">
        <w:rPr>
          <w:rFonts w:ascii="Arial" w:hAnsi="Arial" w:cs="Arial"/>
          <w:color w:val="000000" w:themeColor="text1"/>
          <w:szCs w:val="24"/>
        </w:rPr>
        <w:br/>
      </w:r>
    </w:p>
    <w:p w14:paraId="582FF962" w14:textId="77777777" w:rsidR="00994D40" w:rsidRPr="003007C7" w:rsidRDefault="000629CD">
      <w:pPr>
        <w:pStyle w:val="Heading1"/>
        <w:rPr>
          <w:rFonts w:ascii="Arial" w:hAnsi="Arial" w:cs="Arial"/>
          <w:color w:val="000000" w:themeColor="text1"/>
          <w:sz w:val="24"/>
          <w:szCs w:val="24"/>
        </w:rPr>
      </w:pPr>
      <w:r w:rsidRPr="003007C7">
        <w:rPr>
          <w:rFonts w:ascii="Arial" w:hAnsi="Arial" w:cs="Arial"/>
          <w:color w:val="000000" w:themeColor="text1"/>
          <w:sz w:val="24"/>
          <w:szCs w:val="24"/>
        </w:rPr>
        <w:t>Environmental Adaptation: Climate, Disease, and Resource Control</w:t>
      </w:r>
    </w:p>
    <w:p w14:paraId="437F1585" w14:textId="73299780"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The challenges of India’s diverse and often extreme environment required swift adaptation from British officials and soldiers. The tropical heat, monsoon rains, and unfamiliar disease environments proved lethal for unacclimated Europeans. As early as the 1780s, British troops stationed in Bengal began altering their uniforms</w:t>
      </w:r>
      <w:r w:rsidR="00347DC9" w:rsidRPr="003007C7">
        <w:rPr>
          <w:rFonts w:ascii="Arial" w:hAnsi="Arial" w:cs="Arial"/>
          <w:color w:val="000000" w:themeColor="text1"/>
          <w:szCs w:val="24"/>
        </w:rPr>
        <w:t>. R</w:t>
      </w:r>
      <w:r w:rsidRPr="003007C7">
        <w:rPr>
          <w:rFonts w:ascii="Arial" w:hAnsi="Arial" w:cs="Arial"/>
          <w:color w:val="000000" w:themeColor="text1"/>
          <w:szCs w:val="24"/>
        </w:rPr>
        <w:t>eplacing traditional red coats with lighter materials and khaki-coloured clothing. By the 1850s, khaki had become standard wear for campaigns in India and across the empire, a pragmatic shift shaped by tactical necessity and environmental reality.</w:t>
      </w:r>
    </w:p>
    <w:p w14:paraId="7D695EE3" w14:textId="77777777"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 xml:space="preserve">Environmental historian David Arnold highlights how the British sought not just to adapt to India’s climate but to control it through infrastructure. Irrigation systems were expanded to increase the productivity of cotton, indigo, and opium, all vital to the imperial economy. Arnold argues, “Colonial medicine and public health functioned as forms of environmental governance,” where disease prevention </w:t>
      </w:r>
      <w:r w:rsidRPr="003007C7">
        <w:rPr>
          <w:rFonts w:ascii="Arial" w:hAnsi="Arial" w:cs="Arial"/>
          <w:color w:val="000000" w:themeColor="text1"/>
          <w:szCs w:val="24"/>
        </w:rPr>
        <w:lastRenderedPageBreak/>
        <w:t>became a justification for expanding imperial power (Arnold, 1993).</w:t>
      </w:r>
      <w:r w:rsidRPr="003007C7">
        <w:rPr>
          <w:rFonts w:ascii="Arial" w:hAnsi="Arial" w:cs="Arial"/>
          <w:color w:val="000000" w:themeColor="text1"/>
          <w:szCs w:val="24"/>
        </w:rPr>
        <w:br/>
      </w:r>
    </w:p>
    <w:p w14:paraId="4E6A26EC" w14:textId="77777777"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Cholera and malaria were endemic across large parts of India, and British medical officers responded by implementing sanitation schemes and quarantines, particularly in cities like Bombay and Calcutta. Yet these policies often served British populations more than the Indian majority. The colonial state’s emphasis on health thus reveals the dual logic of adaptation: it was both a response to local threats and a means to consolidate racial hierarchies through biopolitical management. Private William Thorn, writing in 1858, described the conditions during the 1857 Rebellion: “The sun was an enemy more feared than the sepoy,” reflecting the existential environmental threats British forces encountered (Thorn, 1858).</w:t>
      </w:r>
      <w:r w:rsidRPr="003007C7">
        <w:rPr>
          <w:rFonts w:ascii="Arial" w:hAnsi="Arial" w:cs="Arial"/>
          <w:color w:val="000000" w:themeColor="text1"/>
          <w:szCs w:val="24"/>
        </w:rPr>
        <w:br/>
      </w:r>
    </w:p>
    <w:p w14:paraId="5963FA55" w14:textId="77777777" w:rsidR="00994D40" w:rsidRPr="003007C7" w:rsidRDefault="000629CD">
      <w:pPr>
        <w:pStyle w:val="Heading1"/>
        <w:rPr>
          <w:rFonts w:ascii="Arial" w:hAnsi="Arial" w:cs="Arial"/>
          <w:color w:val="000000" w:themeColor="text1"/>
          <w:sz w:val="24"/>
          <w:szCs w:val="24"/>
        </w:rPr>
      </w:pPr>
      <w:r w:rsidRPr="003007C7">
        <w:rPr>
          <w:rFonts w:ascii="Arial" w:hAnsi="Arial" w:cs="Arial"/>
          <w:color w:val="000000" w:themeColor="text1"/>
          <w:sz w:val="24"/>
          <w:szCs w:val="24"/>
        </w:rPr>
        <w:t>Cultural Adaptation: Language, Education, and Governance</w:t>
      </w:r>
    </w:p>
    <w:p w14:paraId="6B877D79" w14:textId="521E6586"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In addition to the physical environment, British authorities had to navigate India’s diverse and deeply rooted cultural traditions. Early British governance relied heavily on pre-existing Mughal administrative systems, retaining Persian as the official language of administration into the early 19th century. However, as British confidence grew, so too did efforts to culturally Anglicise the Indian elite.</w:t>
      </w:r>
    </w:p>
    <w:p w14:paraId="47E568B1" w14:textId="2183A35A"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The most significant cultural intervention came in the form of education. In his 1835 “Minute on Indian Education,” Thomas Babington Macaulay famously argued for the creation of a class of Indians who would act as cultural intermediaries: “Indian in blood and colour, but English in taste, in opinions, in morals, and in intellect” (Macaulay, 1835). This effort to manufacture a loyal, Westernised elite was a calculated form of cultural adaptation that served imperial ends. English replaced Persian as the language of governance and education, reinforcing British cultural hegemony.</w:t>
      </w:r>
    </w:p>
    <w:p w14:paraId="46EE3122" w14:textId="77777777"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Cultural adaptation also took the form of symbolic governance. While the British outlawed some practices, such as sati (widow burning), they simultaneously preserved princely states and Hindu customs that aligned with their political objectives. Lord William Bentinck’s ban on sati in 1829 was heralded as a moral victory, but scholars like Edward Said would argue this was part of a broader orientalist framework, portraying the British as enlightened rulers rescuing ‘backward’ societies (Said, 1978). The manipulation of cultural narratives became a powerful justification for imperial control.</w:t>
      </w:r>
      <w:r w:rsidRPr="003007C7">
        <w:rPr>
          <w:rFonts w:ascii="Arial" w:hAnsi="Arial" w:cs="Arial"/>
          <w:color w:val="000000" w:themeColor="text1"/>
          <w:szCs w:val="24"/>
        </w:rPr>
        <w:br/>
      </w:r>
    </w:p>
    <w:p w14:paraId="3ADFAF3B" w14:textId="3C2345E8" w:rsidR="00994D40" w:rsidRPr="003007C7" w:rsidRDefault="000629CD">
      <w:pPr>
        <w:pStyle w:val="Heading1"/>
        <w:rPr>
          <w:rFonts w:ascii="Arial" w:hAnsi="Arial" w:cs="Arial"/>
          <w:color w:val="000000" w:themeColor="text1"/>
          <w:sz w:val="24"/>
          <w:szCs w:val="24"/>
        </w:rPr>
      </w:pPr>
      <w:r w:rsidRPr="003007C7">
        <w:rPr>
          <w:rFonts w:ascii="Arial" w:hAnsi="Arial" w:cs="Arial"/>
          <w:color w:val="000000" w:themeColor="text1"/>
          <w:sz w:val="24"/>
          <w:szCs w:val="24"/>
        </w:rPr>
        <w:lastRenderedPageBreak/>
        <w:t>Mutual Understanding or Manufactured Consent</w:t>
      </w:r>
    </w:p>
    <w:p w14:paraId="32524805" w14:textId="7026F4A0"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 xml:space="preserve">One of the most contentious aspects of British cultural adaptation is the claim—often made by colonial officials—that rule was </w:t>
      </w:r>
      <w:r w:rsidR="00C75595" w:rsidRPr="003007C7">
        <w:rPr>
          <w:rFonts w:ascii="Arial" w:hAnsi="Arial" w:cs="Arial"/>
          <w:color w:val="000000" w:themeColor="text1"/>
          <w:szCs w:val="24"/>
        </w:rPr>
        <w:t>supported</w:t>
      </w:r>
      <w:r w:rsidRPr="003007C7">
        <w:rPr>
          <w:rFonts w:ascii="Arial" w:hAnsi="Arial" w:cs="Arial"/>
          <w:color w:val="000000" w:themeColor="text1"/>
          <w:szCs w:val="24"/>
        </w:rPr>
        <w:t xml:space="preserve"> through “mutual understanding.” Sir Arthur Gordon’s comment </w:t>
      </w:r>
      <w:r w:rsidR="00C75595" w:rsidRPr="003007C7">
        <w:rPr>
          <w:rFonts w:ascii="Arial" w:hAnsi="Arial" w:cs="Arial"/>
          <w:color w:val="000000" w:themeColor="text1"/>
          <w:szCs w:val="24"/>
        </w:rPr>
        <w:t>on</w:t>
      </w:r>
      <w:r w:rsidRPr="003007C7">
        <w:rPr>
          <w:rFonts w:ascii="Arial" w:hAnsi="Arial" w:cs="Arial"/>
          <w:color w:val="000000" w:themeColor="text1"/>
          <w:szCs w:val="24"/>
        </w:rPr>
        <w:t xml:space="preserve"> British rule in Fiji (“we rule by mutual understanding”) mirrors similar claims made in India. However, </w:t>
      </w:r>
      <w:r w:rsidR="00AB6AD7" w:rsidRPr="003007C7">
        <w:rPr>
          <w:rFonts w:ascii="Arial" w:hAnsi="Arial" w:cs="Arial"/>
          <w:color w:val="000000" w:themeColor="text1"/>
          <w:szCs w:val="24"/>
        </w:rPr>
        <w:t xml:space="preserve">modern historians have heavily critiqued this </w:t>
      </w:r>
      <w:r w:rsidR="00ED3FEA" w:rsidRPr="003007C7">
        <w:rPr>
          <w:rFonts w:ascii="Arial" w:hAnsi="Arial" w:cs="Arial"/>
          <w:color w:val="000000" w:themeColor="text1"/>
          <w:szCs w:val="24"/>
        </w:rPr>
        <w:t>characterisation.</w:t>
      </w:r>
      <w:r w:rsidRPr="003007C7">
        <w:rPr>
          <w:rFonts w:ascii="Arial" w:hAnsi="Arial" w:cs="Arial"/>
          <w:color w:val="000000" w:themeColor="text1"/>
          <w:szCs w:val="24"/>
        </w:rPr>
        <w:t xml:space="preserve"> Terence Ranger, in his influential chapter in “The Invention of Tradition,” shows how British authorities often fabricated or selectively appropriated local customs to lend legitimacy to colonial rule (Ranger, 1983).</w:t>
      </w:r>
    </w:p>
    <w:p w14:paraId="19A1BCA3" w14:textId="317BA99F"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 xml:space="preserve">In India, traditional structures were preserved only when politically useful. The zamindari system, for example, allowed the British to collect taxes through local landlords, reducing administrative costs while reinforcing feudal hierarchies. Similarly, the continued recognition of Indian princes under indirect rule helped </w:t>
      </w:r>
      <w:r w:rsidR="00ED3FEA" w:rsidRPr="003007C7">
        <w:rPr>
          <w:rFonts w:ascii="Arial" w:hAnsi="Arial" w:cs="Arial"/>
          <w:color w:val="000000" w:themeColor="text1"/>
          <w:szCs w:val="24"/>
        </w:rPr>
        <w:t>support</w:t>
      </w:r>
      <w:r w:rsidRPr="003007C7">
        <w:rPr>
          <w:rFonts w:ascii="Arial" w:hAnsi="Arial" w:cs="Arial"/>
          <w:color w:val="000000" w:themeColor="text1"/>
          <w:szCs w:val="24"/>
        </w:rPr>
        <w:t xml:space="preserve"> the illusion of native sovereignty while real power </w:t>
      </w:r>
      <w:r w:rsidR="00ED3FEA" w:rsidRPr="003007C7">
        <w:rPr>
          <w:rFonts w:ascii="Arial" w:hAnsi="Arial" w:cs="Arial"/>
          <w:color w:val="000000" w:themeColor="text1"/>
          <w:szCs w:val="24"/>
        </w:rPr>
        <w:t>existed</w:t>
      </w:r>
      <w:r w:rsidRPr="003007C7">
        <w:rPr>
          <w:rFonts w:ascii="Arial" w:hAnsi="Arial" w:cs="Arial"/>
          <w:color w:val="000000" w:themeColor="text1"/>
          <w:szCs w:val="24"/>
        </w:rPr>
        <w:t xml:space="preserve"> with the colonial state. As Richard Ashcroft and Mark Bevir note, British adaptation to Indian culture was less about empathy and more about the strategic construction of a multicultural imperial identity (Ashcroft &amp; Bevir, 2019).</w:t>
      </w:r>
    </w:p>
    <w:p w14:paraId="55727767" w14:textId="1E2D91A2" w:rsidR="00912810" w:rsidRPr="003007C7" w:rsidRDefault="000629CD" w:rsidP="00912810">
      <w:pPr>
        <w:rPr>
          <w:rFonts w:ascii="Arial" w:hAnsi="Arial" w:cs="Arial"/>
          <w:color w:val="000000" w:themeColor="text1"/>
          <w:szCs w:val="24"/>
        </w:rPr>
      </w:pPr>
      <w:r w:rsidRPr="003007C7">
        <w:rPr>
          <w:rFonts w:ascii="Arial" w:hAnsi="Arial" w:cs="Arial"/>
          <w:color w:val="000000" w:themeColor="text1"/>
          <w:szCs w:val="24"/>
        </w:rPr>
        <w:t xml:space="preserve">These adaptations, while sometimes appearing conciliatory, </w:t>
      </w:r>
      <w:r w:rsidR="00ED3FEA" w:rsidRPr="003007C7">
        <w:rPr>
          <w:rFonts w:ascii="Arial" w:hAnsi="Arial" w:cs="Arial"/>
          <w:color w:val="000000" w:themeColor="text1"/>
          <w:szCs w:val="24"/>
        </w:rPr>
        <w:t>served</w:t>
      </w:r>
      <w:r w:rsidRPr="003007C7">
        <w:rPr>
          <w:rFonts w:ascii="Arial" w:hAnsi="Arial" w:cs="Arial"/>
          <w:color w:val="000000" w:themeColor="text1"/>
          <w:szCs w:val="24"/>
        </w:rPr>
        <w:t xml:space="preserve"> the purpose of </w:t>
      </w:r>
      <w:r w:rsidR="00A75949" w:rsidRPr="003007C7">
        <w:rPr>
          <w:rFonts w:ascii="Arial" w:hAnsi="Arial" w:cs="Arial"/>
          <w:color w:val="000000" w:themeColor="text1"/>
          <w:szCs w:val="24"/>
        </w:rPr>
        <w:t>supporting</w:t>
      </w:r>
      <w:r w:rsidRPr="003007C7">
        <w:rPr>
          <w:rFonts w:ascii="Arial" w:hAnsi="Arial" w:cs="Arial"/>
          <w:color w:val="000000" w:themeColor="text1"/>
          <w:szCs w:val="24"/>
        </w:rPr>
        <w:t xml:space="preserve"> control. The British Empire in India relied not on the eradication of Indian customs, but their selective reinterpretation and incorporation into a colonial framework. This form of cultural adaptation created a hybrid administrative system that was both familiar to the colonised and beneficial to the colonisers.</w:t>
      </w:r>
    </w:p>
    <w:p w14:paraId="7C5DB1D1" w14:textId="77777777" w:rsidR="00AA2CA3" w:rsidRPr="003007C7" w:rsidRDefault="00AA2CA3" w:rsidP="00912810">
      <w:pPr>
        <w:rPr>
          <w:rFonts w:ascii="Arial" w:hAnsi="Arial" w:cs="Arial"/>
          <w:color w:val="000000" w:themeColor="text1"/>
          <w:szCs w:val="24"/>
        </w:rPr>
      </w:pPr>
    </w:p>
    <w:p w14:paraId="49B8EB1B" w14:textId="5732DDC3" w:rsidR="00994D40" w:rsidRPr="005C0DAD" w:rsidRDefault="000629CD" w:rsidP="00912810">
      <w:pPr>
        <w:rPr>
          <w:rFonts w:ascii="Arial" w:hAnsi="Arial" w:cs="Arial"/>
          <w:b/>
          <w:bCs/>
          <w:color w:val="000000" w:themeColor="text1"/>
          <w:szCs w:val="24"/>
        </w:rPr>
      </w:pPr>
      <w:r w:rsidRPr="005C0DAD">
        <w:rPr>
          <w:rFonts w:ascii="Arial" w:hAnsi="Arial" w:cs="Arial"/>
          <w:b/>
          <w:bCs/>
          <w:color w:val="000000" w:themeColor="text1"/>
          <w:szCs w:val="24"/>
        </w:rPr>
        <w:t>Scholarly Approaches and Methodology</w:t>
      </w:r>
    </w:p>
    <w:p w14:paraId="5620464C" w14:textId="629E0805"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Modern historians employ a range of methodologies to study British adaptation in India. Postcolonial theorists like Edward Said emphasise the importance of language and representation in colonial discourse. Said’s concept of “orientalism” argues that Western depictions of the East were not neutral descriptions but tools of domination, constructing the East as inferior and in need of governance (Said, 1978).</w:t>
      </w:r>
    </w:p>
    <w:p w14:paraId="2F35A322" w14:textId="24977CDE"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t>Environmental historians such as David Arnold, on the other hand, focus on how ecological and medical challenges shaped imperial policy. Arnold’s work shows how disease, sanitation, and agriculture were central to the imperial project</w:t>
      </w:r>
      <w:r w:rsidR="006C569B" w:rsidRPr="003007C7">
        <w:rPr>
          <w:rFonts w:ascii="Arial" w:hAnsi="Arial" w:cs="Arial"/>
          <w:color w:val="000000" w:themeColor="text1"/>
          <w:szCs w:val="24"/>
        </w:rPr>
        <w:t xml:space="preserve"> </w:t>
      </w:r>
      <w:r w:rsidRPr="003007C7">
        <w:rPr>
          <w:rFonts w:ascii="Arial" w:hAnsi="Arial" w:cs="Arial"/>
          <w:color w:val="000000" w:themeColor="text1"/>
          <w:szCs w:val="24"/>
        </w:rPr>
        <w:t>not just as logistical challenges, but as political tools.</w:t>
      </w:r>
    </w:p>
    <w:p w14:paraId="37C01ACE" w14:textId="16717A19" w:rsidR="00994D40" w:rsidRPr="003007C7" w:rsidRDefault="000629CD">
      <w:pPr>
        <w:rPr>
          <w:rFonts w:ascii="Arial" w:hAnsi="Arial" w:cs="Arial"/>
          <w:color w:val="000000" w:themeColor="text1"/>
          <w:szCs w:val="24"/>
        </w:rPr>
      </w:pPr>
      <w:r w:rsidRPr="003007C7">
        <w:rPr>
          <w:rFonts w:ascii="Arial" w:hAnsi="Arial" w:cs="Arial"/>
          <w:color w:val="000000" w:themeColor="text1"/>
          <w:szCs w:val="24"/>
        </w:rPr>
        <w:lastRenderedPageBreak/>
        <w:t xml:space="preserve">Ethno-historians and scholars like Terence Ranger have also influenced the study of colonial adaptation by </w:t>
      </w:r>
      <w:r w:rsidR="00A75949" w:rsidRPr="003007C7">
        <w:rPr>
          <w:rFonts w:ascii="Arial" w:hAnsi="Arial" w:cs="Arial"/>
          <w:color w:val="000000" w:themeColor="text1"/>
          <w:szCs w:val="24"/>
        </w:rPr>
        <w:t>proving</w:t>
      </w:r>
      <w:r w:rsidRPr="003007C7">
        <w:rPr>
          <w:rFonts w:ascii="Arial" w:hAnsi="Arial" w:cs="Arial"/>
          <w:color w:val="000000" w:themeColor="text1"/>
          <w:szCs w:val="24"/>
        </w:rPr>
        <w:t xml:space="preserve"> how “tradition” itself was a colonial invention. These approaches collectively provide a richer, more critical understanding of how the British adapted to</w:t>
      </w:r>
      <w:r w:rsidR="00F63FAB" w:rsidRPr="003007C7">
        <w:rPr>
          <w:rFonts w:ascii="Arial" w:hAnsi="Arial" w:cs="Arial"/>
          <w:color w:val="000000" w:themeColor="text1"/>
          <w:szCs w:val="24"/>
        </w:rPr>
        <w:t xml:space="preserve"> </w:t>
      </w:r>
      <w:r w:rsidRPr="003007C7">
        <w:rPr>
          <w:rFonts w:ascii="Arial" w:hAnsi="Arial" w:cs="Arial"/>
          <w:color w:val="000000" w:themeColor="text1"/>
          <w:szCs w:val="24"/>
        </w:rPr>
        <w:t>and manipulated</w:t>
      </w:r>
      <w:r w:rsidR="00F63FAB" w:rsidRPr="003007C7">
        <w:rPr>
          <w:rFonts w:ascii="Arial" w:hAnsi="Arial" w:cs="Arial"/>
          <w:color w:val="000000" w:themeColor="text1"/>
          <w:szCs w:val="24"/>
        </w:rPr>
        <w:t xml:space="preserve"> </w:t>
      </w:r>
      <w:r w:rsidRPr="003007C7">
        <w:rPr>
          <w:rFonts w:ascii="Arial" w:hAnsi="Arial" w:cs="Arial"/>
          <w:color w:val="000000" w:themeColor="text1"/>
          <w:szCs w:val="24"/>
        </w:rPr>
        <w:t>Indian realities.</w:t>
      </w:r>
      <w:r w:rsidRPr="003007C7">
        <w:rPr>
          <w:rFonts w:ascii="Arial" w:hAnsi="Arial" w:cs="Arial"/>
          <w:color w:val="000000" w:themeColor="text1"/>
          <w:szCs w:val="24"/>
        </w:rPr>
        <w:br/>
      </w:r>
    </w:p>
    <w:p w14:paraId="4F8BFC6F" w14:textId="77777777" w:rsidR="005C0DAD" w:rsidRDefault="00FA70F3" w:rsidP="005C0DAD">
      <w:pPr>
        <w:spacing w:before="100" w:beforeAutospacing="1" w:after="100" w:afterAutospacing="1" w:line="240" w:lineRule="auto"/>
        <w:outlineLvl w:val="2"/>
        <w:divId w:val="1002120629"/>
        <w:rPr>
          <w:rFonts w:ascii="Arial" w:eastAsia="Times New Roman" w:hAnsi="Arial" w:cs="Arial"/>
          <w:b/>
          <w:bCs/>
          <w:color w:val="000000" w:themeColor="text1"/>
          <w:szCs w:val="24"/>
          <w:lang w:val="en-GB" w:eastAsia="en-GB"/>
        </w:rPr>
      </w:pPr>
      <w:r w:rsidRPr="00FA70F3">
        <w:rPr>
          <w:rFonts w:ascii="Arial" w:eastAsia="Times New Roman" w:hAnsi="Arial" w:cs="Arial"/>
          <w:b/>
          <w:bCs/>
          <w:color w:val="000000" w:themeColor="text1"/>
          <w:szCs w:val="24"/>
          <w:lang w:val="en-GB" w:eastAsia="en-GB"/>
        </w:rPr>
        <w:t>Personal Reflection: Lessons and Legacy</w:t>
      </w:r>
    </w:p>
    <w:p w14:paraId="21E3424D" w14:textId="0D9606B5" w:rsidR="00FA70F3" w:rsidRPr="005C0DAD" w:rsidRDefault="00FA70F3" w:rsidP="005C0DAD">
      <w:pPr>
        <w:spacing w:before="100" w:beforeAutospacing="1" w:after="100" w:afterAutospacing="1" w:line="240" w:lineRule="auto"/>
        <w:outlineLvl w:val="2"/>
        <w:divId w:val="1002120629"/>
        <w:rPr>
          <w:rFonts w:ascii="Arial" w:eastAsia="Times New Roman" w:hAnsi="Arial" w:cs="Arial"/>
          <w:b/>
          <w:bCs/>
          <w:color w:val="000000" w:themeColor="text1"/>
          <w:szCs w:val="24"/>
          <w:lang w:val="en-GB" w:eastAsia="en-GB"/>
        </w:rPr>
      </w:pPr>
      <w:r w:rsidRPr="00FA70F3">
        <w:rPr>
          <w:rFonts w:ascii="Arial" w:hAnsi="Arial" w:cs="Arial"/>
          <w:color w:val="000000" w:themeColor="text1"/>
          <w:szCs w:val="24"/>
          <w:lang w:val="en-GB" w:eastAsia="en-GB"/>
        </w:rPr>
        <w:t>Reflecting on the British experience in India between 1757 and 1857, it becomes clear that adaptation was both a necessity and a calculated tool of imperialism. While the British learned practical lessons—such as adjusting to India’s climate, disease environments, and administrative complexity—they also absorbed and reshaped traditions to serve their rule. Some adaptations, like sanitation and education reforms, left long-lasting institutional legacies, but they were often pursued with self-interest, not altruism. The selective preservation of Indian customs reminds us that empire was rarely about mutual respect; it was about maintaining control through familiarity. For modern audiences, one of the key lessons is that adaptation, when driven by power, can distort rather than preserve culture. Studying these dynamics offers a cautionary insight into how cultural and environmental interactions can be weaponised, even when they appear collaborative.</w:t>
      </w:r>
    </w:p>
    <w:p w14:paraId="7E8E7C96" w14:textId="77777777" w:rsidR="00FA70F3" w:rsidRPr="003007C7" w:rsidRDefault="00FA70F3" w:rsidP="00FA70F3">
      <w:pPr>
        <w:spacing w:before="100" w:beforeAutospacing="1" w:after="100" w:afterAutospacing="1" w:line="240" w:lineRule="auto"/>
        <w:divId w:val="1002120629"/>
        <w:rPr>
          <w:rFonts w:ascii="Arial" w:hAnsi="Arial" w:cs="Arial"/>
          <w:color w:val="000000" w:themeColor="text1"/>
          <w:szCs w:val="24"/>
          <w:lang w:val="en-GB" w:eastAsia="en-GB"/>
        </w:rPr>
      </w:pPr>
    </w:p>
    <w:p w14:paraId="6B2E8DD6" w14:textId="77777777" w:rsidR="000629CD" w:rsidRDefault="000629CD" w:rsidP="00FA70F3">
      <w:pPr>
        <w:spacing w:before="100" w:beforeAutospacing="1" w:after="100" w:afterAutospacing="1" w:line="240" w:lineRule="auto"/>
        <w:divId w:val="1002120629"/>
        <w:rPr>
          <w:rFonts w:ascii="Arial" w:hAnsi="Arial" w:cs="Arial"/>
          <w:b/>
          <w:bCs/>
          <w:color w:val="000000" w:themeColor="text1"/>
          <w:szCs w:val="24"/>
          <w:lang w:val="en-GB" w:eastAsia="en-GB"/>
        </w:rPr>
      </w:pPr>
      <w:r w:rsidRPr="0071459A">
        <w:rPr>
          <w:rFonts w:ascii="Arial" w:hAnsi="Arial" w:cs="Arial"/>
          <w:b/>
          <w:bCs/>
          <w:color w:val="000000" w:themeColor="text1"/>
          <w:szCs w:val="24"/>
        </w:rPr>
        <w:t>Conclusion</w:t>
      </w:r>
    </w:p>
    <w:p w14:paraId="75DDA656" w14:textId="22853427" w:rsidR="00994D40" w:rsidRPr="000629CD" w:rsidRDefault="000629CD" w:rsidP="00FA70F3">
      <w:pPr>
        <w:spacing w:before="100" w:beforeAutospacing="1" w:after="100" w:afterAutospacing="1" w:line="240" w:lineRule="auto"/>
        <w:divId w:val="1002120629"/>
        <w:rPr>
          <w:rFonts w:ascii="Arial" w:hAnsi="Arial" w:cs="Arial"/>
          <w:b/>
          <w:bCs/>
          <w:color w:val="000000" w:themeColor="text1"/>
          <w:szCs w:val="24"/>
          <w:lang w:val="en-GB" w:eastAsia="en-GB"/>
        </w:rPr>
      </w:pPr>
      <w:r w:rsidRPr="003007C7">
        <w:rPr>
          <w:rFonts w:ascii="Arial" w:hAnsi="Arial" w:cs="Arial"/>
          <w:color w:val="000000" w:themeColor="text1"/>
          <w:szCs w:val="24"/>
        </w:rPr>
        <w:t>Between 1757 and 1857, British adaptation to the Indian environment and culture was essential to imperial survival and dominance. While some of these adaptations were pragmatic responses to climate, disease, or linguistic barriers, they were also deeply embedded in strategies of control. British policies in education, law, health, and governance did not simply reflect local conditions</w:t>
      </w:r>
      <w:r w:rsidR="006C569B" w:rsidRPr="003007C7">
        <w:rPr>
          <w:rFonts w:ascii="Arial" w:hAnsi="Arial" w:cs="Arial"/>
          <w:color w:val="000000" w:themeColor="text1"/>
          <w:szCs w:val="24"/>
        </w:rPr>
        <w:t xml:space="preserve"> </w:t>
      </w:r>
      <w:r w:rsidRPr="003007C7">
        <w:rPr>
          <w:rFonts w:ascii="Arial" w:hAnsi="Arial" w:cs="Arial"/>
          <w:color w:val="000000" w:themeColor="text1"/>
          <w:szCs w:val="24"/>
        </w:rPr>
        <w:t xml:space="preserve">they reshaped them to suit imperial </w:t>
      </w:r>
      <w:r w:rsidR="00A75949" w:rsidRPr="003007C7">
        <w:rPr>
          <w:rFonts w:ascii="Arial" w:hAnsi="Arial" w:cs="Arial"/>
          <w:color w:val="000000" w:themeColor="text1"/>
          <w:szCs w:val="24"/>
        </w:rPr>
        <w:t>goals</w:t>
      </w:r>
      <w:r w:rsidRPr="003007C7">
        <w:rPr>
          <w:rFonts w:ascii="Arial" w:hAnsi="Arial" w:cs="Arial"/>
          <w:color w:val="000000" w:themeColor="text1"/>
          <w:szCs w:val="24"/>
        </w:rPr>
        <w:t>. Far from being evidence of mutual understanding, these adaptations reveal the flexibility of imperialism in preserving its power. Studying them through postcolonial, environmental, and cultural lenses helps expose the complexity</w:t>
      </w:r>
      <w:r w:rsidR="006C569B" w:rsidRPr="003007C7">
        <w:rPr>
          <w:rFonts w:ascii="Arial" w:hAnsi="Arial" w:cs="Arial"/>
          <w:color w:val="000000" w:themeColor="text1"/>
          <w:szCs w:val="24"/>
        </w:rPr>
        <w:t xml:space="preserve"> </w:t>
      </w:r>
      <w:r w:rsidRPr="003007C7">
        <w:rPr>
          <w:rFonts w:ascii="Arial" w:hAnsi="Arial" w:cs="Arial"/>
          <w:color w:val="000000" w:themeColor="text1"/>
          <w:szCs w:val="24"/>
        </w:rPr>
        <w:t>and contradictions</w:t>
      </w:r>
      <w:r w:rsidR="006C569B" w:rsidRPr="003007C7">
        <w:rPr>
          <w:rFonts w:ascii="Arial" w:hAnsi="Arial" w:cs="Arial"/>
          <w:color w:val="000000" w:themeColor="text1"/>
          <w:szCs w:val="24"/>
        </w:rPr>
        <w:t xml:space="preserve"> </w:t>
      </w:r>
      <w:r w:rsidRPr="003007C7">
        <w:rPr>
          <w:rFonts w:ascii="Arial" w:hAnsi="Arial" w:cs="Arial"/>
          <w:color w:val="000000" w:themeColor="text1"/>
          <w:szCs w:val="24"/>
        </w:rPr>
        <w:t>of the British imperial project in India.</w:t>
      </w:r>
      <w:r w:rsidRPr="003007C7">
        <w:rPr>
          <w:rFonts w:ascii="Arial" w:hAnsi="Arial" w:cs="Arial"/>
          <w:color w:val="000000" w:themeColor="text1"/>
          <w:szCs w:val="24"/>
        </w:rPr>
        <w:br/>
      </w:r>
    </w:p>
    <w:p w14:paraId="53432AA0" w14:textId="77777777" w:rsidR="00994D40" w:rsidRPr="003007C7" w:rsidRDefault="000629CD" w:rsidP="00E63D66">
      <w:pPr>
        <w:pStyle w:val="Heading1"/>
        <w:jc w:val="center"/>
        <w:rPr>
          <w:rFonts w:ascii="Arial" w:hAnsi="Arial" w:cs="Arial"/>
          <w:color w:val="000000" w:themeColor="text1"/>
          <w:sz w:val="24"/>
          <w:szCs w:val="24"/>
        </w:rPr>
      </w:pPr>
      <w:r w:rsidRPr="003007C7">
        <w:rPr>
          <w:rFonts w:ascii="Arial" w:hAnsi="Arial" w:cs="Arial"/>
          <w:color w:val="000000" w:themeColor="text1"/>
          <w:sz w:val="24"/>
          <w:szCs w:val="24"/>
        </w:rPr>
        <w:t>Bibliography</w:t>
      </w:r>
    </w:p>
    <w:p w14:paraId="52C71FDB" w14:textId="2C73742E" w:rsidR="00994D40" w:rsidRPr="003007C7" w:rsidRDefault="000629CD" w:rsidP="0078179F">
      <w:pPr>
        <w:ind w:left="720" w:hanging="720"/>
        <w:rPr>
          <w:rFonts w:ascii="Arial" w:hAnsi="Arial" w:cs="Arial"/>
          <w:color w:val="000000" w:themeColor="text1"/>
          <w:szCs w:val="24"/>
        </w:rPr>
      </w:pPr>
      <w:r w:rsidRPr="003007C7">
        <w:rPr>
          <w:rFonts w:ascii="Arial" w:hAnsi="Arial" w:cs="Arial"/>
          <w:color w:val="000000" w:themeColor="text1"/>
          <w:szCs w:val="24"/>
        </w:rPr>
        <w:t>Arnold, David. Colonizing the Body: State Medicine and Epidemic Disease in Nineteenth-Century India. University of California Press, 1993.</w:t>
      </w:r>
    </w:p>
    <w:p w14:paraId="3C1DE555" w14:textId="68C394D4" w:rsidR="00994D40" w:rsidRPr="003007C7" w:rsidRDefault="000629CD" w:rsidP="0078179F">
      <w:pPr>
        <w:ind w:left="720" w:hanging="720"/>
        <w:rPr>
          <w:rFonts w:ascii="Arial" w:hAnsi="Arial" w:cs="Arial"/>
          <w:color w:val="000000" w:themeColor="text1"/>
          <w:szCs w:val="24"/>
        </w:rPr>
      </w:pPr>
      <w:r w:rsidRPr="003007C7">
        <w:rPr>
          <w:rFonts w:ascii="Arial" w:hAnsi="Arial" w:cs="Arial"/>
          <w:color w:val="000000" w:themeColor="text1"/>
          <w:szCs w:val="24"/>
        </w:rPr>
        <w:lastRenderedPageBreak/>
        <w:t>Ashcroft, Richard T., and Mark Bevir. Multiculturalism in the British Commonwealth: Comparative Perspectives on Theory and Practice. University of California Press, 2019.</w:t>
      </w:r>
    </w:p>
    <w:p w14:paraId="61F3C060" w14:textId="686CFF9D" w:rsidR="00994D40" w:rsidRPr="003007C7" w:rsidRDefault="000629CD" w:rsidP="0078179F">
      <w:pPr>
        <w:ind w:left="720" w:hanging="720"/>
        <w:rPr>
          <w:rFonts w:ascii="Arial" w:hAnsi="Arial" w:cs="Arial"/>
          <w:color w:val="000000" w:themeColor="text1"/>
          <w:szCs w:val="24"/>
        </w:rPr>
      </w:pPr>
      <w:r w:rsidRPr="003007C7">
        <w:rPr>
          <w:rFonts w:ascii="Arial" w:hAnsi="Arial" w:cs="Arial"/>
          <w:color w:val="000000" w:themeColor="text1"/>
          <w:szCs w:val="24"/>
        </w:rPr>
        <w:t>Gordon, Sir Arthur. Fiji Colonial Correspondence, 1875–1880.</w:t>
      </w:r>
    </w:p>
    <w:p w14:paraId="5F27FC30" w14:textId="499310F3" w:rsidR="00994D40" w:rsidRPr="003007C7" w:rsidRDefault="000629CD" w:rsidP="0078179F">
      <w:pPr>
        <w:ind w:left="720" w:hanging="720"/>
        <w:rPr>
          <w:rFonts w:ascii="Arial" w:hAnsi="Arial" w:cs="Arial"/>
          <w:color w:val="000000" w:themeColor="text1"/>
          <w:szCs w:val="24"/>
        </w:rPr>
      </w:pPr>
      <w:r w:rsidRPr="003007C7">
        <w:rPr>
          <w:rFonts w:ascii="Arial" w:hAnsi="Arial" w:cs="Arial"/>
          <w:color w:val="000000" w:themeColor="text1"/>
          <w:szCs w:val="24"/>
        </w:rPr>
        <w:t>Macaulay, Thomas B. Minute on Indian Education, 1835.</w:t>
      </w:r>
    </w:p>
    <w:p w14:paraId="1C02AB0F" w14:textId="7136421C" w:rsidR="00994D40" w:rsidRPr="003007C7" w:rsidRDefault="000629CD" w:rsidP="0078179F">
      <w:pPr>
        <w:ind w:left="720" w:hanging="720"/>
        <w:rPr>
          <w:rFonts w:ascii="Arial" w:hAnsi="Arial" w:cs="Arial"/>
          <w:color w:val="000000" w:themeColor="text1"/>
          <w:szCs w:val="24"/>
        </w:rPr>
      </w:pPr>
      <w:r w:rsidRPr="003007C7">
        <w:rPr>
          <w:rFonts w:ascii="Arial" w:hAnsi="Arial" w:cs="Arial"/>
          <w:color w:val="000000" w:themeColor="text1"/>
          <w:szCs w:val="24"/>
        </w:rPr>
        <w:t>Ranger, Terence. “The Invention of Tradition in Colonial Africa.” In Hobsbawm, Eric &amp; Ranger, Terence (eds), The Invention of Tradition. Cambridge University Press, 1983.</w:t>
      </w:r>
    </w:p>
    <w:p w14:paraId="2D692E53" w14:textId="31CD77BD" w:rsidR="00994D40" w:rsidRPr="003007C7" w:rsidRDefault="000629CD" w:rsidP="0078179F">
      <w:pPr>
        <w:ind w:left="720" w:hanging="720"/>
        <w:rPr>
          <w:rFonts w:ascii="Arial" w:hAnsi="Arial" w:cs="Arial"/>
          <w:color w:val="000000" w:themeColor="text1"/>
          <w:szCs w:val="24"/>
        </w:rPr>
      </w:pPr>
      <w:r w:rsidRPr="003007C7">
        <w:rPr>
          <w:rFonts w:ascii="Arial" w:hAnsi="Arial" w:cs="Arial"/>
          <w:color w:val="000000" w:themeColor="text1"/>
          <w:szCs w:val="24"/>
        </w:rPr>
        <w:t xml:space="preserve">Said, Edward. </w:t>
      </w:r>
      <w:proofErr w:type="spellStart"/>
      <w:r w:rsidRPr="003007C7">
        <w:rPr>
          <w:rFonts w:ascii="Arial" w:hAnsi="Arial" w:cs="Arial"/>
          <w:color w:val="000000" w:themeColor="text1"/>
          <w:szCs w:val="24"/>
        </w:rPr>
        <w:t>Orientalism</w:t>
      </w:r>
      <w:proofErr w:type="spellEnd"/>
      <w:r w:rsidRPr="003007C7">
        <w:rPr>
          <w:rFonts w:ascii="Arial" w:hAnsi="Arial" w:cs="Arial"/>
          <w:color w:val="000000" w:themeColor="text1"/>
          <w:szCs w:val="24"/>
        </w:rPr>
        <w:t>. Pantheon Books, 1978.</w:t>
      </w:r>
    </w:p>
    <w:p w14:paraId="3722F1C1" w14:textId="0BBE3013" w:rsidR="00994D40" w:rsidRPr="003007C7" w:rsidRDefault="000629CD" w:rsidP="0078179F">
      <w:pPr>
        <w:ind w:left="720" w:hanging="720"/>
        <w:rPr>
          <w:rFonts w:ascii="Arial" w:hAnsi="Arial" w:cs="Arial"/>
          <w:color w:val="000000" w:themeColor="text1"/>
          <w:szCs w:val="24"/>
        </w:rPr>
      </w:pPr>
      <w:r w:rsidRPr="003007C7">
        <w:rPr>
          <w:rFonts w:ascii="Arial" w:hAnsi="Arial" w:cs="Arial"/>
          <w:color w:val="000000" w:themeColor="text1"/>
          <w:szCs w:val="24"/>
        </w:rPr>
        <w:t>Thorn, William. The War in India</w:t>
      </w:r>
      <w:r w:rsidR="00F7092B">
        <w:rPr>
          <w:rFonts w:ascii="Arial" w:hAnsi="Arial" w:cs="Arial"/>
          <w:color w:val="000000" w:themeColor="text1"/>
          <w:szCs w:val="24"/>
        </w:rPr>
        <w:t xml:space="preserve">. </w:t>
      </w:r>
      <w:r w:rsidRPr="003007C7">
        <w:rPr>
          <w:rFonts w:ascii="Arial" w:hAnsi="Arial" w:cs="Arial"/>
          <w:color w:val="000000" w:themeColor="text1"/>
          <w:szCs w:val="24"/>
        </w:rPr>
        <w:t>London, 1858.</w:t>
      </w:r>
    </w:p>
    <w:sectPr w:rsidR="00994D40" w:rsidRPr="003007C7" w:rsidSect="00034616">
      <w:headerReference w:type="even" r:id="rId8"/>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8FCEF" w14:textId="77777777" w:rsidR="00D34C3B" w:rsidRDefault="00D34C3B" w:rsidP="000629CD">
      <w:pPr>
        <w:spacing w:after="0" w:line="240" w:lineRule="auto"/>
      </w:pPr>
      <w:r>
        <w:separator/>
      </w:r>
    </w:p>
  </w:endnote>
  <w:endnote w:type="continuationSeparator" w:id="0">
    <w:p w14:paraId="10C842B6" w14:textId="77777777" w:rsidR="00D34C3B" w:rsidRDefault="00D34C3B" w:rsidP="00062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1D76E" w14:textId="1B4D3AEE" w:rsidR="007D2EE5" w:rsidRDefault="007D2EE5">
    <w:pPr>
      <w:pStyle w:val="Footer"/>
    </w:pPr>
    <w:r w:rsidRPr="00A8763A">
      <w:rPr>
        <w:rFonts w:ascii="Arial" w:hAnsi="Arial" w:cs="Arial"/>
        <w:b/>
        <w:bCs/>
        <w:color w:val="000000" w:themeColor="text1"/>
        <w:szCs w:val="24"/>
      </w:rPr>
      <w:t>People across Time (HPFY3014)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FF9E5" w14:textId="77777777" w:rsidR="00D34C3B" w:rsidRDefault="00D34C3B" w:rsidP="000629CD">
      <w:pPr>
        <w:spacing w:after="0" w:line="240" w:lineRule="auto"/>
      </w:pPr>
      <w:r>
        <w:separator/>
      </w:r>
    </w:p>
  </w:footnote>
  <w:footnote w:type="continuationSeparator" w:id="0">
    <w:p w14:paraId="34CD383D" w14:textId="77777777" w:rsidR="00D34C3B" w:rsidRDefault="00D34C3B" w:rsidP="000629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9563798"/>
      <w:docPartObj>
        <w:docPartGallery w:val="Page Numbers (Top of Page)"/>
        <w:docPartUnique/>
      </w:docPartObj>
    </w:sdtPr>
    <w:sdtContent>
      <w:p w14:paraId="73DEF607" w14:textId="22886C47" w:rsidR="00226846" w:rsidRDefault="00226846" w:rsidP="006C1CBA">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7720B3" w14:textId="77777777" w:rsidR="000629CD" w:rsidRDefault="000629CD" w:rsidP="0022684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24238183"/>
      <w:docPartObj>
        <w:docPartGallery w:val="Page Numbers (Top of Page)"/>
        <w:docPartUnique/>
      </w:docPartObj>
    </w:sdtPr>
    <w:sdtContent>
      <w:p w14:paraId="66DB40AD" w14:textId="71E693FA" w:rsidR="00226846" w:rsidRDefault="00226846" w:rsidP="006C1CBA">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CD1CF1" w14:textId="5409D256" w:rsidR="000629CD" w:rsidRPr="00226846" w:rsidRDefault="00226846" w:rsidP="00226846">
    <w:pPr>
      <w:tabs>
        <w:tab w:val="center" w:pos="4513"/>
        <w:tab w:val="right" w:pos="9026"/>
      </w:tabs>
      <w:spacing w:after="0" w:line="240" w:lineRule="auto"/>
      <w:rPr>
        <w:rFonts w:ascii="Arial" w:eastAsiaTheme="minorHAnsi" w:hAnsi="Arial" w:cs="Arial"/>
        <w:sz w:val="22"/>
        <w:lang w:val="en-GB"/>
      </w:rPr>
    </w:pPr>
    <w:r w:rsidRPr="00226846">
      <w:rPr>
        <w:rFonts w:ascii="Arial" w:eastAsiaTheme="minorHAnsi" w:hAnsi="Arial" w:cs="Arial"/>
        <w:sz w:val="22"/>
        <w:lang w:val="en-GB"/>
      </w:rPr>
      <w:t>Callum Carter 2404122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68045696">
    <w:abstractNumId w:val="8"/>
  </w:num>
  <w:num w:numId="2" w16cid:durableId="923414261">
    <w:abstractNumId w:val="6"/>
  </w:num>
  <w:num w:numId="3" w16cid:durableId="629095508">
    <w:abstractNumId w:val="5"/>
  </w:num>
  <w:num w:numId="4" w16cid:durableId="331377793">
    <w:abstractNumId w:val="4"/>
  </w:num>
  <w:num w:numId="5" w16cid:durableId="463429090">
    <w:abstractNumId w:val="7"/>
  </w:num>
  <w:num w:numId="6" w16cid:durableId="1879388847">
    <w:abstractNumId w:val="3"/>
  </w:num>
  <w:num w:numId="7" w16cid:durableId="83961386">
    <w:abstractNumId w:val="2"/>
  </w:num>
  <w:num w:numId="8" w16cid:durableId="20977920">
    <w:abstractNumId w:val="1"/>
  </w:num>
  <w:num w:numId="9" w16cid:durableId="7409119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661C"/>
    <w:rsid w:val="00010344"/>
    <w:rsid w:val="00034616"/>
    <w:rsid w:val="0006063C"/>
    <w:rsid w:val="000629CD"/>
    <w:rsid w:val="00065E65"/>
    <w:rsid w:val="0015074B"/>
    <w:rsid w:val="001E2312"/>
    <w:rsid w:val="00226846"/>
    <w:rsid w:val="002329C1"/>
    <w:rsid w:val="0029639D"/>
    <w:rsid w:val="003007C7"/>
    <w:rsid w:val="003060B8"/>
    <w:rsid w:val="00326F90"/>
    <w:rsid w:val="00347DC9"/>
    <w:rsid w:val="005C0DAD"/>
    <w:rsid w:val="00605A3E"/>
    <w:rsid w:val="006C569B"/>
    <w:rsid w:val="006F4223"/>
    <w:rsid w:val="0071459A"/>
    <w:rsid w:val="007722D1"/>
    <w:rsid w:val="0078179F"/>
    <w:rsid w:val="00787A0E"/>
    <w:rsid w:val="007D2EE5"/>
    <w:rsid w:val="00912810"/>
    <w:rsid w:val="00994D40"/>
    <w:rsid w:val="00A22305"/>
    <w:rsid w:val="00A75949"/>
    <w:rsid w:val="00A8763A"/>
    <w:rsid w:val="00A93DF1"/>
    <w:rsid w:val="00AA1D8D"/>
    <w:rsid w:val="00AA2CA3"/>
    <w:rsid w:val="00AB6AD7"/>
    <w:rsid w:val="00B3130E"/>
    <w:rsid w:val="00B47730"/>
    <w:rsid w:val="00C75595"/>
    <w:rsid w:val="00CB0664"/>
    <w:rsid w:val="00CF62C9"/>
    <w:rsid w:val="00D34C3B"/>
    <w:rsid w:val="00E63D66"/>
    <w:rsid w:val="00ED3FEA"/>
    <w:rsid w:val="00F63FAB"/>
    <w:rsid w:val="00F7092B"/>
    <w:rsid w:val="00F95096"/>
    <w:rsid w:val="00FA70F3"/>
    <w:rsid w:val="00FC693F"/>
    <w:rsid w:val="00FE40C7"/>
    <w:rsid w:val="00FF0CD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46A6F5"/>
  <w14:defaultImageDpi w14:val="300"/>
  <w15:docId w15:val="{84657D0E-7AC4-C340-B730-BB928C268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s1">
    <w:name w:val="s1"/>
    <w:basedOn w:val="DefaultParagraphFont"/>
    <w:rsid w:val="00FA70F3"/>
  </w:style>
  <w:style w:type="paragraph" w:customStyle="1" w:styleId="p2">
    <w:name w:val="p2"/>
    <w:basedOn w:val="Normal"/>
    <w:rsid w:val="00FA70F3"/>
    <w:pPr>
      <w:spacing w:before="100" w:beforeAutospacing="1" w:after="100" w:afterAutospacing="1" w:line="240" w:lineRule="auto"/>
    </w:pPr>
    <w:rPr>
      <w:rFonts w:cs="Times New Roman"/>
      <w:szCs w:val="24"/>
      <w:lang w:val="en-GB" w:eastAsia="en-GB"/>
    </w:rPr>
  </w:style>
  <w:style w:type="character" w:customStyle="1" w:styleId="s2">
    <w:name w:val="s2"/>
    <w:basedOn w:val="DefaultParagraphFont"/>
    <w:rsid w:val="00FA70F3"/>
  </w:style>
  <w:style w:type="paragraph" w:customStyle="1" w:styleId="p3">
    <w:name w:val="p3"/>
    <w:basedOn w:val="Normal"/>
    <w:rsid w:val="00FA70F3"/>
    <w:pPr>
      <w:spacing w:before="100" w:beforeAutospacing="1" w:after="100" w:afterAutospacing="1" w:line="240" w:lineRule="auto"/>
    </w:pPr>
    <w:rPr>
      <w:rFonts w:cs="Times New Roman"/>
      <w:szCs w:val="24"/>
      <w:lang w:val="en-GB" w:eastAsia="en-GB"/>
    </w:rPr>
  </w:style>
  <w:style w:type="paragraph" w:customStyle="1" w:styleId="p1">
    <w:name w:val="p1"/>
    <w:basedOn w:val="Normal"/>
    <w:rsid w:val="00A8763A"/>
    <w:pPr>
      <w:spacing w:after="0" w:line="240" w:lineRule="auto"/>
    </w:pPr>
    <w:rPr>
      <w:rFonts w:ascii=".AppleSystemUIFont" w:hAnsi=".AppleSystemUIFont" w:cs="Times New Roman"/>
      <w:sz w:val="30"/>
      <w:szCs w:val="30"/>
      <w:lang w:val="en-GB" w:eastAsia="en-GB"/>
    </w:rPr>
  </w:style>
  <w:style w:type="character" w:customStyle="1" w:styleId="apple-converted-space">
    <w:name w:val="apple-converted-space"/>
    <w:basedOn w:val="DefaultParagraphFont"/>
    <w:rsid w:val="00A8763A"/>
  </w:style>
  <w:style w:type="character" w:styleId="PageNumber">
    <w:name w:val="page number"/>
    <w:basedOn w:val="DefaultParagraphFont"/>
    <w:uiPriority w:val="99"/>
    <w:semiHidden/>
    <w:unhideWhenUsed/>
    <w:rsid w:val="002268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212062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5</Pages>
  <Words>1503</Words>
  <Characters>8570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10053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Callum Carter (2404122)</cp:lastModifiedBy>
  <cp:revision>37</cp:revision>
  <dcterms:created xsi:type="dcterms:W3CDTF">2013-12-23T23:15:00Z</dcterms:created>
  <dcterms:modified xsi:type="dcterms:W3CDTF">2025-08-05T21:28:00Z</dcterms:modified>
  <cp:category/>
</cp:coreProperties>
</file>