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Explanation of Financial Ratio Analysis (2021–2025)</w:t>
      </w:r>
    </w:p>
    <w:p>
      <w:r>
        <w:t>This document explains the financial ratios presented in the analysis table and interprets the trend from 2021 to 2025.</w:t>
        <w:br/>
      </w:r>
    </w:p>
    <w:p>
      <w:pPr>
        <w:pStyle w:val="Heading2"/>
      </w:pPr>
      <w:r>
        <w:t>Gross Margin</w:t>
      </w:r>
    </w:p>
    <w:p>
      <w:r>
        <w:t>Gross margin remained at 100% across all years. This indicates cost of goods sold was reported as negligible or not separately recorded in the dataset. The company retained all revenue before operating expenses.</w:t>
      </w:r>
    </w:p>
    <w:p>
      <w:pPr>
        <w:pStyle w:val="Heading2"/>
      </w:pPr>
      <w:r>
        <w:t>Operating Margin</w:t>
      </w:r>
    </w:p>
    <w:p>
      <w:r>
        <w:t>Operating margin improved significantly from -8.7% in 2021 to around 15% from 2022 onwards, showing a strong recovery in operating profitability after 2021.</w:t>
      </w:r>
    </w:p>
    <w:p>
      <w:pPr>
        <w:pStyle w:val="Heading2"/>
      </w:pPr>
      <w:r>
        <w:t>Net Margin</w:t>
      </w:r>
    </w:p>
    <w:p>
      <w:r>
        <w:t>Net margin increased from a slight loss (-0.4%) in 2021 to healthy double-digit profits between 2022 and 2025, indicating improved overall profitability.</w:t>
      </w:r>
    </w:p>
    <w:p>
      <w:pPr>
        <w:pStyle w:val="Heading2"/>
      </w:pPr>
      <w:r>
        <w:t>Current Ratio</w:t>
      </w:r>
    </w:p>
    <w:p>
      <w:r>
        <w:t>The current ratio remained above 1.0 in every year, suggesting the company had sufficient current assets to meet short-term liabilities.</w:t>
      </w:r>
    </w:p>
    <w:p>
      <w:pPr>
        <w:pStyle w:val="Heading2"/>
      </w:pPr>
      <w:r>
        <w:t>Quick Ratio</w:t>
      </w:r>
    </w:p>
    <w:p>
      <w:r>
        <w:t>The quick ratio closely matched the current ratio, indicating that most current assets consisted of highly liquid assets such as cash and receivables.</w:t>
      </w:r>
    </w:p>
    <w:p>
      <w:pPr>
        <w:pStyle w:val="Heading2"/>
      </w:pPr>
      <w:r>
        <w:t>Cash Ratio</w:t>
      </w:r>
    </w:p>
    <w:p>
      <w:r>
        <w:t>The cash ratio stayed above 1.0 throughout the period, showing a strong cash position and excellent short-term liquidity.</w:t>
      </w:r>
    </w:p>
    <w:p>
      <w:pPr>
        <w:pStyle w:val="Heading2"/>
      </w:pPr>
      <w:r>
        <w:t>Asset Turnover</w:t>
      </w:r>
    </w:p>
    <w:p>
      <w:r>
        <w:t>Asset turnover gradually increased from 0.23x to 0.47x, meaning the company became more efficient at generating revenue from its assets.</w:t>
      </w:r>
    </w:p>
    <w:p>
      <w:pPr>
        <w:pStyle w:val="Heading2"/>
      </w:pPr>
      <w:r>
        <w:t>Fixed Assets Turnover</w:t>
      </w:r>
    </w:p>
    <w:p>
      <w:r>
        <w:t>Fixed asset turnover improved overall, indicating better utilization of property, plant and equipment to generate sales.</w:t>
      </w:r>
    </w:p>
    <w:p>
      <w:pPr>
        <w:pStyle w:val="Heading2"/>
      </w:pPr>
      <w:r>
        <w:t>Interest Coverage Ratio</w:t>
      </w:r>
    </w:p>
    <w:p>
      <w:r>
        <w:t>Interest coverage improved from a negative value in 2021 to above 3.5x thereafter, showing that operating profits comfortably covered interest expenses.</w:t>
      </w:r>
    </w:p>
    <w:p>
      <w:pPr>
        <w:pStyle w:val="Heading2"/>
      </w:pPr>
      <w:r>
        <w:t>Debt/Equity</w:t>
      </w:r>
    </w:p>
    <w:p>
      <w:r>
        <w:t>Debt-to-equity remained between 0.63x and 0.77x, indicating a moderate and stable level of financial leverage.</w:t>
      </w:r>
    </w:p>
    <w:p>
      <w:pPr>
        <w:pStyle w:val="Heading2"/>
      </w:pPr>
      <w:r>
        <w:t>Overall Conclusion</w:t>
      </w:r>
    </w:p>
    <w:p>
      <w:r>
        <w:t>The financial ratios indicate that the company experienced a significant recovery after 2021. Profitability, liquidity, and operational efficiency improved steadily, while leverage remained under control. Overall, the financial performance appears stable with positive long-term growth.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