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03D" w:rsidRPr="0085403D" w:rsidRDefault="00FC7173" w:rsidP="0085403D">
      <w:pPr>
        <w:spacing w:line="360" w:lineRule="auto"/>
        <w:ind w:left="1800"/>
        <w:jc w:val="both"/>
        <w:rPr>
          <w:rFonts w:ascii="Arial" w:hAnsi="Arial" w:cs="Arial"/>
          <w:sz w:val="28"/>
          <w:szCs w:val="28"/>
          <w:lang w:val="en-US"/>
        </w:rPr>
      </w:pPr>
      <w:r w:rsidRPr="0085403D">
        <w:rPr>
          <w:rFonts w:ascii="Arial" w:hAnsi="Arial" w:cs="Arial"/>
          <w:sz w:val="28"/>
          <w:szCs w:val="28"/>
          <w:lang w:val="en-US"/>
        </w:rPr>
        <w:t>Personnel Resourcing and Development 2 (Proposal)</w:t>
      </w:r>
    </w:p>
    <w:p w:rsidR="0085403D" w:rsidRDefault="0085403D" w:rsidP="0085403D">
      <w:pPr>
        <w:spacing w:line="360" w:lineRule="auto"/>
        <w:ind w:left="360"/>
        <w:jc w:val="both"/>
        <w:rPr>
          <w:rFonts w:ascii="Arial" w:hAnsi="Arial" w:cs="Arial"/>
          <w:sz w:val="28"/>
          <w:szCs w:val="28"/>
          <w:lang w:val="en-US"/>
        </w:rPr>
      </w:pPr>
    </w:p>
    <w:p w:rsidR="0085403D" w:rsidRDefault="0085403D" w:rsidP="0085403D">
      <w:pPr>
        <w:spacing w:line="360" w:lineRule="auto"/>
        <w:ind w:left="360"/>
        <w:jc w:val="both"/>
        <w:rPr>
          <w:rFonts w:ascii="Arial" w:hAnsi="Arial" w:cs="Arial"/>
          <w:sz w:val="28"/>
          <w:szCs w:val="28"/>
          <w:lang w:val="en-US"/>
        </w:rPr>
      </w:pPr>
    </w:p>
    <w:p w:rsidR="0085403D" w:rsidRPr="0085403D" w:rsidRDefault="00F56A6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Table of content: </w:t>
      </w:r>
    </w:p>
    <w:p w:rsidR="0085403D" w:rsidRPr="0085403D" w:rsidRDefault="00F56A6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Introduction </w:t>
      </w:r>
    </w:p>
    <w:p w:rsidR="0085403D" w:rsidRPr="0085403D" w:rsidRDefault="00F56A6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Employee engagement</w:t>
      </w:r>
    </w:p>
    <w:p w:rsidR="0085403D" w:rsidRPr="0085403D" w:rsidRDefault="00F56A6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Complex problems with Phoenicia Hotel's Hotel Management</w:t>
      </w:r>
    </w:p>
    <w:p w:rsidR="0085403D" w:rsidRPr="0085403D" w:rsidRDefault="00F56A6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Objecti</w:t>
      </w:r>
      <w:r w:rsidR="0085403D" w:rsidRPr="0085403D">
        <w:rPr>
          <w:rFonts w:ascii="Arial" w:hAnsi="Arial" w:cs="Arial"/>
          <w:color w:val="555555"/>
          <w:sz w:val="28"/>
          <w:szCs w:val="28"/>
          <w:shd w:val="clear" w:color="auto" w:fill="FFFFFF"/>
        </w:rPr>
        <w:t>ve of the research</w:t>
      </w:r>
    </w:p>
    <w:p w:rsidR="0085403D" w:rsidRPr="0085403D" w:rsidRDefault="00F56A6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METHODOLOGY</w:t>
      </w:r>
    </w:p>
    <w:p w:rsidR="0085403D" w:rsidRPr="0085403D" w:rsidRDefault="00F56A6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Literature review</w:t>
      </w:r>
    </w:p>
    <w:p w:rsidR="0085403D" w:rsidRPr="0085403D" w:rsidRDefault="00F56A6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DATA ORGANIZATION AND ANALYSIS</w:t>
      </w:r>
    </w:p>
    <w:p w:rsidR="0085403D" w:rsidRPr="0085403D" w:rsidRDefault="00F56A6D" w:rsidP="0085403D">
      <w:pPr>
        <w:spacing w:line="360" w:lineRule="auto"/>
        <w:ind w:left="360"/>
        <w:jc w:val="both"/>
        <w:rPr>
          <w:rFonts w:ascii="Arial" w:hAnsi="Arial" w:cs="Arial"/>
          <w:sz w:val="28"/>
          <w:szCs w:val="28"/>
        </w:rPr>
      </w:pPr>
      <w:r w:rsidRPr="0085403D">
        <w:rPr>
          <w:rFonts w:ascii="Arial" w:hAnsi="Arial" w:cs="Arial"/>
          <w:sz w:val="28"/>
          <w:szCs w:val="28"/>
        </w:rPr>
        <w:t>Self-Role-Expression Approach to Engagement</w:t>
      </w:r>
    </w:p>
    <w:p w:rsidR="0085403D" w:rsidRPr="0085403D" w:rsidRDefault="00F56A6D" w:rsidP="0085403D">
      <w:pPr>
        <w:spacing w:line="360" w:lineRule="auto"/>
        <w:ind w:left="360"/>
        <w:jc w:val="both"/>
        <w:rPr>
          <w:rFonts w:ascii="Arial" w:hAnsi="Arial" w:cs="Arial"/>
          <w:sz w:val="28"/>
          <w:szCs w:val="28"/>
        </w:rPr>
      </w:pPr>
      <w:r w:rsidRPr="0085403D">
        <w:rPr>
          <w:rFonts w:ascii="Arial" w:hAnsi="Arial" w:cs="Arial"/>
          <w:sz w:val="28"/>
          <w:szCs w:val="28"/>
        </w:rPr>
        <w:t>Construct-Level Relationships</w:t>
      </w:r>
    </w:p>
    <w:p w:rsidR="0085403D" w:rsidRPr="0085403D" w:rsidRDefault="00F56A6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SUMMARY AND CONCLUSION</w:t>
      </w:r>
    </w:p>
    <w:p w:rsidR="0085403D" w:rsidRPr="0085403D" w:rsidRDefault="0085403D" w:rsidP="0085403D">
      <w:pPr>
        <w:spacing w:line="360" w:lineRule="auto"/>
        <w:ind w:left="360"/>
        <w:jc w:val="both"/>
        <w:rPr>
          <w:rFonts w:ascii="Arial" w:hAnsi="Arial" w:cs="Arial"/>
          <w:sz w:val="28"/>
          <w:szCs w:val="28"/>
        </w:rPr>
      </w:pPr>
      <w:r w:rsidRPr="0085403D">
        <w:rPr>
          <w:rFonts w:ascii="Arial" w:hAnsi="Arial" w:cs="Arial"/>
          <w:color w:val="555555"/>
          <w:sz w:val="28"/>
          <w:szCs w:val="28"/>
          <w:shd w:val="clear" w:color="auto" w:fill="FFFFFF"/>
        </w:rPr>
        <w:t>References</w:t>
      </w:r>
    </w:p>
    <w:p w:rsidR="00F56A6D" w:rsidRDefault="00F56A6D" w:rsidP="0085403D">
      <w:pPr>
        <w:spacing w:line="360" w:lineRule="auto"/>
        <w:jc w:val="both"/>
        <w:rPr>
          <w:rFonts w:ascii="Arial" w:hAnsi="Arial" w:cs="Arial"/>
          <w:sz w:val="28"/>
          <w:szCs w:val="28"/>
          <w:lang w:val="en-US"/>
        </w:rPr>
      </w:pPr>
    </w:p>
    <w:p w:rsidR="0085403D" w:rsidRDefault="0085403D" w:rsidP="0085403D">
      <w:pPr>
        <w:spacing w:line="360" w:lineRule="auto"/>
        <w:jc w:val="both"/>
        <w:rPr>
          <w:rFonts w:ascii="Arial" w:hAnsi="Arial" w:cs="Arial"/>
          <w:sz w:val="28"/>
          <w:szCs w:val="28"/>
          <w:lang w:val="en-US"/>
        </w:rPr>
      </w:pPr>
    </w:p>
    <w:p w:rsidR="0085403D" w:rsidRDefault="0085403D" w:rsidP="0085403D">
      <w:pPr>
        <w:spacing w:line="360" w:lineRule="auto"/>
        <w:jc w:val="both"/>
        <w:rPr>
          <w:rFonts w:ascii="Arial" w:hAnsi="Arial" w:cs="Arial"/>
          <w:sz w:val="28"/>
          <w:szCs w:val="28"/>
          <w:lang w:val="en-US"/>
        </w:rPr>
      </w:pPr>
    </w:p>
    <w:p w:rsidR="0085403D" w:rsidRDefault="0085403D" w:rsidP="0085403D">
      <w:pPr>
        <w:spacing w:line="360" w:lineRule="auto"/>
        <w:jc w:val="both"/>
        <w:rPr>
          <w:rFonts w:ascii="Arial" w:hAnsi="Arial" w:cs="Arial"/>
          <w:sz w:val="28"/>
          <w:szCs w:val="28"/>
          <w:lang w:val="en-US"/>
        </w:rPr>
      </w:pPr>
    </w:p>
    <w:p w:rsidR="0085403D" w:rsidRDefault="0085403D" w:rsidP="0085403D">
      <w:pPr>
        <w:spacing w:line="360" w:lineRule="auto"/>
        <w:jc w:val="both"/>
        <w:rPr>
          <w:rFonts w:ascii="Arial" w:hAnsi="Arial" w:cs="Arial"/>
          <w:sz w:val="28"/>
          <w:szCs w:val="28"/>
          <w:lang w:val="en-US"/>
        </w:rPr>
      </w:pPr>
    </w:p>
    <w:p w:rsidR="0085403D" w:rsidRPr="0085403D" w:rsidRDefault="0085403D" w:rsidP="0085403D">
      <w:pPr>
        <w:spacing w:line="360" w:lineRule="auto"/>
        <w:jc w:val="both"/>
        <w:rPr>
          <w:rFonts w:ascii="Arial" w:hAnsi="Arial" w:cs="Arial"/>
          <w:sz w:val="28"/>
          <w:szCs w:val="28"/>
          <w:lang w:val="en-US"/>
        </w:rPr>
      </w:pPr>
    </w:p>
    <w:p w:rsidR="00FC7173" w:rsidRPr="0085403D" w:rsidRDefault="00FC7173"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lastRenderedPageBreak/>
        <w:t>Introduction:</w:t>
      </w:r>
    </w:p>
    <w:p w:rsidR="00FC7173" w:rsidRPr="0085403D" w:rsidRDefault="00FC7173"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The Phoenicia Grand Hotel is situated in Bucharest in a prime area for those who want to discover the city while on vacation or if they are there for business. It is situated in a lovely area of the city, close to many of the top destinations for leisure or business. The Phoenicia Grand Hotel is about 3 km from the </w:t>
      </w:r>
      <w:proofErr w:type="spellStart"/>
      <w:r w:rsidRPr="0085403D">
        <w:rPr>
          <w:rFonts w:ascii="Arial" w:hAnsi="Arial" w:cs="Arial"/>
          <w:sz w:val="28"/>
          <w:szCs w:val="28"/>
          <w:lang w:val="en-US"/>
        </w:rPr>
        <w:t>Romexpo</w:t>
      </w:r>
      <w:proofErr w:type="spellEnd"/>
      <w:r w:rsidRPr="0085403D">
        <w:rPr>
          <w:rFonts w:ascii="Arial" w:hAnsi="Arial" w:cs="Arial"/>
          <w:sz w:val="28"/>
          <w:szCs w:val="28"/>
          <w:lang w:val="en-US"/>
        </w:rPr>
        <w:t xml:space="preserve"> Exhibition Center, and a short stroll will take you to the lovely </w:t>
      </w:r>
      <w:proofErr w:type="spellStart"/>
      <w:r w:rsidRPr="0085403D">
        <w:rPr>
          <w:rFonts w:ascii="Arial" w:hAnsi="Arial" w:cs="Arial"/>
          <w:sz w:val="28"/>
          <w:szCs w:val="28"/>
          <w:lang w:val="en-US"/>
        </w:rPr>
        <w:t>Herastrau</w:t>
      </w:r>
      <w:proofErr w:type="spellEnd"/>
      <w:r w:rsidRPr="0085403D">
        <w:rPr>
          <w:rFonts w:ascii="Arial" w:hAnsi="Arial" w:cs="Arial"/>
          <w:sz w:val="28"/>
          <w:szCs w:val="28"/>
          <w:lang w:val="en-US"/>
        </w:rPr>
        <w:t xml:space="preserve"> Park, a great place for running and leisurely strolls. The distance to the Henri </w:t>
      </w:r>
      <w:proofErr w:type="spellStart"/>
      <w:r w:rsidRPr="0085403D">
        <w:rPr>
          <w:rFonts w:ascii="Arial" w:hAnsi="Arial" w:cs="Arial"/>
          <w:sz w:val="28"/>
          <w:szCs w:val="28"/>
          <w:lang w:val="en-US"/>
        </w:rPr>
        <w:t>Coandă</w:t>
      </w:r>
      <w:proofErr w:type="spellEnd"/>
      <w:r w:rsidRPr="0085403D">
        <w:rPr>
          <w:rFonts w:ascii="Arial" w:hAnsi="Arial" w:cs="Arial"/>
          <w:sz w:val="28"/>
          <w:szCs w:val="28"/>
          <w:lang w:val="en-US"/>
        </w:rPr>
        <w:t xml:space="preserve"> International Airport is only ten minutes by car. </w:t>
      </w:r>
    </w:p>
    <w:p w:rsidR="00FC7173" w:rsidRPr="0085403D" w:rsidRDefault="00FC7173"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This hotel has 10 conference rooms that can be used for internal meetings, workshops, trainings, congresses, educational events or fairs.</w:t>
      </w:r>
    </w:p>
    <w:p w:rsidR="00FC7173" w:rsidRPr="0085403D" w:rsidRDefault="00FC7173"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Employee engagement:</w:t>
      </w:r>
    </w:p>
    <w:p w:rsidR="002F43BD" w:rsidRPr="0085403D" w:rsidRDefault="002F43B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Employee engagement is a sustainable resource that conveys a multitude of meanings, promoting organizational success and competitive advantage. (What is employee engagement – </w:t>
      </w:r>
      <w:proofErr w:type="spellStart"/>
      <w:r w:rsidRPr="0085403D">
        <w:rPr>
          <w:rFonts w:ascii="Arial" w:hAnsi="Arial" w:cs="Arial"/>
          <w:sz w:val="28"/>
          <w:szCs w:val="28"/>
          <w:lang w:val="en-US"/>
        </w:rPr>
        <w:t>engagefor</w:t>
      </w:r>
      <w:proofErr w:type="spellEnd"/>
      <w:r w:rsidRPr="0085403D">
        <w:rPr>
          <w:rFonts w:ascii="Arial" w:hAnsi="Arial" w:cs="Arial"/>
          <w:sz w:val="28"/>
          <w:szCs w:val="28"/>
          <w:lang w:val="en-US"/>
        </w:rPr>
        <w:t xml:space="preserve"> success 2022)</w:t>
      </w:r>
      <w:proofErr w:type="gramStart"/>
      <w:r w:rsidRPr="0085403D">
        <w:rPr>
          <w:rFonts w:ascii="Arial" w:hAnsi="Arial" w:cs="Arial"/>
          <w:sz w:val="28"/>
          <w:szCs w:val="28"/>
          <w:lang w:val="en-US"/>
        </w:rPr>
        <w:t>.</w:t>
      </w:r>
      <w:proofErr w:type="gramEnd"/>
      <w:r w:rsidRPr="0085403D">
        <w:rPr>
          <w:rFonts w:ascii="Arial" w:hAnsi="Arial" w:cs="Arial"/>
          <w:sz w:val="28"/>
          <w:szCs w:val="28"/>
          <w:lang w:val="en-US"/>
        </w:rPr>
        <w:t xml:space="preserve"> </w:t>
      </w:r>
    </w:p>
    <w:p w:rsidR="005A5AB8" w:rsidRPr="0085403D" w:rsidRDefault="002F43BD"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For an organization to </w:t>
      </w:r>
      <w:proofErr w:type="spellStart"/>
      <w:r w:rsidRPr="0085403D">
        <w:rPr>
          <w:rFonts w:ascii="Arial" w:hAnsi="Arial" w:cs="Arial"/>
          <w:sz w:val="28"/>
          <w:szCs w:val="28"/>
          <w:lang w:val="en-US"/>
        </w:rPr>
        <w:t>succed</w:t>
      </w:r>
      <w:proofErr w:type="spellEnd"/>
      <w:r w:rsidRPr="0085403D">
        <w:rPr>
          <w:rFonts w:ascii="Arial" w:hAnsi="Arial" w:cs="Arial"/>
          <w:sz w:val="28"/>
          <w:szCs w:val="28"/>
          <w:lang w:val="en-US"/>
        </w:rPr>
        <w:t xml:space="preserve"> is very important to have a proper </w:t>
      </w:r>
      <w:proofErr w:type="spellStart"/>
      <w:r w:rsidRPr="0085403D">
        <w:rPr>
          <w:rFonts w:ascii="Arial" w:hAnsi="Arial" w:cs="Arial"/>
          <w:sz w:val="28"/>
          <w:szCs w:val="28"/>
          <w:lang w:val="en-US"/>
        </w:rPr>
        <w:t>aligment</w:t>
      </w:r>
      <w:proofErr w:type="spellEnd"/>
      <w:r w:rsidRPr="0085403D">
        <w:rPr>
          <w:rFonts w:ascii="Arial" w:hAnsi="Arial" w:cs="Arial"/>
          <w:sz w:val="28"/>
          <w:szCs w:val="28"/>
          <w:lang w:val="en-US"/>
        </w:rPr>
        <w:t xml:space="preserve"> between departments, common goals, to keep the employees motivates, to focus on long – term strategies and handle </w:t>
      </w:r>
      <w:proofErr w:type="spellStart"/>
      <w:r w:rsidRPr="0085403D">
        <w:rPr>
          <w:rFonts w:ascii="Arial" w:hAnsi="Arial" w:cs="Arial"/>
          <w:sz w:val="28"/>
          <w:szCs w:val="28"/>
          <w:lang w:val="en-US"/>
        </w:rPr>
        <w:t>distruptions</w:t>
      </w:r>
      <w:bookmarkStart w:id="0" w:name="_GoBack"/>
      <w:bookmarkEnd w:id="0"/>
      <w:proofErr w:type="spellEnd"/>
      <w:r w:rsidRPr="0085403D">
        <w:rPr>
          <w:rFonts w:ascii="Arial" w:hAnsi="Arial" w:cs="Arial"/>
          <w:sz w:val="28"/>
          <w:szCs w:val="28"/>
          <w:lang w:val="en-US"/>
        </w:rPr>
        <w:t xml:space="preserve">. </w:t>
      </w:r>
      <w:proofErr w:type="gramStart"/>
      <w:r w:rsidRPr="0085403D">
        <w:rPr>
          <w:rFonts w:ascii="Arial" w:hAnsi="Arial" w:cs="Arial"/>
          <w:sz w:val="28"/>
          <w:szCs w:val="28"/>
          <w:lang w:val="en-US"/>
        </w:rPr>
        <w:t>Leaders sets</w:t>
      </w:r>
      <w:proofErr w:type="gramEnd"/>
      <w:r w:rsidRPr="0085403D">
        <w:rPr>
          <w:rFonts w:ascii="Arial" w:hAnsi="Arial" w:cs="Arial"/>
          <w:sz w:val="28"/>
          <w:szCs w:val="28"/>
          <w:lang w:val="en-US"/>
        </w:rPr>
        <w:t xml:space="preserve"> the tone, they need to be supportive, drive bottom line profits and their responsibility is 365day per year. They can train, coach the team to grow. For that they need to be involved and to give people the </w:t>
      </w:r>
      <w:r w:rsidR="0085403D">
        <w:rPr>
          <w:rFonts w:ascii="Arial" w:hAnsi="Arial" w:cs="Arial"/>
          <w:sz w:val="28"/>
          <w:szCs w:val="28"/>
          <w:lang w:val="en-US"/>
        </w:rPr>
        <w:t>opportunities to share their id</w:t>
      </w:r>
      <w:r w:rsidRPr="0085403D">
        <w:rPr>
          <w:rFonts w:ascii="Arial" w:hAnsi="Arial" w:cs="Arial"/>
          <w:sz w:val="28"/>
          <w:szCs w:val="28"/>
          <w:lang w:val="en-US"/>
        </w:rPr>
        <w:t xml:space="preserve">eas. (Sarah King, Wyndham: Keys to employee Engagement), also to recognize them for their work, sometimes </w:t>
      </w:r>
      <w:proofErr w:type="gramStart"/>
      <w:r w:rsidRPr="0085403D">
        <w:rPr>
          <w:rFonts w:ascii="Arial" w:hAnsi="Arial" w:cs="Arial"/>
          <w:sz w:val="28"/>
          <w:szCs w:val="28"/>
          <w:lang w:val="en-US"/>
        </w:rPr>
        <w:t>an</w:t>
      </w:r>
      <w:proofErr w:type="gramEnd"/>
      <w:r w:rsidRPr="0085403D">
        <w:rPr>
          <w:rFonts w:ascii="Arial" w:hAnsi="Arial" w:cs="Arial"/>
          <w:sz w:val="28"/>
          <w:szCs w:val="28"/>
          <w:lang w:val="en-US"/>
        </w:rPr>
        <w:t xml:space="preserve"> simple “thank you”, makes the difference. For the new people, the </w:t>
      </w:r>
      <w:proofErr w:type="gramStart"/>
      <w:r w:rsidRPr="0085403D">
        <w:rPr>
          <w:rFonts w:ascii="Arial" w:hAnsi="Arial" w:cs="Arial"/>
          <w:sz w:val="28"/>
          <w:szCs w:val="28"/>
          <w:lang w:val="en-US"/>
        </w:rPr>
        <w:t>leaders</w:t>
      </w:r>
      <w:r w:rsidR="0035520D" w:rsidRPr="0085403D">
        <w:rPr>
          <w:rFonts w:ascii="Arial" w:hAnsi="Arial" w:cs="Arial"/>
          <w:sz w:val="28"/>
          <w:szCs w:val="28"/>
          <w:lang w:val="en-US"/>
        </w:rPr>
        <w:t xml:space="preserve"> </w:t>
      </w:r>
      <w:r w:rsidRPr="0085403D">
        <w:rPr>
          <w:rFonts w:ascii="Arial" w:hAnsi="Arial" w:cs="Arial"/>
          <w:sz w:val="28"/>
          <w:szCs w:val="28"/>
          <w:lang w:val="en-US"/>
        </w:rPr>
        <w:t xml:space="preserve"> needs</w:t>
      </w:r>
      <w:proofErr w:type="gramEnd"/>
      <w:r w:rsidRPr="0085403D">
        <w:rPr>
          <w:rFonts w:ascii="Arial" w:hAnsi="Arial" w:cs="Arial"/>
          <w:sz w:val="28"/>
          <w:szCs w:val="28"/>
          <w:lang w:val="en-US"/>
        </w:rPr>
        <w:t xml:space="preserve"> to give them a </w:t>
      </w:r>
      <w:r w:rsidRPr="0085403D">
        <w:rPr>
          <w:rFonts w:ascii="Arial" w:hAnsi="Arial" w:cs="Arial"/>
          <w:sz w:val="28"/>
          <w:szCs w:val="28"/>
          <w:lang w:val="en-US"/>
        </w:rPr>
        <w:lastRenderedPageBreak/>
        <w:t>great start and to show and explain everything they need to know from day 1.</w:t>
      </w:r>
    </w:p>
    <w:p w:rsidR="00FC7173" w:rsidRPr="0085403D" w:rsidRDefault="00DA39E3"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Complex problems with Phoenicia Hotel's Hotel Management: </w:t>
      </w:r>
    </w:p>
    <w:p w:rsidR="00D92CC8" w:rsidRPr="0085403D" w:rsidRDefault="00D92CC8" w:rsidP="0085403D">
      <w:pPr>
        <w:spacing w:line="360" w:lineRule="auto"/>
        <w:ind w:left="360"/>
        <w:jc w:val="both"/>
        <w:rPr>
          <w:rFonts w:ascii="Arial" w:hAnsi="Arial" w:cs="Arial"/>
          <w:sz w:val="28"/>
          <w:szCs w:val="28"/>
          <w:lang w:val="en-US"/>
        </w:rPr>
      </w:pPr>
      <w:r w:rsidRPr="0085403D">
        <w:rPr>
          <w:rFonts w:ascii="Arial" w:hAnsi="Arial" w:cs="Arial"/>
          <w:sz w:val="28"/>
          <w:szCs w:val="28"/>
          <w:lang w:val="en-US"/>
        </w:rPr>
        <w:t xml:space="preserve">Most hotels in </w:t>
      </w:r>
      <w:proofErr w:type="gramStart"/>
      <w:r w:rsidRPr="0085403D">
        <w:rPr>
          <w:rFonts w:ascii="Arial" w:hAnsi="Arial" w:cs="Arial"/>
          <w:sz w:val="28"/>
          <w:szCs w:val="28"/>
          <w:lang w:val="en-US"/>
        </w:rPr>
        <w:t>Romania,</w:t>
      </w:r>
      <w:proofErr w:type="gramEnd"/>
      <w:r w:rsidRPr="0085403D">
        <w:rPr>
          <w:rFonts w:ascii="Arial" w:hAnsi="Arial" w:cs="Arial"/>
          <w:sz w:val="28"/>
          <w:szCs w:val="28"/>
          <w:lang w:val="en-US"/>
        </w:rPr>
        <w:t xml:space="preserve"> and even those from around the world are experiencing a staffing shortage as a result of the outbreak.</w:t>
      </w:r>
      <w:r w:rsidR="0035520D" w:rsidRPr="0085403D">
        <w:rPr>
          <w:rFonts w:ascii="Arial" w:hAnsi="Arial" w:cs="Arial"/>
          <w:sz w:val="28"/>
          <w:szCs w:val="28"/>
          <w:lang w:val="en-US"/>
        </w:rPr>
        <w:t xml:space="preserve"> </w:t>
      </w:r>
    </w:p>
    <w:p w:rsidR="0035520D" w:rsidRPr="0085403D" w:rsidRDefault="0035520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The Phoenicia Hotel called on the agency to have the neccessary staff for all the events organized within the hotel. This is a momentary , very expensive solution and therefore the management must find o solution</w:t>
      </w:r>
      <w:r w:rsidR="00FD31A7" w:rsidRPr="0085403D">
        <w:rPr>
          <w:rFonts w:ascii="Arial" w:hAnsi="Arial" w:cs="Arial"/>
          <w:color w:val="555555"/>
          <w:sz w:val="28"/>
          <w:szCs w:val="28"/>
          <w:shd w:val="clear" w:color="auto" w:fill="FFFFFF"/>
        </w:rPr>
        <w:t xml:space="preserve"> how to keep and motivate employees.</w:t>
      </w:r>
    </w:p>
    <w:p w:rsidR="00234FD4" w:rsidRPr="0085403D" w:rsidRDefault="0035520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 xml:space="preserve">Many business leaders have begun volunteering for employee engagement programmes as a result of the above positive engagement outcomes since they boost staff performance, lower staff turnover, and enhance employee well-being </w:t>
      </w:r>
      <w:r w:rsidR="00D92CC8" w:rsidRPr="0085403D">
        <w:rPr>
          <w:rFonts w:ascii="Arial" w:hAnsi="Arial" w:cs="Arial"/>
          <w:color w:val="555555"/>
          <w:sz w:val="28"/>
          <w:szCs w:val="28"/>
          <w:shd w:val="clear" w:color="auto" w:fill="FFFFFF"/>
        </w:rPr>
        <w:t>(Wright and Cropanzano, 2000; Taris et al., 2003; Griffith, 2004; Michie and West, 2004; Macey and Schneider, 2008b; Robinson et al., 2004; Hakanen, 2008) and helps to accomplish ultimate business goals.</w:t>
      </w:r>
      <w:r w:rsidRPr="0085403D">
        <w:rPr>
          <w:rFonts w:ascii="Arial" w:hAnsi="Arial" w:cs="Arial"/>
          <w:sz w:val="28"/>
          <w:szCs w:val="28"/>
        </w:rPr>
        <w:t xml:space="preserve"> </w:t>
      </w:r>
      <w:r w:rsidRPr="0085403D">
        <w:rPr>
          <w:rFonts w:ascii="Arial" w:hAnsi="Arial" w:cs="Arial"/>
          <w:color w:val="555555"/>
          <w:sz w:val="28"/>
          <w:szCs w:val="28"/>
          <w:shd w:val="clear" w:color="auto" w:fill="FFFFFF"/>
        </w:rPr>
        <w:t>In a globalised market for free agents, information has become an organisational commodity,</w:t>
      </w:r>
      <w:r w:rsidR="00D92CC8" w:rsidRPr="0085403D">
        <w:rPr>
          <w:rFonts w:ascii="Arial" w:hAnsi="Arial" w:cs="Arial"/>
          <w:color w:val="555555"/>
          <w:sz w:val="28"/>
          <w:szCs w:val="28"/>
          <w:shd w:val="clear" w:color="auto" w:fill="FFFFFF"/>
        </w:rPr>
        <w:t xml:space="preserve"> (Kroth &amp; Keeler, 2009; Pink, 2001) </w:t>
      </w:r>
      <w:r w:rsidRPr="0085403D">
        <w:rPr>
          <w:rFonts w:ascii="Arial" w:hAnsi="Arial" w:cs="Arial"/>
          <w:color w:val="555555"/>
          <w:sz w:val="28"/>
          <w:szCs w:val="28"/>
          <w:shd w:val="clear" w:color="auto" w:fill="FFFFFF"/>
        </w:rPr>
        <w:t xml:space="preserve">and employee engagement has emerged as the undisputed top source of sustained competitive advantage at all levels, according to modern corporations. </w:t>
      </w:r>
      <w:r w:rsidR="00D92CC8" w:rsidRPr="0085403D">
        <w:rPr>
          <w:rFonts w:ascii="Arial" w:hAnsi="Arial" w:cs="Arial"/>
          <w:color w:val="555555"/>
          <w:sz w:val="28"/>
          <w:szCs w:val="28"/>
          <w:shd w:val="clear" w:color="auto" w:fill="FFFFFF"/>
        </w:rPr>
        <w:t>(Schwartz, 2011</w:t>
      </w:r>
      <w:r w:rsidRPr="0085403D">
        <w:rPr>
          <w:rFonts w:ascii="Arial" w:hAnsi="Arial" w:cs="Arial"/>
          <w:color w:val="555555"/>
          <w:sz w:val="28"/>
          <w:szCs w:val="28"/>
          <w:shd w:val="clear" w:color="auto" w:fill="FFFFFF"/>
        </w:rPr>
        <w:t>).Therefore, increasing employee engagement is becoming a part of the ongoing evolution and the only emphasis of the firms in order to become a socially responsible corporate citizen.</w:t>
      </w:r>
    </w:p>
    <w:p w:rsidR="00FD31A7" w:rsidRPr="0085403D" w:rsidRDefault="00FD31A7"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Objective of the research:</w:t>
      </w:r>
    </w:p>
    <w:p w:rsidR="00810432" w:rsidRPr="0085403D" w:rsidRDefault="00FD31A7"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 xml:space="preserve">To comprehend what really inspires and engages workers. Research shows that enagaged employees are 87% more likelt to stay longer. </w:t>
      </w:r>
      <w:r w:rsidRPr="0085403D">
        <w:rPr>
          <w:rFonts w:ascii="Arial" w:hAnsi="Arial" w:cs="Arial"/>
          <w:color w:val="555555"/>
          <w:sz w:val="28"/>
          <w:szCs w:val="28"/>
          <w:shd w:val="clear" w:color="auto" w:fill="FFFFFF"/>
        </w:rPr>
        <w:lastRenderedPageBreak/>
        <w:t>Employee engagement reduce absenteeism, increase rev</w:t>
      </w:r>
      <w:r w:rsidR="00810432" w:rsidRPr="0085403D">
        <w:rPr>
          <w:rFonts w:ascii="Arial" w:hAnsi="Arial" w:cs="Arial"/>
          <w:color w:val="555555"/>
          <w:sz w:val="28"/>
          <w:szCs w:val="28"/>
          <w:shd w:val="clear" w:color="auto" w:fill="FFFFFF"/>
        </w:rPr>
        <w:t>enue and productivity. Forbes</w:t>
      </w:r>
      <w:r w:rsidR="00810432" w:rsidRPr="0085403D">
        <w:rPr>
          <w:rFonts w:ascii="Arial" w:hAnsi="Arial" w:cs="Arial"/>
          <w:i/>
          <w:color w:val="555555"/>
          <w:sz w:val="28"/>
          <w:szCs w:val="28"/>
          <w:shd w:val="clear" w:color="auto" w:fill="FFFFFF"/>
        </w:rPr>
        <w:t>:  Employees who feel hard are to feel empowered and perform better on work</w:t>
      </w:r>
      <w:r w:rsidR="00810432" w:rsidRPr="0085403D">
        <w:rPr>
          <w:rFonts w:ascii="Arial" w:hAnsi="Arial" w:cs="Arial"/>
          <w:color w:val="555555"/>
          <w:sz w:val="28"/>
          <w:szCs w:val="28"/>
          <w:shd w:val="clear" w:color="auto" w:fill="FFFFFF"/>
        </w:rPr>
        <w:t xml:space="preserve"> . 39% of workers would work harder if they are happy in their current role or place of work</w:t>
      </w:r>
    </w:p>
    <w:p w:rsidR="00810432" w:rsidRPr="0085403D" w:rsidRDefault="00810432"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To increase the power of productivity</w:t>
      </w:r>
    </w:p>
    <w:p w:rsidR="00810432" w:rsidRPr="0085403D" w:rsidRDefault="00810432"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To asseas and improve the organization a work climate</w:t>
      </w:r>
    </w:p>
    <w:p w:rsidR="002551AD" w:rsidRPr="0085403D" w:rsidRDefault="002551A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METHODOLOGY</w:t>
      </w:r>
      <w:r w:rsidRPr="0085403D">
        <w:rPr>
          <w:rFonts w:ascii="Arial" w:hAnsi="Arial" w:cs="Arial"/>
          <w:color w:val="555555"/>
          <w:sz w:val="28"/>
          <w:szCs w:val="28"/>
          <w:shd w:val="clear" w:color="auto" w:fill="FFFFFF"/>
        </w:rPr>
        <w:t>:</w:t>
      </w:r>
    </w:p>
    <w:p w:rsidR="002551AD" w:rsidRPr="0085403D" w:rsidRDefault="002551A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 xml:space="preserve">A technique for gathering information from various new disciplines is the integrated literature review. It is an original type of study that produces new knowledge. </w:t>
      </w:r>
      <w:r w:rsidRPr="0085403D">
        <w:rPr>
          <w:rFonts w:ascii="Arial" w:hAnsi="Arial" w:cs="Arial"/>
          <w:color w:val="555555"/>
          <w:sz w:val="28"/>
          <w:szCs w:val="28"/>
          <w:shd w:val="clear" w:color="auto" w:fill="FFFFFF"/>
        </w:rPr>
        <w:t> (Torraco, 2005 ).</w:t>
      </w:r>
      <w:r w:rsidRPr="0085403D">
        <w:rPr>
          <w:rFonts w:ascii="Arial" w:hAnsi="Arial" w:cs="Arial"/>
          <w:sz w:val="28"/>
          <w:szCs w:val="28"/>
        </w:rPr>
        <w:t xml:space="preserve"> </w:t>
      </w:r>
      <w:r w:rsidRPr="0085403D">
        <w:rPr>
          <w:rFonts w:ascii="Arial" w:hAnsi="Arial" w:cs="Arial"/>
          <w:color w:val="555555"/>
          <w:sz w:val="28"/>
          <w:szCs w:val="28"/>
          <w:shd w:val="clear" w:color="auto" w:fill="FFFFFF"/>
        </w:rPr>
        <w:t>Given that employee engagement is a new term and is viewed differently in different contexts, an integrated literature evaluation is advised.</w:t>
      </w:r>
    </w:p>
    <w:p w:rsidR="001E1634" w:rsidRPr="0085403D" w:rsidRDefault="001E163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 xml:space="preserve">Literature review: </w:t>
      </w:r>
    </w:p>
    <w:p w:rsidR="001E1634" w:rsidRPr="0085403D" w:rsidRDefault="001E163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According to a review of the research, engagement and work-life balance are related. Workplace relationships have been demonstrated to have an effect on "meaningfulness," which is related to engagement. According to Locke and Taylor (1991), those who have positive interpersonal interactions with their coworkers find their jobs to be more meaningful. Regardless of demographic factors, management style, job design, and employee voice influence the level of engagement among employees.</w:t>
      </w:r>
      <w:r w:rsidRPr="0085403D">
        <w:rPr>
          <w:rFonts w:ascii="Arial" w:hAnsi="Arial" w:cs="Arial"/>
          <w:sz w:val="28"/>
          <w:szCs w:val="28"/>
        </w:rPr>
        <w:t xml:space="preserve"> </w:t>
      </w:r>
      <w:r w:rsidRPr="0085403D">
        <w:rPr>
          <w:rFonts w:ascii="Arial" w:hAnsi="Arial" w:cs="Arial"/>
          <w:color w:val="555555"/>
          <w:sz w:val="28"/>
          <w:szCs w:val="28"/>
          <w:shd w:val="clear" w:color="auto" w:fill="FFFFFF"/>
        </w:rPr>
        <w:t xml:space="preserve">According to HR professionals consulted by the Institute for Employment Studies (IES) in 2003, there are a number of ways to boost employee engagement in an organisation, including two-way communication, good line management, a focus on professional growth, efficient internal cooperation, a commitment to employee well-being, visible </w:t>
      </w:r>
      <w:r w:rsidRPr="0085403D">
        <w:rPr>
          <w:rFonts w:ascii="Arial" w:hAnsi="Arial" w:cs="Arial"/>
          <w:color w:val="555555"/>
          <w:sz w:val="28"/>
          <w:szCs w:val="28"/>
          <w:shd w:val="clear" w:color="auto" w:fill="FFFFFF"/>
        </w:rPr>
        <w:lastRenderedPageBreak/>
        <w:t>commitment by managers at all levels, and clear, accessible HR policies and practises. These factors, which are crucial for firms to have an engaged workforce, are similar to those frequently seen in literature.</w:t>
      </w:r>
    </w:p>
    <w:p w:rsidR="002551AD" w:rsidRPr="0085403D" w:rsidRDefault="002551A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DATA ORGANIZATION AND ANALYSIS</w:t>
      </w:r>
      <w:r w:rsidRPr="0085403D">
        <w:rPr>
          <w:rFonts w:ascii="Arial" w:hAnsi="Arial" w:cs="Arial"/>
          <w:color w:val="555555"/>
          <w:sz w:val="28"/>
          <w:szCs w:val="28"/>
          <w:shd w:val="clear" w:color="auto" w:fill="FFFFFF"/>
        </w:rPr>
        <w:t xml:space="preserve">: </w:t>
      </w:r>
    </w:p>
    <w:p w:rsidR="001E1634" w:rsidRPr="0085403D" w:rsidRDefault="002551A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Ways to better analyse</w:t>
      </w:r>
      <w:r w:rsidR="001E1634" w:rsidRPr="0085403D">
        <w:rPr>
          <w:rFonts w:ascii="Arial" w:hAnsi="Arial" w:cs="Arial"/>
          <w:color w:val="555555"/>
          <w:sz w:val="28"/>
          <w:szCs w:val="28"/>
          <w:shd w:val="clear" w:color="auto" w:fill="FFFFFF"/>
        </w:rPr>
        <w:t xml:space="preserve"> employee engagement results is to conduct a drivers analysis, segment the results, to combine multiple surveys into one, employees needs to feel accountable and part of the process, managers shpuld be actively involve.</w:t>
      </w:r>
    </w:p>
    <w:p w:rsidR="00810432" w:rsidRPr="0085403D" w:rsidRDefault="00551D9D" w:rsidP="0085403D">
      <w:pPr>
        <w:spacing w:line="360" w:lineRule="auto"/>
        <w:ind w:left="360"/>
        <w:jc w:val="both"/>
        <w:rPr>
          <w:rFonts w:ascii="Arial" w:hAnsi="Arial" w:cs="Arial"/>
          <w:sz w:val="28"/>
          <w:szCs w:val="28"/>
        </w:rPr>
      </w:pPr>
      <w:r w:rsidRPr="0085403D">
        <w:rPr>
          <w:rFonts w:ascii="Arial" w:hAnsi="Arial" w:cs="Arial"/>
          <w:sz w:val="28"/>
          <w:szCs w:val="28"/>
        </w:rPr>
        <w:t>Self-Role-Expression Approach to Engagement</w:t>
      </w:r>
    </w:p>
    <w:p w:rsidR="00551D9D" w:rsidRPr="0085403D" w:rsidRDefault="00551D9D" w:rsidP="0085403D">
      <w:pPr>
        <w:spacing w:line="360" w:lineRule="auto"/>
        <w:ind w:left="360"/>
        <w:jc w:val="both"/>
        <w:rPr>
          <w:rFonts w:ascii="Arial" w:hAnsi="Arial" w:cs="Arial"/>
          <w:sz w:val="28"/>
          <w:szCs w:val="28"/>
        </w:rPr>
      </w:pPr>
      <w:r w:rsidRPr="0085403D">
        <w:rPr>
          <w:rFonts w:ascii="Arial" w:hAnsi="Arial" w:cs="Arial"/>
          <w:sz w:val="28"/>
          <w:szCs w:val="28"/>
        </w:rPr>
        <w:t>Self-Role-Expression Approach to Engagement Kahn (1990) conceptualized engagement as the “harnessing of the organizational members’ selves in their work roles” (p. 694), expressed affectively, cognitively, and physically.</w:t>
      </w:r>
      <w:r w:rsidRPr="0085403D">
        <w:rPr>
          <w:rFonts w:ascii="Arial" w:hAnsi="Arial" w:cs="Arial"/>
          <w:sz w:val="28"/>
          <w:szCs w:val="28"/>
        </w:rPr>
        <w:t xml:space="preserve"> Affective expressions of involvement include expressing excitement about one's job and developing an empathy for others. Being aware, actively thinking and tracking information, mentally connecting,unconnected puzzle pieces when solving problems, questioning and displaying genuine curiosity, and being focused and absorbed during role performance are all cognitive expressions of the binding of the self in one's work role. Last but not least, physical expression is vigorous and dynamic movement at work.</w:t>
      </w:r>
      <w:r w:rsidRPr="0085403D">
        <w:rPr>
          <w:rFonts w:ascii="Arial" w:hAnsi="Arial" w:cs="Arial"/>
          <w:sz w:val="28"/>
          <w:szCs w:val="28"/>
        </w:rPr>
        <w:t xml:space="preserve"> Kahn (1990) framed engagement within Goffman’s (1961) role theory,</w:t>
      </w:r>
      <w:r w:rsidRPr="0085403D">
        <w:rPr>
          <w:rFonts w:ascii="Arial" w:hAnsi="Arial" w:cs="Arial"/>
          <w:sz w:val="28"/>
          <w:szCs w:val="28"/>
        </w:rPr>
        <w:t xml:space="preserve"> which claims that people differ in how attached they are to their roles and that their role performance shows how attached or detached they are. People are engaged when they experience three psychological conditions: availability, meaningfulness, and safety, </w:t>
      </w:r>
      <w:r w:rsidRPr="0085403D">
        <w:rPr>
          <w:rFonts w:ascii="Arial" w:hAnsi="Arial" w:cs="Arial"/>
          <w:sz w:val="28"/>
          <w:szCs w:val="28"/>
        </w:rPr>
        <w:t xml:space="preserve"> </w:t>
      </w:r>
      <w:r w:rsidRPr="0085403D">
        <w:rPr>
          <w:rFonts w:ascii="Arial" w:hAnsi="Arial" w:cs="Arial"/>
          <w:sz w:val="28"/>
          <w:szCs w:val="28"/>
        </w:rPr>
        <w:t>(Hackman &amp; Oldham, 1980),</w:t>
      </w:r>
      <w:r w:rsidRPr="0085403D">
        <w:rPr>
          <w:rFonts w:ascii="Arial" w:hAnsi="Arial" w:cs="Arial"/>
          <w:sz w:val="28"/>
          <w:szCs w:val="28"/>
        </w:rPr>
        <w:t xml:space="preserve">(Alderfer, 1972), </w:t>
      </w:r>
      <w:r w:rsidRPr="0085403D">
        <w:rPr>
          <w:rFonts w:ascii="Arial" w:hAnsi="Arial" w:cs="Arial"/>
          <w:sz w:val="28"/>
          <w:szCs w:val="28"/>
        </w:rPr>
        <w:t xml:space="preserve">according to a </w:t>
      </w:r>
      <w:r w:rsidRPr="0085403D">
        <w:rPr>
          <w:rFonts w:ascii="Arial" w:hAnsi="Arial" w:cs="Arial"/>
          <w:sz w:val="28"/>
          <w:szCs w:val="28"/>
        </w:rPr>
        <w:lastRenderedPageBreak/>
        <w:t>theoretical model developed by Kahn based on motivation and interpersonal/group theories like the job characteristics theory and existence, relatedness, and growth theory. According to Kahn, engagement is a single idea that is expressed by the harmonious union of affect, cognition, and conduct.</w:t>
      </w:r>
    </w:p>
    <w:p w:rsidR="002551AD" w:rsidRPr="0085403D" w:rsidRDefault="00EF45FF" w:rsidP="0085403D">
      <w:pPr>
        <w:spacing w:line="360" w:lineRule="auto"/>
        <w:ind w:left="360"/>
        <w:jc w:val="both"/>
        <w:rPr>
          <w:rFonts w:ascii="Arial" w:hAnsi="Arial" w:cs="Arial"/>
          <w:sz w:val="28"/>
          <w:szCs w:val="28"/>
        </w:rPr>
      </w:pPr>
      <w:r w:rsidRPr="0085403D">
        <w:rPr>
          <w:rFonts w:ascii="Arial" w:hAnsi="Arial" w:cs="Arial"/>
          <w:sz w:val="28"/>
          <w:szCs w:val="28"/>
        </w:rPr>
        <w:t>Construct-Level Relationships</w:t>
      </w:r>
      <w:r w:rsidRPr="0085403D">
        <w:rPr>
          <w:rFonts w:ascii="Arial" w:hAnsi="Arial" w:cs="Arial"/>
          <w:sz w:val="28"/>
          <w:szCs w:val="28"/>
        </w:rPr>
        <w:t xml:space="preserve">: </w:t>
      </w:r>
    </w:p>
    <w:p w:rsidR="00EF45FF" w:rsidRPr="0085403D" w:rsidRDefault="00236032" w:rsidP="0085403D">
      <w:pPr>
        <w:spacing w:line="360" w:lineRule="auto"/>
        <w:ind w:left="360"/>
        <w:jc w:val="both"/>
        <w:rPr>
          <w:rFonts w:ascii="Arial" w:hAnsi="Arial" w:cs="Arial"/>
          <w:sz w:val="28"/>
          <w:szCs w:val="28"/>
          <w:shd w:val="clear" w:color="auto" w:fill="FFFFFF"/>
        </w:rPr>
      </w:pPr>
      <w:r w:rsidRPr="0085403D">
        <w:rPr>
          <w:rFonts w:ascii="Arial" w:hAnsi="Arial" w:cs="Arial"/>
          <w:sz w:val="28"/>
          <w:szCs w:val="28"/>
        </w:rPr>
        <w:t>Engaging people in an interactive learning process changes their perceptions of relationships and communication and increases their capacity to establish positive working relationships.</w:t>
      </w:r>
      <w:r w:rsidR="00297565" w:rsidRPr="0085403D">
        <w:rPr>
          <w:rFonts w:ascii="Arial" w:hAnsi="Arial" w:cs="Arial"/>
          <w:sz w:val="28"/>
          <w:szCs w:val="28"/>
        </w:rPr>
        <w:t xml:space="preserve"> Once participants have acknowledged the value of strong connections at work and have agreed to contribute to their development, they must examine their own objectives. Managers can ask the participants what is important to them, what they want to accomplish at work, and who the key individuals are that they must work with in order to achieve their goals. This aids in giving relationship-building a strategic perspective. Also, </w:t>
      </w:r>
      <w:r w:rsidR="00297565" w:rsidRPr="0085403D">
        <w:rPr>
          <w:rFonts w:ascii="Arial" w:hAnsi="Arial" w:cs="Arial"/>
          <w:sz w:val="28"/>
          <w:szCs w:val="28"/>
          <w:shd w:val="clear" w:color="auto" w:fill="FFFFFF"/>
        </w:rPr>
        <w:t>trust is so important for constructive work relations.</w:t>
      </w:r>
    </w:p>
    <w:p w:rsidR="001E1634" w:rsidRPr="0085403D" w:rsidRDefault="001E163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SUMMARY AND CONCLUSION</w:t>
      </w:r>
      <w:r w:rsidRPr="0085403D">
        <w:rPr>
          <w:rFonts w:ascii="Arial" w:hAnsi="Arial" w:cs="Arial"/>
          <w:color w:val="555555"/>
          <w:sz w:val="28"/>
          <w:szCs w:val="28"/>
          <w:shd w:val="clear" w:color="auto" w:fill="FFFFFF"/>
        </w:rPr>
        <w:t>:</w:t>
      </w:r>
    </w:p>
    <w:p w:rsidR="002551AD" w:rsidRPr="0085403D" w:rsidRDefault="005A5AB8" w:rsidP="0085403D">
      <w:pPr>
        <w:spacing w:line="360" w:lineRule="auto"/>
        <w:ind w:left="360"/>
        <w:jc w:val="both"/>
        <w:rPr>
          <w:rFonts w:ascii="Arial" w:hAnsi="Arial" w:cs="Arial"/>
          <w:sz w:val="28"/>
          <w:szCs w:val="28"/>
          <w:shd w:val="clear" w:color="auto" w:fill="FFFFFF"/>
        </w:rPr>
      </w:pPr>
      <w:r w:rsidRPr="0085403D">
        <w:rPr>
          <w:rFonts w:ascii="Arial" w:hAnsi="Arial" w:cs="Arial"/>
          <w:color w:val="555555"/>
          <w:sz w:val="28"/>
          <w:szCs w:val="28"/>
          <w:shd w:val="clear" w:color="auto" w:fill="FFFFFF"/>
        </w:rPr>
        <w:t>Based on the recommandation of the Hr Manager</w:t>
      </w:r>
      <w:r w:rsidRPr="0085403D">
        <w:rPr>
          <w:rFonts w:ascii="Arial" w:hAnsi="Arial" w:cs="Arial"/>
          <w:sz w:val="28"/>
          <w:szCs w:val="28"/>
          <w:shd w:val="clear" w:color="auto" w:fill="FFFFFF"/>
        </w:rPr>
        <w:t xml:space="preserve">, the human resources departament of the Phoenicia Hotel, should take </w:t>
      </w:r>
      <w:r w:rsidR="00F56A6D" w:rsidRPr="0085403D">
        <w:rPr>
          <w:rFonts w:ascii="Arial" w:hAnsi="Arial" w:cs="Arial"/>
          <w:sz w:val="28"/>
          <w:szCs w:val="28"/>
          <w:shd w:val="clear" w:color="auto" w:fill="FFFFFF"/>
        </w:rPr>
        <w:t>into account the plan for assesing employee engagement and retaining the skill staffin the bussiness operation. Literature review, construct level relathionships, data and analyses can show the real proportion of employeesretantion expectations for engagement as well as their level of satisfaction.</w:t>
      </w:r>
    </w:p>
    <w:p w:rsidR="00551D9D" w:rsidRPr="0085403D" w:rsidRDefault="00551D9D" w:rsidP="0085403D">
      <w:pPr>
        <w:spacing w:line="360" w:lineRule="auto"/>
        <w:jc w:val="both"/>
        <w:rPr>
          <w:rFonts w:ascii="Arial" w:hAnsi="Arial" w:cs="Arial"/>
          <w:sz w:val="28"/>
          <w:szCs w:val="28"/>
        </w:rPr>
      </w:pPr>
    </w:p>
    <w:p w:rsidR="00551D9D" w:rsidRPr="0085403D" w:rsidRDefault="00551D9D" w:rsidP="0085403D">
      <w:pPr>
        <w:spacing w:line="360" w:lineRule="auto"/>
        <w:jc w:val="both"/>
        <w:rPr>
          <w:rFonts w:ascii="Arial" w:hAnsi="Arial" w:cs="Arial"/>
          <w:color w:val="555555"/>
          <w:sz w:val="28"/>
          <w:szCs w:val="28"/>
          <w:shd w:val="clear" w:color="auto" w:fill="FFFFFF"/>
        </w:rPr>
      </w:pPr>
    </w:p>
    <w:p w:rsidR="00551D9D"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lastRenderedPageBreak/>
        <w:t>References:</w:t>
      </w:r>
    </w:p>
    <w:p w:rsidR="00EF45FF" w:rsidRPr="0085403D" w:rsidRDefault="00EF45FF"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sz w:val="28"/>
          <w:szCs w:val="28"/>
        </w:rPr>
        <w:t>Alderfer, C. P. (1972). Existence, relatedness, and growth: Human needs in organizational settings. New York, NY: The Free Press.</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Griffith, J. (2004). Relation of principal transformational leadership to school staff job satisfaction, staff turnover, and school performance. Journal of Educational Administration, 42(3), 333-356.</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Hakanen, J. J., Schaufeli, W. B., &amp; Ahola, K. (2008). The Job Demands-Resources model: A three-year cross-lagged study of burnout, depression, commitment, and work engagement. Work &amp; Stress, 22(3), 224-241.</w:t>
      </w:r>
    </w:p>
    <w:p w:rsidR="00EF45FF" w:rsidRPr="0085403D" w:rsidRDefault="00EF45FF"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sz w:val="28"/>
          <w:szCs w:val="28"/>
        </w:rPr>
        <w:t>Hackman, J., &amp; Oldham, G. R. (1980). Work redesign. Reading, MA: Addison Wesley.</w:t>
      </w:r>
    </w:p>
    <w:p w:rsidR="00EF45FF" w:rsidRPr="0085403D" w:rsidRDefault="00EF45FF"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sz w:val="28"/>
          <w:szCs w:val="28"/>
        </w:rPr>
        <w:t>Kahn, W. A. (1990). Psychological conditions of personal engagement and disengagement at work. Academy of Management Journal, 33, 692–724. http://dx.doi.org/10.2307/256287</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Kroth, M., &amp; Keeler, C. (2009). Caring as a managerial strategy. Human Resource Development Review, 8(4), 506-531.</w:t>
      </w:r>
    </w:p>
    <w:p w:rsidR="001E1634" w:rsidRPr="0085403D" w:rsidRDefault="001E163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Locke, E. A., &amp; Taylor, M. S. (1991). Stress, coping, and the meaning of work.</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Macey, W. H., &amp; Schneider, B. (2008b). Engaged in engagement: We are delighted we did it. Industrial and Organizational Psychology, 1(1), 76-83.</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Michie, S., &amp; West, M. A. (2004). Managing people and performance: an evidence based framework applied to health service organizations. International journal of management reviews, 5(2), 91-111.</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lastRenderedPageBreak/>
        <w:t>Pink, D. H. (2001). Free Agent Nation: How Americans New Independent Workers Are Transforming the Way We Live. Business Plus.</w:t>
      </w:r>
    </w:p>
    <w:p w:rsidR="00234FD4"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Robinson, D., Hooker, H., &amp; Hayday, S. (2007). Engagement: The continuing story. Institute for Employment Studies.</w:t>
      </w:r>
    </w:p>
    <w:p w:rsidR="003747EC" w:rsidRPr="0085403D" w:rsidRDefault="003747EC"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Schwartz, T. (2011). What it takes to be a great employer. Retrieved from http://blogs .hbr.org/schwartz/2011/01/what-it-takes-to-be-a-great-em.html</w:t>
      </w:r>
    </w:p>
    <w:p w:rsidR="00810432" w:rsidRPr="0085403D" w:rsidRDefault="00234FD4"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Taris, T. W., Horn, J. E. V., Schaufeli, W. B., &amp; Schreurs, P. J. (2004). Inequity, burnout and psychological withdrawal among teachers: A dynamic exchange model. Anxiety, Stress &amp; Coping, 17(1), 103-122.</w:t>
      </w:r>
    </w:p>
    <w:p w:rsidR="002551AD" w:rsidRPr="0085403D" w:rsidRDefault="002551AD" w:rsidP="0085403D">
      <w:pPr>
        <w:spacing w:line="360" w:lineRule="auto"/>
        <w:ind w:left="360"/>
        <w:jc w:val="both"/>
        <w:rPr>
          <w:rFonts w:ascii="Arial" w:hAnsi="Arial" w:cs="Arial"/>
          <w:color w:val="555555"/>
          <w:sz w:val="28"/>
          <w:szCs w:val="28"/>
          <w:shd w:val="clear" w:color="auto" w:fill="FFFFFF"/>
        </w:rPr>
      </w:pPr>
      <w:r w:rsidRPr="0085403D">
        <w:rPr>
          <w:rFonts w:ascii="Arial" w:hAnsi="Arial" w:cs="Arial"/>
          <w:color w:val="555555"/>
          <w:sz w:val="28"/>
          <w:szCs w:val="28"/>
          <w:shd w:val="clear" w:color="auto" w:fill="FFFFFF"/>
        </w:rPr>
        <w:t>Torraco, R. J. (2005). Writing integrative literature reviews: Guidelines and examples. Human Resource Development Review, 4(3), 356-367.</w:t>
      </w:r>
    </w:p>
    <w:p w:rsidR="00234FD4" w:rsidRPr="0085403D" w:rsidRDefault="00234FD4" w:rsidP="0085403D">
      <w:pPr>
        <w:spacing w:line="360" w:lineRule="auto"/>
        <w:ind w:left="360"/>
        <w:jc w:val="both"/>
        <w:rPr>
          <w:rFonts w:ascii="Arial" w:hAnsi="Arial" w:cs="Arial"/>
          <w:sz w:val="28"/>
          <w:szCs w:val="28"/>
          <w:lang w:val="en-US"/>
        </w:rPr>
      </w:pPr>
      <w:r w:rsidRPr="0085403D">
        <w:rPr>
          <w:rFonts w:ascii="Arial" w:hAnsi="Arial" w:cs="Arial"/>
          <w:color w:val="555555"/>
          <w:sz w:val="28"/>
          <w:szCs w:val="28"/>
          <w:shd w:val="clear" w:color="auto" w:fill="FFFFFF"/>
        </w:rPr>
        <w:t>Wright, T. A., &amp; Cropanzano, R. (2000). Psychological well-being and job satisfaction as predictors of job performance. Journal of occupational health psychology, 5(1), 84.</w:t>
      </w:r>
    </w:p>
    <w:sectPr w:rsidR="00234FD4" w:rsidRPr="008540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408"/>
    <w:multiLevelType w:val="hybridMultilevel"/>
    <w:tmpl w:val="91D8B50A"/>
    <w:lvl w:ilvl="0" w:tplc="DBA865B8">
      <w:start w:val="1"/>
      <w:numFmt w:val="bullet"/>
      <w:lvlText w:val="•"/>
      <w:lvlJc w:val="left"/>
      <w:pPr>
        <w:tabs>
          <w:tab w:val="num" w:pos="720"/>
        </w:tabs>
        <w:ind w:left="720" w:hanging="360"/>
      </w:pPr>
      <w:rPr>
        <w:rFonts w:ascii="Arial" w:hAnsi="Arial" w:hint="default"/>
      </w:rPr>
    </w:lvl>
    <w:lvl w:ilvl="1" w:tplc="CEB823B6" w:tentative="1">
      <w:start w:val="1"/>
      <w:numFmt w:val="bullet"/>
      <w:lvlText w:val="•"/>
      <w:lvlJc w:val="left"/>
      <w:pPr>
        <w:tabs>
          <w:tab w:val="num" w:pos="1440"/>
        </w:tabs>
        <w:ind w:left="1440" w:hanging="360"/>
      </w:pPr>
      <w:rPr>
        <w:rFonts w:ascii="Arial" w:hAnsi="Arial" w:hint="default"/>
      </w:rPr>
    </w:lvl>
    <w:lvl w:ilvl="2" w:tplc="7480E506" w:tentative="1">
      <w:start w:val="1"/>
      <w:numFmt w:val="bullet"/>
      <w:lvlText w:val="•"/>
      <w:lvlJc w:val="left"/>
      <w:pPr>
        <w:tabs>
          <w:tab w:val="num" w:pos="2160"/>
        </w:tabs>
        <w:ind w:left="2160" w:hanging="360"/>
      </w:pPr>
      <w:rPr>
        <w:rFonts w:ascii="Arial" w:hAnsi="Arial" w:hint="default"/>
      </w:rPr>
    </w:lvl>
    <w:lvl w:ilvl="3" w:tplc="DC7E6320" w:tentative="1">
      <w:start w:val="1"/>
      <w:numFmt w:val="bullet"/>
      <w:lvlText w:val="•"/>
      <w:lvlJc w:val="left"/>
      <w:pPr>
        <w:tabs>
          <w:tab w:val="num" w:pos="2880"/>
        </w:tabs>
        <w:ind w:left="2880" w:hanging="360"/>
      </w:pPr>
      <w:rPr>
        <w:rFonts w:ascii="Arial" w:hAnsi="Arial" w:hint="default"/>
      </w:rPr>
    </w:lvl>
    <w:lvl w:ilvl="4" w:tplc="324875B4" w:tentative="1">
      <w:start w:val="1"/>
      <w:numFmt w:val="bullet"/>
      <w:lvlText w:val="•"/>
      <w:lvlJc w:val="left"/>
      <w:pPr>
        <w:tabs>
          <w:tab w:val="num" w:pos="3600"/>
        </w:tabs>
        <w:ind w:left="3600" w:hanging="360"/>
      </w:pPr>
      <w:rPr>
        <w:rFonts w:ascii="Arial" w:hAnsi="Arial" w:hint="default"/>
      </w:rPr>
    </w:lvl>
    <w:lvl w:ilvl="5" w:tplc="FDD4358A" w:tentative="1">
      <w:start w:val="1"/>
      <w:numFmt w:val="bullet"/>
      <w:lvlText w:val="•"/>
      <w:lvlJc w:val="left"/>
      <w:pPr>
        <w:tabs>
          <w:tab w:val="num" w:pos="4320"/>
        </w:tabs>
        <w:ind w:left="4320" w:hanging="360"/>
      </w:pPr>
      <w:rPr>
        <w:rFonts w:ascii="Arial" w:hAnsi="Arial" w:hint="default"/>
      </w:rPr>
    </w:lvl>
    <w:lvl w:ilvl="6" w:tplc="44328C2E" w:tentative="1">
      <w:start w:val="1"/>
      <w:numFmt w:val="bullet"/>
      <w:lvlText w:val="•"/>
      <w:lvlJc w:val="left"/>
      <w:pPr>
        <w:tabs>
          <w:tab w:val="num" w:pos="5040"/>
        </w:tabs>
        <w:ind w:left="5040" w:hanging="360"/>
      </w:pPr>
      <w:rPr>
        <w:rFonts w:ascii="Arial" w:hAnsi="Arial" w:hint="default"/>
      </w:rPr>
    </w:lvl>
    <w:lvl w:ilvl="7" w:tplc="2B66505C" w:tentative="1">
      <w:start w:val="1"/>
      <w:numFmt w:val="bullet"/>
      <w:lvlText w:val="•"/>
      <w:lvlJc w:val="left"/>
      <w:pPr>
        <w:tabs>
          <w:tab w:val="num" w:pos="5760"/>
        </w:tabs>
        <w:ind w:left="5760" w:hanging="360"/>
      </w:pPr>
      <w:rPr>
        <w:rFonts w:ascii="Arial" w:hAnsi="Arial" w:hint="default"/>
      </w:rPr>
    </w:lvl>
    <w:lvl w:ilvl="8" w:tplc="3A681982" w:tentative="1">
      <w:start w:val="1"/>
      <w:numFmt w:val="bullet"/>
      <w:lvlText w:val="•"/>
      <w:lvlJc w:val="left"/>
      <w:pPr>
        <w:tabs>
          <w:tab w:val="num" w:pos="6480"/>
        </w:tabs>
        <w:ind w:left="6480" w:hanging="360"/>
      </w:pPr>
      <w:rPr>
        <w:rFonts w:ascii="Arial" w:hAnsi="Arial" w:hint="default"/>
      </w:rPr>
    </w:lvl>
  </w:abstractNum>
  <w:abstractNum w:abstractNumId="1">
    <w:nsid w:val="209F2C81"/>
    <w:multiLevelType w:val="hybridMultilevel"/>
    <w:tmpl w:val="2E282496"/>
    <w:lvl w:ilvl="0" w:tplc="EF9E1D0C">
      <w:start w:val="1"/>
      <w:numFmt w:val="bullet"/>
      <w:lvlText w:val="•"/>
      <w:lvlJc w:val="left"/>
      <w:pPr>
        <w:tabs>
          <w:tab w:val="num" w:pos="720"/>
        </w:tabs>
        <w:ind w:left="720" w:hanging="360"/>
      </w:pPr>
      <w:rPr>
        <w:rFonts w:ascii="Arial" w:hAnsi="Arial" w:hint="default"/>
      </w:rPr>
    </w:lvl>
    <w:lvl w:ilvl="1" w:tplc="B1CC721A" w:tentative="1">
      <w:start w:val="1"/>
      <w:numFmt w:val="bullet"/>
      <w:lvlText w:val="•"/>
      <w:lvlJc w:val="left"/>
      <w:pPr>
        <w:tabs>
          <w:tab w:val="num" w:pos="1440"/>
        </w:tabs>
        <w:ind w:left="1440" w:hanging="360"/>
      </w:pPr>
      <w:rPr>
        <w:rFonts w:ascii="Arial" w:hAnsi="Arial" w:hint="default"/>
      </w:rPr>
    </w:lvl>
    <w:lvl w:ilvl="2" w:tplc="D72E9ADA" w:tentative="1">
      <w:start w:val="1"/>
      <w:numFmt w:val="bullet"/>
      <w:lvlText w:val="•"/>
      <w:lvlJc w:val="left"/>
      <w:pPr>
        <w:tabs>
          <w:tab w:val="num" w:pos="2160"/>
        </w:tabs>
        <w:ind w:left="2160" w:hanging="360"/>
      </w:pPr>
      <w:rPr>
        <w:rFonts w:ascii="Arial" w:hAnsi="Arial" w:hint="default"/>
      </w:rPr>
    </w:lvl>
    <w:lvl w:ilvl="3" w:tplc="2CA89350" w:tentative="1">
      <w:start w:val="1"/>
      <w:numFmt w:val="bullet"/>
      <w:lvlText w:val="•"/>
      <w:lvlJc w:val="left"/>
      <w:pPr>
        <w:tabs>
          <w:tab w:val="num" w:pos="2880"/>
        </w:tabs>
        <w:ind w:left="2880" w:hanging="360"/>
      </w:pPr>
      <w:rPr>
        <w:rFonts w:ascii="Arial" w:hAnsi="Arial" w:hint="default"/>
      </w:rPr>
    </w:lvl>
    <w:lvl w:ilvl="4" w:tplc="E73A2524" w:tentative="1">
      <w:start w:val="1"/>
      <w:numFmt w:val="bullet"/>
      <w:lvlText w:val="•"/>
      <w:lvlJc w:val="left"/>
      <w:pPr>
        <w:tabs>
          <w:tab w:val="num" w:pos="3600"/>
        </w:tabs>
        <w:ind w:left="3600" w:hanging="360"/>
      </w:pPr>
      <w:rPr>
        <w:rFonts w:ascii="Arial" w:hAnsi="Arial" w:hint="default"/>
      </w:rPr>
    </w:lvl>
    <w:lvl w:ilvl="5" w:tplc="47E817C6" w:tentative="1">
      <w:start w:val="1"/>
      <w:numFmt w:val="bullet"/>
      <w:lvlText w:val="•"/>
      <w:lvlJc w:val="left"/>
      <w:pPr>
        <w:tabs>
          <w:tab w:val="num" w:pos="4320"/>
        </w:tabs>
        <w:ind w:left="4320" w:hanging="360"/>
      </w:pPr>
      <w:rPr>
        <w:rFonts w:ascii="Arial" w:hAnsi="Arial" w:hint="default"/>
      </w:rPr>
    </w:lvl>
    <w:lvl w:ilvl="6" w:tplc="65527C72" w:tentative="1">
      <w:start w:val="1"/>
      <w:numFmt w:val="bullet"/>
      <w:lvlText w:val="•"/>
      <w:lvlJc w:val="left"/>
      <w:pPr>
        <w:tabs>
          <w:tab w:val="num" w:pos="5040"/>
        </w:tabs>
        <w:ind w:left="5040" w:hanging="360"/>
      </w:pPr>
      <w:rPr>
        <w:rFonts w:ascii="Arial" w:hAnsi="Arial" w:hint="default"/>
      </w:rPr>
    </w:lvl>
    <w:lvl w:ilvl="7" w:tplc="8DA09C9E" w:tentative="1">
      <w:start w:val="1"/>
      <w:numFmt w:val="bullet"/>
      <w:lvlText w:val="•"/>
      <w:lvlJc w:val="left"/>
      <w:pPr>
        <w:tabs>
          <w:tab w:val="num" w:pos="5760"/>
        </w:tabs>
        <w:ind w:left="5760" w:hanging="360"/>
      </w:pPr>
      <w:rPr>
        <w:rFonts w:ascii="Arial" w:hAnsi="Arial" w:hint="default"/>
      </w:rPr>
    </w:lvl>
    <w:lvl w:ilvl="8" w:tplc="C6368184" w:tentative="1">
      <w:start w:val="1"/>
      <w:numFmt w:val="bullet"/>
      <w:lvlText w:val="•"/>
      <w:lvlJc w:val="left"/>
      <w:pPr>
        <w:tabs>
          <w:tab w:val="num" w:pos="6480"/>
        </w:tabs>
        <w:ind w:left="6480" w:hanging="360"/>
      </w:pPr>
      <w:rPr>
        <w:rFonts w:ascii="Arial" w:hAnsi="Arial" w:hint="default"/>
      </w:rPr>
    </w:lvl>
  </w:abstractNum>
  <w:abstractNum w:abstractNumId="2">
    <w:nsid w:val="2A45591A"/>
    <w:multiLevelType w:val="hybridMultilevel"/>
    <w:tmpl w:val="1DAA76F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76A0CC1"/>
    <w:multiLevelType w:val="hybridMultilevel"/>
    <w:tmpl w:val="1A5491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2FA6C46"/>
    <w:multiLevelType w:val="hybridMultilevel"/>
    <w:tmpl w:val="23C48EB2"/>
    <w:lvl w:ilvl="0" w:tplc="DE5E7DCC">
      <w:start w:val="1"/>
      <w:numFmt w:val="bullet"/>
      <w:lvlText w:val="•"/>
      <w:lvlJc w:val="left"/>
      <w:pPr>
        <w:tabs>
          <w:tab w:val="num" w:pos="720"/>
        </w:tabs>
        <w:ind w:left="720" w:hanging="360"/>
      </w:pPr>
      <w:rPr>
        <w:rFonts w:ascii="Arial" w:hAnsi="Arial" w:hint="default"/>
      </w:rPr>
    </w:lvl>
    <w:lvl w:ilvl="1" w:tplc="59D6D424" w:tentative="1">
      <w:start w:val="1"/>
      <w:numFmt w:val="bullet"/>
      <w:lvlText w:val="•"/>
      <w:lvlJc w:val="left"/>
      <w:pPr>
        <w:tabs>
          <w:tab w:val="num" w:pos="1440"/>
        </w:tabs>
        <w:ind w:left="1440" w:hanging="360"/>
      </w:pPr>
      <w:rPr>
        <w:rFonts w:ascii="Arial" w:hAnsi="Arial" w:hint="default"/>
      </w:rPr>
    </w:lvl>
    <w:lvl w:ilvl="2" w:tplc="0DE68584" w:tentative="1">
      <w:start w:val="1"/>
      <w:numFmt w:val="bullet"/>
      <w:lvlText w:val="•"/>
      <w:lvlJc w:val="left"/>
      <w:pPr>
        <w:tabs>
          <w:tab w:val="num" w:pos="2160"/>
        </w:tabs>
        <w:ind w:left="2160" w:hanging="360"/>
      </w:pPr>
      <w:rPr>
        <w:rFonts w:ascii="Arial" w:hAnsi="Arial" w:hint="default"/>
      </w:rPr>
    </w:lvl>
    <w:lvl w:ilvl="3" w:tplc="A46EC38C" w:tentative="1">
      <w:start w:val="1"/>
      <w:numFmt w:val="bullet"/>
      <w:lvlText w:val="•"/>
      <w:lvlJc w:val="left"/>
      <w:pPr>
        <w:tabs>
          <w:tab w:val="num" w:pos="2880"/>
        </w:tabs>
        <w:ind w:left="2880" w:hanging="360"/>
      </w:pPr>
      <w:rPr>
        <w:rFonts w:ascii="Arial" w:hAnsi="Arial" w:hint="default"/>
      </w:rPr>
    </w:lvl>
    <w:lvl w:ilvl="4" w:tplc="4A2E27E2" w:tentative="1">
      <w:start w:val="1"/>
      <w:numFmt w:val="bullet"/>
      <w:lvlText w:val="•"/>
      <w:lvlJc w:val="left"/>
      <w:pPr>
        <w:tabs>
          <w:tab w:val="num" w:pos="3600"/>
        </w:tabs>
        <w:ind w:left="3600" w:hanging="360"/>
      </w:pPr>
      <w:rPr>
        <w:rFonts w:ascii="Arial" w:hAnsi="Arial" w:hint="default"/>
      </w:rPr>
    </w:lvl>
    <w:lvl w:ilvl="5" w:tplc="6DD05CA4" w:tentative="1">
      <w:start w:val="1"/>
      <w:numFmt w:val="bullet"/>
      <w:lvlText w:val="•"/>
      <w:lvlJc w:val="left"/>
      <w:pPr>
        <w:tabs>
          <w:tab w:val="num" w:pos="4320"/>
        </w:tabs>
        <w:ind w:left="4320" w:hanging="360"/>
      </w:pPr>
      <w:rPr>
        <w:rFonts w:ascii="Arial" w:hAnsi="Arial" w:hint="default"/>
      </w:rPr>
    </w:lvl>
    <w:lvl w:ilvl="6" w:tplc="521ED684" w:tentative="1">
      <w:start w:val="1"/>
      <w:numFmt w:val="bullet"/>
      <w:lvlText w:val="•"/>
      <w:lvlJc w:val="left"/>
      <w:pPr>
        <w:tabs>
          <w:tab w:val="num" w:pos="5040"/>
        </w:tabs>
        <w:ind w:left="5040" w:hanging="360"/>
      </w:pPr>
      <w:rPr>
        <w:rFonts w:ascii="Arial" w:hAnsi="Arial" w:hint="default"/>
      </w:rPr>
    </w:lvl>
    <w:lvl w:ilvl="7" w:tplc="0A6417A4" w:tentative="1">
      <w:start w:val="1"/>
      <w:numFmt w:val="bullet"/>
      <w:lvlText w:val="•"/>
      <w:lvlJc w:val="left"/>
      <w:pPr>
        <w:tabs>
          <w:tab w:val="num" w:pos="5760"/>
        </w:tabs>
        <w:ind w:left="5760" w:hanging="360"/>
      </w:pPr>
      <w:rPr>
        <w:rFonts w:ascii="Arial" w:hAnsi="Arial" w:hint="default"/>
      </w:rPr>
    </w:lvl>
    <w:lvl w:ilvl="8" w:tplc="3B661D44" w:tentative="1">
      <w:start w:val="1"/>
      <w:numFmt w:val="bullet"/>
      <w:lvlText w:val="•"/>
      <w:lvlJc w:val="left"/>
      <w:pPr>
        <w:tabs>
          <w:tab w:val="num" w:pos="6480"/>
        </w:tabs>
        <w:ind w:left="6480" w:hanging="360"/>
      </w:pPr>
      <w:rPr>
        <w:rFonts w:ascii="Arial" w:hAnsi="Arial" w:hint="default"/>
      </w:rPr>
    </w:lvl>
  </w:abstractNum>
  <w:abstractNum w:abstractNumId="5">
    <w:nsid w:val="6C5303F4"/>
    <w:multiLevelType w:val="multilevel"/>
    <w:tmpl w:val="B302E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EE7CEC"/>
    <w:multiLevelType w:val="hybridMultilevel"/>
    <w:tmpl w:val="8D7C5164"/>
    <w:lvl w:ilvl="0" w:tplc="D4B6DFFE">
      <w:start w:val="1"/>
      <w:numFmt w:val="bullet"/>
      <w:lvlText w:val="•"/>
      <w:lvlJc w:val="left"/>
      <w:pPr>
        <w:tabs>
          <w:tab w:val="num" w:pos="720"/>
        </w:tabs>
        <w:ind w:left="720" w:hanging="360"/>
      </w:pPr>
      <w:rPr>
        <w:rFonts w:ascii="Arial" w:hAnsi="Arial" w:hint="default"/>
      </w:rPr>
    </w:lvl>
    <w:lvl w:ilvl="1" w:tplc="BFEA1ADA" w:tentative="1">
      <w:start w:val="1"/>
      <w:numFmt w:val="bullet"/>
      <w:lvlText w:val="•"/>
      <w:lvlJc w:val="left"/>
      <w:pPr>
        <w:tabs>
          <w:tab w:val="num" w:pos="1440"/>
        </w:tabs>
        <w:ind w:left="1440" w:hanging="360"/>
      </w:pPr>
      <w:rPr>
        <w:rFonts w:ascii="Arial" w:hAnsi="Arial" w:hint="default"/>
      </w:rPr>
    </w:lvl>
    <w:lvl w:ilvl="2" w:tplc="871A5544" w:tentative="1">
      <w:start w:val="1"/>
      <w:numFmt w:val="bullet"/>
      <w:lvlText w:val="•"/>
      <w:lvlJc w:val="left"/>
      <w:pPr>
        <w:tabs>
          <w:tab w:val="num" w:pos="2160"/>
        </w:tabs>
        <w:ind w:left="2160" w:hanging="360"/>
      </w:pPr>
      <w:rPr>
        <w:rFonts w:ascii="Arial" w:hAnsi="Arial" w:hint="default"/>
      </w:rPr>
    </w:lvl>
    <w:lvl w:ilvl="3" w:tplc="9D1A70A6" w:tentative="1">
      <w:start w:val="1"/>
      <w:numFmt w:val="bullet"/>
      <w:lvlText w:val="•"/>
      <w:lvlJc w:val="left"/>
      <w:pPr>
        <w:tabs>
          <w:tab w:val="num" w:pos="2880"/>
        </w:tabs>
        <w:ind w:left="2880" w:hanging="360"/>
      </w:pPr>
      <w:rPr>
        <w:rFonts w:ascii="Arial" w:hAnsi="Arial" w:hint="default"/>
      </w:rPr>
    </w:lvl>
    <w:lvl w:ilvl="4" w:tplc="084E04E8" w:tentative="1">
      <w:start w:val="1"/>
      <w:numFmt w:val="bullet"/>
      <w:lvlText w:val="•"/>
      <w:lvlJc w:val="left"/>
      <w:pPr>
        <w:tabs>
          <w:tab w:val="num" w:pos="3600"/>
        </w:tabs>
        <w:ind w:left="3600" w:hanging="360"/>
      </w:pPr>
      <w:rPr>
        <w:rFonts w:ascii="Arial" w:hAnsi="Arial" w:hint="default"/>
      </w:rPr>
    </w:lvl>
    <w:lvl w:ilvl="5" w:tplc="A74ED9C6" w:tentative="1">
      <w:start w:val="1"/>
      <w:numFmt w:val="bullet"/>
      <w:lvlText w:val="•"/>
      <w:lvlJc w:val="left"/>
      <w:pPr>
        <w:tabs>
          <w:tab w:val="num" w:pos="4320"/>
        </w:tabs>
        <w:ind w:left="4320" w:hanging="360"/>
      </w:pPr>
      <w:rPr>
        <w:rFonts w:ascii="Arial" w:hAnsi="Arial" w:hint="default"/>
      </w:rPr>
    </w:lvl>
    <w:lvl w:ilvl="6" w:tplc="179881BC" w:tentative="1">
      <w:start w:val="1"/>
      <w:numFmt w:val="bullet"/>
      <w:lvlText w:val="•"/>
      <w:lvlJc w:val="left"/>
      <w:pPr>
        <w:tabs>
          <w:tab w:val="num" w:pos="5040"/>
        </w:tabs>
        <w:ind w:left="5040" w:hanging="360"/>
      </w:pPr>
      <w:rPr>
        <w:rFonts w:ascii="Arial" w:hAnsi="Arial" w:hint="default"/>
      </w:rPr>
    </w:lvl>
    <w:lvl w:ilvl="7" w:tplc="6FAED7CE" w:tentative="1">
      <w:start w:val="1"/>
      <w:numFmt w:val="bullet"/>
      <w:lvlText w:val="•"/>
      <w:lvlJc w:val="left"/>
      <w:pPr>
        <w:tabs>
          <w:tab w:val="num" w:pos="5760"/>
        </w:tabs>
        <w:ind w:left="5760" w:hanging="360"/>
      </w:pPr>
      <w:rPr>
        <w:rFonts w:ascii="Arial" w:hAnsi="Arial" w:hint="default"/>
      </w:rPr>
    </w:lvl>
    <w:lvl w:ilvl="8" w:tplc="7C88EB4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4"/>
  </w:num>
  <w:num w:numId="3">
    <w:abstractNumId w:val="0"/>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491"/>
    <w:rsid w:val="00003334"/>
    <w:rsid w:val="001E1634"/>
    <w:rsid w:val="00234FD4"/>
    <w:rsid w:val="00236032"/>
    <w:rsid w:val="002551AD"/>
    <w:rsid w:val="00297565"/>
    <w:rsid w:val="002F43BD"/>
    <w:rsid w:val="0035520D"/>
    <w:rsid w:val="003747EC"/>
    <w:rsid w:val="00551D9D"/>
    <w:rsid w:val="00594491"/>
    <w:rsid w:val="005A5AB8"/>
    <w:rsid w:val="00810432"/>
    <w:rsid w:val="0085403D"/>
    <w:rsid w:val="00D92CC8"/>
    <w:rsid w:val="00DA39E3"/>
    <w:rsid w:val="00EF45FF"/>
    <w:rsid w:val="00F56A6D"/>
    <w:rsid w:val="00FC7173"/>
    <w:rsid w:val="00FD31A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173"/>
    <w:pPr>
      <w:spacing w:after="0" w:line="240" w:lineRule="auto"/>
      <w:ind w:left="720"/>
      <w:contextualSpacing/>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81043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173"/>
    <w:pPr>
      <w:spacing w:after="0" w:line="240" w:lineRule="auto"/>
      <w:ind w:left="720"/>
      <w:contextualSpacing/>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8104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906">
      <w:bodyDiv w:val="1"/>
      <w:marLeft w:val="0"/>
      <w:marRight w:val="0"/>
      <w:marTop w:val="0"/>
      <w:marBottom w:val="0"/>
      <w:divBdr>
        <w:top w:val="none" w:sz="0" w:space="0" w:color="auto"/>
        <w:left w:val="none" w:sz="0" w:space="0" w:color="auto"/>
        <w:bottom w:val="none" w:sz="0" w:space="0" w:color="auto"/>
        <w:right w:val="none" w:sz="0" w:space="0" w:color="auto"/>
      </w:divBdr>
      <w:divsChild>
        <w:div w:id="1592809181">
          <w:marLeft w:val="446"/>
          <w:marRight w:val="0"/>
          <w:marTop w:val="96"/>
          <w:marBottom w:val="120"/>
          <w:divBdr>
            <w:top w:val="none" w:sz="0" w:space="0" w:color="auto"/>
            <w:left w:val="none" w:sz="0" w:space="0" w:color="auto"/>
            <w:bottom w:val="none" w:sz="0" w:space="0" w:color="auto"/>
            <w:right w:val="none" w:sz="0" w:space="0" w:color="auto"/>
          </w:divBdr>
        </w:div>
      </w:divsChild>
    </w:div>
    <w:div w:id="273948072">
      <w:bodyDiv w:val="1"/>
      <w:marLeft w:val="0"/>
      <w:marRight w:val="0"/>
      <w:marTop w:val="0"/>
      <w:marBottom w:val="0"/>
      <w:divBdr>
        <w:top w:val="none" w:sz="0" w:space="0" w:color="auto"/>
        <w:left w:val="none" w:sz="0" w:space="0" w:color="auto"/>
        <w:bottom w:val="none" w:sz="0" w:space="0" w:color="auto"/>
        <w:right w:val="none" w:sz="0" w:space="0" w:color="auto"/>
      </w:divBdr>
    </w:div>
    <w:div w:id="384566126">
      <w:bodyDiv w:val="1"/>
      <w:marLeft w:val="0"/>
      <w:marRight w:val="0"/>
      <w:marTop w:val="0"/>
      <w:marBottom w:val="0"/>
      <w:divBdr>
        <w:top w:val="none" w:sz="0" w:space="0" w:color="auto"/>
        <w:left w:val="none" w:sz="0" w:space="0" w:color="auto"/>
        <w:bottom w:val="none" w:sz="0" w:space="0" w:color="auto"/>
        <w:right w:val="none" w:sz="0" w:space="0" w:color="auto"/>
      </w:divBdr>
      <w:divsChild>
        <w:div w:id="1223365684">
          <w:marLeft w:val="446"/>
          <w:marRight w:val="0"/>
          <w:marTop w:val="77"/>
          <w:marBottom w:val="120"/>
          <w:divBdr>
            <w:top w:val="none" w:sz="0" w:space="0" w:color="auto"/>
            <w:left w:val="none" w:sz="0" w:space="0" w:color="auto"/>
            <w:bottom w:val="none" w:sz="0" w:space="0" w:color="auto"/>
            <w:right w:val="none" w:sz="0" w:space="0" w:color="auto"/>
          </w:divBdr>
        </w:div>
        <w:div w:id="1970431464">
          <w:marLeft w:val="446"/>
          <w:marRight w:val="0"/>
          <w:marTop w:val="77"/>
          <w:marBottom w:val="120"/>
          <w:divBdr>
            <w:top w:val="none" w:sz="0" w:space="0" w:color="auto"/>
            <w:left w:val="none" w:sz="0" w:space="0" w:color="auto"/>
            <w:bottom w:val="none" w:sz="0" w:space="0" w:color="auto"/>
            <w:right w:val="none" w:sz="0" w:space="0" w:color="auto"/>
          </w:divBdr>
        </w:div>
      </w:divsChild>
    </w:div>
    <w:div w:id="1063794809">
      <w:bodyDiv w:val="1"/>
      <w:marLeft w:val="0"/>
      <w:marRight w:val="0"/>
      <w:marTop w:val="0"/>
      <w:marBottom w:val="0"/>
      <w:divBdr>
        <w:top w:val="none" w:sz="0" w:space="0" w:color="auto"/>
        <w:left w:val="none" w:sz="0" w:space="0" w:color="auto"/>
        <w:bottom w:val="none" w:sz="0" w:space="0" w:color="auto"/>
        <w:right w:val="none" w:sz="0" w:space="0" w:color="auto"/>
      </w:divBdr>
      <w:divsChild>
        <w:div w:id="293216400">
          <w:marLeft w:val="446"/>
          <w:marRight w:val="0"/>
          <w:marTop w:val="91"/>
          <w:marBottom w:val="120"/>
          <w:divBdr>
            <w:top w:val="none" w:sz="0" w:space="0" w:color="auto"/>
            <w:left w:val="none" w:sz="0" w:space="0" w:color="auto"/>
            <w:bottom w:val="none" w:sz="0" w:space="0" w:color="auto"/>
            <w:right w:val="none" w:sz="0" w:space="0" w:color="auto"/>
          </w:divBdr>
        </w:div>
      </w:divsChild>
    </w:div>
    <w:div w:id="1270891629">
      <w:bodyDiv w:val="1"/>
      <w:marLeft w:val="0"/>
      <w:marRight w:val="0"/>
      <w:marTop w:val="0"/>
      <w:marBottom w:val="0"/>
      <w:divBdr>
        <w:top w:val="none" w:sz="0" w:space="0" w:color="auto"/>
        <w:left w:val="none" w:sz="0" w:space="0" w:color="auto"/>
        <w:bottom w:val="none" w:sz="0" w:space="0" w:color="auto"/>
        <w:right w:val="none" w:sz="0" w:space="0" w:color="auto"/>
      </w:divBdr>
      <w:divsChild>
        <w:div w:id="550655487">
          <w:marLeft w:val="446"/>
          <w:marRight w:val="0"/>
          <w:marTop w:val="91"/>
          <w:marBottom w:val="120"/>
          <w:divBdr>
            <w:top w:val="none" w:sz="0" w:space="0" w:color="auto"/>
            <w:left w:val="none" w:sz="0" w:space="0" w:color="auto"/>
            <w:bottom w:val="none" w:sz="0" w:space="0" w:color="auto"/>
            <w:right w:val="none" w:sz="0" w:space="0" w:color="auto"/>
          </w:divBdr>
        </w:div>
      </w:divsChild>
    </w:div>
    <w:div w:id="1621767153">
      <w:bodyDiv w:val="1"/>
      <w:marLeft w:val="0"/>
      <w:marRight w:val="0"/>
      <w:marTop w:val="0"/>
      <w:marBottom w:val="0"/>
      <w:divBdr>
        <w:top w:val="none" w:sz="0" w:space="0" w:color="auto"/>
        <w:left w:val="none" w:sz="0" w:space="0" w:color="auto"/>
        <w:bottom w:val="none" w:sz="0" w:space="0" w:color="auto"/>
        <w:right w:val="none" w:sz="0" w:space="0" w:color="auto"/>
      </w:divBdr>
    </w:div>
    <w:div w:id="166300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8</Pages>
  <Words>1523</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Veronique</dc:creator>
  <cp:lastModifiedBy>Veronique</cp:lastModifiedBy>
  <cp:revision>1</cp:revision>
  <dcterms:created xsi:type="dcterms:W3CDTF">2022-11-04T10:44:00Z</dcterms:created>
  <dcterms:modified xsi:type="dcterms:W3CDTF">2022-11-04T14:25:00Z</dcterms:modified>
</cp:coreProperties>
</file>