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9BF47" w14:textId="77777777" w:rsidR="008240A9" w:rsidRPr="00467E19" w:rsidRDefault="008240A9" w:rsidP="00467E19">
      <w:pPr>
        <w:jc w:val="center"/>
        <w:rPr>
          <w:b/>
          <w:bCs/>
        </w:rPr>
      </w:pPr>
      <w:r w:rsidRPr="00465250">
        <w:rPr>
          <w:b/>
          <w:bCs/>
          <w:u w:val="single"/>
        </w:rPr>
        <w:t>Child abuse and neglect</w:t>
      </w:r>
      <w:r w:rsidR="00A7181D">
        <w:rPr>
          <w:b/>
          <w:bCs/>
          <w:u w:val="single"/>
        </w:rPr>
        <w:t xml:space="preserve">: </w:t>
      </w:r>
      <w:r w:rsidRPr="00465250">
        <w:rPr>
          <w:b/>
          <w:bCs/>
          <w:u w:val="single"/>
        </w:rPr>
        <w:t>systemic failure</w:t>
      </w:r>
      <w:r w:rsidR="00A7181D">
        <w:rPr>
          <w:b/>
          <w:bCs/>
          <w:u w:val="single"/>
        </w:rPr>
        <w:t>s</w:t>
      </w:r>
      <w:r w:rsidRPr="00465250">
        <w:rPr>
          <w:b/>
          <w:bCs/>
          <w:u w:val="single"/>
        </w:rPr>
        <w:t xml:space="preserve"> in health and social care</w:t>
      </w:r>
      <w:r w:rsidR="00467E19">
        <w:rPr>
          <w:b/>
          <w:bCs/>
          <w:u w:val="single"/>
        </w:rPr>
        <w:t>:</w:t>
      </w:r>
      <w:r w:rsidRPr="00465250">
        <w:rPr>
          <w:b/>
          <w:bCs/>
          <w:u w:val="single"/>
        </w:rPr>
        <w:t xml:space="preserve"> Review of Baby P</w:t>
      </w:r>
      <w:r w:rsidR="00467E19">
        <w:rPr>
          <w:b/>
          <w:bCs/>
          <w:u w:val="single"/>
        </w:rPr>
        <w:t xml:space="preserve"> case</w:t>
      </w:r>
      <w:r w:rsidRPr="00465250">
        <w:rPr>
          <w:b/>
          <w:bCs/>
          <w:u w:val="single"/>
        </w:rPr>
        <w:t xml:space="preserve">  </w:t>
      </w:r>
    </w:p>
    <w:p w14:paraId="1D5BCFED" w14:textId="77777777" w:rsidR="008240A9" w:rsidRPr="00465250" w:rsidRDefault="008240A9">
      <w:pPr>
        <w:rPr>
          <w:b/>
          <w:bCs/>
          <w:u w:val="single"/>
        </w:rPr>
      </w:pPr>
    </w:p>
    <w:p w14:paraId="6644755C" w14:textId="77777777" w:rsidR="00606DB3" w:rsidRPr="00606DB3" w:rsidRDefault="00652CA8" w:rsidP="00465250">
      <w:pPr>
        <w:spacing w:line="360" w:lineRule="auto"/>
        <w:jc w:val="both"/>
        <w:rPr>
          <w:b/>
          <w:bCs/>
        </w:rPr>
      </w:pPr>
      <w:r>
        <w:rPr>
          <w:b/>
          <w:bCs/>
        </w:rPr>
        <w:t>Introduction</w:t>
      </w:r>
    </w:p>
    <w:p w14:paraId="6B574873" w14:textId="77777777" w:rsidR="00BB08CA" w:rsidRDefault="00652CA8" w:rsidP="00935257">
      <w:pPr>
        <w:spacing w:line="360" w:lineRule="auto"/>
        <w:jc w:val="both"/>
      </w:pPr>
      <w:r w:rsidRPr="00FD140C">
        <w:t>This essay examine</w:t>
      </w:r>
      <w:r w:rsidR="00BB08CA" w:rsidRPr="00FD140C">
        <w:t>s</w:t>
      </w:r>
      <w:r w:rsidRPr="00FD140C">
        <w:t xml:space="preserve"> child abuse using the Baby P case to highlight </w:t>
      </w:r>
      <w:r w:rsidR="00BB08CA" w:rsidRPr="00FD140C">
        <w:t xml:space="preserve">causes of </w:t>
      </w:r>
      <w:r w:rsidRPr="00FD140C">
        <w:t>systemic failures in health and social care</w:t>
      </w:r>
      <w:r w:rsidR="00BB08CA" w:rsidRPr="00FD140C">
        <w:t xml:space="preserve"> and how this can have consequential impacts</w:t>
      </w:r>
      <w:r w:rsidRPr="00FD140C">
        <w:t>.  Baby P</w:t>
      </w:r>
      <w:r w:rsidR="00835305">
        <w:t xml:space="preserve">’s case, </w:t>
      </w:r>
      <w:r w:rsidR="00BB08CA" w:rsidRPr="00FD140C">
        <w:t>as</w:t>
      </w:r>
      <w:r w:rsidR="00601886" w:rsidRPr="00FD140C">
        <w:t xml:space="preserve"> an example of a systemic failure</w:t>
      </w:r>
      <w:r w:rsidR="00BB08CA" w:rsidRPr="00FD140C">
        <w:t xml:space="preserve">, </w:t>
      </w:r>
      <w:r w:rsidR="001C4D2E">
        <w:t>underscore</w:t>
      </w:r>
      <w:r w:rsidR="00835305">
        <w:t>s</w:t>
      </w:r>
      <w:r w:rsidR="001C4D2E">
        <w:t xml:space="preserve"> </w:t>
      </w:r>
      <w:r w:rsidR="004B7E67" w:rsidRPr="00FD140C">
        <w:t>errors/mistakes</w:t>
      </w:r>
      <w:r w:rsidR="00043F88" w:rsidRPr="00FD140C">
        <w:t xml:space="preserve"> in part or parts of </w:t>
      </w:r>
      <w:r w:rsidR="00835305">
        <w:t>the UK</w:t>
      </w:r>
      <w:r w:rsidR="003F1B02">
        <w:t>’s</w:t>
      </w:r>
      <w:r w:rsidR="00835305">
        <w:t xml:space="preserve"> </w:t>
      </w:r>
      <w:r w:rsidR="00043F88" w:rsidRPr="00FD140C">
        <w:t xml:space="preserve"> </w:t>
      </w:r>
      <w:r w:rsidR="00835305">
        <w:t>h</w:t>
      </w:r>
      <w:r w:rsidR="00835305" w:rsidRPr="00FD140C">
        <w:t>ealth</w:t>
      </w:r>
      <w:r w:rsidR="00835305">
        <w:t xml:space="preserve"> and s</w:t>
      </w:r>
      <w:r w:rsidR="00835305" w:rsidRPr="00FD140C">
        <w:t>ocial care system</w:t>
      </w:r>
      <w:r w:rsidR="00835305">
        <w:t xml:space="preserve">, itself </w:t>
      </w:r>
      <w:r w:rsidR="00835305" w:rsidRPr="00FD140C">
        <w:t>a complex</w:t>
      </w:r>
      <w:r w:rsidR="00835305">
        <w:t xml:space="preserve">, </w:t>
      </w:r>
      <w:r w:rsidR="00835305" w:rsidRPr="00FD140C">
        <w:t>adaptive</w:t>
      </w:r>
      <w:r w:rsidR="00835305">
        <w:t xml:space="preserve">, </w:t>
      </w:r>
      <w:r w:rsidR="00835305" w:rsidRPr="00FD140C">
        <w:t>capacity-led and resource-driven</w:t>
      </w:r>
      <w:r w:rsidR="00835305">
        <w:t xml:space="preserve"> system</w:t>
      </w:r>
      <w:r w:rsidR="00835305" w:rsidRPr="00FD140C">
        <w:t xml:space="preserve"> </w:t>
      </w:r>
      <w:r w:rsidR="00835305">
        <w:t>that</w:t>
      </w:r>
      <w:r w:rsidR="00835305" w:rsidRPr="00FD140C">
        <w:t xml:space="preserve"> comprises elements, processes, mechanisms </w:t>
      </w:r>
      <w:r w:rsidR="00835305">
        <w:t>that</w:t>
      </w:r>
      <w:r w:rsidR="00835305" w:rsidRPr="00FD140C">
        <w:t xml:space="preserve"> has implications for the quality of care delivered to service users </w:t>
      </w:r>
      <w:r w:rsidR="00043F88" w:rsidRPr="00FD140C">
        <w:t>(Garnett, 2018</w:t>
      </w:r>
      <w:r w:rsidR="00835305">
        <w:t xml:space="preserve">; </w:t>
      </w:r>
      <w:r w:rsidR="004B7E67" w:rsidRPr="00FD140C">
        <w:t xml:space="preserve">Care Quality Commission, 2021; </w:t>
      </w:r>
      <w:r w:rsidR="00BB08CA" w:rsidRPr="00FD140C">
        <w:t>Hartman et al., 2021).</w:t>
      </w:r>
      <w:r w:rsidR="004B7E67" w:rsidRPr="00FD140C">
        <w:t xml:space="preserve"> Unfortunately, </w:t>
      </w:r>
      <w:r w:rsidR="00835305">
        <w:t xml:space="preserve">there is </w:t>
      </w:r>
      <w:r w:rsidR="004B7E67" w:rsidRPr="00FD140C">
        <w:t>no system perfect</w:t>
      </w:r>
      <w:r w:rsidR="00835305">
        <w:t xml:space="preserve"> </w:t>
      </w:r>
      <w:r w:rsidR="004B7E67" w:rsidRPr="00FD140C">
        <w:t xml:space="preserve">health and social care </w:t>
      </w:r>
      <w:r w:rsidR="00835305">
        <w:t>system</w:t>
      </w:r>
      <w:r w:rsidR="00F55240">
        <w:t xml:space="preserve">. </w:t>
      </w:r>
      <w:proofErr w:type="spellStart"/>
      <w:r w:rsidR="00FD140C" w:rsidRPr="00FD140C">
        <w:t>MacAlister</w:t>
      </w:r>
      <w:proofErr w:type="spellEnd"/>
      <w:r w:rsidR="00FD140C">
        <w:t xml:space="preserve"> </w:t>
      </w:r>
      <w:r w:rsidR="00FD140C" w:rsidRPr="00FD140C">
        <w:t>(2022; p.8)</w:t>
      </w:r>
      <w:r w:rsidR="001C4D2E">
        <w:t xml:space="preserve"> describes</w:t>
      </w:r>
      <w:r w:rsidR="00FD140C" w:rsidRPr="00FD140C">
        <w:t xml:space="preserve"> </w:t>
      </w:r>
      <w:r w:rsidR="00F55240">
        <w:t>the</w:t>
      </w:r>
      <w:r w:rsidR="00FD140C" w:rsidRPr="00FD140C">
        <w:t xml:space="preserve"> </w:t>
      </w:r>
      <w:r w:rsidR="00F55240">
        <w:t xml:space="preserve">current </w:t>
      </w:r>
      <w:r w:rsidR="00FD140C" w:rsidRPr="00FD140C">
        <w:t>system</w:t>
      </w:r>
      <w:r w:rsidR="001C4D2E">
        <w:t xml:space="preserve"> as</w:t>
      </w:r>
      <w:r w:rsidR="00FD140C" w:rsidRPr="00FD140C">
        <w:t xml:space="preserve"> </w:t>
      </w:r>
      <w:r w:rsidR="001C4D2E">
        <w:t>“</w:t>
      </w:r>
      <w:r w:rsidR="00FD140C" w:rsidRPr="00FD140C">
        <w:t xml:space="preserve">increasingly skewed to crisis intervention, with outcomes for children that continue to be unacceptably poor and costs that continue to rise”. </w:t>
      </w:r>
    </w:p>
    <w:p w14:paraId="0E83518D" w14:textId="77777777" w:rsidR="001E7B69" w:rsidRDefault="001E7B69" w:rsidP="00935257">
      <w:pPr>
        <w:spacing w:line="360" w:lineRule="auto"/>
        <w:jc w:val="both"/>
      </w:pPr>
    </w:p>
    <w:p w14:paraId="5EDC45BE" w14:textId="77777777" w:rsidR="00CB6145" w:rsidRPr="00CB6145" w:rsidRDefault="00CB6145" w:rsidP="00465250">
      <w:pPr>
        <w:spacing w:line="360" w:lineRule="auto"/>
        <w:jc w:val="both"/>
        <w:rPr>
          <w:b/>
          <w:bCs/>
        </w:rPr>
      </w:pPr>
      <w:r>
        <w:rPr>
          <w:b/>
          <w:bCs/>
        </w:rPr>
        <w:t>Definitions</w:t>
      </w:r>
      <w:r w:rsidR="001C4D2E">
        <w:rPr>
          <w:b/>
          <w:bCs/>
        </w:rPr>
        <w:t xml:space="preserve">, </w:t>
      </w:r>
      <w:r w:rsidR="00606DB3" w:rsidRPr="00606DB3">
        <w:rPr>
          <w:b/>
          <w:bCs/>
        </w:rPr>
        <w:t xml:space="preserve">forms of </w:t>
      </w:r>
      <w:r>
        <w:rPr>
          <w:b/>
          <w:bCs/>
        </w:rPr>
        <w:t xml:space="preserve">child </w:t>
      </w:r>
      <w:r w:rsidR="00606DB3" w:rsidRPr="00606DB3">
        <w:rPr>
          <w:b/>
          <w:bCs/>
        </w:rPr>
        <w:t>abuse</w:t>
      </w:r>
      <w:r w:rsidR="001C4D2E">
        <w:rPr>
          <w:b/>
          <w:bCs/>
        </w:rPr>
        <w:t xml:space="preserve"> and consequences</w:t>
      </w:r>
    </w:p>
    <w:p w14:paraId="436C7AB7" w14:textId="77777777" w:rsidR="00CB6145" w:rsidRDefault="00B94D9F" w:rsidP="00465250">
      <w:pPr>
        <w:spacing w:line="360" w:lineRule="auto"/>
        <w:jc w:val="both"/>
      </w:pPr>
      <w:r>
        <w:t>A child is</w:t>
      </w:r>
      <w:r w:rsidR="00465250">
        <w:t xml:space="preserve"> </w:t>
      </w:r>
      <w:r>
        <w:t>l</w:t>
      </w:r>
      <w:r w:rsidR="00806C08">
        <w:t>egally defined</w:t>
      </w:r>
      <w:r w:rsidR="00465250">
        <w:t xml:space="preserve"> </w:t>
      </w:r>
      <w:r>
        <w:t xml:space="preserve">as </w:t>
      </w:r>
      <w:r w:rsidR="00465250">
        <w:t xml:space="preserve">someone </w:t>
      </w:r>
      <w:r>
        <w:t xml:space="preserve">who has not yet reached 16 years of age and living independently, is in further education, is a member of the armed forces, or in custody in </w:t>
      </w:r>
      <w:r w:rsidR="00E26379">
        <w:t xml:space="preserve">the </w:t>
      </w:r>
      <w:r>
        <w:t>secure estate</w:t>
      </w:r>
      <w:r w:rsidR="00E26379">
        <w:t>,</w:t>
      </w:r>
      <w:r>
        <w:t xml:space="preserve"> does not change their status or entitlements to services or protection (ONS, 2021)</w:t>
      </w:r>
      <w:r w:rsidR="00465250">
        <w:t xml:space="preserve">.  </w:t>
      </w:r>
      <w:r w:rsidR="00CB6145">
        <w:t>Child abuse include any acts of commission or omission by a parent or caregiver that result in harm, potential for harm, or threat of harm to a child even if harm is not intended (Gilbert et al., 2009). F</w:t>
      </w:r>
      <w:r w:rsidR="00465250">
        <w:t xml:space="preserve">our forms of </w:t>
      </w:r>
      <w:r w:rsidR="00CB6145">
        <w:t>abuse</w:t>
      </w:r>
      <w:r w:rsidR="00465250">
        <w:t xml:space="preserve"> are generally recognised</w:t>
      </w:r>
      <w:r w:rsidR="00CB6145">
        <w:t xml:space="preserve"> in the literature:</w:t>
      </w:r>
      <w:r w:rsidR="00465250">
        <w:t xml:space="preserve"> </w:t>
      </w:r>
    </w:p>
    <w:p w14:paraId="33AC9F84" w14:textId="77777777" w:rsidR="00CB6145" w:rsidRDefault="00465250" w:rsidP="00CB6145">
      <w:pPr>
        <w:pStyle w:val="ListParagraph"/>
        <w:numPr>
          <w:ilvl w:val="0"/>
          <w:numId w:val="1"/>
        </w:numPr>
        <w:spacing w:line="360" w:lineRule="auto"/>
        <w:jc w:val="both"/>
      </w:pPr>
      <w:r>
        <w:t xml:space="preserve">physical abuse, </w:t>
      </w:r>
    </w:p>
    <w:p w14:paraId="0070470D" w14:textId="77777777" w:rsidR="00CB6145" w:rsidRDefault="00465250" w:rsidP="00CB6145">
      <w:pPr>
        <w:pStyle w:val="ListParagraph"/>
        <w:numPr>
          <w:ilvl w:val="0"/>
          <w:numId w:val="1"/>
        </w:numPr>
        <w:spacing w:line="360" w:lineRule="auto"/>
        <w:jc w:val="both"/>
      </w:pPr>
      <w:r>
        <w:t xml:space="preserve">sexual abuse, </w:t>
      </w:r>
    </w:p>
    <w:p w14:paraId="6E6264C2" w14:textId="77777777" w:rsidR="00CB6145" w:rsidRDefault="00465250" w:rsidP="00CB6145">
      <w:pPr>
        <w:pStyle w:val="ListParagraph"/>
        <w:numPr>
          <w:ilvl w:val="0"/>
          <w:numId w:val="1"/>
        </w:numPr>
        <w:spacing w:line="360" w:lineRule="auto"/>
        <w:jc w:val="both"/>
      </w:pPr>
      <w:r>
        <w:t>psychological</w:t>
      </w:r>
      <w:r w:rsidR="00CB6145">
        <w:t>/</w:t>
      </w:r>
      <w:r>
        <w:t xml:space="preserve">emotional abuse </w:t>
      </w:r>
      <w:r w:rsidR="00CB6145">
        <w:t>and</w:t>
      </w:r>
      <w:r>
        <w:t xml:space="preserve"> </w:t>
      </w:r>
    </w:p>
    <w:p w14:paraId="4FC058AB" w14:textId="77777777" w:rsidR="00E26379" w:rsidRDefault="00465250" w:rsidP="00E26379">
      <w:pPr>
        <w:pStyle w:val="ListParagraph"/>
        <w:numPr>
          <w:ilvl w:val="0"/>
          <w:numId w:val="1"/>
        </w:numPr>
        <w:spacing w:line="360" w:lineRule="auto"/>
        <w:jc w:val="both"/>
      </w:pPr>
      <w:r>
        <w:t xml:space="preserve">neglect. </w:t>
      </w:r>
    </w:p>
    <w:p w14:paraId="2116769C" w14:textId="77777777" w:rsidR="00FD140C" w:rsidRDefault="00806C08" w:rsidP="00FD140C">
      <w:pPr>
        <w:pStyle w:val="ListParagraph"/>
        <w:numPr>
          <w:ilvl w:val="0"/>
          <w:numId w:val="1"/>
        </w:numPr>
        <w:spacing w:line="360" w:lineRule="auto"/>
        <w:jc w:val="both"/>
      </w:pPr>
      <w:r>
        <w:t>domestic violence</w:t>
      </w:r>
      <w:r w:rsidR="00B94D9F">
        <w:t>.</w:t>
      </w:r>
      <w:r w:rsidR="00EA13CF">
        <w:t xml:space="preserve"> </w:t>
      </w:r>
    </w:p>
    <w:p w14:paraId="75D0F405" w14:textId="77777777" w:rsidR="001C4D2E" w:rsidRDefault="00FD140C" w:rsidP="001C4D2E">
      <w:pPr>
        <w:spacing w:line="360" w:lineRule="auto"/>
        <w:jc w:val="both"/>
      </w:pPr>
      <w:r>
        <w:t xml:space="preserve">Child abuse is a major public health and social care problem in the UK. </w:t>
      </w:r>
      <w:r w:rsidR="00D66A2F">
        <w:t>However,</w:t>
      </w:r>
      <w:r>
        <w:t xml:space="preserve"> there are incomplete data on its true extent,</w:t>
      </w:r>
      <w:r w:rsidR="00D66A2F">
        <w:t xml:space="preserve"> hence</w:t>
      </w:r>
      <w:r>
        <w:t xml:space="preserve"> </w:t>
      </w:r>
      <w:r w:rsidR="00D66A2F">
        <w:t xml:space="preserve">it </w:t>
      </w:r>
      <w:r>
        <w:t xml:space="preserve">is </w:t>
      </w:r>
      <w:r w:rsidR="00D66A2F">
        <w:t>often mis</w:t>
      </w:r>
      <w:r>
        <w:t xml:space="preserve">understood. NSPPC (2022) estimates roughly 500,000 children suffer abuse annually. </w:t>
      </w:r>
      <w:r w:rsidR="00D66A2F">
        <w:t>S</w:t>
      </w:r>
      <w:r>
        <w:t xml:space="preserve">afeguarding vulnerable, at-risk children is a public health priority in England and Wales (HM Government, 2018). Child abuse </w:t>
      </w:r>
      <w:r w:rsidR="00D66A2F">
        <w:t>cases</w:t>
      </w:r>
      <w:r>
        <w:t xml:space="preserve"> </w:t>
      </w:r>
      <w:r w:rsidR="00D66A2F">
        <w:t xml:space="preserve">have </w:t>
      </w:r>
      <w:r>
        <w:t>trigger</w:t>
      </w:r>
      <w:r w:rsidR="00D66A2F">
        <w:t>ed</w:t>
      </w:r>
      <w:r>
        <w:t xml:space="preserve"> serious case reviews (SCRs) and </w:t>
      </w:r>
      <w:r w:rsidR="00D66A2F">
        <w:t xml:space="preserve">prompted </w:t>
      </w:r>
      <w:r>
        <w:t xml:space="preserve">changes in the UK’s health and social care system (Munro, 2011). </w:t>
      </w:r>
      <w:r w:rsidR="00D66A2F">
        <w:t>S</w:t>
      </w:r>
      <w:r>
        <w:t xml:space="preserve">afeguarding concerns </w:t>
      </w:r>
      <w:r w:rsidR="00D66A2F">
        <w:t>have</w:t>
      </w:r>
      <w:r>
        <w:t xml:space="preserve"> result</w:t>
      </w:r>
      <w:r w:rsidR="00D66A2F">
        <w:t>ed</w:t>
      </w:r>
      <w:r>
        <w:t xml:space="preserve"> in </w:t>
      </w:r>
      <w:r w:rsidR="00D66A2F">
        <w:t xml:space="preserve">many </w:t>
      </w:r>
      <w:r>
        <w:t xml:space="preserve">interventions. </w:t>
      </w:r>
      <w:r w:rsidR="001C4D2E">
        <w:t>The consequences of child abuse are serious: incl</w:t>
      </w:r>
      <w:r w:rsidR="00D66A2F">
        <w:t>uding</w:t>
      </w:r>
      <w:r w:rsidR="001C4D2E">
        <w:t xml:space="preserve"> serious injury, trauma and long-term consequences that can affect the child’s life into adulthood (Conti et al., 2021). In extreme cases, death of a child, as in the case of Baby P</w:t>
      </w:r>
      <w:r w:rsidR="001E7B69">
        <w:t>,</w:t>
      </w:r>
      <w:r w:rsidR="001C4D2E">
        <w:t xml:space="preserve"> can occur (Murphy, 2022). </w:t>
      </w:r>
      <w:r w:rsidR="00D66A2F">
        <w:t>Cases</w:t>
      </w:r>
      <w:r w:rsidR="001C4D2E">
        <w:t xml:space="preserve"> undermine public trust in the system and in professionals</w:t>
      </w:r>
      <w:r w:rsidR="00D66A2F">
        <w:t xml:space="preserve">; and </w:t>
      </w:r>
      <w:r w:rsidR="001C4D2E">
        <w:t>the attendant SCRs</w:t>
      </w:r>
      <w:r w:rsidR="00D66A2F">
        <w:t xml:space="preserve">, the </w:t>
      </w:r>
      <w:r w:rsidR="001C4D2E">
        <w:t>intense media scrutiny and public criticisms of child protection services, have led to unfounded speculations that child abuse might be increasing (</w:t>
      </w:r>
      <w:proofErr w:type="spellStart"/>
      <w:r w:rsidR="001C4D2E">
        <w:t>Degli-Esposti</w:t>
      </w:r>
      <w:proofErr w:type="spellEnd"/>
      <w:r w:rsidR="001C4D2E">
        <w:t xml:space="preserve"> et al., 2019; 2020).</w:t>
      </w:r>
    </w:p>
    <w:p w14:paraId="6C2E4A3E" w14:textId="77777777" w:rsidR="00902BBD" w:rsidRDefault="00902BBD" w:rsidP="00465250">
      <w:pPr>
        <w:spacing w:line="360" w:lineRule="auto"/>
        <w:jc w:val="both"/>
        <w:rPr>
          <w:b/>
          <w:bCs/>
        </w:rPr>
      </w:pPr>
    </w:p>
    <w:p w14:paraId="46E3120D" w14:textId="77777777" w:rsidR="00CB6145" w:rsidRPr="00902BBD" w:rsidRDefault="00902BBD" w:rsidP="00465250">
      <w:pPr>
        <w:spacing w:line="360" w:lineRule="auto"/>
        <w:jc w:val="both"/>
        <w:rPr>
          <w:b/>
          <w:bCs/>
        </w:rPr>
      </w:pPr>
      <w:r w:rsidRPr="00902BBD">
        <w:rPr>
          <w:b/>
          <w:bCs/>
        </w:rPr>
        <w:t>Theoretical perspectives</w:t>
      </w:r>
      <w:r w:rsidR="001C4D2E">
        <w:rPr>
          <w:b/>
          <w:bCs/>
        </w:rPr>
        <w:t xml:space="preserve"> </w:t>
      </w:r>
    </w:p>
    <w:p w14:paraId="10385B5C" w14:textId="77777777" w:rsidR="00902BBD" w:rsidRPr="00D1389A" w:rsidRDefault="00902BBD" w:rsidP="00902BBD">
      <w:pPr>
        <w:spacing w:line="360" w:lineRule="auto"/>
        <w:jc w:val="both"/>
      </w:pPr>
      <w:r w:rsidRPr="00902BBD">
        <w:t>Child neglect is</w:t>
      </w:r>
      <w:r w:rsidR="00D66A2F">
        <w:t xml:space="preserve"> caused </w:t>
      </w:r>
      <w:r w:rsidRPr="00902BBD">
        <w:t>by multiple risk factors</w:t>
      </w:r>
      <w:r w:rsidR="00835305">
        <w:t>;</w:t>
      </w:r>
      <w:r w:rsidRPr="00902BBD">
        <w:t xml:space="preserve"> the consequence of a complex interaction of risk factors </w:t>
      </w:r>
      <w:r w:rsidR="00835305">
        <w:t>found</w:t>
      </w:r>
      <w:r w:rsidRPr="00902BBD">
        <w:t xml:space="preserve"> in children and in their care environment</w:t>
      </w:r>
      <w:r w:rsidR="00835305">
        <w:t>s</w:t>
      </w:r>
      <w:r w:rsidRPr="00902BBD">
        <w:t xml:space="preserve">. </w:t>
      </w:r>
      <w:r w:rsidR="00835305">
        <w:t>Abuse/neglect</w:t>
      </w:r>
      <w:r w:rsidRPr="00902BBD">
        <w:t xml:space="preserve"> poses long-term consequences for all aspects of the health and functioning of the child. (</w:t>
      </w:r>
      <w:proofErr w:type="spellStart"/>
      <w:r w:rsidRPr="00902BBD">
        <w:t>Avdibegović</w:t>
      </w:r>
      <w:proofErr w:type="spellEnd"/>
      <w:r w:rsidRPr="00902BBD">
        <w:t xml:space="preserve"> and </w:t>
      </w:r>
      <w:proofErr w:type="spellStart"/>
      <w:r w:rsidRPr="00902BBD">
        <w:t>Brkić</w:t>
      </w:r>
      <w:proofErr w:type="spellEnd"/>
      <w:r w:rsidRPr="00902BBD">
        <w:t xml:space="preserve">, 2020). </w:t>
      </w:r>
      <w:r w:rsidR="00835305">
        <w:t>N</w:t>
      </w:r>
      <w:r w:rsidRPr="00902BBD">
        <w:t xml:space="preserve">o single theory fully explains why neglect of children happens, </w:t>
      </w:r>
      <w:r w:rsidR="00835305">
        <w:t xml:space="preserve">however </w:t>
      </w:r>
      <w:r w:rsidRPr="00902BBD">
        <w:t xml:space="preserve">different </w:t>
      </w:r>
      <w:r w:rsidR="00D66A2F">
        <w:t>theoretica</w:t>
      </w:r>
      <w:r w:rsidRPr="00902BBD">
        <w:t>l models of neglect: parental deficit model, ecological deficit model and ecological-transaction model</w:t>
      </w:r>
      <w:r w:rsidR="00390F5E">
        <w:t xml:space="preserve"> </w:t>
      </w:r>
      <w:r w:rsidR="00835305">
        <w:t>– have explained the phenomenon, and c</w:t>
      </w:r>
      <w:r w:rsidR="00835305" w:rsidRPr="00902BBD">
        <w:t xml:space="preserve">onclude that childhood </w:t>
      </w:r>
      <w:r w:rsidR="00835305">
        <w:t>abuse</w:t>
      </w:r>
      <w:r w:rsidR="00835305" w:rsidRPr="00902BBD">
        <w:t xml:space="preserve"> negatively impact on the development of children resulting</w:t>
      </w:r>
      <w:r w:rsidR="00835305">
        <w:t xml:space="preserve"> in</w:t>
      </w:r>
      <w:r w:rsidR="00835305" w:rsidRPr="00902BBD">
        <w:t xml:space="preserve"> short-term and long-term health, emotional, cognitive, academic and social difficulties</w:t>
      </w:r>
      <w:r w:rsidR="00835305">
        <w:t xml:space="preserve"> </w:t>
      </w:r>
      <w:r w:rsidR="00390F5E">
        <w:t>(</w:t>
      </w:r>
      <w:proofErr w:type="spellStart"/>
      <w:r w:rsidR="00390F5E">
        <w:t>Brofenbrenner</w:t>
      </w:r>
      <w:proofErr w:type="spellEnd"/>
      <w:r w:rsidR="00390F5E">
        <w:t>,</w:t>
      </w:r>
      <w:r w:rsidR="00692E28">
        <w:t xml:space="preserve"> </w:t>
      </w:r>
      <w:r w:rsidR="00390F5E">
        <w:t xml:space="preserve">1977; </w:t>
      </w:r>
      <w:proofErr w:type="spellStart"/>
      <w:r w:rsidR="00390F5E">
        <w:t>Belsky</w:t>
      </w:r>
      <w:proofErr w:type="spellEnd"/>
      <w:r w:rsidR="00390F5E">
        <w:t>, 1993</w:t>
      </w:r>
      <w:r w:rsidR="00835305">
        <w:t xml:space="preserve">; </w:t>
      </w:r>
      <w:proofErr w:type="spellStart"/>
      <w:r w:rsidRPr="00902BBD">
        <w:t>Begle</w:t>
      </w:r>
      <w:proofErr w:type="spellEnd"/>
      <w:r w:rsidRPr="00902BBD">
        <w:t xml:space="preserve"> et al., 2010).</w:t>
      </w:r>
      <w:r w:rsidR="001C4D2E">
        <w:t xml:space="preserve"> </w:t>
      </w:r>
    </w:p>
    <w:p w14:paraId="5D159BB5" w14:textId="77777777" w:rsidR="00902BBD" w:rsidRDefault="00902BBD" w:rsidP="00465250">
      <w:pPr>
        <w:spacing w:line="360" w:lineRule="auto"/>
        <w:jc w:val="both"/>
      </w:pPr>
    </w:p>
    <w:p w14:paraId="21034CF1" w14:textId="77777777" w:rsidR="00E26379" w:rsidRDefault="00E26379" w:rsidP="00465250">
      <w:pPr>
        <w:spacing w:line="360" w:lineRule="auto"/>
        <w:jc w:val="both"/>
        <w:rPr>
          <w:b/>
          <w:bCs/>
        </w:rPr>
      </w:pPr>
      <w:r>
        <w:rPr>
          <w:b/>
          <w:bCs/>
        </w:rPr>
        <w:t>Case study:</w:t>
      </w:r>
      <w:r w:rsidR="00A7181D" w:rsidRPr="00606DB3">
        <w:rPr>
          <w:b/>
          <w:bCs/>
        </w:rPr>
        <w:t xml:space="preserve"> Baby P</w:t>
      </w:r>
      <w:r w:rsidR="00935257">
        <w:rPr>
          <w:b/>
          <w:bCs/>
        </w:rPr>
        <w:t xml:space="preserve"> case</w:t>
      </w:r>
    </w:p>
    <w:p w14:paraId="16AB7964" w14:textId="77777777" w:rsidR="00692E28" w:rsidRDefault="0054784A" w:rsidP="00A96348">
      <w:pPr>
        <w:spacing w:line="360" w:lineRule="auto"/>
        <w:jc w:val="both"/>
      </w:pPr>
      <w:r>
        <w:t>Shortly after Baby P was born, his parents separated</w:t>
      </w:r>
      <w:r w:rsidR="00147716">
        <w:t>.</w:t>
      </w:r>
      <w:r>
        <w:t xml:space="preserve"> </w:t>
      </w:r>
      <w:r w:rsidR="00147716">
        <w:t>H</w:t>
      </w:r>
      <w:r>
        <w:t>is mum</w:t>
      </w:r>
      <w:r w:rsidR="00147716">
        <w:t>,</w:t>
      </w:r>
      <w:r>
        <w:t xml:space="preserve"> Tracey</w:t>
      </w:r>
      <w:r w:rsidR="00147716">
        <w:t>, then</w:t>
      </w:r>
      <w:r>
        <w:t xml:space="preserve"> befriend</w:t>
      </w:r>
      <w:r w:rsidR="00147716">
        <w:t>ed</w:t>
      </w:r>
      <w:r>
        <w:t xml:space="preserve"> Steve Barker. At 5months</w:t>
      </w:r>
      <w:r w:rsidR="00147716">
        <w:t xml:space="preserve"> old</w:t>
      </w:r>
      <w:r>
        <w:t xml:space="preserve">, doctors noticed suspicious injuries on Baby P. At 7months, he was </w:t>
      </w:r>
      <w:r w:rsidR="00147716">
        <w:t xml:space="preserve">examined </w:t>
      </w:r>
      <w:r>
        <w:t>by a GP after his mum reported him falling down the stairs. The GP did not report this to social services despite risks of significant harm. At 8months, Steven Barker, moved in with Tracey, a fact undisclosed to social services. One month later, Baby P, was seen by a GP</w:t>
      </w:r>
      <w:r w:rsidR="00147716">
        <w:t xml:space="preserve"> and</w:t>
      </w:r>
      <w:r>
        <w:t xml:space="preserve"> referral to social services was made following observation of several injuries on </w:t>
      </w:r>
      <w:r w:rsidR="00147716">
        <w:t xml:space="preserve">his </w:t>
      </w:r>
      <w:r>
        <w:t>body which triggered a police investigation</w:t>
      </w:r>
      <w:r w:rsidR="00147716">
        <w:t xml:space="preserve">. Subsequently, </w:t>
      </w:r>
      <w:r>
        <w:t xml:space="preserve">Baby P </w:t>
      </w:r>
      <w:r w:rsidR="00147716">
        <w:t xml:space="preserve">was temporarily </w:t>
      </w:r>
      <w:r>
        <w:t xml:space="preserve">placed in foster care. </w:t>
      </w:r>
      <w:r w:rsidR="00147716">
        <w:t>A</w:t>
      </w:r>
      <w:r>
        <w:t>fter five weeks, Baby P returned home</w:t>
      </w:r>
      <w:r w:rsidR="00147716">
        <w:t>.</w:t>
      </w:r>
      <w:r>
        <w:t xml:space="preserve"> </w:t>
      </w:r>
      <w:r w:rsidR="00147716">
        <w:t xml:space="preserve">Later </w:t>
      </w:r>
      <w:r>
        <w:t>a family social worker and some interventions were put in place. However, the conditions and other risk factors at Tracey’s home were ignored. Four months later, Baby P was rushed to the hospital with head injury. Two months later, following an unannounced visit by a social worker, Baby P was found with bruises.</w:t>
      </w:r>
      <w:r w:rsidR="00147716">
        <w:t xml:space="preserve"> M</w:t>
      </w:r>
      <w:r>
        <w:t>edical examination then revealed multiple bruises, prompting Tracey</w:t>
      </w:r>
      <w:r w:rsidR="00147716">
        <w:t>’s</w:t>
      </w:r>
      <w:r>
        <w:t xml:space="preserve"> </w:t>
      </w:r>
      <w:r w:rsidR="00147716">
        <w:t>arrest and interviews</w:t>
      </w:r>
      <w:r>
        <w:t xml:space="preserve"> by the police </w:t>
      </w:r>
      <w:r w:rsidR="00147716">
        <w:t>though no charges were</w:t>
      </w:r>
      <w:r>
        <w:t>. Baby P</w:t>
      </w:r>
      <w:r w:rsidR="00147716">
        <w:t xml:space="preserve"> </w:t>
      </w:r>
      <w:r>
        <w:t>was discharged home by the social worker</w:t>
      </w:r>
      <w:r w:rsidR="00147716">
        <w:t xml:space="preserve"> but t</w:t>
      </w:r>
      <w:r>
        <w:t xml:space="preserve">he home had become more chaotic as Jason Owen, Barker’s brother had moved in with his three children and a 15year old girl. However, a Child Protection Review </w:t>
      </w:r>
      <w:r w:rsidR="00147716">
        <w:t xml:space="preserve">(CPR) </w:t>
      </w:r>
      <w:r>
        <w:t xml:space="preserve">undertaken later did not result in Baby P’s removal. Unfortunately, </w:t>
      </w:r>
      <w:r>
        <w:rPr>
          <w:rFonts w:eastAsia="Times New Roman" w:cstheme="minorHAnsi"/>
          <w:color w:val="000000"/>
          <w:lang w:eastAsia="en-GB"/>
        </w:rPr>
        <w:t>o</w:t>
      </w:r>
      <w:r w:rsidRPr="004016DA">
        <w:rPr>
          <w:rFonts w:eastAsia="Times New Roman" w:cstheme="minorHAnsi"/>
          <w:color w:val="000000"/>
          <w:lang w:eastAsia="en-GB"/>
        </w:rPr>
        <w:t>n August</w:t>
      </w:r>
      <w:r>
        <w:rPr>
          <w:rFonts w:eastAsia="Times New Roman" w:cstheme="minorHAnsi"/>
          <w:color w:val="000000"/>
          <w:lang w:eastAsia="en-GB"/>
        </w:rPr>
        <w:t xml:space="preserve"> 3</w:t>
      </w:r>
      <w:r w:rsidRPr="0054784A">
        <w:rPr>
          <w:rFonts w:eastAsia="Times New Roman" w:cstheme="minorHAnsi"/>
          <w:color w:val="000000"/>
          <w:vertAlign w:val="superscript"/>
          <w:lang w:eastAsia="en-GB"/>
        </w:rPr>
        <w:t>rd</w:t>
      </w:r>
      <w:r w:rsidRPr="004016DA">
        <w:rPr>
          <w:rFonts w:eastAsia="Times New Roman" w:cstheme="minorHAnsi"/>
          <w:color w:val="000000"/>
          <w:lang w:eastAsia="en-GB"/>
        </w:rPr>
        <w:t xml:space="preserve"> 2007, two months after the</w:t>
      </w:r>
      <w:r w:rsidR="00147716">
        <w:rPr>
          <w:rFonts w:eastAsia="Times New Roman" w:cstheme="minorHAnsi"/>
          <w:color w:val="000000"/>
          <w:lang w:eastAsia="en-GB"/>
        </w:rPr>
        <w:t xml:space="preserve"> CPR</w:t>
      </w:r>
      <w:r w:rsidRPr="004016DA">
        <w:rPr>
          <w:rFonts w:eastAsia="Times New Roman" w:cstheme="minorHAnsi"/>
          <w:color w:val="000000"/>
          <w:lang w:eastAsia="en-GB"/>
        </w:rPr>
        <w:t>, Peter was found dead at hom</w:t>
      </w:r>
      <w:r w:rsidR="00147716">
        <w:rPr>
          <w:rFonts w:eastAsia="Times New Roman" w:cstheme="minorHAnsi"/>
          <w:color w:val="000000"/>
          <w:lang w:eastAsia="en-GB"/>
        </w:rPr>
        <w:t xml:space="preserve">e with </w:t>
      </w:r>
      <w:r>
        <w:rPr>
          <w:rFonts w:eastAsia="Times New Roman" w:cstheme="minorHAnsi"/>
          <w:color w:val="000000"/>
          <w:lang w:eastAsia="en-GB"/>
        </w:rPr>
        <w:t>over</w:t>
      </w:r>
      <w:r w:rsidRPr="004016DA">
        <w:rPr>
          <w:rFonts w:eastAsia="Times New Roman" w:cstheme="minorHAnsi"/>
          <w:color w:val="000000"/>
          <w:lang w:eastAsia="en-GB"/>
        </w:rPr>
        <w:t xml:space="preserve"> 50 injuries, including fractured ribs and a broken back. On November</w:t>
      </w:r>
      <w:r>
        <w:rPr>
          <w:rFonts w:eastAsia="Times New Roman" w:cstheme="minorHAnsi"/>
          <w:color w:val="000000"/>
          <w:lang w:eastAsia="en-GB"/>
        </w:rPr>
        <w:t xml:space="preserve"> 11,</w:t>
      </w:r>
      <w:r w:rsidRPr="004016DA">
        <w:rPr>
          <w:rFonts w:eastAsia="Times New Roman" w:cstheme="minorHAnsi"/>
          <w:color w:val="000000"/>
          <w:lang w:eastAsia="en-GB"/>
        </w:rPr>
        <w:t xml:space="preserve"> 2008, Owen and Barker were found guilty of causing or allowing the death of Peter. Tracey Connelly, 27, </w:t>
      </w:r>
      <w:r>
        <w:rPr>
          <w:rFonts w:eastAsia="Times New Roman" w:cstheme="minorHAnsi"/>
          <w:color w:val="000000"/>
          <w:lang w:eastAsia="en-GB"/>
        </w:rPr>
        <w:t xml:space="preserve">also </w:t>
      </w:r>
      <w:r w:rsidRPr="004016DA">
        <w:rPr>
          <w:rFonts w:eastAsia="Times New Roman" w:cstheme="minorHAnsi"/>
          <w:color w:val="000000"/>
          <w:lang w:eastAsia="en-GB"/>
        </w:rPr>
        <w:t>pled guilty to this charge.</w:t>
      </w:r>
      <w:r w:rsidR="008C1CCD">
        <w:rPr>
          <w:rFonts w:cstheme="minorHAnsi"/>
        </w:rPr>
        <w:t xml:space="preserve"> </w:t>
      </w:r>
      <w:r>
        <w:t>I</w:t>
      </w:r>
      <w:r w:rsidR="0097126B">
        <w:t>nvestigation</w:t>
      </w:r>
      <w:r>
        <w:t xml:space="preserve"> revealed </w:t>
      </w:r>
      <w:r w:rsidR="0097126B">
        <w:t>th</w:t>
      </w:r>
      <w:r>
        <w:t>at,</w:t>
      </w:r>
      <w:r w:rsidR="0097126B">
        <w:t xml:space="preserve"> over an eight-month period,</w:t>
      </w:r>
      <w:r>
        <w:t xml:space="preserve"> social workers from Haringey Council</w:t>
      </w:r>
      <w:r w:rsidR="0097126B">
        <w:t xml:space="preserve"> </w:t>
      </w:r>
      <w:r>
        <w:t xml:space="preserve">visited </w:t>
      </w:r>
      <w:r w:rsidR="0097126B">
        <w:t>Baby P 60 time</w:t>
      </w:r>
      <w:r w:rsidR="008C1CCD">
        <w:t xml:space="preserve">s. </w:t>
      </w:r>
      <w:r>
        <w:t>D</w:t>
      </w:r>
      <w:r w:rsidR="0097126B">
        <w:t>octors and</w:t>
      </w:r>
      <w:r>
        <w:t xml:space="preserve"> the</w:t>
      </w:r>
      <w:r w:rsidR="0097126B">
        <w:t xml:space="preserve"> police</w:t>
      </w:r>
      <w:r>
        <w:t xml:space="preserve"> were also involved</w:t>
      </w:r>
      <w:r w:rsidR="0097126B">
        <w:t xml:space="preserve">. The </w:t>
      </w:r>
      <w:r w:rsidR="00436CD4">
        <w:t>SCR (2010)</w:t>
      </w:r>
      <w:r w:rsidR="00813E6C">
        <w:t xml:space="preserve"> concluded that Baby P’s death should and could have been prevented, </w:t>
      </w:r>
      <w:r w:rsidR="00436CD4">
        <w:t>pinpointing</w:t>
      </w:r>
      <w:r w:rsidR="00813E6C">
        <w:t xml:space="preserve"> serious systemic failures</w:t>
      </w:r>
      <w:r w:rsidR="00436CD4">
        <w:t xml:space="preserve"> (Munro, 2011)</w:t>
      </w:r>
      <w:r w:rsidR="00813E6C">
        <w:t>. The report demonstrated that every agency involved in Baby P’s care, had been “well</w:t>
      </w:r>
      <w:r w:rsidR="00692E28">
        <w:t>-</w:t>
      </w:r>
      <w:r w:rsidR="00813E6C">
        <w:t>motivated” and desired to protect hi</w:t>
      </w:r>
      <w:r w:rsidR="00436CD4">
        <w:t>m; u</w:t>
      </w:r>
      <w:r w:rsidR="00813E6C">
        <w:t>nfortunately, their practices, collectively and individually, were found to be “completely inadequate”, failing to properly challenge Tracey’s explanations for maltreatment suffered by her son (</w:t>
      </w:r>
      <w:proofErr w:type="spellStart"/>
      <w:r w:rsidR="00813E6C">
        <w:t>McNicoll</w:t>
      </w:r>
      <w:proofErr w:type="spellEnd"/>
      <w:r w:rsidR="00813E6C">
        <w:t xml:space="preserve">, 2017).  </w:t>
      </w:r>
      <w:r w:rsidR="0097126B">
        <w:t xml:space="preserve"> </w:t>
      </w:r>
    </w:p>
    <w:p w14:paraId="4B5CC1E0" w14:textId="77777777" w:rsidR="00692E28" w:rsidRDefault="00692E28" w:rsidP="00A96348">
      <w:pPr>
        <w:spacing w:line="360" w:lineRule="auto"/>
        <w:jc w:val="both"/>
      </w:pPr>
    </w:p>
    <w:p w14:paraId="40869254" w14:textId="77777777" w:rsidR="001E7B69" w:rsidRDefault="00DE0868" w:rsidP="001E7B69">
      <w:pPr>
        <w:spacing w:line="360" w:lineRule="auto"/>
        <w:jc w:val="both"/>
      </w:pPr>
      <w:r>
        <w:t>Just like in</w:t>
      </w:r>
      <w:r w:rsidR="00A96348">
        <w:t xml:space="preserve"> the case of Victoria Climbie (2000), murdered</w:t>
      </w:r>
      <w:r w:rsidR="00692E28">
        <w:t xml:space="preserve"> </w:t>
      </w:r>
      <w:r w:rsidR="00A96348">
        <w:t>by her aunt and her boyfriend</w:t>
      </w:r>
      <w:r>
        <w:t>,</w:t>
      </w:r>
      <w:r w:rsidR="00A96348">
        <w:t xml:space="preserve"> </w:t>
      </w:r>
      <w:r w:rsidR="00692E28">
        <w:t xml:space="preserve">Baby P’s case was </w:t>
      </w:r>
      <w:r>
        <w:t>subjected to multi-agency SCRs</w:t>
      </w:r>
      <w:r w:rsidR="00692E28">
        <w:t>;</w:t>
      </w:r>
      <w:r>
        <w:t xml:space="preserve"> designed to learn lessons and improve the ways practitioners and authorities can better collaborate to safeguard </w:t>
      </w:r>
      <w:r w:rsidR="00692E28">
        <w:t xml:space="preserve">children’s </w:t>
      </w:r>
      <w:r>
        <w:t xml:space="preserve">welfare. </w:t>
      </w:r>
      <w:r w:rsidR="001E7B69">
        <w:t xml:space="preserve">Upon </w:t>
      </w:r>
      <w:r w:rsidR="00902BBD" w:rsidRPr="00D66A2F">
        <w:t xml:space="preserve">the conclusion of the SCR, </w:t>
      </w:r>
      <w:r w:rsidRPr="00D66A2F">
        <w:t xml:space="preserve">a number of key issues </w:t>
      </w:r>
      <w:r w:rsidR="00902BBD" w:rsidRPr="00D66A2F">
        <w:t>were found</w:t>
      </w:r>
      <w:r w:rsidRPr="00D66A2F">
        <w:t xml:space="preserve"> to have compounded the risk to </w:t>
      </w:r>
      <w:r w:rsidR="00902BBD" w:rsidRPr="00D66A2F">
        <w:t>Baby P. These include</w:t>
      </w:r>
      <w:r w:rsidR="001E7B69">
        <w:t>:</w:t>
      </w:r>
      <w:r w:rsidRPr="00D66A2F">
        <w:t xml:space="preserve"> </w:t>
      </w:r>
      <w:r w:rsidR="00902BBD" w:rsidRPr="00D66A2F">
        <w:t>l</w:t>
      </w:r>
      <w:r w:rsidRPr="00D66A2F">
        <w:t xml:space="preserve">imited efforts made by professionals to involve </w:t>
      </w:r>
      <w:r w:rsidR="00902BBD" w:rsidRPr="00D66A2F">
        <w:t>Baby P’s</w:t>
      </w:r>
      <w:r w:rsidRPr="00D66A2F">
        <w:t xml:space="preserve"> father in the early period of intervention</w:t>
      </w:r>
      <w:r w:rsidR="00D1389A" w:rsidRPr="00D66A2F">
        <w:t xml:space="preserve">; </w:t>
      </w:r>
      <w:r w:rsidR="00902BBD" w:rsidRPr="00D66A2F">
        <w:t>t</w:t>
      </w:r>
      <w:r w:rsidRPr="00D66A2F">
        <w:t>rust and responsibility placed by CYPS in a family friend, with insufficient assessment, monitoring and review of her ability, role and performance</w:t>
      </w:r>
      <w:r w:rsidR="00D1389A" w:rsidRPr="00D66A2F">
        <w:t xml:space="preserve">; </w:t>
      </w:r>
      <w:r w:rsidR="00902BBD" w:rsidRPr="00D66A2F">
        <w:t>t</w:t>
      </w:r>
      <w:r w:rsidRPr="00D66A2F">
        <w:t xml:space="preserve">he pervasive belief that </w:t>
      </w:r>
      <w:r w:rsidR="00902BBD" w:rsidRPr="00D66A2F">
        <w:t xml:space="preserve">Baby P’s </w:t>
      </w:r>
      <w:r w:rsidRPr="00D66A2F">
        <w:t>injuries were caused by lack of supervision and his own behaviour and the lack of adequate re- assessment of the household following further injuries and bruising</w:t>
      </w:r>
      <w:r w:rsidR="00902BBD" w:rsidRPr="00D66A2F">
        <w:t>. Others were, t</w:t>
      </w:r>
      <w:r w:rsidRPr="00D66A2F">
        <w:t xml:space="preserve">he inability to identify and prosecute a perpetrator of </w:t>
      </w:r>
      <w:r w:rsidR="00902BBD" w:rsidRPr="00D66A2F">
        <w:t>Baby P</w:t>
      </w:r>
      <w:r w:rsidRPr="00D66A2F">
        <w:t>’s injuries</w:t>
      </w:r>
      <w:r w:rsidR="00D1389A" w:rsidRPr="00D66A2F">
        <w:t xml:space="preserve">; </w:t>
      </w:r>
      <w:r w:rsidR="00902BBD" w:rsidRPr="00D66A2F">
        <w:t>d</w:t>
      </w:r>
      <w:r w:rsidRPr="00D66A2F">
        <w:t>elay in an adequate referral to and provision of the SCHS appointment</w:t>
      </w:r>
      <w:r w:rsidR="00D1389A" w:rsidRPr="00D66A2F">
        <w:t>; and d</w:t>
      </w:r>
      <w:r w:rsidRPr="00D66A2F">
        <w:t>elay in holding a legal planning meeting and advice subsequently provided that the threshold criteria for obtaining a Care Order under s.31 Children Act 1989 were not satisfied</w:t>
      </w:r>
      <w:r w:rsidR="00D1389A" w:rsidRPr="00D66A2F">
        <w:t xml:space="preserve"> (Haringey LSB</w:t>
      </w:r>
      <w:r w:rsidR="00902BBD" w:rsidRPr="00D66A2F">
        <w:t>, 2008).</w:t>
      </w:r>
      <w:r w:rsidRPr="00902BBD">
        <w:t xml:space="preserve"> </w:t>
      </w:r>
    </w:p>
    <w:p w14:paraId="05A88632" w14:textId="77777777" w:rsidR="001E7B69" w:rsidRDefault="001E7B69" w:rsidP="001E7B69">
      <w:pPr>
        <w:spacing w:line="360" w:lineRule="auto"/>
        <w:jc w:val="both"/>
      </w:pPr>
    </w:p>
    <w:p w14:paraId="2D30F24C" w14:textId="77777777" w:rsidR="001E7B69" w:rsidRDefault="001E7B69" w:rsidP="001E7B69">
      <w:pPr>
        <w:spacing w:line="360" w:lineRule="auto"/>
        <w:jc w:val="both"/>
      </w:pPr>
      <w:r w:rsidRPr="006A6060">
        <w:rPr>
          <w:rFonts w:eastAsia="Times New Roman" w:cstheme="minorHAnsi"/>
          <w:color w:val="000000"/>
          <w:lang w:eastAsia="en-GB"/>
        </w:rPr>
        <w:t>Several</w:t>
      </w:r>
      <w:r w:rsidRPr="004016DA">
        <w:rPr>
          <w:rFonts w:eastAsia="Times New Roman" w:cstheme="minorHAnsi"/>
          <w:color w:val="000000"/>
          <w:lang w:eastAsia="en-GB"/>
        </w:rPr>
        <w:t xml:space="preserve"> aspects of this case </w:t>
      </w:r>
      <w:r>
        <w:rPr>
          <w:rFonts w:eastAsia="Times New Roman" w:cstheme="minorHAnsi"/>
          <w:color w:val="000000"/>
          <w:lang w:eastAsia="en-GB"/>
        </w:rPr>
        <w:t>demonstrate</w:t>
      </w:r>
      <w:r w:rsidRPr="006A6060">
        <w:rPr>
          <w:rFonts w:eastAsia="Times New Roman" w:cstheme="minorHAnsi"/>
          <w:color w:val="000000"/>
          <w:lang w:eastAsia="en-GB"/>
        </w:rPr>
        <w:t xml:space="preserve"> </w:t>
      </w:r>
      <w:r w:rsidRPr="004016DA">
        <w:rPr>
          <w:rFonts w:eastAsia="Times New Roman" w:cstheme="minorHAnsi"/>
          <w:color w:val="000000"/>
          <w:lang w:eastAsia="en-GB"/>
        </w:rPr>
        <w:t>the</w:t>
      </w:r>
      <w:r>
        <w:rPr>
          <w:rFonts w:eastAsia="Times New Roman" w:cstheme="minorHAnsi"/>
          <w:color w:val="000000"/>
          <w:lang w:eastAsia="en-GB"/>
        </w:rPr>
        <w:t>re are</w:t>
      </w:r>
      <w:r w:rsidRPr="004016DA">
        <w:rPr>
          <w:rFonts w:eastAsia="Times New Roman" w:cstheme="minorHAnsi"/>
          <w:color w:val="000000"/>
          <w:lang w:eastAsia="en-GB"/>
        </w:rPr>
        <w:t xml:space="preserve"> huge difficulties for </w:t>
      </w:r>
      <w:r w:rsidRPr="006A6060">
        <w:rPr>
          <w:rFonts w:eastAsia="Times New Roman" w:cstheme="minorHAnsi"/>
          <w:color w:val="000000"/>
          <w:lang w:eastAsia="en-GB"/>
        </w:rPr>
        <w:t>practitioner</w:t>
      </w:r>
      <w:r w:rsidRPr="004016DA">
        <w:rPr>
          <w:rFonts w:eastAsia="Times New Roman" w:cstheme="minorHAnsi"/>
          <w:color w:val="000000"/>
          <w:lang w:eastAsia="en-GB"/>
        </w:rPr>
        <w:t xml:space="preserve">s in turning around a dysfunctional family. </w:t>
      </w:r>
      <w:r>
        <w:rPr>
          <w:rFonts w:eastAsia="Times New Roman" w:cstheme="minorHAnsi"/>
          <w:color w:val="000000"/>
          <w:lang w:eastAsia="en-GB"/>
        </w:rPr>
        <w:t xml:space="preserve">Practitioners should </w:t>
      </w:r>
      <w:r w:rsidRPr="006A6060">
        <w:rPr>
          <w:rFonts w:eastAsia="Times New Roman" w:cstheme="minorHAnsi"/>
          <w:color w:val="000000"/>
          <w:lang w:eastAsia="en-GB"/>
        </w:rPr>
        <w:t>undertake</w:t>
      </w:r>
      <w:r w:rsidRPr="004016DA">
        <w:rPr>
          <w:rFonts w:eastAsia="Times New Roman" w:cstheme="minorHAnsi"/>
          <w:color w:val="000000"/>
          <w:lang w:eastAsia="en-GB"/>
        </w:rPr>
        <w:t xml:space="preserve"> child protection duties and recognise a</w:t>
      </w:r>
      <w:r w:rsidRPr="006A6060">
        <w:rPr>
          <w:rFonts w:eastAsia="Times New Roman" w:cstheme="minorHAnsi"/>
          <w:color w:val="000000"/>
          <w:lang w:eastAsia="en-GB"/>
        </w:rPr>
        <w:t>ny</w:t>
      </w:r>
      <w:r w:rsidRPr="004016DA">
        <w:rPr>
          <w:rFonts w:eastAsia="Times New Roman" w:cstheme="minorHAnsi"/>
          <w:color w:val="000000"/>
          <w:lang w:eastAsia="en-GB"/>
        </w:rPr>
        <w:t xml:space="preserve"> risks to children in the</w:t>
      </w:r>
      <w:r w:rsidRPr="006A6060">
        <w:rPr>
          <w:rFonts w:eastAsia="Times New Roman" w:cstheme="minorHAnsi"/>
          <w:color w:val="000000"/>
          <w:lang w:eastAsia="en-GB"/>
        </w:rPr>
        <w:t>ir</w:t>
      </w:r>
      <w:r w:rsidRPr="004016DA">
        <w:rPr>
          <w:rFonts w:eastAsia="Times New Roman" w:cstheme="minorHAnsi"/>
          <w:color w:val="000000"/>
          <w:lang w:eastAsia="en-GB"/>
        </w:rPr>
        <w:t xml:space="preserve"> families</w:t>
      </w:r>
      <w:r w:rsidRPr="006A6060">
        <w:rPr>
          <w:rFonts w:eastAsia="Times New Roman" w:cstheme="minorHAnsi"/>
          <w:color w:val="000000"/>
          <w:lang w:eastAsia="en-GB"/>
        </w:rPr>
        <w:t xml:space="preserve"> when</w:t>
      </w:r>
      <w:r w:rsidRPr="004016DA">
        <w:rPr>
          <w:rFonts w:eastAsia="Times New Roman" w:cstheme="minorHAnsi"/>
          <w:color w:val="000000"/>
          <w:lang w:eastAsia="en-GB"/>
        </w:rPr>
        <w:t xml:space="preserve"> actively working with</w:t>
      </w:r>
      <w:r w:rsidRPr="006A6060">
        <w:rPr>
          <w:rFonts w:eastAsia="Times New Roman" w:cstheme="minorHAnsi"/>
          <w:color w:val="000000"/>
          <w:lang w:eastAsia="en-GB"/>
        </w:rPr>
        <w:t xml:space="preserve"> them</w:t>
      </w:r>
      <w:r>
        <w:rPr>
          <w:rFonts w:eastAsia="Times New Roman" w:cstheme="minorHAnsi"/>
          <w:color w:val="000000"/>
          <w:lang w:eastAsia="en-GB"/>
        </w:rPr>
        <w:t xml:space="preserve">. In Baby P’s case, perhaps a more authoritative approach might have prevented his death. Secondly, </w:t>
      </w:r>
      <w:r w:rsidRPr="006A6060">
        <w:rPr>
          <w:rFonts w:eastAsia="Times New Roman" w:cstheme="minorHAnsi"/>
          <w:color w:val="000000"/>
          <w:lang w:eastAsia="en-GB"/>
        </w:rPr>
        <w:t>practitioners</w:t>
      </w:r>
      <w:r>
        <w:rPr>
          <w:rFonts w:eastAsia="Times New Roman" w:cstheme="minorHAnsi"/>
          <w:color w:val="000000"/>
          <w:lang w:eastAsia="en-GB"/>
        </w:rPr>
        <w:t xml:space="preserve"> </w:t>
      </w:r>
      <w:r w:rsidRPr="006A6060">
        <w:rPr>
          <w:rFonts w:eastAsia="Times New Roman" w:cstheme="minorHAnsi"/>
          <w:color w:val="000000"/>
          <w:lang w:eastAsia="en-GB"/>
        </w:rPr>
        <w:t>shoulder</w:t>
      </w:r>
      <w:r w:rsidRPr="004016DA">
        <w:rPr>
          <w:rFonts w:eastAsia="Times New Roman" w:cstheme="minorHAnsi"/>
          <w:color w:val="000000"/>
          <w:lang w:eastAsia="en-GB"/>
        </w:rPr>
        <w:t xml:space="preserve"> </w:t>
      </w:r>
      <w:r w:rsidRPr="006A6060">
        <w:rPr>
          <w:rFonts w:eastAsia="Times New Roman" w:cstheme="minorHAnsi"/>
          <w:color w:val="000000"/>
          <w:lang w:eastAsia="en-GB"/>
        </w:rPr>
        <w:t>a</w:t>
      </w:r>
      <w:r w:rsidRPr="004016DA">
        <w:rPr>
          <w:rFonts w:eastAsia="Times New Roman" w:cstheme="minorHAnsi"/>
          <w:color w:val="000000"/>
          <w:lang w:eastAsia="en-GB"/>
        </w:rPr>
        <w:t xml:space="preserve"> heavy burden of responsibility</w:t>
      </w:r>
      <w:r w:rsidR="00307559">
        <w:rPr>
          <w:rFonts w:eastAsia="Times New Roman" w:cstheme="minorHAnsi"/>
          <w:color w:val="000000"/>
          <w:lang w:eastAsia="en-GB"/>
        </w:rPr>
        <w:t xml:space="preserve"> and</w:t>
      </w:r>
      <w:r>
        <w:rPr>
          <w:rFonts w:eastAsia="Times New Roman" w:cstheme="minorHAnsi"/>
          <w:color w:val="000000"/>
          <w:lang w:eastAsia="en-GB"/>
        </w:rPr>
        <w:t xml:space="preserve"> are challenged by </w:t>
      </w:r>
      <w:r w:rsidR="00307559">
        <w:rPr>
          <w:rFonts w:eastAsia="Times New Roman" w:cstheme="minorHAnsi"/>
          <w:color w:val="000000"/>
          <w:lang w:eastAsia="en-GB"/>
        </w:rPr>
        <w:t xml:space="preserve">several </w:t>
      </w:r>
      <w:r>
        <w:rPr>
          <w:rFonts w:eastAsia="Times New Roman" w:cstheme="minorHAnsi"/>
          <w:color w:val="000000"/>
          <w:lang w:eastAsia="en-GB"/>
        </w:rPr>
        <w:t>issues</w:t>
      </w:r>
      <w:r w:rsidR="00307559">
        <w:rPr>
          <w:rFonts w:eastAsia="Times New Roman" w:cstheme="minorHAnsi"/>
          <w:color w:val="000000"/>
          <w:lang w:eastAsia="en-GB"/>
        </w:rPr>
        <w:t xml:space="preserve"> and</w:t>
      </w:r>
      <w:r w:rsidRPr="004016DA">
        <w:rPr>
          <w:rFonts w:eastAsia="Times New Roman" w:cstheme="minorHAnsi"/>
          <w:color w:val="000000"/>
          <w:lang w:eastAsia="en-GB"/>
        </w:rPr>
        <w:t xml:space="preserve"> </w:t>
      </w:r>
      <w:r w:rsidR="00307559">
        <w:rPr>
          <w:rFonts w:eastAsia="Times New Roman" w:cstheme="minorHAnsi"/>
          <w:color w:val="000000"/>
          <w:lang w:eastAsia="en-GB"/>
        </w:rPr>
        <w:t>c</w:t>
      </w:r>
      <w:r w:rsidRPr="006A6060">
        <w:rPr>
          <w:rFonts w:eastAsia="Times New Roman" w:cstheme="minorHAnsi"/>
          <w:color w:val="000000"/>
          <w:lang w:eastAsia="en-GB"/>
        </w:rPr>
        <w:t>onstantly s</w:t>
      </w:r>
      <w:r>
        <w:rPr>
          <w:rFonts w:eastAsia="Times New Roman" w:cstheme="minorHAnsi"/>
          <w:color w:val="000000"/>
          <w:lang w:eastAsia="en-GB"/>
        </w:rPr>
        <w:t>trive to</w:t>
      </w:r>
      <w:r w:rsidRPr="006A6060">
        <w:rPr>
          <w:rFonts w:eastAsia="Times New Roman" w:cstheme="minorHAnsi"/>
          <w:color w:val="000000"/>
          <w:lang w:eastAsia="en-GB"/>
        </w:rPr>
        <w:t xml:space="preserve"> </w:t>
      </w:r>
      <w:r w:rsidRPr="004016DA">
        <w:rPr>
          <w:rFonts w:eastAsia="Times New Roman" w:cstheme="minorHAnsi"/>
          <w:color w:val="000000"/>
          <w:lang w:eastAsia="en-GB"/>
        </w:rPr>
        <w:t>achieve the right balance between care and control</w:t>
      </w:r>
      <w:r>
        <w:rPr>
          <w:rFonts w:eastAsia="Times New Roman" w:cstheme="minorHAnsi"/>
          <w:color w:val="000000"/>
          <w:lang w:eastAsia="en-GB"/>
        </w:rPr>
        <w:t xml:space="preserve">. </w:t>
      </w:r>
      <w:r w:rsidR="00307559">
        <w:rPr>
          <w:rFonts w:eastAsia="Times New Roman" w:cstheme="minorHAnsi"/>
          <w:color w:val="000000"/>
          <w:lang w:eastAsia="en-GB"/>
        </w:rPr>
        <w:t>Unfortunately,</w:t>
      </w:r>
      <w:r>
        <w:rPr>
          <w:rFonts w:eastAsia="Times New Roman" w:cstheme="minorHAnsi"/>
          <w:color w:val="000000"/>
          <w:lang w:eastAsia="en-GB"/>
        </w:rPr>
        <w:t xml:space="preserve"> r</w:t>
      </w:r>
      <w:r w:rsidRPr="004016DA">
        <w:rPr>
          <w:rFonts w:eastAsia="Times New Roman" w:cstheme="minorHAnsi"/>
          <w:color w:val="000000"/>
          <w:lang w:eastAsia="en-GB"/>
        </w:rPr>
        <w:t>ecruit</w:t>
      </w:r>
      <w:r>
        <w:rPr>
          <w:rFonts w:eastAsia="Times New Roman" w:cstheme="minorHAnsi"/>
          <w:color w:val="000000"/>
          <w:lang w:eastAsia="en-GB"/>
        </w:rPr>
        <w:t>ing</w:t>
      </w:r>
      <w:r w:rsidRPr="004016DA">
        <w:rPr>
          <w:rFonts w:eastAsia="Times New Roman" w:cstheme="minorHAnsi"/>
          <w:color w:val="000000"/>
          <w:lang w:eastAsia="en-GB"/>
        </w:rPr>
        <w:t xml:space="preserve"> and retain</w:t>
      </w:r>
      <w:r>
        <w:rPr>
          <w:rFonts w:eastAsia="Times New Roman" w:cstheme="minorHAnsi"/>
          <w:color w:val="000000"/>
          <w:lang w:eastAsia="en-GB"/>
        </w:rPr>
        <w:t>ing</w:t>
      </w:r>
      <w:r w:rsidRPr="004016DA">
        <w:rPr>
          <w:rFonts w:eastAsia="Times New Roman" w:cstheme="minorHAnsi"/>
          <w:color w:val="000000"/>
          <w:lang w:eastAsia="en-GB"/>
        </w:rPr>
        <w:t xml:space="preserve"> </w:t>
      </w:r>
      <w:r>
        <w:rPr>
          <w:rFonts w:eastAsia="Times New Roman" w:cstheme="minorHAnsi"/>
          <w:color w:val="000000"/>
          <w:lang w:eastAsia="en-GB"/>
        </w:rPr>
        <w:t xml:space="preserve">experienced practitioners, which </w:t>
      </w:r>
      <w:r w:rsidRPr="004016DA">
        <w:rPr>
          <w:rFonts w:eastAsia="Times New Roman" w:cstheme="minorHAnsi"/>
          <w:color w:val="000000"/>
          <w:lang w:eastAsia="en-GB"/>
        </w:rPr>
        <w:t xml:space="preserve">could </w:t>
      </w:r>
      <w:r>
        <w:rPr>
          <w:rFonts w:eastAsia="Times New Roman" w:cstheme="minorHAnsi"/>
          <w:color w:val="000000"/>
          <w:lang w:eastAsia="en-GB"/>
        </w:rPr>
        <w:t>enhance</w:t>
      </w:r>
      <w:r w:rsidRPr="004016DA">
        <w:rPr>
          <w:rFonts w:eastAsia="Times New Roman" w:cstheme="minorHAnsi"/>
          <w:color w:val="000000"/>
          <w:lang w:eastAsia="en-GB"/>
        </w:rPr>
        <w:t xml:space="preserve"> </w:t>
      </w:r>
      <w:r>
        <w:rPr>
          <w:rFonts w:eastAsia="Times New Roman" w:cstheme="minorHAnsi"/>
          <w:color w:val="000000"/>
          <w:lang w:eastAsia="en-GB"/>
        </w:rPr>
        <w:t>service</w:t>
      </w:r>
      <w:r w:rsidRPr="004016DA">
        <w:rPr>
          <w:rFonts w:eastAsia="Times New Roman" w:cstheme="minorHAnsi"/>
          <w:color w:val="000000"/>
          <w:lang w:eastAsia="en-GB"/>
        </w:rPr>
        <w:t xml:space="preserve"> </w:t>
      </w:r>
      <w:r>
        <w:rPr>
          <w:rFonts w:eastAsia="Times New Roman" w:cstheme="minorHAnsi"/>
          <w:color w:val="000000"/>
          <w:lang w:eastAsia="en-GB"/>
        </w:rPr>
        <w:t>reputation and result in</w:t>
      </w:r>
      <w:r w:rsidRPr="004016DA">
        <w:rPr>
          <w:rFonts w:eastAsia="Times New Roman" w:cstheme="minorHAnsi"/>
          <w:color w:val="000000"/>
          <w:lang w:eastAsia="en-GB"/>
        </w:rPr>
        <w:t xml:space="preserve"> fewer scandals</w:t>
      </w:r>
      <w:r>
        <w:rPr>
          <w:rFonts w:eastAsia="Times New Roman" w:cstheme="minorHAnsi"/>
          <w:color w:val="000000"/>
          <w:lang w:eastAsia="en-GB"/>
        </w:rPr>
        <w:t>, have been a challenge</w:t>
      </w:r>
      <w:r w:rsidRPr="004016DA">
        <w:rPr>
          <w:rFonts w:eastAsia="Times New Roman" w:cstheme="minorHAnsi"/>
          <w:color w:val="000000"/>
          <w:lang w:eastAsia="en-GB"/>
        </w:rPr>
        <w:t xml:space="preserve">. </w:t>
      </w:r>
      <w:r>
        <w:rPr>
          <w:rFonts w:eastAsia="Times New Roman" w:cstheme="minorHAnsi"/>
          <w:color w:val="000000"/>
          <w:lang w:eastAsia="en-GB"/>
        </w:rPr>
        <w:t xml:space="preserve">However, </w:t>
      </w:r>
      <w:r w:rsidR="00307559">
        <w:rPr>
          <w:rFonts w:eastAsia="Times New Roman" w:cstheme="minorHAnsi"/>
          <w:color w:val="000000"/>
          <w:lang w:eastAsia="en-GB"/>
        </w:rPr>
        <w:t>c</w:t>
      </w:r>
      <w:r w:rsidRPr="004016DA">
        <w:rPr>
          <w:rFonts w:eastAsia="Times New Roman" w:cstheme="minorHAnsi"/>
          <w:color w:val="000000"/>
          <w:lang w:eastAsia="en-GB"/>
        </w:rPr>
        <w:t xml:space="preserve">onstructively </w:t>
      </w:r>
      <w:r w:rsidR="00307559">
        <w:rPr>
          <w:rFonts w:eastAsia="Times New Roman" w:cstheme="minorHAnsi"/>
          <w:color w:val="000000"/>
          <w:lang w:eastAsia="en-GB"/>
        </w:rPr>
        <w:t>addressing</w:t>
      </w:r>
      <w:r w:rsidRPr="004016DA">
        <w:rPr>
          <w:rFonts w:eastAsia="Times New Roman" w:cstheme="minorHAnsi"/>
          <w:color w:val="000000"/>
          <w:lang w:eastAsia="en-GB"/>
        </w:rPr>
        <w:t xml:space="preserve"> criticism</w:t>
      </w:r>
      <w:r>
        <w:rPr>
          <w:rFonts w:eastAsia="Times New Roman" w:cstheme="minorHAnsi"/>
          <w:color w:val="000000"/>
          <w:lang w:eastAsia="en-GB"/>
        </w:rPr>
        <w:t>s</w:t>
      </w:r>
      <w:r w:rsidRPr="004016DA">
        <w:rPr>
          <w:rFonts w:eastAsia="Times New Roman" w:cstheme="minorHAnsi"/>
          <w:color w:val="000000"/>
          <w:lang w:eastAsia="en-GB"/>
        </w:rPr>
        <w:t xml:space="preserve"> </w:t>
      </w:r>
      <w:r>
        <w:rPr>
          <w:rFonts w:eastAsia="Times New Roman" w:cstheme="minorHAnsi"/>
          <w:color w:val="000000"/>
          <w:lang w:eastAsia="en-GB"/>
        </w:rPr>
        <w:t>is helping services/agencies to</w:t>
      </w:r>
      <w:r w:rsidRPr="004016DA">
        <w:rPr>
          <w:rFonts w:eastAsia="Times New Roman" w:cstheme="minorHAnsi"/>
          <w:color w:val="000000"/>
          <w:lang w:eastAsia="en-GB"/>
        </w:rPr>
        <w:t xml:space="preserve"> function better</w:t>
      </w:r>
      <w:r>
        <w:rPr>
          <w:rFonts w:eastAsia="Times New Roman" w:cstheme="minorHAnsi"/>
          <w:color w:val="000000"/>
          <w:lang w:eastAsia="en-GB"/>
        </w:rPr>
        <w:t xml:space="preserve"> (Webb et al., 2021)</w:t>
      </w:r>
      <w:r w:rsidRPr="004016DA">
        <w:rPr>
          <w:rFonts w:eastAsia="Times New Roman" w:cstheme="minorHAnsi"/>
          <w:color w:val="000000"/>
          <w:lang w:eastAsia="en-GB"/>
        </w:rPr>
        <w:t>.</w:t>
      </w:r>
      <w:r w:rsidRPr="006A6060">
        <w:rPr>
          <w:rFonts w:cstheme="minorHAnsi"/>
        </w:rPr>
        <w:t xml:space="preserve"> </w:t>
      </w:r>
      <w:r>
        <w:t>The publicised nature of the Baby P’s case, and</w:t>
      </w:r>
      <w:r w:rsidR="00307559">
        <w:t xml:space="preserve"> its</w:t>
      </w:r>
      <w:r>
        <w:t xml:space="preserve"> impact</w:t>
      </w:r>
      <w:r w:rsidR="00307559">
        <w:t xml:space="preserve">s </w:t>
      </w:r>
      <w:r>
        <w:t>reverberated across the UK</w:t>
      </w:r>
      <w:r w:rsidR="00307559">
        <w:t xml:space="preserve">, </w:t>
      </w:r>
      <w:r>
        <w:t>creat</w:t>
      </w:r>
      <w:r w:rsidR="00307559">
        <w:t>ing</w:t>
      </w:r>
      <w:r>
        <w:t xml:space="preserve"> the “Baby P effect” (</w:t>
      </w:r>
      <w:proofErr w:type="spellStart"/>
      <w:r>
        <w:t>McNicoll</w:t>
      </w:r>
      <w:proofErr w:type="spellEnd"/>
      <w:r>
        <w:t>, 2017) which unleashed a floodgate of referrals by child protection agencies, making it harder for professionals to operate freely in the fear that they might miss “another Baby P</w:t>
      </w:r>
      <w:r w:rsidR="00307559">
        <w:t>”</w:t>
      </w:r>
      <w:r>
        <w:t>. Practitioners became defensive in their practices, and operated under an environment focussed excessively on procedures, assessments and toxicity. Professionals were demonised by the media, the public and the government (</w:t>
      </w:r>
      <w:proofErr w:type="spellStart"/>
      <w:r>
        <w:t>McNicoll</w:t>
      </w:r>
      <w:proofErr w:type="spellEnd"/>
      <w:r>
        <w:t>, 2017).</w:t>
      </w:r>
      <w:r w:rsidRPr="004C2203">
        <w:rPr>
          <w:b/>
          <w:bCs/>
        </w:rPr>
        <w:t xml:space="preserve"> </w:t>
      </w:r>
    </w:p>
    <w:p w14:paraId="49CC280C" w14:textId="77777777" w:rsidR="001E7B69" w:rsidRDefault="001E7B69" w:rsidP="00465250">
      <w:pPr>
        <w:spacing w:line="360" w:lineRule="auto"/>
        <w:jc w:val="both"/>
        <w:rPr>
          <w:b/>
          <w:bCs/>
        </w:rPr>
      </w:pPr>
    </w:p>
    <w:p w14:paraId="3829376A" w14:textId="77777777" w:rsidR="001E7B69" w:rsidRDefault="00902BBD" w:rsidP="00465250">
      <w:pPr>
        <w:spacing w:line="360" w:lineRule="auto"/>
        <w:jc w:val="both"/>
        <w:rPr>
          <w:b/>
          <w:bCs/>
        </w:rPr>
      </w:pPr>
      <w:r>
        <w:rPr>
          <w:b/>
          <w:bCs/>
        </w:rPr>
        <w:t>Conclusion</w:t>
      </w:r>
    </w:p>
    <w:p w14:paraId="203FBC4B" w14:textId="77777777" w:rsidR="001C4D2E" w:rsidRPr="00B81AB4" w:rsidRDefault="00817F96" w:rsidP="00465250">
      <w:pPr>
        <w:spacing w:line="360" w:lineRule="auto"/>
        <w:jc w:val="both"/>
        <w:rPr>
          <w:b/>
          <w:bCs/>
        </w:rPr>
      </w:pPr>
      <w:r>
        <w:t xml:space="preserve">The government statutory guidance, </w:t>
      </w:r>
      <w:r w:rsidRPr="002E6618">
        <w:rPr>
          <w:b/>
          <w:bCs/>
          <w:i/>
          <w:iCs/>
        </w:rPr>
        <w:t xml:space="preserve">Working Together </w:t>
      </w:r>
      <w:r>
        <w:rPr>
          <w:b/>
          <w:bCs/>
          <w:i/>
          <w:iCs/>
        </w:rPr>
        <w:t>t</w:t>
      </w:r>
      <w:r w:rsidRPr="002E6618">
        <w:rPr>
          <w:b/>
          <w:bCs/>
          <w:i/>
          <w:iCs/>
        </w:rPr>
        <w:t>o Safeguard Children</w:t>
      </w:r>
      <w:r>
        <w:t xml:space="preserve">, established </w:t>
      </w:r>
      <w:r w:rsidRPr="002E6618">
        <w:rPr>
          <w:i/>
          <w:iCs/>
        </w:rPr>
        <w:t>The Child Safeguarding Practice Review and Relevant Agency (England) Regulations 2018</w:t>
      </w:r>
      <w:r>
        <w:t xml:space="preserve"> and outlines criteria for raising serious child safeguarding issues (HM Government, 2018).  Unfortunately, </w:t>
      </w:r>
      <w:r>
        <w:rPr>
          <w:b/>
          <w:bCs/>
        </w:rPr>
        <w:t>p</w:t>
      </w:r>
      <w:r w:rsidR="001B1E19" w:rsidRPr="001E7B69">
        <w:t>r</w:t>
      </w:r>
      <w:r w:rsidR="001B1E19">
        <w:t>actitioners</w:t>
      </w:r>
      <w:r w:rsidR="00D40507">
        <w:t xml:space="preserve"> </w:t>
      </w:r>
      <w:r w:rsidR="001E7B69">
        <w:t xml:space="preserve">could struggle to </w:t>
      </w:r>
      <w:r w:rsidR="001B1E19">
        <w:t>recognise signs of maltreatment/abuse in children</w:t>
      </w:r>
      <w:r>
        <w:t>,</w:t>
      </w:r>
      <w:r w:rsidR="001B1E19">
        <w:t xml:space="preserve"> </w:t>
      </w:r>
      <w:r w:rsidR="00B81AB4">
        <w:t>as</w:t>
      </w:r>
      <w:r w:rsidR="00D40507">
        <w:t xml:space="preserve"> it is</w:t>
      </w:r>
      <w:r w:rsidR="00B81AB4">
        <w:t xml:space="preserve"> </w:t>
      </w:r>
      <w:r w:rsidR="001B1E19">
        <w:t xml:space="preserve">consistently </w:t>
      </w:r>
      <w:r w:rsidR="00D40507">
        <w:t>under</w:t>
      </w:r>
      <w:r w:rsidR="001B1E19">
        <w:t xml:space="preserve">reported to children’s social </w:t>
      </w:r>
      <w:r w:rsidR="00D40507">
        <w:t>services</w:t>
      </w:r>
      <w:r w:rsidR="001B1E19">
        <w:t xml:space="preserve"> in England and Wales</w:t>
      </w:r>
      <w:r w:rsidR="001E7B69">
        <w:t xml:space="preserve"> (</w:t>
      </w:r>
      <w:proofErr w:type="spellStart"/>
      <w:r w:rsidR="001E7B69">
        <w:t>Saperia</w:t>
      </w:r>
      <w:proofErr w:type="spellEnd"/>
      <w:r w:rsidR="001E7B69">
        <w:t xml:space="preserve"> et al., 2009)</w:t>
      </w:r>
      <w:r w:rsidR="001B1E19">
        <w:t xml:space="preserve">. </w:t>
      </w:r>
      <w:r w:rsidR="0097126B">
        <w:t xml:space="preserve">This </w:t>
      </w:r>
      <w:r w:rsidR="006F7838">
        <w:t>happened</w:t>
      </w:r>
      <w:r w:rsidR="00F705E0">
        <w:t xml:space="preserve"> in</w:t>
      </w:r>
      <w:r w:rsidR="0097126B">
        <w:t xml:space="preserve"> the case of Baby P</w:t>
      </w:r>
      <w:r w:rsidR="001E7B69">
        <w:t>:</w:t>
      </w:r>
      <w:r w:rsidR="00F705E0">
        <w:t xml:space="preserve"> </w:t>
      </w:r>
      <w:r w:rsidR="001E7B69">
        <w:t>several</w:t>
      </w:r>
      <w:r w:rsidR="0097126B">
        <w:t xml:space="preserve"> missed opportunities </w:t>
      </w:r>
      <w:r w:rsidR="00813E6C">
        <w:t xml:space="preserve">by professionals </w:t>
      </w:r>
      <w:r w:rsidR="00B81AB4">
        <w:t xml:space="preserve">happened </w:t>
      </w:r>
      <w:r w:rsidR="00813E6C">
        <w:t xml:space="preserve">that could have </w:t>
      </w:r>
      <w:r w:rsidR="00577F67">
        <w:t xml:space="preserve">saved </w:t>
      </w:r>
      <w:r w:rsidR="006F7838">
        <w:t>his</w:t>
      </w:r>
      <w:r w:rsidR="00F705E0">
        <w:t xml:space="preserve"> life</w:t>
      </w:r>
      <w:r w:rsidR="00577F67">
        <w:t>.</w:t>
      </w:r>
      <w:r w:rsidR="00B81AB4">
        <w:t xml:space="preserve"> Practitioners must understand family and social risk factors, themselves alerting features that could suggest abuse. </w:t>
      </w:r>
      <w:r w:rsidR="00577F67">
        <w:t>T</w:t>
      </w:r>
      <w:r w:rsidR="00D40507">
        <w:t>he Munro Review (</w:t>
      </w:r>
      <w:r w:rsidR="00264466">
        <w:t xml:space="preserve">2011) </w:t>
      </w:r>
      <w:r w:rsidR="001E7B69">
        <w:t>recommends</w:t>
      </w:r>
      <w:r w:rsidR="00264466">
        <w:t xml:space="preserve"> practitioners should focus less on technical</w:t>
      </w:r>
      <w:r w:rsidR="006F7838">
        <w:t>ities</w:t>
      </w:r>
      <w:r w:rsidR="00264466">
        <w:t xml:space="preserve"> but more on children</w:t>
      </w:r>
      <w:r w:rsidR="006F7838">
        <w:t>’s needs</w:t>
      </w:r>
      <w:r w:rsidR="00B81AB4">
        <w:t xml:space="preserve"> and </w:t>
      </w:r>
      <w:r w:rsidR="00307559">
        <w:t>be</w:t>
      </w:r>
      <w:r w:rsidR="001C4D2E">
        <w:t xml:space="preserve"> more</w:t>
      </w:r>
      <w:r w:rsidR="00577F67">
        <w:t xml:space="preserve"> sensitive to concerning features of child abuse</w:t>
      </w:r>
      <w:r w:rsidR="00307559">
        <w:t xml:space="preserve"> to enhance </w:t>
      </w:r>
      <w:r w:rsidR="00B81AB4">
        <w:t xml:space="preserve">early </w:t>
      </w:r>
      <w:r w:rsidR="00577F67">
        <w:t>identif</w:t>
      </w:r>
      <w:r w:rsidR="00307559">
        <w:t xml:space="preserve">ication of </w:t>
      </w:r>
      <w:r w:rsidR="00264466">
        <w:t>abuse</w:t>
      </w:r>
      <w:r w:rsidR="00577F67">
        <w:t xml:space="preserve"> </w:t>
      </w:r>
      <w:r w:rsidR="00B81AB4">
        <w:t xml:space="preserve">which might </w:t>
      </w:r>
      <w:r w:rsidR="00577F67">
        <w:t>require further multi-agency assessment</w:t>
      </w:r>
      <w:r>
        <w:t xml:space="preserve">. </w:t>
      </w:r>
    </w:p>
    <w:p w14:paraId="48275A78" w14:textId="77777777" w:rsidR="001C4D2E" w:rsidRDefault="001C4D2E" w:rsidP="00465250">
      <w:pPr>
        <w:spacing w:line="360" w:lineRule="auto"/>
        <w:jc w:val="both"/>
      </w:pPr>
    </w:p>
    <w:p w14:paraId="28C6838A" w14:textId="77777777" w:rsidR="001C4D2E" w:rsidRDefault="001C4D2E" w:rsidP="00465250">
      <w:pPr>
        <w:spacing w:line="360" w:lineRule="auto"/>
        <w:jc w:val="both"/>
      </w:pPr>
    </w:p>
    <w:p w14:paraId="62B105B8" w14:textId="77777777" w:rsidR="00692E28" w:rsidRDefault="00692E28" w:rsidP="001C4D2E">
      <w:pPr>
        <w:spacing w:line="360" w:lineRule="auto"/>
        <w:jc w:val="both"/>
        <w:rPr>
          <w:b/>
          <w:bCs/>
        </w:rPr>
      </w:pPr>
    </w:p>
    <w:p w14:paraId="3C3553B6" w14:textId="77777777" w:rsidR="00835305" w:rsidRDefault="00835305" w:rsidP="001C4D2E">
      <w:pPr>
        <w:spacing w:line="360" w:lineRule="auto"/>
        <w:jc w:val="both"/>
        <w:rPr>
          <w:b/>
          <w:bCs/>
        </w:rPr>
      </w:pPr>
    </w:p>
    <w:p w14:paraId="64D94E39" w14:textId="77777777" w:rsidR="00692E28" w:rsidRDefault="00692E28" w:rsidP="001C4D2E">
      <w:pPr>
        <w:spacing w:line="360" w:lineRule="auto"/>
        <w:jc w:val="both"/>
        <w:rPr>
          <w:b/>
          <w:bCs/>
        </w:rPr>
      </w:pPr>
    </w:p>
    <w:p w14:paraId="7F9ACA21" w14:textId="77777777" w:rsidR="00B81AB4" w:rsidRDefault="00B81AB4" w:rsidP="001C4D2E">
      <w:pPr>
        <w:spacing w:line="360" w:lineRule="auto"/>
        <w:jc w:val="both"/>
        <w:rPr>
          <w:b/>
          <w:bCs/>
        </w:rPr>
      </w:pPr>
    </w:p>
    <w:p w14:paraId="704943A1" w14:textId="77777777" w:rsidR="00B81AB4" w:rsidRDefault="00B81AB4" w:rsidP="001C4D2E">
      <w:pPr>
        <w:spacing w:line="360" w:lineRule="auto"/>
        <w:jc w:val="both"/>
        <w:rPr>
          <w:b/>
          <w:bCs/>
        </w:rPr>
      </w:pPr>
    </w:p>
    <w:p w14:paraId="45B46A34" w14:textId="77777777" w:rsidR="00B81AB4" w:rsidRDefault="00B81AB4" w:rsidP="001C4D2E">
      <w:pPr>
        <w:spacing w:line="360" w:lineRule="auto"/>
        <w:jc w:val="both"/>
        <w:rPr>
          <w:b/>
          <w:bCs/>
        </w:rPr>
      </w:pPr>
    </w:p>
    <w:p w14:paraId="355B2A54" w14:textId="77777777" w:rsidR="00101526" w:rsidRPr="001C4D2E" w:rsidRDefault="00101526" w:rsidP="001C4D2E">
      <w:pPr>
        <w:spacing w:line="360" w:lineRule="auto"/>
        <w:jc w:val="both"/>
        <w:rPr>
          <w:b/>
          <w:bCs/>
        </w:rPr>
      </w:pPr>
      <w:r>
        <w:rPr>
          <w:b/>
          <w:bCs/>
        </w:rPr>
        <w:t>References</w:t>
      </w:r>
    </w:p>
    <w:p w14:paraId="05739F67" w14:textId="77777777" w:rsidR="00D1389A" w:rsidRDefault="00D1389A" w:rsidP="00264466">
      <w:pPr>
        <w:jc w:val="both"/>
      </w:pPr>
      <w:proofErr w:type="spellStart"/>
      <w:r w:rsidRPr="00D1389A">
        <w:t>Avdibegović</w:t>
      </w:r>
      <w:proofErr w:type="spellEnd"/>
      <w:r w:rsidRPr="00D1389A">
        <w:t xml:space="preserve"> </w:t>
      </w:r>
      <w:r>
        <w:t xml:space="preserve">, </w:t>
      </w:r>
      <w:r w:rsidRPr="00D1389A">
        <w:t>E</w:t>
      </w:r>
      <w:r>
        <w:t>.</w:t>
      </w:r>
      <w:r w:rsidRPr="00D1389A">
        <w:t>,</w:t>
      </w:r>
      <w:r>
        <w:t xml:space="preserve"> and</w:t>
      </w:r>
      <w:r w:rsidRPr="00D1389A">
        <w:t xml:space="preserve"> </w:t>
      </w:r>
      <w:proofErr w:type="spellStart"/>
      <w:r w:rsidRPr="00D1389A">
        <w:t>Brkić</w:t>
      </w:r>
      <w:proofErr w:type="spellEnd"/>
      <w:r>
        <w:t xml:space="preserve">, </w:t>
      </w:r>
      <w:r w:rsidRPr="00D1389A">
        <w:t>M.</w:t>
      </w:r>
      <w:r>
        <w:t xml:space="preserve"> (2020).</w:t>
      </w:r>
      <w:r w:rsidRPr="00D1389A">
        <w:t xml:space="preserve"> Child Neglect - Causes and Consequences. </w:t>
      </w:r>
      <w:r w:rsidRPr="00D1389A">
        <w:rPr>
          <w:i/>
          <w:iCs/>
        </w:rPr>
        <w:t xml:space="preserve">Psychiatry </w:t>
      </w:r>
      <w:proofErr w:type="spellStart"/>
      <w:r w:rsidRPr="00D1389A">
        <w:rPr>
          <w:i/>
          <w:iCs/>
        </w:rPr>
        <w:t>Danub</w:t>
      </w:r>
      <w:proofErr w:type="spellEnd"/>
      <w:r w:rsidRPr="00D1389A">
        <w:rPr>
          <w:i/>
          <w:iCs/>
        </w:rPr>
        <w:t>.</w:t>
      </w:r>
      <w:r w:rsidRPr="00D1389A">
        <w:t xml:space="preserve"> 32(</w:t>
      </w:r>
      <w:proofErr w:type="spellStart"/>
      <w:r w:rsidRPr="00D1389A">
        <w:t>Suppl</w:t>
      </w:r>
      <w:proofErr w:type="spellEnd"/>
      <w:r w:rsidRPr="00D1389A">
        <w:t xml:space="preserve"> 3):337-342. PMID: 33030448</w:t>
      </w:r>
    </w:p>
    <w:p w14:paraId="3FB6DF73" w14:textId="77777777" w:rsidR="00D1389A" w:rsidRDefault="00D1389A" w:rsidP="00264466">
      <w:pPr>
        <w:jc w:val="both"/>
      </w:pPr>
    </w:p>
    <w:p w14:paraId="65A71EFC" w14:textId="77777777" w:rsidR="00D1389A" w:rsidRPr="00D1389A" w:rsidRDefault="00D1389A" w:rsidP="00D1389A">
      <w:proofErr w:type="spellStart"/>
      <w:r w:rsidRPr="00D1389A">
        <w:t>Begle</w:t>
      </w:r>
      <w:proofErr w:type="spellEnd"/>
      <w:r w:rsidRPr="00D1389A">
        <w:t>, A. M., Dumas, J. E., &amp; Hanson, R. F. (2010). Predicting child abuse potential: an empirical investigation of two theoretical frameworks. </w:t>
      </w:r>
      <w:r w:rsidRPr="00D1389A">
        <w:rPr>
          <w:i/>
          <w:iCs/>
        </w:rPr>
        <w:t>Journal of clinical child and adolescent psychology</w:t>
      </w:r>
      <w:r>
        <w:rPr>
          <w:i/>
          <w:iCs/>
        </w:rPr>
        <w:t>,</w:t>
      </w:r>
      <w:r w:rsidRPr="00D1389A">
        <w:t xml:space="preserve"> American Psychological Association, Division 53, 39(2), 208–219. https://doi.org/10.1080/15374410903532650</w:t>
      </w:r>
    </w:p>
    <w:p w14:paraId="575C8C14" w14:textId="77777777" w:rsidR="00D1389A" w:rsidRPr="00D1389A" w:rsidRDefault="00D1389A" w:rsidP="00D1389A"/>
    <w:p w14:paraId="1476AFA3" w14:textId="77777777" w:rsidR="00692E28" w:rsidRPr="00390F5E" w:rsidRDefault="00692E28" w:rsidP="00692E28">
      <w:r w:rsidRPr="00390F5E">
        <w:t>Belsky</w:t>
      </w:r>
      <w:r>
        <w:t>,</w:t>
      </w:r>
      <w:r w:rsidRPr="00390F5E">
        <w:t xml:space="preserve"> J.</w:t>
      </w:r>
      <w:r>
        <w:t xml:space="preserve"> (1993). </w:t>
      </w:r>
      <w:r w:rsidRPr="00390F5E">
        <w:t xml:space="preserve"> </w:t>
      </w:r>
      <w:proofErr w:type="spellStart"/>
      <w:r w:rsidRPr="00390F5E">
        <w:t>Etiology</w:t>
      </w:r>
      <w:proofErr w:type="spellEnd"/>
      <w:r w:rsidRPr="00390F5E">
        <w:t xml:space="preserve"> of child maltreatment: A developmental-ecological analysis. </w:t>
      </w:r>
      <w:r w:rsidRPr="00390F5E">
        <w:rPr>
          <w:i/>
          <w:iCs/>
        </w:rPr>
        <w:t>Psychological Bulletin</w:t>
      </w:r>
      <w:r w:rsidRPr="00390F5E">
        <w:t xml:space="preserve"> 114:413–434. </w:t>
      </w:r>
    </w:p>
    <w:p w14:paraId="283CC7EC" w14:textId="77777777" w:rsidR="00692E28" w:rsidRDefault="00692E28" w:rsidP="00692E28">
      <w:r w:rsidRPr="00390F5E">
        <w:t>Bronfenbrenner</w:t>
      </w:r>
      <w:r>
        <w:t xml:space="preserve">, </w:t>
      </w:r>
      <w:r w:rsidRPr="00390F5E">
        <w:t>U</w:t>
      </w:r>
      <w:r>
        <w:t>. (1977)</w:t>
      </w:r>
      <w:r w:rsidRPr="00390F5E">
        <w:t xml:space="preserve">. Toward an experimental ecology of human development. </w:t>
      </w:r>
      <w:r w:rsidRPr="00390F5E">
        <w:rPr>
          <w:i/>
          <w:iCs/>
        </w:rPr>
        <w:t>American Psychologist</w:t>
      </w:r>
      <w:r>
        <w:t xml:space="preserve">, </w:t>
      </w:r>
      <w:r w:rsidRPr="00390F5E">
        <w:t xml:space="preserve">32:513–531. </w:t>
      </w:r>
    </w:p>
    <w:p w14:paraId="3ECE7C0E" w14:textId="77777777" w:rsidR="00692E28" w:rsidRDefault="00692E28" w:rsidP="00692E28"/>
    <w:p w14:paraId="1279FE54" w14:textId="77777777" w:rsidR="004B7E67" w:rsidRPr="007A2C8A" w:rsidRDefault="004B7E67" w:rsidP="00264466">
      <w:pPr>
        <w:jc w:val="both"/>
        <w:rPr>
          <w:rFonts w:cstheme="minorHAnsi"/>
          <w:color w:val="222222"/>
          <w:shd w:val="clear" w:color="auto" w:fill="FFFFFF"/>
        </w:rPr>
      </w:pPr>
      <w:r>
        <w:rPr>
          <w:rFonts w:cstheme="minorHAnsi"/>
          <w:color w:val="222222"/>
          <w:shd w:val="clear" w:color="auto" w:fill="FFFFFF"/>
        </w:rPr>
        <w:t xml:space="preserve">Care Quality Commission (2021). </w:t>
      </w:r>
      <w:r w:rsidRPr="007A2C8A">
        <w:rPr>
          <w:rFonts w:cstheme="minorHAnsi"/>
          <w:i/>
          <w:iCs/>
          <w:color w:val="222222"/>
          <w:shd w:val="clear" w:color="auto" w:fill="FFFFFF"/>
        </w:rPr>
        <w:t xml:space="preserve">The </w:t>
      </w:r>
      <w:r w:rsidR="007A2C8A" w:rsidRPr="007A2C8A">
        <w:rPr>
          <w:rFonts w:cstheme="minorHAnsi"/>
          <w:i/>
          <w:iCs/>
          <w:color w:val="222222"/>
          <w:shd w:val="clear" w:color="auto" w:fill="FFFFFF"/>
        </w:rPr>
        <w:t>state of healthcare and adult social care in England 2020/21.</w:t>
      </w:r>
      <w:r w:rsidR="007A2C8A">
        <w:rPr>
          <w:rFonts w:cstheme="minorHAnsi"/>
          <w:i/>
          <w:iCs/>
          <w:color w:val="222222"/>
          <w:shd w:val="clear" w:color="auto" w:fill="FFFFFF"/>
        </w:rPr>
        <w:t xml:space="preserve"> </w:t>
      </w:r>
      <w:r w:rsidR="007A2C8A" w:rsidRPr="007A2C8A">
        <w:rPr>
          <w:rFonts w:cstheme="minorHAnsi"/>
          <w:color w:val="222222"/>
          <w:shd w:val="clear" w:color="auto" w:fill="FFFFFF"/>
        </w:rPr>
        <w:t>London:</w:t>
      </w:r>
      <w:r w:rsidR="007A2C8A">
        <w:rPr>
          <w:rFonts w:cstheme="minorHAnsi"/>
          <w:i/>
          <w:iCs/>
          <w:color w:val="222222"/>
          <w:shd w:val="clear" w:color="auto" w:fill="FFFFFF"/>
        </w:rPr>
        <w:t xml:space="preserve"> </w:t>
      </w:r>
      <w:r w:rsidR="007A2C8A">
        <w:rPr>
          <w:rFonts w:cstheme="minorHAnsi"/>
          <w:color w:val="222222"/>
          <w:shd w:val="clear" w:color="auto" w:fill="FFFFFF"/>
        </w:rPr>
        <w:t>CQC</w:t>
      </w:r>
    </w:p>
    <w:p w14:paraId="6D1E9CCD" w14:textId="77777777" w:rsidR="004B7E67" w:rsidRDefault="004B7E67" w:rsidP="00264466">
      <w:pPr>
        <w:jc w:val="both"/>
        <w:rPr>
          <w:rFonts w:cstheme="minorHAnsi"/>
          <w:color w:val="222222"/>
          <w:shd w:val="clear" w:color="auto" w:fill="FFFFFF"/>
        </w:rPr>
      </w:pPr>
    </w:p>
    <w:p w14:paraId="4A725ED5" w14:textId="77777777" w:rsidR="00264466" w:rsidRPr="00264466" w:rsidRDefault="00264466" w:rsidP="00264466">
      <w:pPr>
        <w:jc w:val="both"/>
        <w:rPr>
          <w:rFonts w:cstheme="minorHAnsi"/>
          <w:color w:val="222222"/>
          <w:shd w:val="clear" w:color="auto" w:fill="FFFFFF"/>
        </w:rPr>
      </w:pPr>
      <w:r w:rsidRPr="00264466">
        <w:rPr>
          <w:rFonts w:cstheme="minorHAnsi"/>
          <w:color w:val="222222"/>
          <w:shd w:val="clear" w:color="auto" w:fill="FFFFFF"/>
        </w:rPr>
        <w:t xml:space="preserve">Conti, G., </w:t>
      </w:r>
      <w:proofErr w:type="spellStart"/>
      <w:r w:rsidRPr="00264466">
        <w:rPr>
          <w:rFonts w:cstheme="minorHAnsi"/>
          <w:color w:val="222222"/>
          <w:shd w:val="clear" w:color="auto" w:fill="FFFFFF"/>
        </w:rPr>
        <w:t>Pizzo</w:t>
      </w:r>
      <w:proofErr w:type="spellEnd"/>
      <w:r w:rsidRPr="00264466">
        <w:rPr>
          <w:rFonts w:cstheme="minorHAnsi"/>
          <w:color w:val="222222"/>
          <w:shd w:val="clear" w:color="auto" w:fill="FFFFFF"/>
        </w:rPr>
        <w:t>, E., Morris, S., &amp; Melnychuk, M. (2021). The economic costs of child maltreatment in UK.</w:t>
      </w:r>
      <w:r w:rsidRPr="00264466">
        <w:rPr>
          <w:rStyle w:val="apple-converted-space"/>
          <w:rFonts w:cstheme="minorHAnsi"/>
          <w:color w:val="222222"/>
          <w:shd w:val="clear" w:color="auto" w:fill="FFFFFF"/>
        </w:rPr>
        <w:t> </w:t>
      </w:r>
      <w:r w:rsidRPr="00264466">
        <w:rPr>
          <w:rFonts w:cstheme="minorHAnsi"/>
          <w:i/>
          <w:iCs/>
          <w:color w:val="222222"/>
        </w:rPr>
        <w:t>Health economics</w:t>
      </w:r>
      <w:r w:rsidRPr="00264466">
        <w:rPr>
          <w:rFonts w:cstheme="minorHAnsi"/>
          <w:color w:val="222222"/>
          <w:shd w:val="clear" w:color="auto" w:fill="FFFFFF"/>
        </w:rPr>
        <w:t>,</w:t>
      </w:r>
      <w:r w:rsidRPr="00264466">
        <w:rPr>
          <w:rStyle w:val="apple-converted-space"/>
          <w:rFonts w:cstheme="minorHAnsi"/>
          <w:color w:val="222222"/>
          <w:shd w:val="clear" w:color="auto" w:fill="FFFFFF"/>
        </w:rPr>
        <w:t> </w:t>
      </w:r>
      <w:r w:rsidRPr="00264466">
        <w:rPr>
          <w:rFonts w:cstheme="minorHAnsi"/>
          <w:i/>
          <w:iCs/>
          <w:color w:val="222222"/>
        </w:rPr>
        <w:t>30</w:t>
      </w:r>
      <w:r w:rsidRPr="00264466">
        <w:rPr>
          <w:rFonts w:cstheme="minorHAnsi"/>
          <w:color w:val="222222"/>
          <w:shd w:val="clear" w:color="auto" w:fill="FFFFFF"/>
        </w:rPr>
        <w:t>(12), 3087-3105.</w:t>
      </w:r>
    </w:p>
    <w:p w14:paraId="20ACDCAF" w14:textId="77777777" w:rsidR="00264466" w:rsidRPr="00264466" w:rsidRDefault="00264466" w:rsidP="00264466">
      <w:pPr>
        <w:jc w:val="both"/>
        <w:rPr>
          <w:rFonts w:cstheme="minorHAnsi"/>
          <w:color w:val="222222"/>
          <w:shd w:val="clear" w:color="auto" w:fill="FFFFFF"/>
        </w:rPr>
      </w:pPr>
    </w:p>
    <w:p w14:paraId="229AEE1B" w14:textId="77777777" w:rsidR="0016517D" w:rsidRPr="0016517D" w:rsidRDefault="0016517D" w:rsidP="00101526">
      <w:pPr>
        <w:jc w:val="both"/>
        <w:rPr>
          <w:rFonts w:cstheme="minorHAnsi"/>
          <w:color w:val="222222"/>
          <w:shd w:val="clear" w:color="auto" w:fill="FFFFFF"/>
        </w:rPr>
      </w:pPr>
      <w:proofErr w:type="spellStart"/>
      <w:r w:rsidRPr="0016517D">
        <w:rPr>
          <w:rFonts w:cstheme="minorHAnsi"/>
          <w:color w:val="222222"/>
          <w:shd w:val="clear" w:color="auto" w:fill="FFFFFF"/>
        </w:rPr>
        <w:t>Degli</w:t>
      </w:r>
      <w:proofErr w:type="spellEnd"/>
      <w:r w:rsidRPr="0016517D">
        <w:rPr>
          <w:rFonts w:cstheme="minorHAnsi"/>
          <w:color w:val="222222"/>
          <w:shd w:val="clear" w:color="auto" w:fill="FFFFFF"/>
        </w:rPr>
        <w:t xml:space="preserve"> </w:t>
      </w:r>
      <w:proofErr w:type="spellStart"/>
      <w:r w:rsidRPr="0016517D">
        <w:rPr>
          <w:rFonts w:cstheme="minorHAnsi"/>
          <w:color w:val="222222"/>
          <w:shd w:val="clear" w:color="auto" w:fill="FFFFFF"/>
        </w:rPr>
        <w:t>Esposti</w:t>
      </w:r>
      <w:proofErr w:type="spellEnd"/>
      <w:r w:rsidRPr="0016517D">
        <w:rPr>
          <w:rFonts w:cstheme="minorHAnsi"/>
          <w:color w:val="222222"/>
          <w:shd w:val="clear" w:color="auto" w:fill="FFFFFF"/>
        </w:rPr>
        <w:t xml:space="preserve">, M., Humphreys, D. K., Jenkins, B. M., </w:t>
      </w:r>
      <w:proofErr w:type="spellStart"/>
      <w:r w:rsidRPr="0016517D">
        <w:rPr>
          <w:rFonts w:cstheme="minorHAnsi"/>
          <w:color w:val="222222"/>
          <w:shd w:val="clear" w:color="auto" w:fill="FFFFFF"/>
        </w:rPr>
        <w:t>Gasparrini</w:t>
      </w:r>
      <w:proofErr w:type="spellEnd"/>
      <w:r w:rsidRPr="0016517D">
        <w:rPr>
          <w:rFonts w:cstheme="minorHAnsi"/>
          <w:color w:val="222222"/>
          <w:shd w:val="clear" w:color="auto" w:fill="FFFFFF"/>
        </w:rPr>
        <w:t>, A., Pooley, S., Eisner, M., &amp; Bowes, L. (2019). Long-term trends in child maltreatment in England and Wales, 1858–2016: an observational, time-series analysis.</w:t>
      </w:r>
      <w:r w:rsidRPr="0016517D">
        <w:rPr>
          <w:rStyle w:val="apple-converted-space"/>
          <w:rFonts w:cstheme="minorHAnsi"/>
          <w:color w:val="222222"/>
          <w:shd w:val="clear" w:color="auto" w:fill="FFFFFF"/>
        </w:rPr>
        <w:t> </w:t>
      </w:r>
      <w:r w:rsidRPr="0016517D">
        <w:rPr>
          <w:rFonts w:cstheme="minorHAnsi"/>
          <w:i/>
          <w:iCs/>
          <w:color w:val="222222"/>
        </w:rPr>
        <w:t>The Lancet Public Health</w:t>
      </w:r>
      <w:r w:rsidRPr="0016517D">
        <w:rPr>
          <w:rFonts w:cstheme="minorHAnsi"/>
          <w:color w:val="222222"/>
          <w:shd w:val="clear" w:color="auto" w:fill="FFFFFF"/>
        </w:rPr>
        <w:t>,</w:t>
      </w:r>
      <w:r w:rsidRPr="0016517D">
        <w:rPr>
          <w:rStyle w:val="apple-converted-space"/>
          <w:rFonts w:cstheme="minorHAnsi"/>
          <w:color w:val="222222"/>
          <w:shd w:val="clear" w:color="auto" w:fill="FFFFFF"/>
        </w:rPr>
        <w:t> </w:t>
      </w:r>
      <w:r w:rsidRPr="0016517D">
        <w:rPr>
          <w:rFonts w:cstheme="minorHAnsi"/>
          <w:i/>
          <w:iCs/>
          <w:color w:val="222222"/>
        </w:rPr>
        <w:t>4</w:t>
      </w:r>
      <w:r w:rsidRPr="0016517D">
        <w:rPr>
          <w:rFonts w:cstheme="minorHAnsi"/>
          <w:color w:val="222222"/>
          <w:shd w:val="clear" w:color="auto" w:fill="FFFFFF"/>
        </w:rPr>
        <w:t>(3), e148-e158.</w:t>
      </w:r>
    </w:p>
    <w:p w14:paraId="2CAD550E" w14:textId="77777777" w:rsidR="0016517D" w:rsidRPr="0016517D" w:rsidRDefault="0016517D" w:rsidP="00101526">
      <w:pPr>
        <w:jc w:val="both"/>
        <w:rPr>
          <w:rFonts w:cstheme="minorHAnsi"/>
          <w:color w:val="222222"/>
          <w:shd w:val="clear" w:color="auto" w:fill="FFFFFF"/>
        </w:rPr>
      </w:pPr>
    </w:p>
    <w:p w14:paraId="10A4CC5C" w14:textId="77777777" w:rsidR="00264466" w:rsidRPr="00264466" w:rsidRDefault="00264466" w:rsidP="00264466">
      <w:pPr>
        <w:jc w:val="both"/>
        <w:rPr>
          <w:rFonts w:cstheme="minorHAnsi"/>
          <w:color w:val="222222"/>
          <w:shd w:val="clear" w:color="auto" w:fill="FFFFFF"/>
        </w:rPr>
      </w:pPr>
      <w:proofErr w:type="spellStart"/>
      <w:r w:rsidRPr="00264466">
        <w:rPr>
          <w:rFonts w:cstheme="minorHAnsi"/>
          <w:color w:val="222222"/>
          <w:shd w:val="clear" w:color="auto" w:fill="FFFFFF"/>
        </w:rPr>
        <w:t>Degli</w:t>
      </w:r>
      <w:proofErr w:type="spellEnd"/>
      <w:r w:rsidRPr="00264466">
        <w:rPr>
          <w:rFonts w:cstheme="minorHAnsi"/>
          <w:color w:val="222222"/>
          <w:shd w:val="clear" w:color="auto" w:fill="FFFFFF"/>
        </w:rPr>
        <w:t xml:space="preserve"> </w:t>
      </w:r>
      <w:proofErr w:type="spellStart"/>
      <w:r w:rsidRPr="00264466">
        <w:rPr>
          <w:rFonts w:cstheme="minorHAnsi"/>
          <w:color w:val="222222"/>
          <w:shd w:val="clear" w:color="auto" w:fill="FFFFFF"/>
        </w:rPr>
        <w:t>Esposti</w:t>
      </w:r>
      <w:proofErr w:type="spellEnd"/>
      <w:r w:rsidRPr="00264466">
        <w:rPr>
          <w:rFonts w:cstheme="minorHAnsi"/>
          <w:color w:val="222222"/>
          <w:shd w:val="clear" w:color="auto" w:fill="FFFFFF"/>
        </w:rPr>
        <w:t>, M., Pereira, S. M. P., Humphreys, D. K., Sale, R. D., &amp; Bowes, L. (2020). Child maltreatment and the risk of antisocial behaviour: A population-based cohort study spanning 50 years.</w:t>
      </w:r>
      <w:r w:rsidRPr="00264466">
        <w:rPr>
          <w:rStyle w:val="apple-converted-space"/>
          <w:rFonts w:cstheme="minorHAnsi"/>
          <w:color w:val="222222"/>
          <w:shd w:val="clear" w:color="auto" w:fill="FFFFFF"/>
        </w:rPr>
        <w:t> </w:t>
      </w:r>
      <w:r w:rsidRPr="00264466">
        <w:rPr>
          <w:rFonts w:cstheme="minorHAnsi"/>
          <w:i/>
          <w:iCs/>
          <w:color w:val="222222"/>
        </w:rPr>
        <w:t>Child Abuse &amp; Neglect</w:t>
      </w:r>
      <w:r w:rsidRPr="00264466">
        <w:rPr>
          <w:rFonts w:cstheme="minorHAnsi"/>
          <w:color w:val="222222"/>
          <w:shd w:val="clear" w:color="auto" w:fill="FFFFFF"/>
        </w:rPr>
        <w:t>,</w:t>
      </w:r>
      <w:r w:rsidRPr="00264466">
        <w:rPr>
          <w:rStyle w:val="apple-converted-space"/>
          <w:rFonts w:cstheme="minorHAnsi"/>
          <w:color w:val="222222"/>
          <w:shd w:val="clear" w:color="auto" w:fill="FFFFFF"/>
        </w:rPr>
        <w:t> </w:t>
      </w:r>
      <w:r w:rsidRPr="00264466">
        <w:rPr>
          <w:rFonts w:cstheme="minorHAnsi"/>
          <w:i/>
          <w:iCs/>
          <w:color w:val="222222"/>
        </w:rPr>
        <w:t>99</w:t>
      </w:r>
      <w:r w:rsidRPr="00264466">
        <w:rPr>
          <w:rFonts w:cstheme="minorHAnsi"/>
          <w:color w:val="222222"/>
          <w:shd w:val="clear" w:color="auto" w:fill="FFFFFF"/>
        </w:rPr>
        <w:t>, 104281.</w:t>
      </w:r>
    </w:p>
    <w:p w14:paraId="1D40A9D5" w14:textId="77777777" w:rsidR="00264466" w:rsidRDefault="00264466" w:rsidP="00101526">
      <w:pPr>
        <w:jc w:val="both"/>
        <w:rPr>
          <w:rFonts w:cstheme="minorHAnsi"/>
          <w:color w:val="222222"/>
          <w:shd w:val="clear" w:color="auto" w:fill="FFFFFF"/>
        </w:rPr>
      </w:pPr>
    </w:p>
    <w:p w14:paraId="54C023FF" w14:textId="77777777" w:rsidR="00043F88" w:rsidRDefault="00043F88" w:rsidP="00101526">
      <w:pPr>
        <w:jc w:val="both"/>
        <w:rPr>
          <w:rFonts w:cstheme="minorHAnsi"/>
          <w:color w:val="222222"/>
          <w:shd w:val="clear" w:color="auto" w:fill="FFFFFF"/>
        </w:rPr>
      </w:pPr>
      <w:r>
        <w:rPr>
          <w:rFonts w:cstheme="minorHAnsi"/>
          <w:color w:val="222222"/>
          <w:shd w:val="clear" w:color="auto" w:fill="FFFFFF"/>
        </w:rPr>
        <w:t xml:space="preserve">Garnett, P. (2018). Total systemic failure? </w:t>
      </w:r>
      <w:r w:rsidRPr="00043F88">
        <w:rPr>
          <w:rFonts w:cstheme="minorHAnsi"/>
          <w:i/>
          <w:iCs/>
          <w:color w:val="222222"/>
          <w:shd w:val="clear" w:color="auto" w:fill="FFFFFF"/>
        </w:rPr>
        <w:t>Science of the Total Environment,</w:t>
      </w:r>
      <w:r>
        <w:rPr>
          <w:rFonts w:cstheme="minorHAnsi"/>
          <w:color w:val="222222"/>
          <w:shd w:val="clear" w:color="auto" w:fill="FFFFFF"/>
        </w:rPr>
        <w:t xml:space="preserve"> pp.684-688. ISSN 0048-9697</w:t>
      </w:r>
    </w:p>
    <w:p w14:paraId="6A31E2BF" w14:textId="77777777" w:rsidR="00043F88" w:rsidRDefault="00043F88" w:rsidP="00101526">
      <w:pPr>
        <w:jc w:val="both"/>
        <w:rPr>
          <w:rFonts w:cstheme="minorHAnsi"/>
          <w:color w:val="222222"/>
          <w:shd w:val="clear" w:color="auto" w:fill="FFFFFF"/>
        </w:rPr>
      </w:pPr>
    </w:p>
    <w:p w14:paraId="16D4B5EC" w14:textId="77777777" w:rsidR="00101526" w:rsidRPr="0016517D" w:rsidRDefault="0016517D" w:rsidP="00101526">
      <w:pPr>
        <w:jc w:val="both"/>
        <w:rPr>
          <w:rFonts w:cstheme="minorHAnsi"/>
        </w:rPr>
      </w:pPr>
      <w:r w:rsidRPr="0016517D">
        <w:rPr>
          <w:rFonts w:cstheme="minorHAnsi"/>
          <w:color w:val="222222"/>
          <w:shd w:val="clear" w:color="auto" w:fill="FFFFFF"/>
        </w:rPr>
        <w:t xml:space="preserve">Gilbert, R., </w:t>
      </w:r>
      <w:proofErr w:type="spellStart"/>
      <w:r w:rsidRPr="0016517D">
        <w:rPr>
          <w:rFonts w:cstheme="minorHAnsi"/>
          <w:color w:val="222222"/>
          <w:shd w:val="clear" w:color="auto" w:fill="FFFFFF"/>
        </w:rPr>
        <w:t>Widom</w:t>
      </w:r>
      <w:proofErr w:type="spellEnd"/>
      <w:r w:rsidRPr="0016517D">
        <w:rPr>
          <w:rFonts w:cstheme="minorHAnsi"/>
          <w:color w:val="222222"/>
          <w:shd w:val="clear" w:color="auto" w:fill="FFFFFF"/>
        </w:rPr>
        <w:t>, C. S., Browne, K., Fergusson, D., Webb, E., &amp; Janson, S. (2009). Burden and consequences of child maltreatment in high-income countries.</w:t>
      </w:r>
      <w:r w:rsidRPr="0016517D">
        <w:rPr>
          <w:rStyle w:val="apple-converted-space"/>
          <w:rFonts w:cstheme="minorHAnsi"/>
          <w:color w:val="222222"/>
          <w:shd w:val="clear" w:color="auto" w:fill="FFFFFF"/>
        </w:rPr>
        <w:t> </w:t>
      </w:r>
      <w:r w:rsidRPr="0016517D">
        <w:rPr>
          <w:rFonts w:cstheme="minorHAnsi"/>
          <w:i/>
          <w:iCs/>
          <w:color w:val="222222"/>
        </w:rPr>
        <w:t>The lancet</w:t>
      </w:r>
      <w:r w:rsidRPr="0016517D">
        <w:rPr>
          <w:rFonts w:cstheme="minorHAnsi"/>
          <w:color w:val="222222"/>
          <w:shd w:val="clear" w:color="auto" w:fill="FFFFFF"/>
        </w:rPr>
        <w:t>,</w:t>
      </w:r>
      <w:r w:rsidRPr="0016517D">
        <w:rPr>
          <w:rStyle w:val="apple-converted-space"/>
          <w:rFonts w:cstheme="minorHAnsi"/>
          <w:color w:val="222222"/>
          <w:shd w:val="clear" w:color="auto" w:fill="FFFFFF"/>
        </w:rPr>
        <w:t> </w:t>
      </w:r>
      <w:r w:rsidRPr="0016517D">
        <w:rPr>
          <w:rFonts w:cstheme="minorHAnsi"/>
          <w:i/>
          <w:iCs/>
          <w:color w:val="222222"/>
        </w:rPr>
        <w:t>373</w:t>
      </w:r>
      <w:r w:rsidRPr="0016517D">
        <w:rPr>
          <w:rFonts w:cstheme="minorHAnsi"/>
          <w:color w:val="222222"/>
          <w:shd w:val="clear" w:color="auto" w:fill="FFFFFF"/>
        </w:rPr>
        <w:t>(9657), 68-81.</w:t>
      </w:r>
    </w:p>
    <w:p w14:paraId="7953CDDC" w14:textId="77777777" w:rsidR="00101526" w:rsidRPr="0016517D" w:rsidRDefault="00101526" w:rsidP="00101526">
      <w:pPr>
        <w:jc w:val="both"/>
        <w:rPr>
          <w:rFonts w:cstheme="minorHAnsi"/>
        </w:rPr>
      </w:pPr>
    </w:p>
    <w:p w14:paraId="1F0D7ACB" w14:textId="77777777" w:rsidR="00585FD9" w:rsidRPr="00585FD9" w:rsidRDefault="00585FD9" w:rsidP="00101526">
      <w:pPr>
        <w:jc w:val="both"/>
      </w:pPr>
      <w:r>
        <w:t xml:space="preserve">Haringey Local Safeguarding Children Board (2008). </w:t>
      </w:r>
      <w:r w:rsidRPr="00585FD9">
        <w:rPr>
          <w:i/>
          <w:iCs/>
        </w:rPr>
        <w:t xml:space="preserve">Serious case review: </w:t>
      </w:r>
      <w:r>
        <w:rPr>
          <w:i/>
          <w:iCs/>
        </w:rPr>
        <w:t>‘</w:t>
      </w:r>
      <w:r w:rsidRPr="00585FD9">
        <w:rPr>
          <w:i/>
          <w:iCs/>
        </w:rPr>
        <w:t>Child A</w:t>
      </w:r>
      <w:r>
        <w:rPr>
          <w:i/>
          <w:iCs/>
        </w:rPr>
        <w:t xml:space="preserve">’. </w:t>
      </w:r>
      <w:r>
        <w:t>London: Department for Education/HLSCB, Haringey</w:t>
      </w:r>
    </w:p>
    <w:p w14:paraId="632C799D" w14:textId="77777777" w:rsidR="00585FD9" w:rsidRDefault="00585FD9" w:rsidP="00101526">
      <w:pPr>
        <w:jc w:val="both"/>
      </w:pPr>
    </w:p>
    <w:p w14:paraId="3C425AE5" w14:textId="77777777" w:rsidR="00BB08CA" w:rsidRDefault="00BB08CA" w:rsidP="00101526">
      <w:pPr>
        <w:jc w:val="both"/>
      </w:pPr>
      <w:proofErr w:type="spellStart"/>
      <w:r>
        <w:t>Hartmannn</w:t>
      </w:r>
      <w:proofErr w:type="spellEnd"/>
      <w:r>
        <w:t xml:space="preserve">, D., Bicheno, J., </w:t>
      </w:r>
      <w:proofErr w:type="spellStart"/>
      <w:r>
        <w:t>Emwanu</w:t>
      </w:r>
      <w:proofErr w:type="spellEnd"/>
      <w:r>
        <w:t xml:space="preserve">, B., and </w:t>
      </w:r>
      <w:proofErr w:type="spellStart"/>
      <w:r>
        <w:t>Hattingh</w:t>
      </w:r>
      <w:proofErr w:type="spellEnd"/>
      <w:r>
        <w:t xml:space="preserve">, T.S. (2021). Understanding system failure in healthcare – a mental model for demand management. </w:t>
      </w:r>
      <w:r w:rsidR="004B7E67" w:rsidRPr="004B7E67">
        <w:rPr>
          <w:i/>
          <w:iCs/>
        </w:rPr>
        <w:t>South African Journal of Industrial Engineering</w:t>
      </w:r>
      <w:r w:rsidR="004B7E67">
        <w:t>, 32 (2): 17 - 36.</w:t>
      </w:r>
    </w:p>
    <w:p w14:paraId="58A5DB61" w14:textId="77777777" w:rsidR="00BB08CA" w:rsidRDefault="00BB08CA" w:rsidP="00101526">
      <w:pPr>
        <w:jc w:val="both"/>
      </w:pPr>
    </w:p>
    <w:p w14:paraId="6DDE106C" w14:textId="77777777" w:rsidR="002E6618" w:rsidRDefault="002E6618" w:rsidP="00101526">
      <w:pPr>
        <w:jc w:val="both"/>
      </w:pPr>
      <w:r>
        <w:t xml:space="preserve">HM Government (2018). </w:t>
      </w:r>
      <w:r w:rsidRPr="002E6618">
        <w:rPr>
          <w:i/>
          <w:iCs/>
        </w:rPr>
        <w:t>Working Together to Safeguard Children. Statutory framework – legislation relevant to safeguarding and promoting the welfare of children</w:t>
      </w:r>
      <w:r>
        <w:t xml:space="preserve">. London: National Archives. </w:t>
      </w:r>
    </w:p>
    <w:p w14:paraId="7B28E68F" w14:textId="77777777" w:rsidR="002E6618" w:rsidRDefault="002E6618" w:rsidP="00101526">
      <w:pPr>
        <w:jc w:val="both"/>
      </w:pPr>
    </w:p>
    <w:p w14:paraId="6B21E85E" w14:textId="77777777" w:rsidR="00264466" w:rsidRPr="00264466" w:rsidRDefault="00264466" w:rsidP="00264466">
      <w:pPr>
        <w:jc w:val="both"/>
        <w:rPr>
          <w:rFonts w:cstheme="minorHAnsi"/>
          <w:color w:val="222222"/>
          <w:shd w:val="clear" w:color="auto" w:fill="FFFFFF"/>
        </w:rPr>
      </w:pPr>
      <w:proofErr w:type="spellStart"/>
      <w:r w:rsidRPr="00264466">
        <w:rPr>
          <w:rFonts w:cstheme="minorHAnsi"/>
          <w:color w:val="222222"/>
          <w:shd w:val="clear" w:color="auto" w:fill="FFFFFF"/>
        </w:rPr>
        <w:t>Lüönd</w:t>
      </w:r>
      <w:proofErr w:type="spellEnd"/>
      <w:r w:rsidRPr="00264466">
        <w:rPr>
          <w:rFonts w:cstheme="minorHAnsi"/>
          <w:color w:val="222222"/>
          <w:shd w:val="clear" w:color="auto" w:fill="FFFFFF"/>
        </w:rPr>
        <w:t xml:space="preserve">, A. M., </w:t>
      </w:r>
      <w:proofErr w:type="spellStart"/>
      <w:r w:rsidRPr="00264466">
        <w:rPr>
          <w:rFonts w:cstheme="minorHAnsi"/>
          <w:color w:val="222222"/>
          <w:shd w:val="clear" w:color="auto" w:fill="FFFFFF"/>
        </w:rPr>
        <w:t>Wolfensberger</w:t>
      </w:r>
      <w:proofErr w:type="spellEnd"/>
      <w:r w:rsidRPr="00264466">
        <w:rPr>
          <w:rFonts w:cstheme="minorHAnsi"/>
          <w:color w:val="222222"/>
          <w:shd w:val="clear" w:color="auto" w:fill="FFFFFF"/>
        </w:rPr>
        <w:t xml:space="preserve">, L., </w:t>
      </w:r>
      <w:proofErr w:type="spellStart"/>
      <w:r w:rsidRPr="00264466">
        <w:rPr>
          <w:rFonts w:cstheme="minorHAnsi"/>
          <w:color w:val="222222"/>
          <w:shd w:val="clear" w:color="auto" w:fill="FFFFFF"/>
        </w:rPr>
        <w:t>Wingenbach</w:t>
      </w:r>
      <w:proofErr w:type="spellEnd"/>
      <w:r w:rsidRPr="00264466">
        <w:rPr>
          <w:rFonts w:cstheme="minorHAnsi"/>
          <w:color w:val="222222"/>
          <w:shd w:val="clear" w:color="auto" w:fill="FFFFFF"/>
        </w:rPr>
        <w:t xml:space="preserve">, T. S., Schnyder, U., </w:t>
      </w:r>
      <w:proofErr w:type="spellStart"/>
      <w:r w:rsidRPr="00264466">
        <w:rPr>
          <w:rFonts w:cstheme="minorHAnsi"/>
          <w:color w:val="222222"/>
          <w:shd w:val="clear" w:color="auto" w:fill="FFFFFF"/>
        </w:rPr>
        <w:t>Weilenmann</w:t>
      </w:r>
      <w:proofErr w:type="spellEnd"/>
      <w:r w:rsidRPr="00264466">
        <w:rPr>
          <w:rFonts w:cstheme="minorHAnsi"/>
          <w:color w:val="222222"/>
          <w:shd w:val="clear" w:color="auto" w:fill="FFFFFF"/>
        </w:rPr>
        <w:t xml:space="preserve">, S., &amp; </w:t>
      </w:r>
      <w:proofErr w:type="spellStart"/>
      <w:r w:rsidRPr="00264466">
        <w:rPr>
          <w:rFonts w:cstheme="minorHAnsi"/>
          <w:color w:val="222222"/>
          <w:shd w:val="clear" w:color="auto" w:fill="FFFFFF"/>
        </w:rPr>
        <w:t>Pfaltz</w:t>
      </w:r>
      <w:proofErr w:type="spellEnd"/>
      <w:r w:rsidRPr="00264466">
        <w:rPr>
          <w:rFonts w:cstheme="minorHAnsi"/>
          <w:color w:val="222222"/>
          <w:shd w:val="clear" w:color="auto" w:fill="FFFFFF"/>
        </w:rPr>
        <w:t>, M. C. (2022). Don’t get too close to me: depressed and non-depressed survivors of child maltreatment prefer larger comfortable interpersonal distances towards strangers.</w:t>
      </w:r>
      <w:r w:rsidRPr="00264466">
        <w:rPr>
          <w:rStyle w:val="apple-converted-space"/>
          <w:rFonts w:cstheme="minorHAnsi"/>
          <w:color w:val="222222"/>
          <w:shd w:val="clear" w:color="auto" w:fill="FFFFFF"/>
        </w:rPr>
        <w:t> </w:t>
      </w:r>
      <w:r w:rsidRPr="00264466">
        <w:rPr>
          <w:rFonts w:cstheme="minorHAnsi"/>
          <w:i/>
          <w:iCs/>
          <w:color w:val="222222"/>
        </w:rPr>
        <w:t xml:space="preserve">European Journal of </w:t>
      </w:r>
      <w:proofErr w:type="spellStart"/>
      <w:r w:rsidRPr="00264466">
        <w:rPr>
          <w:rFonts w:cstheme="minorHAnsi"/>
          <w:i/>
          <w:iCs/>
          <w:color w:val="222222"/>
        </w:rPr>
        <w:t>Psychotraumatology</w:t>
      </w:r>
      <w:proofErr w:type="spellEnd"/>
      <w:r w:rsidRPr="00264466">
        <w:rPr>
          <w:rFonts w:cstheme="minorHAnsi"/>
          <w:color w:val="222222"/>
          <w:shd w:val="clear" w:color="auto" w:fill="FFFFFF"/>
        </w:rPr>
        <w:t>,</w:t>
      </w:r>
      <w:r w:rsidRPr="00264466">
        <w:rPr>
          <w:rStyle w:val="apple-converted-space"/>
          <w:rFonts w:cstheme="minorHAnsi"/>
          <w:color w:val="222222"/>
          <w:shd w:val="clear" w:color="auto" w:fill="FFFFFF"/>
        </w:rPr>
        <w:t> </w:t>
      </w:r>
      <w:r w:rsidRPr="00264466">
        <w:rPr>
          <w:rFonts w:cstheme="minorHAnsi"/>
          <w:i/>
          <w:iCs/>
          <w:color w:val="222222"/>
        </w:rPr>
        <w:t>13</w:t>
      </w:r>
      <w:r w:rsidRPr="00264466">
        <w:rPr>
          <w:rFonts w:cstheme="minorHAnsi"/>
          <w:color w:val="222222"/>
          <w:shd w:val="clear" w:color="auto" w:fill="FFFFFF"/>
        </w:rPr>
        <w:t>(1), 2066457.</w:t>
      </w:r>
    </w:p>
    <w:p w14:paraId="0EDC580F" w14:textId="77777777" w:rsidR="00264466" w:rsidRDefault="00264466" w:rsidP="00101526">
      <w:pPr>
        <w:jc w:val="both"/>
      </w:pPr>
    </w:p>
    <w:p w14:paraId="362AFF4E" w14:textId="77777777" w:rsidR="00FD140C" w:rsidRDefault="00FD140C" w:rsidP="00101526">
      <w:pPr>
        <w:jc w:val="both"/>
      </w:pPr>
      <w:proofErr w:type="spellStart"/>
      <w:r>
        <w:t>MacAlister</w:t>
      </w:r>
      <w:proofErr w:type="spellEnd"/>
      <w:r>
        <w:t xml:space="preserve">, J. (2022). </w:t>
      </w:r>
      <w:r w:rsidRPr="00FD140C">
        <w:rPr>
          <w:i/>
          <w:iCs/>
        </w:rPr>
        <w:t>The independent review of children’s social care: Final report.</w:t>
      </w:r>
      <w:r>
        <w:t xml:space="preserve"> </w:t>
      </w:r>
      <w:r w:rsidR="00E30E2A">
        <w:t>Available at:</w:t>
      </w:r>
      <w:hyperlink r:id="rId7" w:history="1">
        <w:r w:rsidR="00E30E2A" w:rsidRPr="0011529C">
          <w:rPr>
            <w:rStyle w:val="Hyperlink"/>
          </w:rPr>
          <w:t>https://childrenssocialcare.independent-review.uk/wp-content/uploads/2022/05/The-independent-review-of-childrens-social-care-Final-report.pdf</w:t>
        </w:r>
      </w:hyperlink>
    </w:p>
    <w:p w14:paraId="2A913498" w14:textId="77777777" w:rsidR="00FD140C" w:rsidRDefault="00FD140C" w:rsidP="00101526">
      <w:pPr>
        <w:jc w:val="both"/>
      </w:pPr>
    </w:p>
    <w:p w14:paraId="1F9B7C38" w14:textId="77777777" w:rsidR="0016517D" w:rsidRDefault="00101526" w:rsidP="00101526">
      <w:pPr>
        <w:jc w:val="both"/>
      </w:pPr>
      <w:proofErr w:type="spellStart"/>
      <w:r>
        <w:t>McNicoll</w:t>
      </w:r>
      <w:proofErr w:type="spellEnd"/>
      <w:r>
        <w:t xml:space="preserve">, A. (2017). Baby P: Social work’s story. Community Care Magazine. Online resource available at: </w:t>
      </w:r>
    </w:p>
    <w:p w14:paraId="2AF93162" w14:textId="77777777" w:rsidR="00264466" w:rsidRDefault="00264466" w:rsidP="00101526">
      <w:pPr>
        <w:jc w:val="both"/>
      </w:pPr>
    </w:p>
    <w:p w14:paraId="34E8498E" w14:textId="77777777" w:rsidR="00264466" w:rsidRDefault="00264466" w:rsidP="00101526">
      <w:pPr>
        <w:jc w:val="both"/>
        <w:rPr>
          <w:rFonts w:ascii="Arial" w:hAnsi="Arial" w:cs="Arial"/>
          <w:color w:val="222222"/>
          <w:sz w:val="20"/>
          <w:szCs w:val="20"/>
          <w:shd w:val="clear" w:color="auto" w:fill="FFFFFF"/>
        </w:rPr>
      </w:pPr>
      <w:r w:rsidRPr="00264466">
        <w:rPr>
          <w:rFonts w:cstheme="minorHAnsi"/>
          <w:color w:val="222222"/>
          <w:shd w:val="clear" w:color="auto" w:fill="FFFFFF"/>
        </w:rPr>
        <w:t>Munro, E. (2011). </w:t>
      </w:r>
      <w:r w:rsidRPr="00264466">
        <w:rPr>
          <w:rFonts w:cstheme="minorHAnsi"/>
          <w:i/>
          <w:iCs/>
          <w:color w:val="222222"/>
          <w:shd w:val="clear" w:color="auto" w:fill="FFFFFF"/>
        </w:rPr>
        <w:t>The Munro review of child protection: Final report, a child-centred system</w:t>
      </w:r>
      <w:r w:rsidRPr="00264466">
        <w:rPr>
          <w:rFonts w:cstheme="minorHAnsi"/>
          <w:color w:val="222222"/>
          <w:shd w:val="clear" w:color="auto" w:fill="FFFFFF"/>
        </w:rPr>
        <w:t> (Vol. 8062). London: The Stationery Office</w:t>
      </w:r>
      <w:r>
        <w:rPr>
          <w:rFonts w:ascii="Arial" w:hAnsi="Arial" w:cs="Arial"/>
          <w:color w:val="222222"/>
          <w:sz w:val="20"/>
          <w:szCs w:val="20"/>
          <w:shd w:val="clear" w:color="auto" w:fill="FFFFFF"/>
        </w:rPr>
        <w:t>.</w:t>
      </w:r>
    </w:p>
    <w:p w14:paraId="4E5A94F7" w14:textId="77777777" w:rsidR="00264466" w:rsidRDefault="00264466" w:rsidP="00101526">
      <w:pPr>
        <w:jc w:val="both"/>
        <w:rPr>
          <w:rFonts w:ascii="Arial" w:hAnsi="Arial" w:cs="Arial"/>
          <w:color w:val="222222"/>
          <w:sz w:val="20"/>
          <w:szCs w:val="20"/>
          <w:shd w:val="clear" w:color="auto" w:fill="FFFFFF"/>
        </w:rPr>
      </w:pPr>
    </w:p>
    <w:p w14:paraId="0411B368" w14:textId="77777777" w:rsidR="00264466" w:rsidRPr="00264466" w:rsidRDefault="00264466" w:rsidP="00264466">
      <w:pPr>
        <w:jc w:val="both"/>
        <w:rPr>
          <w:rFonts w:cstheme="minorHAnsi"/>
        </w:rPr>
      </w:pPr>
      <w:r w:rsidRPr="00264466">
        <w:rPr>
          <w:rFonts w:cstheme="minorHAnsi"/>
          <w:color w:val="222222"/>
          <w:shd w:val="clear" w:color="auto" w:fill="FFFFFF"/>
        </w:rPr>
        <w:t xml:space="preserve">Murphy, C. (2022). ‘I don’t want my face on the front page of The Sun’: the ‘Baby P </w:t>
      </w:r>
      <w:proofErr w:type="spellStart"/>
      <w:r w:rsidRPr="00264466">
        <w:rPr>
          <w:rFonts w:cstheme="minorHAnsi"/>
          <w:color w:val="222222"/>
          <w:shd w:val="clear" w:color="auto" w:fill="FFFFFF"/>
        </w:rPr>
        <w:t>effect’as</w:t>
      </w:r>
      <w:proofErr w:type="spellEnd"/>
      <w:r w:rsidRPr="00264466">
        <w:rPr>
          <w:rFonts w:cstheme="minorHAnsi"/>
          <w:color w:val="222222"/>
          <w:shd w:val="clear" w:color="auto" w:fill="FFFFFF"/>
        </w:rPr>
        <w:t xml:space="preserve"> a barrier to social worker discretion. </w:t>
      </w:r>
      <w:r w:rsidRPr="00264466">
        <w:rPr>
          <w:rFonts w:cstheme="minorHAnsi"/>
          <w:i/>
          <w:iCs/>
          <w:color w:val="222222"/>
          <w:shd w:val="clear" w:color="auto" w:fill="FFFFFF"/>
        </w:rPr>
        <w:t>Journal of Children's Services</w:t>
      </w:r>
      <w:r w:rsidRPr="00264466">
        <w:rPr>
          <w:rFonts w:cstheme="minorHAnsi"/>
          <w:color w:val="222222"/>
          <w:shd w:val="clear" w:color="auto" w:fill="FFFFFF"/>
        </w:rPr>
        <w:t>.</w:t>
      </w:r>
    </w:p>
    <w:p w14:paraId="361C50EF" w14:textId="77777777" w:rsidR="00264466" w:rsidRDefault="00264466" w:rsidP="00101526">
      <w:pPr>
        <w:jc w:val="both"/>
      </w:pPr>
    </w:p>
    <w:p w14:paraId="7759A47B" w14:textId="77777777" w:rsidR="0016517D" w:rsidRDefault="0016517D" w:rsidP="00101526">
      <w:pPr>
        <w:jc w:val="both"/>
      </w:pPr>
      <w:r>
        <w:t xml:space="preserve">National Society for Prevention of Cruelty to Children (NSPCC) (2022). Half a million children suffer abuse in the UK every year. Online resource available at: </w:t>
      </w:r>
      <w:hyperlink r:id="rId8" w:history="1">
        <w:r w:rsidRPr="00965426">
          <w:rPr>
            <w:rStyle w:val="Hyperlink"/>
          </w:rPr>
          <w:t>https://www.nspcc.org.uk/about-us/news-opinion/2022/childhood-day/</w:t>
        </w:r>
      </w:hyperlink>
    </w:p>
    <w:p w14:paraId="450803B6" w14:textId="77777777" w:rsidR="0016517D" w:rsidRDefault="0016517D" w:rsidP="00101526">
      <w:pPr>
        <w:jc w:val="both"/>
      </w:pPr>
    </w:p>
    <w:p w14:paraId="5F832EDD" w14:textId="77777777" w:rsidR="0016517D" w:rsidRDefault="0016517D" w:rsidP="002E6618">
      <w:r>
        <w:t xml:space="preserve">Office for National Statistics (2020). </w:t>
      </w:r>
      <w:r w:rsidRPr="0016517D">
        <w:rPr>
          <w:i/>
          <w:iCs/>
        </w:rPr>
        <w:t>Child abuse in England and Wales: January 2020</w:t>
      </w:r>
      <w:r>
        <w:rPr>
          <w:i/>
          <w:iCs/>
        </w:rPr>
        <w:t xml:space="preserve">. </w:t>
      </w:r>
      <w:r w:rsidR="002E6618" w:rsidRPr="002E6618">
        <w:t xml:space="preserve">ONS </w:t>
      </w:r>
      <w:r>
        <w:t>Statistical Bulletin</w:t>
      </w:r>
      <w:r w:rsidR="002E6618">
        <w:t xml:space="preserve">. </w:t>
      </w:r>
      <w:r>
        <w:t>Available</w:t>
      </w:r>
      <w:r w:rsidR="002E6618">
        <w:t xml:space="preserve"> at: </w:t>
      </w:r>
      <w:hyperlink r:id="rId9" w:history="1">
        <w:r w:rsidR="002E6618" w:rsidRPr="00965426">
          <w:rPr>
            <w:rStyle w:val="Hyperlink"/>
          </w:rPr>
          <w:t>https://www.ons.gov.uk/peoplepopulationandcommunity/crimeandjustice/bulletins/childabuseinenglandandwales/january2020</w:t>
        </w:r>
      </w:hyperlink>
    </w:p>
    <w:p w14:paraId="46A9B4A5" w14:textId="77777777" w:rsidR="0016517D" w:rsidRDefault="0016517D" w:rsidP="00101526">
      <w:pPr>
        <w:jc w:val="both"/>
      </w:pPr>
    </w:p>
    <w:p w14:paraId="7783E80B" w14:textId="77777777" w:rsidR="003E0197" w:rsidRDefault="00101526" w:rsidP="00101526">
      <w:pPr>
        <w:jc w:val="both"/>
      </w:pPr>
      <w:r>
        <w:t xml:space="preserve">Webb, C., </w:t>
      </w:r>
      <w:proofErr w:type="spellStart"/>
      <w:r>
        <w:t>Bywaters</w:t>
      </w:r>
      <w:proofErr w:type="spellEnd"/>
      <w:r>
        <w:t xml:space="preserve">, P., Elliot, M., &amp; Scourfield, J. (2021). Income inequality and child welfare interventions in England and Wales. </w:t>
      </w:r>
      <w:r w:rsidRPr="00101526">
        <w:rPr>
          <w:i/>
          <w:iCs/>
        </w:rPr>
        <w:t>Journal of Epidemiology and Community Health</w:t>
      </w:r>
      <w:r>
        <w:t>, 75, pp.251-257.</w:t>
      </w:r>
    </w:p>
    <w:p w14:paraId="1A69E07D" w14:textId="77777777" w:rsidR="00D1389A" w:rsidRPr="00D1389A" w:rsidRDefault="00D1389A" w:rsidP="00D1389A"/>
    <w:sectPr w:rsidR="00D1389A" w:rsidRPr="00D1389A" w:rsidSect="00B558D6">
      <w:footerReference w:type="even" r:id="rId10"/>
      <w:footerReference w:type="default" r:id="rId11"/>
      <w:pgSz w:w="11906" w:h="16838"/>
      <w:pgMar w:top="1412"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0D91E" w14:textId="77777777" w:rsidR="00631390" w:rsidRDefault="00631390" w:rsidP="00467E19">
      <w:r>
        <w:separator/>
      </w:r>
    </w:p>
  </w:endnote>
  <w:endnote w:type="continuationSeparator" w:id="0">
    <w:p w14:paraId="203BF9C5" w14:textId="77777777" w:rsidR="00631390" w:rsidRDefault="00631390" w:rsidP="0046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7904126"/>
      <w:docPartObj>
        <w:docPartGallery w:val="Page Numbers (Bottom of Page)"/>
        <w:docPartUnique/>
      </w:docPartObj>
    </w:sdtPr>
    <w:sdtEndPr>
      <w:rPr>
        <w:rStyle w:val="PageNumber"/>
      </w:rPr>
    </w:sdtEndPr>
    <w:sdtContent>
      <w:p w14:paraId="6AD5E3DD" w14:textId="77777777" w:rsidR="00436CD4" w:rsidRDefault="00436CD4" w:rsidP="009654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9387ED" w14:textId="77777777" w:rsidR="00436CD4" w:rsidRDefault="00436C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2775822"/>
      <w:docPartObj>
        <w:docPartGallery w:val="Page Numbers (Bottom of Page)"/>
        <w:docPartUnique/>
      </w:docPartObj>
    </w:sdtPr>
    <w:sdtEndPr>
      <w:rPr>
        <w:rStyle w:val="PageNumber"/>
      </w:rPr>
    </w:sdtEndPr>
    <w:sdtContent>
      <w:p w14:paraId="3A92168D" w14:textId="77777777" w:rsidR="00436CD4" w:rsidRDefault="00436CD4" w:rsidP="009654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177EE46" w14:textId="77777777" w:rsidR="00436CD4" w:rsidRDefault="00436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C546D" w14:textId="77777777" w:rsidR="00631390" w:rsidRDefault="00631390" w:rsidP="00467E19">
      <w:r>
        <w:separator/>
      </w:r>
    </w:p>
  </w:footnote>
  <w:footnote w:type="continuationSeparator" w:id="0">
    <w:p w14:paraId="527CCDE7" w14:textId="77777777" w:rsidR="00631390" w:rsidRDefault="00631390" w:rsidP="00467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20F"/>
    <w:multiLevelType w:val="multilevel"/>
    <w:tmpl w:val="D4A42A3A"/>
    <w:lvl w:ilvl="0">
      <w:start w:val="20"/>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054E2"/>
    <w:multiLevelType w:val="hybridMultilevel"/>
    <w:tmpl w:val="481CB90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294133">
    <w:abstractNumId w:val="1"/>
  </w:num>
  <w:num w:numId="2" w16cid:durableId="155734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A9"/>
    <w:rsid w:val="000056BC"/>
    <w:rsid w:val="000267A7"/>
    <w:rsid w:val="00032D76"/>
    <w:rsid w:val="00043F88"/>
    <w:rsid w:val="00046210"/>
    <w:rsid w:val="00075477"/>
    <w:rsid w:val="0009410C"/>
    <w:rsid w:val="000B01F8"/>
    <w:rsid w:val="000B4A01"/>
    <w:rsid w:val="00101526"/>
    <w:rsid w:val="0011128F"/>
    <w:rsid w:val="00114E23"/>
    <w:rsid w:val="00116585"/>
    <w:rsid w:val="00133E0B"/>
    <w:rsid w:val="00147716"/>
    <w:rsid w:val="001534B8"/>
    <w:rsid w:val="00157E50"/>
    <w:rsid w:val="0016517D"/>
    <w:rsid w:val="00174992"/>
    <w:rsid w:val="00190D9D"/>
    <w:rsid w:val="001932D0"/>
    <w:rsid w:val="001B1E19"/>
    <w:rsid w:val="001C00CB"/>
    <w:rsid w:val="001C4D2E"/>
    <w:rsid w:val="001D5A52"/>
    <w:rsid w:val="001E7B69"/>
    <w:rsid w:val="00211F61"/>
    <w:rsid w:val="0022046E"/>
    <w:rsid w:val="00241363"/>
    <w:rsid w:val="00255ACE"/>
    <w:rsid w:val="00264466"/>
    <w:rsid w:val="0026670E"/>
    <w:rsid w:val="00267C75"/>
    <w:rsid w:val="002868A6"/>
    <w:rsid w:val="0028797C"/>
    <w:rsid w:val="002A318B"/>
    <w:rsid w:val="002E4B64"/>
    <w:rsid w:val="002E6618"/>
    <w:rsid w:val="00307559"/>
    <w:rsid w:val="0031512D"/>
    <w:rsid w:val="00344C6D"/>
    <w:rsid w:val="00345177"/>
    <w:rsid w:val="00367714"/>
    <w:rsid w:val="003727DE"/>
    <w:rsid w:val="00390F5E"/>
    <w:rsid w:val="00392BAF"/>
    <w:rsid w:val="00395FCC"/>
    <w:rsid w:val="003E0197"/>
    <w:rsid w:val="003E326A"/>
    <w:rsid w:val="003F1B02"/>
    <w:rsid w:val="003F3655"/>
    <w:rsid w:val="004016DA"/>
    <w:rsid w:val="00431060"/>
    <w:rsid w:val="00432DAD"/>
    <w:rsid w:val="00436CD4"/>
    <w:rsid w:val="0044539C"/>
    <w:rsid w:val="00465250"/>
    <w:rsid w:val="00467A98"/>
    <w:rsid w:val="00467E19"/>
    <w:rsid w:val="004743C2"/>
    <w:rsid w:val="0049228F"/>
    <w:rsid w:val="004B0414"/>
    <w:rsid w:val="004B2CC3"/>
    <w:rsid w:val="004B7E67"/>
    <w:rsid w:val="004C2203"/>
    <w:rsid w:val="004D07B1"/>
    <w:rsid w:val="004E3D13"/>
    <w:rsid w:val="004F1023"/>
    <w:rsid w:val="0050724B"/>
    <w:rsid w:val="00525CA7"/>
    <w:rsid w:val="00526BB5"/>
    <w:rsid w:val="0052782E"/>
    <w:rsid w:val="0054784A"/>
    <w:rsid w:val="005663A4"/>
    <w:rsid w:val="00577F67"/>
    <w:rsid w:val="00585FD9"/>
    <w:rsid w:val="005939DC"/>
    <w:rsid w:val="005976EC"/>
    <w:rsid w:val="005A1343"/>
    <w:rsid w:val="005A6BC3"/>
    <w:rsid w:val="005C15A7"/>
    <w:rsid w:val="005C5789"/>
    <w:rsid w:val="005E7927"/>
    <w:rsid w:val="005F49A1"/>
    <w:rsid w:val="00600EBE"/>
    <w:rsid w:val="00601886"/>
    <w:rsid w:val="00606DB3"/>
    <w:rsid w:val="00631390"/>
    <w:rsid w:val="00632257"/>
    <w:rsid w:val="00640130"/>
    <w:rsid w:val="00651C8D"/>
    <w:rsid w:val="00652CA8"/>
    <w:rsid w:val="0065501F"/>
    <w:rsid w:val="0065561F"/>
    <w:rsid w:val="00660AB2"/>
    <w:rsid w:val="00692E28"/>
    <w:rsid w:val="006A6060"/>
    <w:rsid w:val="006F7838"/>
    <w:rsid w:val="006F7DF6"/>
    <w:rsid w:val="00701DCF"/>
    <w:rsid w:val="0070790B"/>
    <w:rsid w:val="00707A38"/>
    <w:rsid w:val="00713AA1"/>
    <w:rsid w:val="00727C92"/>
    <w:rsid w:val="00781B88"/>
    <w:rsid w:val="0079108F"/>
    <w:rsid w:val="007A2C8A"/>
    <w:rsid w:val="007A3F4B"/>
    <w:rsid w:val="007A7468"/>
    <w:rsid w:val="007C3E23"/>
    <w:rsid w:val="008029EB"/>
    <w:rsid w:val="00806C08"/>
    <w:rsid w:val="00813E6C"/>
    <w:rsid w:val="00817F96"/>
    <w:rsid w:val="008240A9"/>
    <w:rsid w:val="00826CEE"/>
    <w:rsid w:val="00835305"/>
    <w:rsid w:val="00865842"/>
    <w:rsid w:val="0087006F"/>
    <w:rsid w:val="008700EE"/>
    <w:rsid w:val="00872C77"/>
    <w:rsid w:val="00887EE8"/>
    <w:rsid w:val="008A63C1"/>
    <w:rsid w:val="008C1CCD"/>
    <w:rsid w:val="008D6BF6"/>
    <w:rsid w:val="008E4648"/>
    <w:rsid w:val="008E5E1F"/>
    <w:rsid w:val="008F75F7"/>
    <w:rsid w:val="009006CE"/>
    <w:rsid w:val="00902BBD"/>
    <w:rsid w:val="00935257"/>
    <w:rsid w:val="009409AF"/>
    <w:rsid w:val="00942159"/>
    <w:rsid w:val="0097126B"/>
    <w:rsid w:val="00975ED0"/>
    <w:rsid w:val="00984AB4"/>
    <w:rsid w:val="00992E2C"/>
    <w:rsid w:val="009960B5"/>
    <w:rsid w:val="009969FE"/>
    <w:rsid w:val="009C41A3"/>
    <w:rsid w:val="009C5812"/>
    <w:rsid w:val="009E75BF"/>
    <w:rsid w:val="00A13B2B"/>
    <w:rsid w:val="00A14673"/>
    <w:rsid w:val="00A225A1"/>
    <w:rsid w:val="00A238EB"/>
    <w:rsid w:val="00A52DC9"/>
    <w:rsid w:val="00A7181D"/>
    <w:rsid w:val="00A83BDB"/>
    <w:rsid w:val="00A904C0"/>
    <w:rsid w:val="00A9466C"/>
    <w:rsid w:val="00A96348"/>
    <w:rsid w:val="00AB1F82"/>
    <w:rsid w:val="00AB6F15"/>
    <w:rsid w:val="00AF37C7"/>
    <w:rsid w:val="00B20474"/>
    <w:rsid w:val="00B40590"/>
    <w:rsid w:val="00B449AF"/>
    <w:rsid w:val="00B530DB"/>
    <w:rsid w:val="00B558D6"/>
    <w:rsid w:val="00B61F84"/>
    <w:rsid w:val="00B81AB4"/>
    <w:rsid w:val="00B94D9F"/>
    <w:rsid w:val="00B971BD"/>
    <w:rsid w:val="00BB08CA"/>
    <w:rsid w:val="00BD01A1"/>
    <w:rsid w:val="00BE4671"/>
    <w:rsid w:val="00C14A3E"/>
    <w:rsid w:val="00C17405"/>
    <w:rsid w:val="00C35998"/>
    <w:rsid w:val="00C50CE7"/>
    <w:rsid w:val="00C5387B"/>
    <w:rsid w:val="00C62A3E"/>
    <w:rsid w:val="00C74D02"/>
    <w:rsid w:val="00C8507A"/>
    <w:rsid w:val="00CB6145"/>
    <w:rsid w:val="00CD6F5F"/>
    <w:rsid w:val="00CE5BB0"/>
    <w:rsid w:val="00CF1BF7"/>
    <w:rsid w:val="00D12BB3"/>
    <w:rsid w:val="00D1389A"/>
    <w:rsid w:val="00D20F3F"/>
    <w:rsid w:val="00D213FC"/>
    <w:rsid w:val="00D32041"/>
    <w:rsid w:val="00D40507"/>
    <w:rsid w:val="00D44DDD"/>
    <w:rsid w:val="00D50C77"/>
    <w:rsid w:val="00D66A2F"/>
    <w:rsid w:val="00D83597"/>
    <w:rsid w:val="00DA11D3"/>
    <w:rsid w:val="00DB0A8B"/>
    <w:rsid w:val="00DE0868"/>
    <w:rsid w:val="00DE3F09"/>
    <w:rsid w:val="00DF1177"/>
    <w:rsid w:val="00E03321"/>
    <w:rsid w:val="00E10B0C"/>
    <w:rsid w:val="00E209F1"/>
    <w:rsid w:val="00E211CA"/>
    <w:rsid w:val="00E26379"/>
    <w:rsid w:val="00E30E2A"/>
    <w:rsid w:val="00E46452"/>
    <w:rsid w:val="00E65F7A"/>
    <w:rsid w:val="00E67985"/>
    <w:rsid w:val="00E706A4"/>
    <w:rsid w:val="00E94D7A"/>
    <w:rsid w:val="00EA13CF"/>
    <w:rsid w:val="00EB3AF5"/>
    <w:rsid w:val="00EC49AE"/>
    <w:rsid w:val="00EC5878"/>
    <w:rsid w:val="00EC5B90"/>
    <w:rsid w:val="00EF21E9"/>
    <w:rsid w:val="00F157DC"/>
    <w:rsid w:val="00F51334"/>
    <w:rsid w:val="00F55240"/>
    <w:rsid w:val="00F62B22"/>
    <w:rsid w:val="00F705E0"/>
    <w:rsid w:val="00F71881"/>
    <w:rsid w:val="00FA0CF2"/>
    <w:rsid w:val="00FC3F2B"/>
    <w:rsid w:val="00FD1152"/>
    <w:rsid w:val="00FD140C"/>
    <w:rsid w:val="00FD32BD"/>
    <w:rsid w:val="00FD7D3A"/>
    <w:rsid w:val="00FE1176"/>
    <w:rsid w:val="00FE5614"/>
    <w:rsid w:val="00FE5898"/>
    <w:rsid w:val="00FF18B9"/>
    <w:rsid w:val="00FF4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4B728A"/>
  <w14:defaultImageDpi w14:val="32767"/>
  <w15:chartTrackingRefBased/>
  <w15:docId w15:val="{2E51999A-6BA4-4247-B650-C4BC3AEE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A1"/>
    <w:pPr>
      <w:keepNext/>
      <w:keepLines/>
      <w:spacing w:before="240"/>
      <w:jc w:val="center"/>
      <w:outlineLvl w:val="0"/>
    </w:pPr>
    <w:rPr>
      <w:rFonts w:ascii="Times New Roman" w:eastAsiaTheme="majorEastAsia" w:hAnsi="Times New Roman" w:cstheme="majorBidi"/>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next w:val="Normal"/>
    <w:autoRedefine/>
    <w:qFormat/>
    <w:rsid w:val="009E75BF"/>
    <w:pPr>
      <w:spacing w:after="200"/>
    </w:pPr>
    <w:rPr>
      <w:rFonts w:ascii="Garamond" w:eastAsiaTheme="majorEastAsia" w:hAnsi="Garamond" w:cstheme="majorBidi"/>
      <w:szCs w:val="22"/>
    </w:rPr>
  </w:style>
  <w:style w:type="paragraph" w:customStyle="1" w:styleId="APAStyle">
    <w:name w:val="APA Style"/>
    <w:autoRedefine/>
    <w:qFormat/>
    <w:rsid w:val="00A225A1"/>
    <w:pPr>
      <w:spacing w:after="200" w:line="360" w:lineRule="auto"/>
    </w:pPr>
    <w:rPr>
      <w:rFonts w:ascii="Times New Roman" w:eastAsiaTheme="majorEastAsia" w:hAnsi="Times New Roman" w:cstheme="majorBidi"/>
      <w:szCs w:val="22"/>
    </w:rPr>
  </w:style>
  <w:style w:type="character" w:customStyle="1" w:styleId="Heading1Char">
    <w:name w:val="Heading 1 Char"/>
    <w:basedOn w:val="DefaultParagraphFont"/>
    <w:link w:val="Heading1"/>
    <w:uiPriority w:val="9"/>
    <w:rsid w:val="00A225A1"/>
    <w:rPr>
      <w:rFonts w:ascii="Times New Roman" w:eastAsiaTheme="majorEastAsia" w:hAnsi="Times New Roman" w:cstheme="majorBidi"/>
      <w:color w:val="000000" w:themeColor="text1"/>
      <w:szCs w:val="32"/>
    </w:rPr>
  </w:style>
  <w:style w:type="character" w:styleId="Hyperlink">
    <w:name w:val="Hyperlink"/>
    <w:basedOn w:val="DefaultParagraphFont"/>
    <w:uiPriority w:val="99"/>
    <w:unhideWhenUsed/>
    <w:rsid w:val="0016517D"/>
    <w:rPr>
      <w:color w:val="0563C1" w:themeColor="hyperlink"/>
      <w:u w:val="single"/>
    </w:rPr>
  </w:style>
  <w:style w:type="character" w:styleId="UnresolvedMention">
    <w:name w:val="Unresolved Mention"/>
    <w:basedOn w:val="DefaultParagraphFont"/>
    <w:uiPriority w:val="99"/>
    <w:rsid w:val="0016517D"/>
    <w:rPr>
      <w:color w:val="605E5C"/>
      <w:shd w:val="clear" w:color="auto" w:fill="E1DFDD"/>
    </w:rPr>
  </w:style>
  <w:style w:type="character" w:customStyle="1" w:styleId="apple-converted-space">
    <w:name w:val="apple-converted-space"/>
    <w:basedOn w:val="DefaultParagraphFont"/>
    <w:rsid w:val="0016517D"/>
  </w:style>
  <w:style w:type="paragraph" w:styleId="ListParagraph">
    <w:name w:val="List Paragraph"/>
    <w:basedOn w:val="Normal"/>
    <w:uiPriority w:val="34"/>
    <w:qFormat/>
    <w:rsid w:val="00CB6145"/>
    <w:pPr>
      <w:ind w:left="720"/>
      <w:contextualSpacing/>
    </w:pPr>
  </w:style>
  <w:style w:type="paragraph" w:customStyle="1" w:styleId="maintext">
    <w:name w:val="maintext"/>
    <w:basedOn w:val="Normal"/>
    <w:rsid w:val="004016D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67E19"/>
    <w:pPr>
      <w:tabs>
        <w:tab w:val="center" w:pos="4680"/>
        <w:tab w:val="right" w:pos="9360"/>
      </w:tabs>
    </w:pPr>
  </w:style>
  <w:style w:type="character" w:customStyle="1" w:styleId="HeaderChar">
    <w:name w:val="Header Char"/>
    <w:basedOn w:val="DefaultParagraphFont"/>
    <w:link w:val="Header"/>
    <w:uiPriority w:val="99"/>
    <w:rsid w:val="00467E19"/>
  </w:style>
  <w:style w:type="paragraph" w:styleId="Footer">
    <w:name w:val="footer"/>
    <w:basedOn w:val="Normal"/>
    <w:link w:val="FooterChar"/>
    <w:uiPriority w:val="99"/>
    <w:unhideWhenUsed/>
    <w:rsid w:val="00467E19"/>
    <w:pPr>
      <w:tabs>
        <w:tab w:val="center" w:pos="4680"/>
        <w:tab w:val="right" w:pos="9360"/>
      </w:tabs>
    </w:pPr>
  </w:style>
  <w:style w:type="character" w:customStyle="1" w:styleId="FooterChar">
    <w:name w:val="Footer Char"/>
    <w:basedOn w:val="DefaultParagraphFont"/>
    <w:link w:val="Footer"/>
    <w:uiPriority w:val="99"/>
    <w:rsid w:val="00467E19"/>
  </w:style>
  <w:style w:type="character" w:styleId="PageNumber">
    <w:name w:val="page number"/>
    <w:basedOn w:val="DefaultParagraphFont"/>
    <w:uiPriority w:val="99"/>
    <w:semiHidden/>
    <w:unhideWhenUsed/>
    <w:rsid w:val="00436CD4"/>
  </w:style>
  <w:style w:type="paragraph" w:styleId="NormalWeb">
    <w:name w:val="Normal (Web)"/>
    <w:basedOn w:val="Normal"/>
    <w:uiPriority w:val="99"/>
    <w:semiHidden/>
    <w:unhideWhenUsed/>
    <w:rsid w:val="00FD140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690369">
      <w:bodyDiv w:val="1"/>
      <w:marLeft w:val="0"/>
      <w:marRight w:val="0"/>
      <w:marTop w:val="0"/>
      <w:marBottom w:val="0"/>
      <w:divBdr>
        <w:top w:val="none" w:sz="0" w:space="0" w:color="auto"/>
        <w:left w:val="none" w:sz="0" w:space="0" w:color="auto"/>
        <w:bottom w:val="none" w:sz="0" w:space="0" w:color="auto"/>
        <w:right w:val="none" w:sz="0" w:space="0" w:color="auto"/>
      </w:divBdr>
    </w:div>
    <w:div w:id="1194919504">
      <w:bodyDiv w:val="1"/>
      <w:marLeft w:val="0"/>
      <w:marRight w:val="0"/>
      <w:marTop w:val="0"/>
      <w:marBottom w:val="0"/>
      <w:divBdr>
        <w:top w:val="none" w:sz="0" w:space="0" w:color="auto"/>
        <w:left w:val="none" w:sz="0" w:space="0" w:color="auto"/>
        <w:bottom w:val="none" w:sz="0" w:space="0" w:color="auto"/>
        <w:right w:val="none" w:sz="0" w:space="0" w:color="auto"/>
      </w:divBdr>
      <w:divsChild>
        <w:div w:id="1188981085">
          <w:marLeft w:val="0"/>
          <w:marRight w:val="0"/>
          <w:marTop w:val="0"/>
          <w:marBottom w:val="0"/>
          <w:divBdr>
            <w:top w:val="none" w:sz="0" w:space="0" w:color="auto"/>
            <w:left w:val="none" w:sz="0" w:space="0" w:color="auto"/>
            <w:bottom w:val="none" w:sz="0" w:space="0" w:color="auto"/>
            <w:right w:val="none" w:sz="0" w:space="0" w:color="auto"/>
          </w:divBdr>
          <w:divsChild>
            <w:div w:id="293171446">
              <w:marLeft w:val="0"/>
              <w:marRight w:val="0"/>
              <w:marTop w:val="0"/>
              <w:marBottom w:val="0"/>
              <w:divBdr>
                <w:top w:val="none" w:sz="0" w:space="0" w:color="auto"/>
                <w:left w:val="none" w:sz="0" w:space="0" w:color="auto"/>
                <w:bottom w:val="none" w:sz="0" w:space="0" w:color="auto"/>
                <w:right w:val="none" w:sz="0" w:space="0" w:color="auto"/>
              </w:divBdr>
              <w:divsChild>
                <w:div w:id="169831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4069">
      <w:bodyDiv w:val="1"/>
      <w:marLeft w:val="0"/>
      <w:marRight w:val="0"/>
      <w:marTop w:val="0"/>
      <w:marBottom w:val="0"/>
      <w:divBdr>
        <w:top w:val="none" w:sz="0" w:space="0" w:color="auto"/>
        <w:left w:val="none" w:sz="0" w:space="0" w:color="auto"/>
        <w:bottom w:val="none" w:sz="0" w:space="0" w:color="auto"/>
        <w:right w:val="none" w:sz="0" w:space="0" w:color="auto"/>
      </w:divBdr>
      <w:divsChild>
        <w:div w:id="1816099393">
          <w:marLeft w:val="0"/>
          <w:marRight w:val="0"/>
          <w:marTop w:val="0"/>
          <w:marBottom w:val="0"/>
          <w:divBdr>
            <w:top w:val="none" w:sz="0" w:space="0" w:color="auto"/>
            <w:left w:val="none" w:sz="0" w:space="0" w:color="auto"/>
            <w:bottom w:val="none" w:sz="0" w:space="0" w:color="auto"/>
            <w:right w:val="none" w:sz="0" w:space="0" w:color="auto"/>
          </w:divBdr>
          <w:divsChild>
            <w:div w:id="878859062">
              <w:marLeft w:val="0"/>
              <w:marRight w:val="0"/>
              <w:marTop w:val="0"/>
              <w:marBottom w:val="0"/>
              <w:divBdr>
                <w:top w:val="none" w:sz="0" w:space="0" w:color="auto"/>
                <w:left w:val="none" w:sz="0" w:space="0" w:color="auto"/>
                <w:bottom w:val="none" w:sz="0" w:space="0" w:color="auto"/>
                <w:right w:val="none" w:sz="0" w:space="0" w:color="auto"/>
              </w:divBdr>
              <w:divsChild>
                <w:div w:id="11369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293649">
      <w:bodyDiv w:val="1"/>
      <w:marLeft w:val="0"/>
      <w:marRight w:val="0"/>
      <w:marTop w:val="0"/>
      <w:marBottom w:val="0"/>
      <w:divBdr>
        <w:top w:val="none" w:sz="0" w:space="0" w:color="auto"/>
        <w:left w:val="none" w:sz="0" w:space="0" w:color="auto"/>
        <w:bottom w:val="none" w:sz="0" w:space="0" w:color="auto"/>
        <w:right w:val="none" w:sz="0" w:space="0" w:color="auto"/>
      </w:divBdr>
      <w:divsChild>
        <w:div w:id="774204553">
          <w:marLeft w:val="0"/>
          <w:marRight w:val="0"/>
          <w:marTop w:val="0"/>
          <w:marBottom w:val="0"/>
          <w:divBdr>
            <w:top w:val="none" w:sz="0" w:space="0" w:color="auto"/>
            <w:left w:val="none" w:sz="0" w:space="0" w:color="auto"/>
            <w:bottom w:val="none" w:sz="0" w:space="0" w:color="auto"/>
            <w:right w:val="none" w:sz="0" w:space="0" w:color="auto"/>
          </w:divBdr>
          <w:divsChild>
            <w:div w:id="443310505">
              <w:marLeft w:val="0"/>
              <w:marRight w:val="0"/>
              <w:marTop w:val="0"/>
              <w:marBottom w:val="0"/>
              <w:divBdr>
                <w:top w:val="none" w:sz="0" w:space="0" w:color="auto"/>
                <w:left w:val="none" w:sz="0" w:space="0" w:color="auto"/>
                <w:bottom w:val="none" w:sz="0" w:space="0" w:color="auto"/>
                <w:right w:val="none" w:sz="0" w:space="0" w:color="auto"/>
              </w:divBdr>
              <w:divsChild>
                <w:div w:id="76908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94389">
      <w:bodyDiv w:val="1"/>
      <w:marLeft w:val="0"/>
      <w:marRight w:val="0"/>
      <w:marTop w:val="0"/>
      <w:marBottom w:val="0"/>
      <w:divBdr>
        <w:top w:val="none" w:sz="0" w:space="0" w:color="auto"/>
        <w:left w:val="none" w:sz="0" w:space="0" w:color="auto"/>
        <w:bottom w:val="none" w:sz="0" w:space="0" w:color="auto"/>
        <w:right w:val="none" w:sz="0" w:space="0" w:color="auto"/>
      </w:divBdr>
      <w:divsChild>
        <w:div w:id="10300782">
          <w:marLeft w:val="0"/>
          <w:marRight w:val="0"/>
          <w:marTop w:val="0"/>
          <w:marBottom w:val="0"/>
          <w:divBdr>
            <w:top w:val="none" w:sz="0" w:space="0" w:color="auto"/>
            <w:left w:val="none" w:sz="0" w:space="0" w:color="auto"/>
            <w:bottom w:val="none" w:sz="0" w:space="0" w:color="auto"/>
            <w:right w:val="none" w:sz="0" w:space="0" w:color="auto"/>
          </w:divBdr>
          <w:divsChild>
            <w:div w:id="539516891">
              <w:marLeft w:val="0"/>
              <w:marRight w:val="0"/>
              <w:marTop w:val="0"/>
              <w:marBottom w:val="0"/>
              <w:divBdr>
                <w:top w:val="none" w:sz="0" w:space="0" w:color="auto"/>
                <w:left w:val="none" w:sz="0" w:space="0" w:color="auto"/>
                <w:bottom w:val="none" w:sz="0" w:space="0" w:color="auto"/>
                <w:right w:val="none" w:sz="0" w:space="0" w:color="auto"/>
              </w:divBdr>
              <w:divsChild>
                <w:div w:id="205268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about-us/news-opinion/2022/childhood-day/"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childrenssocialcare.independent-review.uk/wp-content/uploads/2022/05/The-independent-review-of-childrens-social-care-Final-report.pdf"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ons.gov.uk/peoplepopulationandcommunity/crimeandjustice/bulletins/childabuseinenglandandwales/january20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Gbenga Shadare</dc:creator>
  <cp:keywords/>
  <dc:description/>
  <cp:lastModifiedBy>yemisi adesuyan</cp:lastModifiedBy>
  <cp:revision>2</cp:revision>
  <dcterms:created xsi:type="dcterms:W3CDTF">2022-12-02T20:40:00Z</dcterms:created>
  <dcterms:modified xsi:type="dcterms:W3CDTF">2022-12-02T20:40:00Z</dcterms:modified>
</cp:coreProperties>
</file>