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B9CF17" w14:textId="77777777" w:rsidR="00504B1E" w:rsidRPr="00F771E6" w:rsidRDefault="00504B1E" w:rsidP="00504B1E">
      <w:pPr>
        <w:pStyle w:val="Nornal"/>
        <w:spacing w:after="0" w:line="276" w:lineRule="auto"/>
        <w:jc w:val="both"/>
        <w:rPr>
          <w:rFonts w:asciiTheme="minorHAnsi" w:hAnsiTheme="minorHAnsi"/>
        </w:rPr>
      </w:pPr>
      <w:r w:rsidRPr="00F771E6">
        <w:rPr>
          <w:rFonts w:asciiTheme="minorHAnsi" w:hAnsiTheme="minorHAnsi"/>
        </w:rPr>
        <w:t>The principles of reward are essential to shaping organisational culture and improving performance management, particularly in a company like Eco-Insulate UK, where there are concerns around high employee turnover and a negative culture.</w:t>
      </w:r>
    </w:p>
    <w:p w14:paraId="234A89FC" w14:textId="77777777" w:rsidR="00504B1E" w:rsidRPr="00F771E6" w:rsidRDefault="00504B1E" w:rsidP="00504B1E">
      <w:pPr>
        <w:pStyle w:val="Nornal"/>
        <w:spacing w:after="0" w:line="276" w:lineRule="auto"/>
        <w:jc w:val="both"/>
        <w:rPr>
          <w:rFonts w:asciiTheme="minorHAnsi" w:hAnsiTheme="minorHAnsi"/>
        </w:rPr>
      </w:pPr>
      <w:r w:rsidRPr="00F771E6">
        <w:rPr>
          <w:rFonts w:asciiTheme="minorHAnsi" w:hAnsiTheme="minorHAnsi"/>
        </w:rPr>
        <w:br/>
        <w:t>A key principle is the total reward approach, which is the complete range of financial and non-financial benefits employees value, including pay, benefits, flexibility, development, and fair treatment, all of which support engagement and cultural change (CIPD, 2025a). Currently, Eco-Insulate offers a non-contributory pension scheme and 28 days of annual leave but lacks an incentive scheme or formal recognition system. This narrow approach likely contributes to employee disengagement. A broader, total reward strategy would be more effective in enhancing motivation and improving retention by addressing both financial and non-financial needs (CIPD, 2023).</w:t>
      </w:r>
    </w:p>
    <w:p w14:paraId="7D9C6049" w14:textId="77777777" w:rsidR="00504B1E" w:rsidRPr="00F771E6" w:rsidRDefault="00504B1E" w:rsidP="00504B1E">
      <w:pPr>
        <w:pStyle w:val="Nornal"/>
        <w:spacing w:after="0" w:line="276" w:lineRule="auto"/>
        <w:jc w:val="both"/>
        <w:rPr>
          <w:rFonts w:asciiTheme="minorHAnsi" w:hAnsiTheme="minorHAnsi"/>
        </w:rPr>
      </w:pPr>
      <w:r w:rsidRPr="00F771E6">
        <w:rPr>
          <w:rFonts w:asciiTheme="minorHAnsi" w:hAnsiTheme="minorHAnsi"/>
        </w:rPr>
        <w:br/>
        <w:t>Equally important is the principle of fairness, consistency and transparency in how rewards are applied. For example, Eco-Insulate is known to have “special schemes” for senior staff only. Without clear communication and fair access to reward opportunities, this may create a sense of inequality and distrust. As Armstrong and Brown (2024) highlight, consistent and transparent reward practices help create a culture of trust, encouraging employee commitment and alignment with business goals.</w:t>
      </w:r>
    </w:p>
    <w:p w14:paraId="7326C541" w14:textId="77777777" w:rsidR="00504B1E" w:rsidRPr="00F771E6" w:rsidRDefault="00504B1E" w:rsidP="00504B1E">
      <w:pPr>
        <w:pStyle w:val="Nornal"/>
        <w:spacing w:after="0" w:line="276" w:lineRule="auto"/>
        <w:jc w:val="both"/>
        <w:rPr>
          <w:rFonts w:asciiTheme="minorHAnsi" w:hAnsiTheme="minorHAnsi"/>
        </w:rPr>
      </w:pPr>
      <w:r w:rsidRPr="00F771E6">
        <w:rPr>
          <w:rFonts w:asciiTheme="minorHAnsi" w:hAnsiTheme="minorHAnsi"/>
        </w:rPr>
        <w:br/>
        <w:t>Reward should also be clearly linked to organisational objectives and performance outcomes. At Eco-Insulate, performance is measured through standard times and measured day work, but this is not currently connected to any form of recognition. Introducing performance-based rewards, whether financial (e.g., bonuses) or non-financial (e.g. employee of the month), would reinforce desired behaviours and boost morale. Rewarding for value created is a proven way to stimulate higher levels of performance (CIPD, 2025a). Aligning reward with the performance management cycle, such as goal setting, regular feedback, and appraisals, can help ensure rewards are relevant and performance focused (Jansen, 2022).</w:t>
      </w:r>
    </w:p>
    <w:p w14:paraId="316A4ED1" w14:textId="77777777" w:rsidR="00504B1E" w:rsidRPr="00F771E6" w:rsidRDefault="00504B1E" w:rsidP="00504B1E">
      <w:pPr>
        <w:pStyle w:val="Nornal"/>
        <w:spacing w:after="0" w:line="276" w:lineRule="auto"/>
        <w:jc w:val="both"/>
        <w:rPr>
          <w:rFonts w:asciiTheme="minorHAnsi" w:hAnsiTheme="minorHAnsi"/>
        </w:rPr>
      </w:pPr>
    </w:p>
    <w:p w14:paraId="565E79AC" w14:textId="77777777" w:rsidR="00504B1E" w:rsidRPr="00E0094D" w:rsidRDefault="00504B1E" w:rsidP="00504B1E">
      <w:pPr>
        <w:pStyle w:val="Nornal"/>
        <w:spacing w:after="0" w:line="276" w:lineRule="auto"/>
        <w:jc w:val="both"/>
        <w:rPr>
          <w:rFonts w:asciiTheme="minorHAnsi" w:hAnsiTheme="minorHAnsi"/>
        </w:rPr>
      </w:pPr>
      <w:r w:rsidRPr="00E0094D">
        <w:rPr>
          <w:rFonts w:asciiTheme="minorHAnsi" w:hAnsiTheme="minorHAnsi"/>
        </w:rPr>
        <w:t>Equally important is aligning rewards with organisational culture. A reward strategy that values employee contribution at all levels can help shift the company’s current negative culture to one that is more engaging and productive (CIPD, 2025a). This is especially important in a manufacturing environment that relies on both skilled and non-skilled workers.</w:t>
      </w:r>
    </w:p>
    <w:p w14:paraId="016E9BD9" w14:textId="77777777" w:rsidR="00504B1E" w:rsidRPr="00F771E6" w:rsidRDefault="00504B1E" w:rsidP="00504B1E">
      <w:pPr>
        <w:pStyle w:val="Nornal"/>
        <w:spacing w:after="0" w:line="276" w:lineRule="auto"/>
        <w:jc w:val="both"/>
        <w:rPr>
          <w:rFonts w:asciiTheme="minorHAnsi" w:hAnsiTheme="minorHAnsi"/>
          <w:color w:val="000000"/>
        </w:rPr>
      </w:pPr>
    </w:p>
    <w:p w14:paraId="0B5D7794" w14:textId="77777777" w:rsidR="00504B1E" w:rsidRDefault="00504B1E" w:rsidP="00504B1E">
      <w:pPr>
        <w:pStyle w:val="Nornal"/>
        <w:spacing w:after="0" w:line="276" w:lineRule="auto"/>
        <w:jc w:val="both"/>
        <w:rPr>
          <w:rFonts w:asciiTheme="minorHAnsi" w:hAnsiTheme="minorHAnsi"/>
          <w:b/>
          <w:bCs/>
          <w:color w:val="000000"/>
        </w:rPr>
      </w:pPr>
    </w:p>
    <w:p w14:paraId="2F8D2CCC" w14:textId="77777777" w:rsidR="00504B1E" w:rsidRPr="0091133E" w:rsidRDefault="00504B1E" w:rsidP="00504B1E">
      <w:pPr>
        <w:spacing w:line="276" w:lineRule="auto"/>
        <w:jc w:val="both"/>
      </w:pPr>
      <w:r w:rsidRPr="0091133E">
        <w:t>Extrinsic and intrinsic rewards both play a vital role in improving employee contribution and supporting sustained organisational performance, particularly for a company like Eco-Insulate UK, which is currently experiencing high turnover and low morale.</w:t>
      </w:r>
    </w:p>
    <w:p w14:paraId="55FC58F6" w14:textId="77777777" w:rsidR="00504B1E" w:rsidRPr="0091133E" w:rsidRDefault="00504B1E" w:rsidP="00504B1E">
      <w:pPr>
        <w:spacing w:line="276" w:lineRule="auto"/>
        <w:jc w:val="both"/>
      </w:pPr>
      <w:r w:rsidRPr="0091133E">
        <w:t xml:space="preserve">Extrinsic rewards refer to tangible, external benefits such as pay, bonuses, pension schemes, and other financial or material incentives. These are often used to attract, retain, and motivate employees by meeting basic economic needs. For Eco-Insulate, which currently offers a non-contributory pension scheme and standard annual leave but lacks a formal incentive scheme, introducing performance-related pay or team-based bonuses could directly enhance contribution by rewarding effort and productivity. According to Kerr and Slocum (2005), </w:t>
      </w:r>
      <w:r w:rsidRPr="0091133E">
        <w:lastRenderedPageBreak/>
        <w:t>performance-based rewards encourage goal-focused behaviour and accountability, aligning individual efforts with organisational outcomes. When employees see a clear link between performance and reward (as explained in expectancy theory), they are more likely to put in discretionary effort and remain committed.</w:t>
      </w:r>
    </w:p>
    <w:p w14:paraId="4CEDC0D0" w14:textId="77777777" w:rsidR="00504B1E" w:rsidRPr="0091133E" w:rsidRDefault="00504B1E" w:rsidP="00504B1E">
      <w:pPr>
        <w:spacing w:line="276" w:lineRule="auto"/>
        <w:jc w:val="both"/>
      </w:pPr>
      <w:r w:rsidRPr="0091133E">
        <w:t>Intrinsic rewards, on the other hand, are the psychological benefits that come from the work itself – such as a sense of purpose, autonomy, achievement, or being recognised and valued. These are particularly important in fostering longer-term engagement and commitment. At Eco-Insulate, employees currently have limited access to recognition or development opportunities. By introducing initiatives such as employee of the month schemes, opportunities for upskilling, and encouraging greater involvement in decision-making, the company can improve intrinsic motivation. As Antoni et al. (2017) highlight, non-financial recognition enhances commitment, especially when employees feel their work is meaningful and appreciated. This aligns with Herzberg’s two-factor theory, which identifies intrinsic motivators as central to job satisfaction and performance.</w:t>
      </w:r>
    </w:p>
    <w:p w14:paraId="580AD788" w14:textId="77777777" w:rsidR="00504B1E" w:rsidRPr="0091133E" w:rsidRDefault="00504B1E" w:rsidP="00504B1E">
      <w:pPr>
        <w:spacing w:line="276" w:lineRule="auto"/>
        <w:jc w:val="both"/>
      </w:pPr>
      <w:r w:rsidRPr="0091133E">
        <w:t>Both reward types are most effective when aligned with behaviours and achievement measures. A balanced reward strategy that includes both intrinsic and extrinsic elements will not only improve day-to-day contribution but also drive sustained organisational performance. This is especially important in a manufacturing environment like Eco-</w:t>
      </w:r>
      <w:r w:rsidRPr="00F771E6">
        <w:t>Insulates</w:t>
      </w:r>
      <w:r w:rsidRPr="0091133E">
        <w:t>, where teamwork, skill retention, and consistent output are essential.</w:t>
      </w:r>
    </w:p>
    <w:p w14:paraId="32FB72CB" w14:textId="77777777" w:rsidR="00504B1E" w:rsidRPr="00F771E6" w:rsidRDefault="00504B1E" w:rsidP="00504B1E">
      <w:pPr>
        <w:spacing w:line="276" w:lineRule="auto"/>
        <w:jc w:val="both"/>
      </w:pPr>
      <w:r w:rsidRPr="00F771E6">
        <w:t xml:space="preserve">As Hajduk (2017) observes, the relationship between the rewards </w:t>
      </w:r>
      <w:proofErr w:type="gramStart"/>
      <w:r w:rsidRPr="00F771E6">
        <w:t>employees</w:t>
      </w:r>
      <w:proofErr w:type="gramEnd"/>
      <w:r w:rsidRPr="00F771E6">
        <w:t xml:space="preserve"> value and those that motivate them is complex and depends on the organisational context; therefore, a well-designed reward strategy must carefully balance recognition, purpose, and performance to support sustained engagement and productivity. </w:t>
      </w:r>
    </w:p>
    <w:p w14:paraId="7ED6B0D4" w14:textId="77777777" w:rsidR="00504B1E" w:rsidRPr="00775D33" w:rsidRDefault="00504B1E" w:rsidP="00504B1E">
      <w:pPr>
        <w:spacing w:line="276" w:lineRule="auto"/>
        <w:jc w:val="both"/>
      </w:pPr>
      <w:r w:rsidRPr="00775D33">
        <w:t>Grade and pay structures form the framework for managing how jobs are valued and how pay is determined within an organisation. Although closely connected, grade structures and pay structures serve different purposes. Grade structures define the hierarchy and grouping of roles, showing how jobs relate to one another in terms of responsibility, skills, and contribution. Pay structures, in contrast, set out the financial ranges or rates attached to each grade, ensuring there is a clear link between job level and remuneration (CIPD, 2024).</w:t>
      </w:r>
    </w:p>
    <w:p w14:paraId="0D4AAAE2" w14:textId="77777777" w:rsidR="00504B1E" w:rsidRPr="00775D33" w:rsidRDefault="00504B1E" w:rsidP="00504B1E">
      <w:pPr>
        <w:spacing w:line="276" w:lineRule="auto"/>
        <w:jc w:val="both"/>
      </w:pPr>
      <w:r w:rsidRPr="00F771E6">
        <w:t>Grade structures can be formal or informal. Formal grade structures follow a defined framework that groups jobs into levels based on systematic evaluation (CIPD, 2024). One common approach is the multi-graded structure, which contains many narrow grades, each with specific responsibilities and associated pay ranges. This provides clarity and control but can become rigid (Armstrong &amp; Brown, 2024). Broad-graded structures take a more flexible approach, using fewer grades that cover a wider scope of roles, allowing for progression within a grade without the need for promotion (CIPD, 2024). Broad-banded structures reduce the number of grades further, grouping a wide range of jobs into broad pay bands, which increases flexibility but can reduce clarity on progression (Armstrong &amp; Brown, 2024). Another variation is the job family structure, which groups similar roles, for example, manufacturing, sales, or administration, into families, with separate grades and pay ranges for each (CIPD, 2024).</w:t>
      </w:r>
    </w:p>
    <w:p w14:paraId="048A48F1" w14:textId="77777777" w:rsidR="00504B1E" w:rsidRPr="00F771E6" w:rsidRDefault="00504B1E" w:rsidP="00504B1E">
      <w:pPr>
        <w:spacing w:line="276" w:lineRule="auto"/>
        <w:jc w:val="both"/>
      </w:pPr>
      <w:r w:rsidRPr="00F771E6">
        <w:t>Informal grade structures are less rigid than formal ones and tend to develop over time through established practice or individual agreements (CIPD, 2024). Pay is often determined on a case-</w:t>
      </w:r>
      <w:r w:rsidRPr="00F771E6">
        <w:lastRenderedPageBreak/>
        <w:t>by-case basis rather than by following a set grading framework. For example, spot rates apply a single fixed rate of pay to a specific job, regardless of the employee’s performance or length of service, while individual job grades assess and reward each role independently without linking it to other positions (Armstrong &amp; Brown, 2024). Although this approach can offer flexibility and respond quickly to specific needs, it can also create inconsistencies and perceptions of unfairness if not managed carefully (Armstrong &amp; Brown, 2024).</w:t>
      </w:r>
    </w:p>
    <w:p w14:paraId="481CF8CD" w14:textId="77777777" w:rsidR="00504B1E" w:rsidRPr="00F771E6" w:rsidRDefault="00504B1E" w:rsidP="00504B1E">
      <w:pPr>
        <w:spacing w:line="276" w:lineRule="auto"/>
        <w:jc w:val="both"/>
      </w:pPr>
      <w:r w:rsidRPr="00F771E6">
        <w:t>Pay structures connect directly to the grades by setting out the pay ranges or specific rates for each level. Like grade structures, they can be formal, with established ranges designed to ensure fairness and transparency, or informal, where pay decisions are made on a case-by-case basis (Armstrong &amp; Brown, 2024). Formal pay structures support equity and clarity, while informal arrangements may be more adaptable but risk a lack of consistency (Armstrong &amp; Brown, 2024).</w:t>
      </w:r>
    </w:p>
    <w:p w14:paraId="1A81B39B" w14:textId="77777777" w:rsidR="00504B1E" w:rsidRPr="00F771E6" w:rsidRDefault="00504B1E" w:rsidP="00504B1E">
      <w:pPr>
        <w:spacing w:line="276" w:lineRule="auto"/>
        <w:jc w:val="both"/>
      </w:pPr>
      <w:r w:rsidRPr="00775D33">
        <w:t xml:space="preserve">For Eco-Insulate UK, the current arrangements appear closer to an informal structure, with performance measured through standard times and measured day work, but without a clear link to a formal grading or pay framework. This can make it difficult to ensure fairness and </w:t>
      </w:r>
      <w:r w:rsidRPr="00F771E6">
        <w:t>transparency and</w:t>
      </w:r>
      <w:r w:rsidRPr="00775D33">
        <w:t xml:space="preserve"> may be contributing to the negative culture and high turnover identified by the Managing Director. Implementing a formal grade and pay structure could provide clearer career pathways, ensure equitable pay, and better align rewards with skills, contribution</w:t>
      </w:r>
      <w:r w:rsidRPr="00F771E6">
        <w:t xml:space="preserve"> </w:t>
      </w:r>
      <w:r w:rsidRPr="00775D33">
        <w:t>and organisational objectives</w:t>
      </w:r>
      <w:r w:rsidRPr="00F771E6">
        <w:t xml:space="preserve"> (Armstrong &amp; Brown, 2024).</w:t>
      </w:r>
    </w:p>
    <w:p w14:paraId="0320C9F2" w14:textId="77777777" w:rsidR="00504B1E" w:rsidRPr="000F39F7" w:rsidRDefault="00504B1E" w:rsidP="00504B1E">
      <w:pPr>
        <w:spacing w:line="276" w:lineRule="auto"/>
        <w:jc w:val="both"/>
      </w:pPr>
      <w:r w:rsidRPr="000F39F7">
        <w:t>Contingent rewards</w:t>
      </w:r>
      <w:r w:rsidRPr="00F771E6">
        <w:t xml:space="preserve"> - </w:t>
      </w:r>
      <w:r w:rsidRPr="000F39F7">
        <w:t>such as performance-related pay (PRP) and competency-related pay</w:t>
      </w:r>
      <w:r w:rsidRPr="00F771E6">
        <w:t xml:space="preserve"> - </w:t>
      </w:r>
      <w:r w:rsidRPr="000F39F7">
        <w:t xml:space="preserve">are compensation systems </w:t>
      </w:r>
      <w:r w:rsidRPr="00F771E6">
        <w:t>linked</w:t>
      </w:r>
      <w:r w:rsidRPr="000F39F7">
        <w:t xml:space="preserve"> directly to specific employee outcomes or skills. These rewards are crucial tools in shaping behaviour and driving performance at individual, team, and organisational levels (Armstrong &amp; Brown, 2024).</w:t>
      </w:r>
    </w:p>
    <w:p w14:paraId="1BF00BC1" w14:textId="77777777" w:rsidR="00504B1E" w:rsidRPr="000F39F7" w:rsidRDefault="00504B1E" w:rsidP="00504B1E">
      <w:pPr>
        <w:spacing w:line="276" w:lineRule="auto"/>
        <w:jc w:val="both"/>
      </w:pPr>
      <w:r w:rsidRPr="000F39F7">
        <w:t xml:space="preserve">At </w:t>
      </w:r>
      <w:r w:rsidRPr="00F771E6">
        <w:t>an</w:t>
      </w:r>
      <w:r w:rsidRPr="000F39F7">
        <w:t xml:space="preserve"> individual level, </w:t>
      </w:r>
      <w:r w:rsidRPr="00F771E6">
        <w:t>PRP</w:t>
      </w:r>
      <w:r w:rsidRPr="000F39F7">
        <w:t xml:space="preserve"> offers a direct financial incentive linked to meeting or </w:t>
      </w:r>
      <w:r w:rsidRPr="00F771E6">
        <w:t>exceeding</w:t>
      </w:r>
      <w:r w:rsidRPr="000F39F7">
        <w:t xml:space="preserve"> targets. This can enhance motivation, leading employees to focus on productivity and goal achievement (</w:t>
      </w:r>
      <w:proofErr w:type="spellStart"/>
      <w:r w:rsidRPr="000F39F7">
        <w:t>Frober</w:t>
      </w:r>
      <w:proofErr w:type="spellEnd"/>
      <w:r w:rsidRPr="000F39F7">
        <w:t xml:space="preserve"> &amp; Dreisbach, 2016). Armstrong and Brown (2024) argue that PRP works best when combined with clear performance criteria and supportive management. However, they also caution that overemphasis on extrinsic rewards may risk </w:t>
      </w:r>
      <w:r w:rsidRPr="00F771E6">
        <w:t>reducing</w:t>
      </w:r>
      <w:r w:rsidRPr="000F39F7">
        <w:t xml:space="preserve"> intrinsic motivation, leading to short-term focus or unethical behaviours to hit targets. Competency-related pay, which rewards employees for </w:t>
      </w:r>
      <w:r w:rsidRPr="00F771E6">
        <w:t>learning</w:t>
      </w:r>
      <w:r w:rsidRPr="000F39F7">
        <w:t xml:space="preserve"> and applying skills, supports continuous personal development and encourages sustained engagement, as employees </w:t>
      </w:r>
      <w:r w:rsidRPr="00F771E6">
        <w:t>receive</w:t>
      </w:r>
      <w:r w:rsidRPr="000F39F7">
        <w:t xml:space="preserve"> tangible recognition for their growing expertise (</w:t>
      </w:r>
      <w:proofErr w:type="spellStart"/>
      <w:r w:rsidRPr="000F39F7">
        <w:t>Frober</w:t>
      </w:r>
      <w:proofErr w:type="spellEnd"/>
      <w:r w:rsidRPr="000F39F7">
        <w:t xml:space="preserve"> &amp; Dreisbach, 2016).</w:t>
      </w:r>
    </w:p>
    <w:p w14:paraId="62FF9F7D" w14:textId="77777777" w:rsidR="00504B1E" w:rsidRPr="000F39F7" w:rsidRDefault="00504B1E" w:rsidP="00504B1E">
      <w:pPr>
        <w:spacing w:line="276" w:lineRule="auto"/>
        <w:jc w:val="both"/>
      </w:pPr>
      <w:r w:rsidRPr="000F39F7">
        <w:t xml:space="preserve">On a team level, contingent rewards can either promote collaboration or fuel unhealthy competition. When PRP is based on team performance, it </w:t>
      </w:r>
      <w:r w:rsidRPr="00F771E6">
        <w:t>encourages</w:t>
      </w:r>
      <w:r w:rsidRPr="000F39F7">
        <w:t xml:space="preserve"> shared responsibility and collective problem-solving, as teams work together to reach common goals (Ghosh et al., 2024). Armstrong and Brown (2024) highlight the importance of equitable and transparent criteria here to prevent disputes and ensure that all members feel </w:t>
      </w:r>
      <w:proofErr w:type="gramStart"/>
      <w:r w:rsidRPr="000F39F7">
        <w:t>fairly rewarded</w:t>
      </w:r>
      <w:proofErr w:type="gramEnd"/>
      <w:r w:rsidRPr="000F39F7">
        <w:t>. Competency-based pay can also encourage knowledge sharing and the development of complementary skills within the team, enhancing overall team capability and adaptability.</w:t>
      </w:r>
    </w:p>
    <w:p w14:paraId="03966DFB" w14:textId="77777777" w:rsidR="00504B1E" w:rsidRPr="00F771E6" w:rsidRDefault="00504B1E" w:rsidP="00504B1E">
      <w:pPr>
        <w:spacing w:line="276" w:lineRule="auto"/>
        <w:jc w:val="both"/>
      </w:pPr>
      <w:r w:rsidRPr="000F39F7">
        <w:t xml:space="preserve">From an organisational perspective, contingent rewards align employee efforts with strategic objectives, </w:t>
      </w:r>
      <w:r w:rsidRPr="00F771E6">
        <w:t>therefore</w:t>
      </w:r>
      <w:r w:rsidRPr="000F39F7">
        <w:t xml:space="preserve"> driving overall productivity and business success. According to Armstrong and Brown (2024), contingent pay systems must be flexible to adapt to changing business environments and organisational priorities. PRP can boost organisational performance by </w:t>
      </w:r>
      <w:r w:rsidRPr="000F39F7">
        <w:lastRenderedPageBreak/>
        <w:t xml:space="preserve">directly linking pay to outcomes that matter for the business, such as sales targets or customer satisfaction. Meanwhile, competency-related pay helps build a skilled workforce capable of innovation and long-term growth, crucial in dynamic markets (Ghosh et al, 2024). </w:t>
      </w:r>
      <w:proofErr w:type="spellStart"/>
      <w:r w:rsidRPr="00F771E6">
        <w:t>Frober</w:t>
      </w:r>
      <w:proofErr w:type="spellEnd"/>
      <w:r w:rsidRPr="00F771E6">
        <w:t xml:space="preserve"> and Dreisbach (2016) warn that poorly designed reward systems can encourage employees to focus on short-term results and may harm teamwork, which in turn can negatively affect the organisation’s culture and overall effectiveness.</w:t>
      </w:r>
    </w:p>
    <w:p w14:paraId="3D05FB6B" w14:textId="77777777" w:rsidR="00504B1E" w:rsidRPr="00F771E6" w:rsidRDefault="00504B1E" w:rsidP="00504B1E">
      <w:pPr>
        <w:spacing w:line="276" w:lineRule="auto"/>
        <w:jc w:val="both"/>
        <w:rPr>
          <w:b/>
          <w:bCs/>
          <w:u w:val="single"/>
        </w:rPr>
      </w:pPr>
      <w:r w:rsidRPr="00F771E6">
        <w:t>Introducing contingent rewards at Eco-Insulate UK could significantly motivate employees, enhance teamwork and align individual efforts with organisational objectives. Effective communication and clearly defined, fair criteria will be crucial to gain employee buy-in, particularly considering the existing ‘measured day work’ system. Competency-related pay can encourage upskilling among both skilled and non-skilled workers, supporting the company’s adaptation to evolving eco-friendly technologies. Team-based rewards can improve collaboration and workplace culture, while linking incentives to retention will help reduce turnover. Ongoing management review will ensure these schemes remain effective and support long-term success.</w:t>
      </w:r>
    </w:p>
    <w:p w14:paraId="75CCC484" w14:textId="77777777" w:rsidR="00504B1E" w:rsidRPr="00D273BB" w:rsidRDefault="00504B1E" w:rsidP="00504B1E">
      <w:pPr>
        <w:spacing w:line="276" w:lineRule="auto"/>
        <w:jc w:val="both"/>
      </w:pPr>
      <w:r w:rsidRPr="00D273BB">
        <w:t>Organisations offer various benefits to support employees’ wellbeing, motivation, and retention, each serving distinct purposes that contribute to both individual and organisational success.</w:t>
      </w:r>
    </w:p>
    <w:p w14:paraId="4B9BFCE8" w14:textId="77777777" w:rsidR="00504B1E" w:rsidRPr="00F771E6" w:rsidRDefault="00504B1E" w:rsidP="00504B1E">
      <w:pPr>
        <w:spacing w:line="276" w:lineRule="auto"/>
        <w:jc w:val="both"/>
      </w:pPr>
      <w:r w:rsidRPr="00F771E6">
        <w:t>Pensions are offered to show that the organisation values its employees’ long-term wellbeing, providing them with the financial security they need for retirement (Armstrong &amp; Brown, 2024). The benefit of offering pensions is that they help build employee loyalty and dedication by giving workers a sense of value and financial security for their future. Additionally, pension schemes act as a competitive advantage in attracting talent, especially in sectors where long-term financial planning is important (Armstrong &amp; Brown, 2024).</w:t>
      </w:r>
    </w:p>
    <w:p w14:paraId="3A421AFC" w14:textId="77777777" w:rsidR="00504B1E" w:rsidRPr="00D273BB" w:rsidRDefault="00504B1E" w:rsidP="00504B1E">
      <w:pPr>
        <w:spacing w:line="276" w:lineRule="auto"/>
        <w:jc w:val="both"/>
      </w:pPr>
      <w:r w:rsidRPr="00D273BB">
        <w:t xml:space="preserve">Healthcare benefits, such as private medical insurance and wellness programmes, serve to protect and improve employees’ physical and mental health. Their purpose is to reduce sickness absence and increase productivity by enabling quicker recovery and encouraging healthier lifestyles (CIPD, 2025b). Armstrong </w:t>
      </w:r>
      <w:r w:rsidRPr="00F771E6">
        <w:t>and</w:t>
      </w:r>
      <w:r w:rsidRPr="00D273BB">
        <w:t xml:space="preserve"> Brown (2024) further highlight that healthcare benefits demonstrate an organisation’s commitment to employee wellbeing, which boosts morale and engagement, creating a more motivated and effective workforce.</w:t>
      </w:r>
    </w:p>
    <w:p w14:paraId="1512130F" w14:textId="77777777" w:rsidR="00504B1E" w:rsidRPr="00D273BB" w:rsidRDefault="00504B1E" w:rsidP="00504B1E">
      <w:pPr>
        <w:spacing w:line="276" w:lineRule="auto"/>
        <w:jc w:val="both"/>
      </w:pPr>
      <w:r w:rsidRPr="00D273BB">
        <w:t>Employee Assistance Programmes (EAPs) provide confidential support for personal and work-related issues, such as stress or financial difficulties. The merit of EAPs is their ability to help employees manage challenges that could negatively impact performance and wellbeing. By offering timely counselling and resources, EAPs reduce presenteeism and absenteeism, improving overall productivity. The CIPD Reward Management Survey (2022) identifies EAPs as one of the most common benefits, reflecting their value in supporting a healthy workplace culture.</w:t>
      </w:r>
    </w:p>
    <w:p w14:paraId="7171F44C" w14:textId="77777777" w:rsidR="00504B1E" w:rsidRPr="00F771E6" w:rsidRDefault="00504B1E" w:rsidP="00504B1E">
      <w:pPr>
        <w:spacing w:line="276" w:lineRule="auto"/>
        <w:jc w:val="both"/>
      </w:pPr>
      <w:r w:rsidRPr="00D273BB">
        <w:t>Flexible benefits allow employees to personalise their reward packages by choosing options that best fit their individual circumstances, such as extra holidays or childcare support. The purpose of flexible benefits is to recognise diversity in employee needs and preferences, which increases job satisfaction and motivation by giving employees more control over their rewards (Armstrong &amp; Brown, 2024). Additionally, flexible schemes help organisations manage costs efficiently by offering benefits within a defined budget.</w:t>
      </w:r>
    </w:p>
    <w:p w14:paraId="3BB5FD3F" w14:textId="77777777" w:rsidR="00504B1E" w:rsidRPr="00D273BB" w:rsidRDefault="00504B1E" w:rsidP="00504B1E">
      <w:pPr>
        <w:spacing w:line="276" w:lineRule="auto"/>
        <w:jc w:val="both"/>
      </w:pPr>
      <w:r w:rsidRPr="00F771E6">
        <w:lastRenderedPageBreak/>
        <w:t xml:space="preserve">Offering a balanced range of benefits such as the above mentioned can play a vital role in improving employee wellbeing, motivation, and retention at Eco-Insulate UK. Given the company’s concerns about high turnover and negative culture, these benefits would help demonstrate the organisation’s commitment to its workforce, support diverse employee needs, and foster a more positive and engaged workplace </w:t>
      </w:r>
      <w:r w:rsidRPr="00D273BB">
        <w:t>(CIPD, 2025b).</w:t>
      </w:r>
      <w:r w:rsidRPr="00F771E6">
        <w:t xml:space="preserve"> Implementing such benefits thoughtfully will also help Eco-Insulate attract and retain skilled and non-skilled workers, addressing current challenges while maintaining cost control.</w:t>
      </w:r>
    </w:p>
    <w:p w14:paraId="42CF439F" w14:textId="77777777" w:rsidR="00504B1E" w:rsidRPr="00F771E6" w:rsidRDefault="00504B1E" w:rsidP="00504B1E">
      <w:pPr>
        <w:spacing w:line="276" w:lineRule="auto"/>
        <w:jc w:val="both"/>
      </w:pPr>
      <w:r w:rsidRPr="00F771E6">
        <w:t xml:space="preserve">Organisations use a range of recognition schemes to acknowledge employee efforts and achievements, which can significantly enhance motivation, engagement, and overall performance (Armstrong &amp; Brown, 2024). Formal recognition schemes, such as annual awards ceremonies, employee of the month programmes, and formal cash bonuses, have the merit of being structured with clear criteria and a public setting. This clarity and visibility not only reward the individual but also provide a benchmark for others, reinforcing organisational values and encouraging higher levels of performance (Gallup, 2016). Public recognition </w:t>
      </w:r>
      <w:proofErr w:type="gramStart"/>
      <w:r w:rsidRPr="00F771E6">
        <w:t>in particular can</w:t>
      </w:r>
      <w:proofErr w:type="gramEnd"/>
      <w:r w:rsidRPr="00F771E6">
        <w:t xml:space="preserve"> create a sense of pride and belonging, making employees feel valued and encouraging them to maintain or exceed standards (Armstrong &amp; Brown, 2024).</w:t>
      </w:r>
    </w:p>
    <w:p w14:paraId="2461F6AB" w14:textId="77777777" w:rsidR="00504B1E" w:rsidRPr="00F771E6" w:rsidRDefault="00504B1E" w:rsidP="00504B1E">
      <w:pPr>
        <w:spacing w:line="276" w:lineRule="auto"/>
        <w:jc w:val="both"/>
      </w:pPr>
      <w:r w:rsidRPr="00F771E6">
        <w:t>On the other hand, informal recognition happens regularly through spontaneous acts like verbal praise or a thank-you from managers. Although less formal, such recognition provides immediate positive feedback and strengthens workplace relationships, which is essential for maintaining employee motivation (Armstrong &amp; Brown, 2024). Evidence suggests that employees who feel supported and recognised by their managers are significantly more engaged, with engagement levels up to three times higher compared to those who do not receive this support (People Management, 2022). Informal recognition is also a low-cost method that can be delivered frequently, helping to maintain steady motivation and a positive atmosphere in the workplace.</w:t>
      </w:r>
    </w:p>
    <w:p w14:paraId="5D40B1AC" w14:textId="77777777" w:rsidR="00504B1E" w:rsidRPr="00F771E6" w:rsidRDefault="00504B1E" w:rsidP="00504B1E">
      <w:pPr>
        <w:spacing w:line="276" w:lineRule="auto"/>
        <w:jc w:val="both"/>
      </w:pPr>
      <w:r w:rsidRPr="00F771E6">
        <w:t>Non-cash rewards, including gifts, vouchers, or event tickets, provide another effective form of recognition that offers tangible value without impacting base salary. These rewards can be tailored to individual preferences, which helps employees feel personally appreciated beyond financial compensation (Armstrong &amp; Brown, 2024). This type of reward allows organisations to manage costs while still providing meaningful incentives. For example, some companies like Tesco use vouchers as part of their recognition strategy to motivate staff in a cost-effective way.</w:t>
      </w:r>
    </w:p>
    <w:p w14:paraId="15ECEC21" w14:textId="77777777" w:rsidR="00504B1E" w:rsidRPr="00F771E6" w:rsidRDefault="00504B1E" w:rsidP="00504B1E">
      <w:pPr>
        <w:spacing w:line="276" w:lineRule="auto"/>
        <w:jc w:val="both"/>
      </w:pPr>
      <w:r w:rsidRPr="00F771E6">
        <w:t>Within Eco-Insulate, implementing a combination of formal and informal recognition schemes could help address the current challenges related to low morale and high turnover. Formal recognition would provide clear goals and celebrate achievements publicly, helping to boost pride and loyalty among employees. Meanwhile, regular informal praise from managers would maintain day-to-day motivation and strengthen relationships across all levels. Introducing non-cash rewards could offer personalised incentives that show appreciation without adding excessive costs. Together, these recognition methods can contribute to creating a more positive workplace culture, improving engagement and reducing turnover at Eco-Insulate (Armstrong &amp; Brown, 2024; People Management, 2022; Gallup, 2016).</w:t>
      </w:r>
    </w:p>
    <w:p w14:paraId="2956C7DD" w14:textId="77777777" w:rsidR="00504B1E" w:rsidRPr="00AA27CE" w:rsidRDefault="00504B1E" w:rsidP="00504B1E">
      <w:pPr>
        <w:spacing w:line="276" w:lineRule="auto"/>
        <w:jc w:val="both"/>
      </w:pPr>
      <w:r w:rsidRPr="00AA27CE">
        <w:t xml:space="preserve">The business context of the reward environment is shaped by a combination of internal and external factors that determine how organisations design and deliver pay and benefits packages. Externally, the economic outlook plays a major role. According to the latest ONS Business </w:t>
      </w:r>
      <w:r w:rsidRPr="00AA27CE">
        <w:lastRenderedPageBreak/>
        <w:t>Insights report (ONS, 2025), ongoing economic uncertainty, inflationary pressures</w:t>
      </w:r>
      <w:r w:rsidRPr="00F771E6">
        <w:t xml:space="preserve"> </w:t>
      </w:r>
      <w:r w:rsidRPr="00AA27CE">
        <w:t>and supply chain challenges are creating a difficult climate for many organisations. Increases in National Insurance contributions have further raised employment costs (</w:t>
      </w:r>
      <w:r w:rsidRPr="00F771E6">
        <w:t>Francis-</w:t>
      </w:r>
      <w:r w:rsidRPr="00AA27CE">
        <w:t>Devine &amp; Powell, 2025), limiting the funds available for pay rises or additional benefits. This external pressure directly affects internal reward decisions, as organisations must balance controlling costs with maintaining competitive pay to support morale and retention.</w:t>
      </w:r>
    </w:p>
    <w:p w14:paraId="013E2EE6" w14:textId="77777777" w:rsidR="00504B1E" w:rsidRPr="00AA27CE" w:rsidRDefault="00504B1E" w:rsidP="00504B1E">
      <w:pPr>
        <w:spacing w:line="276" w:lineRule="auto"/>
        <w:jc w:val="both"/>
      </w:pPr>
      <w:r w:rsidRPr="00AA27CE">
        <w:t>Industrial trends and sector profiles also influence reward strategies. The CIPD Labour Market Outlook (2025) highlights how private sector organisations often use flexible, market-driven pay structures, including bonuses and performance-related incentives, allowing them to respond quickly to economic changes and link pay directly to business results. By contrast, the public</w:t>
      </w:r>
      <w:r w:rsidRPr="00F771E6">
        <w:t xml:space="preserve"> and voluntary</w:t>
      </w:r>
      <w:r w:rsidRPr="00AA27CE">
        <w:t xml:space="preserve"> sector</w:t>
      </w:r>
      <w:r w:rsidRPr="00F771E6">
        <w:t>s</w:t>
      </w:r>
      <w:r w:rsidRPr="00AA27CE">
        <w:t xml:space="preserve"> typically </w:t>
      </w:r>
      <w:r w:rsidRPr="00F771E6">
        <w:t>operate</w:t>
      </w:r>
      <w:r w:rsidRPr="00AA27CE">
        <w:t xml:space="preserve"> under standardised pay scales shaped by collective bargaining and regulatory frameworks, limiting the scope for performance-related rewards. These sector differences affect how organisations compete for talent. For national employers, regional variations in cost of living and labour market conditions must also be factored in, as they directly influence salary benchmarks and the competitiveness of reward packages (CIPD, 2025c).</w:t>
      </w:r>
    </w:p>
    <w:p w14:paraId="4999D737" w14:textId="77777777" w:rsidR="00504B1E" w:rsidRPr="00AA27CE" w:rsidRDefault="00504B1E" w:rsidP="00504B1E">
      <w:pPr>
        <w:spacing w:line="276" w:lineRule="auto"/>
        <w:jc w:val="both"/>
      </w:pPr>
      <w:r w:rsidRPr="00AA27CE">
        <w:t xml:space="preserve">Labour market trends and occupational classifications further shape reward decisions. Skills shortages in specific sectors create external pressure to offer more attractive packages to secure talent, while surpluses reduce wage pressure (Armstrong &amp; Brown, 2024). </w:t>
      </w:r>
      <w:r w:rsidRPr="00F771E6">
        <w:t>For example, Eco-Insulate faces high turnover among both skilled and non-skilled workers, so it may adopt competency-based pay to encourage skill development and adaptability, helping to build a more capable and committed workforce.</w:t>
      </w:r>
    </w:p>
    <w:p w14:paraId="2DE23286" w14:textId="77777777" w:rsidR="00504B1E" w:rsidRPr="00AA27CE" w:rsidRDefault="00504B1E" w:rsidP="00504B1E">
      <w:pPr>
        <w:spacing w:line="276" w:lineRule="auto"/>
        <w:jc w:val="both"/>
      </w:pPr>
      <w:r w:rsidRPr="00AA27CE">
        <w:t xml:space="preserve">Internal equity and the psychological contract are also vital in this context. Fairness in pay and recognition </w:t>
      </w:r>
      <w:r w:rsidRPr="00F771E6">
        <w:t>encourages</w:t>
      </w:r>
      <w:r w:rsidRPr="00AA27CE">
        <w:t xml:space="preserve"> trust and engagement, whereas perceived inequities can harm morale and retention (Armstrong &amp; Brown, 2024). External regulation reinforces these principles</w:t>
      </w:r>
      <w:r w:rsidRPr="00F771E6">
        <w:t xml:space="preserve"> -</w:t>
      </w:r>
      <w:r w:rsidRPr="00AA27CE">
        <w:t xml:space="preserve"> for example, under the Equality Act 2010, employers must ensure men and women receive equal pay for equal work (G</w:t>
      </w:r>
      <w:r w:rsidRPr="00F771E6">
        <w:t>ov</w:t>
      </w:r>
      <w:r w:rsidRPr="00AA27CE">
        <w:t>.uk, 2025). This shapes internal pay structures and bonus schemes, ensuring legal compliance and supporting fairness.</w:t>
      </w:r>
    </w:p>
    <w:p w14:paraId="59B8FFF1" w14:textId="77777777" w:rsidR="00504B1E" w:rsidRPr="00F771E6" w:rsidRDefault="00504B1E" w:rsidP="00504B1E">
      <w:pPr>
        <w:spacing w:line="276" w:lineRule="auto"/>
        <w:jc w:val="both"/>
      </w:pPr>
      <w:r w:rsidRPr="00AA27CE">
        <w:t>Finally, pay determination methods</w:t>
      </w:r>
      <w:r w:rsidRPr="00F771E6">
        <w:t xml:space="preserve"> - </w:t>
      </w:r>
      <w:r w:rsidRPr="00AA27CE">
        <w:t>whether through collective bargaining, market benchmarking, or efficiency wage principles</w:t>
      </w:r>
      <w:r w:rsidRPr="00F771E6">
        <w:t xml:space="preserve"> - </w:t>
      </w:r>
      <w:r w:rsidRPr="00AA27CE">
        <w:t>must strike a balance between remaining competitive and ensuring financial sustainability. This requires organisations to adapt their reward strategies continually in response to both shifting market conditions and evolving organisational priorities (</w:t>
      </w:r>
      <w:r w:rsidRPr="00F771E6">
        <w:t>Francis-</w:t>
      </w:r>
      <w:r w:rsidRPr="00AA27CE">
        <w:t>Devine &amp; Powell, 2025).</w:t>
      </w:r>
    </w:p>
    <w:p w14:paraId="381AAC8A" w14:textId="77777777" w:rsidR="00504B1E" w:rsidRPr="007E0916" w:rsidRDefault="00504B1E" w:rsidP="00504B1E">
      <w:pPr>
        <w:spacing w:line="276" w:lineRule="auto"/>
        <w:jc w:val="both"/>
      </w:pPr>
      <w:r w:rsidRPr="007E0916">
        <w:t>Benchmarking pay effectively requires selecting data sources that are valid, reliable</w:t>
      </w:r>
      <w:r w:rsidRPr="00F771E6">
        <w:t xml:space="preserve"> </w:t>
      </w:r>
      <w:r w:rsidRPr="007E0916">
        <w:t>and applicable to the organisation’s needs. One of the most common and comprehensive sources is reward and salary surveys, which provide detailed data on base pay, bonuses, and benefits, often segmented by industry, location, and organisation size (CIPD, 2025d). When these surveys are conducted with robust methodologies and large, representative samples, they offer high validity and reliability. However, their accuracy can be affected by challenges such as imprecise job matching, particularly where an organisation’s sector, location, or role profiles differ from the survey sample (Armstrong &amp; Brown, 2024). Despite this, salary surveys remain a core benchmarking tool, especially for establishing market medians and tracking changes over time.</w:t>
      </w:r>
    </w:p>
    <w:p w14:paraId="7259FA61" w14:textId="77777777" w:rsidR="00504B1E" w:rsidRPr="007E0916" w:rsidRDefault="00504B1E" w:rsidP="00504B1E">
      <w:pPr>
        <w:spacing w:line="276" w:lineRule="auto"/>
        <w:jc w:val="both"/>
      </w:pPr>
      <w:r w:rsidRPr="007E0916">
        <w:lastRenderedPageBreak/>
        <w:t>A second valuable source is government statistics. Official data, such as that published by the Office for National Statistics, covers pay levels, inflation, unemployment rates, and labour market trends. This information is typically collected using standardised and transparent methodologies, giving it high validity and reliability. The data can be particularly useful for identifying macroeconomic trends, regional variations, and sector-specific changes, helping organisations position their reward strategies within a wider economic context (Armstrong &amp; Brown, 2024). The main limitation is that such data can be less granular and less frequent than some commercial sources, making it less responsive to fast-moving market changes.</w:t>
      </w:r>
    </w:p>
    <w:p w14:paraId="00E749B0" w14:textId="77777777" w:rsidR="00504B1E" w:rsidRPr="00F771E6" w:rsidRDefault="00504B1E" w:rsidP="00504B1E">
      <w:pPr>
        <w:spacing w:line="276" w:lineRule="auto"/>
        <w:jc w:val="both"/>
      </w:pPr>
      <w:r w:rsidRPr="007E0916">
        <w:t>Pay clubs are another useful method of benchmarking, where a group of organisations</w:t>
      </w:r>
      <w:r w:rsidRPr="00F771E6">
        <w:t xml:space="preserve"> - </w:t>
      </w:r>
      <w:r w:rsidRPr="007E0916">
        <w:t>often from the same sector or geographical region</w:t>
      </w:r>
      <w:r w:rsidRPr="00F771E6">
        <w:t xml:space="preserve"> - </w:t>
      </w:r>
      <w:r w:rsidRPr="007E0916">
        <w:t>share detailed, current data on pay and benefits. A key advantage is that the information is highly relevant and specific, with job roles and operating environments closely aligned between members, improving the validity of comparisons (</w:t>
      </w:r>
      <w:r w:rsidRPr="00F771E6">
        <w:t>Armstrong &amp; Brown, 2024</w:t>
      </w:r>
      <w:r w:rsidRPr="007E0916">
        <w:t>). They also allow for more frequent data updates than annual surveys, enabling quicker responses to market changes. However, there are drawbacks</w:t>
      </w:r>
      <w:r w:rsidRPr="00F771E6">
        <w:t xml:space="preserve"> - </w:t>
      </w:r>
      <w:r w:rsidRPr="007E0916">
        <w:t>the reliability of the data depends on the accuracy and honesty of members’ submissions, and confidentiality concerns can limit the level of detail shared. In addition, the scope of insight can be narrower than that of large-scale surveys, as data is restricted to participating organisations (Armstrong &amp; Brown, 2024).</w:t>
      </w:r>
    </w:p>
    <w:p w14:paraId="44028E86" w14:textId="77777777" w:rsidR="00504B1E" w:rsidRPr="00F771E6" w:rsidRDefault="00504B1E" w:rsidP="00504B1E">
      <w:pPr>
        <w:spacing w:line="276" w:lineRule="auto"/>
        <w:jc w:val="both"/>
      </w:pPr>
      <w:r w:rsidRPr="00F771E6">
        <w:t>For Eco-Insulate, combining benchmarking methods is useful given its high turnover and skill shortages. Reward and salary surveys provide broad market data to keep pay competitive in the insulation and construction sectors. Government statistics offer insights into inflation and regional labour trends, helping adjust reward strategies. Joining a pay club gives access to detailed, current data from similar organisations, improving pay comparisons and aiding retention of skilled staff. Together, these methods offer Eco-Insulate a solid foundation for strategic reward decisions that balance market demands and internal needs.</w:t>
      </w:r>
    </w:p>
    <w:p w14:paraId="42F89AEA" w14:textId="77777777" w:rsidR="00504B1E" w:rsidRPr="00325046" w:rsidRDefault="00504B1E" w:rsidP="00504B1E">
      <w:pPr>
        <w:spacing w:line="276" w:lineRule="auto"/>
        <w:jc w:val="both"/>
      </w:pPr>
      <w:r w:rsidRPr="00F771E6">
        <w:t>Job evaluation is a systematic process used to determine the relative importance of different jobs within an organisation, forming the basis for fair and transparent pay structures (</w:t>
      </w:r>
      <w:proofErr w:type="spellStart"/>
      <w:r w:rsidRPr="00F771E6">
        <w:t>Acas</w:t>
      </w:r>
      <w:proofErr w:type="spellEnd"/>
      <w:r w:rsidRPr="00F771E6">
        <w:t xml:space="preserve">, 2014). </w:t>
      </w:r>
      <w:r w:rsidRPr="00325046">
        <w:t>There are several approaches, which can broadly be categorised as informal or formal, and as analytical or non-analytical.</w:t>
      </w:r>
    </w:p>
    <w:p w14:paraId="565BDE92" w14:textId="77777777" w:rsidR="00504B1E" w:rsidRPr="00325046" w:rsidRDefault="00504B1E" w:rsidP="00504B1E">
      <w:pPr>
        <w:spacing w:line="276" w:lineRule="auto"/>
        <w:jc w:val="both"/>
      </w:pPr>
      <w:r w:rsidRPr="00325046">
        <w:t>Informal approaches tend to be less structured and rely on the judgement of managers or HR professionals rather than systematic criteria. They can be quick and flexible but are more vulnerable to bias, inconsistency and equal pay challenges, as decisions may not be supported by clear evidence (</w:t>
      </w:r>
      <w:proofErr w:type="spellStart"/>
      <w:r w:rsidRPr="00325046">
        <w:t>Acas</w:t>
      </w:r>
      <w:proofErr w:type="spellEnd"/>
      <w:r w:rsidRPr="00325046">
        <w:t>, 2014). In contrast, formal approaches follow a defined methodology, providing transparency and a defensible framework for determining pay. These are generally more resource-intensive to implement but offer greater consistency, reliability and compliance with equal pay legislation (Armstrong &amp; Brown, 2024).</w:t>
      </w:r>
    </w:p>
    <w:p w14:paraId="1D765F88" w14:textId="77777777" w:rsidR="00504B1E" w:rsidRPr="00325046" w:rsidRDefault="00504B1E" w:rsidP="00504B1E">
      <w:pPr>
        <w:spacing w:line="276" w:lineRule="auto"/>
        <w:jc w:val="both"/>
      </w:pPr>
      <w:r w:rsidRPr="00325046">
        <w:t>Analytical job evaluation methods break down a role into specific, measurable factors</w:t>
      </w:r>
      <w:r w:rsidRPr="00F771E6">
        <w:t xml:space="preserve">, </w:t>
      </w:r>
      <w:r w:rsidRPr="00325046">
        <w:t>such as skills, responsibilities, effort and working conditions</w:t>
      </w:r>
      <w:r w:rsidRPr="00F771E6">
        <w:t xml:space="preserve">, </w:t>
      </w:r>
      <w:r w:rsidRPr="00325046">
        <w:t xml:space="preserve">and score each factor to produce an overall value for the job. Point-factor systems are a common analytical method, allocating points to each factor according to its importance and using the total score to position the role within a pay structure (CIPD, 2025d). Factor comparison is another analytical approach, ranking roles against a set of benchmark jobs on each factor and assigning corresponding pay levels. These methods </w:t>
      </w:r>
      <w:r w:rsidRPr="00325046">
        <w:lastRenderedPageBreak/>
        <w:t>are particularly valuable in defending against equal pay claims, as they provide objective evidence of how roles are assessed (</w:t>
      </w:r>
      <w:proofErr w:type="spellStart"/>
      <w:r w:rsidRPr="00325046">
        <w:t>Acas</w:t>
      </w:r>
      <w:proofErr w:type="spellEnd"/>
      <w:r w:rsidRPr="00325046">
        <w:t>, 2014).</w:t>
      </w:r>
    </w:p>
    <w:p w14:paraId="613BABBC" w14:textId="77777777" w:rsidR="00504B1E" w:rsidRPr="00325046" w:rsidRDefault="00504B1E" w:rsidP="00504B1E">
      <w:pPr>
        <w:spacing w:line="276" w:lineRule="auto"/>
        <w:jc w:val="both"/>
      </w:pPr>
      <w:r w:rsidRPr="00325046">
        <w:t xml:space="preserve">Non-analytical approaches, on the other hand, assess the job </w:t>
      </w:r>
      <w:r w:rsidRPr="00F771E6">
        <w:t>without</w:t>
      </w:r>
      <w:r w:rsidRPr="00325046">
        <w:t xml:space="preserve"> breaking it down into factors. Examples include job ranking, where roles are ordered from highest to lowest in value, and job classification, where jobs are slotted into pre-defined grades based on overall descriptions</w:t>
      </w:r>
      <w:r w:rsidRPr="00F771E6">
        <w:t xml:space="preserve"> (CIPD, 2025d).</w:t>
      </w:r>
      <w:r w:rsidRPr="00325046">
        <w:t xml:space="preserve"> Job matching is another non-analytical technique, comparing a role directly with an existing benchmark job. These methods are generally quicker and simpler but may lack the detailed justification needed to demonstrate compliance with equal pay requirements (Armstrong &amp; Brown, 2024).</w:t>
      </w:r>
    </w:p>
    <w:p w14:paraId="49384880" w14:textId="77777777" w:rsidR="00504B1E" w:rsidRPr="00F771E6" w:rsidRDefault="00504B1E" w:rsidP="00504B1E">
      <w:pPr>
        <w:spacing w:line="276" w:lineRule="auto"/>
        <w:jc w:val="both"/>
      </w:pPr>
      <w:r w:rsidRPr="00325046">
        <w:t>In practice, the choice of approach depends on the organisation’s size, resources</w:t>
      </w:r>
      <w:r w:rsidRPr="00F771E6">
        <w:t xml:space="preserve"> </w:t>
      </w:r>
      <w:r w:rsidRPr="00325046">
        <w:t>and need for transparency. For example, Eco-Insulate, facing high turnover among both skilled and non-skilled workers, could benefit from an analytical method such as point-factor evaluation. This would allow it to create a clear, consistent and defensible pay structure, ensuring all roles are appropriately valued while supporting retention by demonstrating fairness and competitiveness. Such an approach would also aid compliance with the Equality Act 2010 by providing evidence-based decisions on pay, reducing the risk of discrimination claims.</w:t>
      </w:r>
    </w:p>
    <w:p w14:paraId="0F424459" w14:textId="77777777" w:rsidR="00504B1E" w:rsidRPr="00F771E6" w:rsidRDefault="00504B1E" w:rsidP="00504B1E">
      <w:pPr>
        <w:spacing w:line="276" w:lineRule="auto"/>
        <w:jc w:val="both"/>
      </w:pPr>
    </w:p>
    <w:p w14:paraId="423AD6ED" w14:textId="77777777" w:rsidR="00504B1E" w:rsidRPr="00F771E6" w:rsidRDefault="00504B1E" w:rsidP="00504B1E">
      <w:pPr>
        <w:pStyle w:val="Nornal"/>
        <w:spacing w:after="0" w:line="276" w:lineRule="auto"/>
        <w:jc w:val="both"/>
        <w:rPr>
          <w:rFonts w:asciiTheme="minorHAnsi" w:hAnsiTheme="minorHAnsi"/>
          <w:b/>
          <w:bCs/>
          <w:color w:val="000000" w:themeColor="text1"/>
        </w:rPr>
      </w:pPr>
    </w:p>
    <w:p w14:paraId="66541843" w14:textId="77777777" w:rsidR="00504B1E" w:rsidRPr="00EA7699" w:rsidRDefault="00504B1E" w:rsidP="00504B1E">
      <w:pPr>
        <w:spacing w:line="276" w:lineRule="auto"/>
        <w:jc w:val="both"/>
      </w:pPr>
      <w:r w:rsidRPr="00EA7699">
        <w:t>Reward practices in the UK are shaped by a range of legislative requirements designed to ensure fairness, transparency, and compliance. Three particularly significant areas are the Equality Act 2010 (Equal Pay), the National Minimum and Living Wage, and statutory pay fairness and reporting obligations.</w:t>
      </w:r>
    </w:p>
    <w:p w14:paraId="4333BE32" w14:textId="77777777" w:rsidR="00504B1E" w:rsidRPr="00F771E6" w:rsidRDefault="00504B1E" w:rsidP="00504B1E">
      <w:pPr>
        <w:spacing w:line="276" w:lineRule="auto"/>
        <w:jc w:val="both"/>
      </w:pPr>
      <w:r w:rsidRPr="00F771E6">
        <w:t>Under the Equality Act 2010, men and women must receive equal pay for equal work, work rated as equivalent, or work of equal value (</w:t>
      </w:r>
      <w:proofErr w:type="spellStart"/>
      <w:r w:rsidRPr="00F771E6">
        <w:t>Acas</w:t>
      </w:r>
      <w:proofErr w:type="spellEnd"/>
      <w:r w:rsidRPr="00F771E6">
        <w:t xml:space="preserve">, </w:t>
      </w:r>
      <w:proofErr w:type="spellStart"/>
      <w:r w:rsidRPr="00F771E6">
        <w:t>n.d</w:t>
      </w:r>
      <w:proofErr w:type="spellEnd"/>
      <w:r w:rsidRPr="00F771E6">
        <w:t xml:space="preserve">). This covers basic pay, overtime rates, bonuses, and other contractual benefits. For employers, non-compliance risks costly claims, reputational damage, and enforcement action. From a reward perspective, organisations must regularly review pay structures, conduct equal pay audits, and ensure job evaluation schemes are fair and transparent (Armstrong &amp; Brown, 2024). For Eco-Insulate, which faces high turnover among both skilled and non-skilled workers, ensuring compliance can also act as a retention tool, as staff are more likely to remain where pay is perceived as fair and consistent. </w:t>
      </w:r>
    </w:p>
    <w:p w14:paraId="331467AC" w14:textId="77777777" w:rsidR="00504B1E" w:rsidRPr="00EA7699" w:rsidRDefault="00504B1E" w:rsidP="00504B1E">
      <w:pPr>
        <w:spacing w:line="276" w:lineRule="auto"/>
        <w:jc w:val="both"/>
      </w:pPr>
      <w:r w:rsidRPr="00EA7699">
        <w:t>The National Minimum Wage (NMW) and National Living Wage (NLW) set the legal minimum hourly pay rates according to a worker’s age and apprenticeship status. These rates are updated annually by the UK Government (GOV.UK, 2025). Failure to comply can result in financial penalties and reputational damage. While legal compliance is essential, many organisations choose to pay above statutory minimums to boost morale, aid retention</w:t>
      </w:r>
      <w:r w:rsidRPr="00F771E6">
        <w:t xml:space="preserve"> </w:t>
      </w:r>
      <w:r w:rsidRPr="00EA7699">
        <w:t>and remain competitive in tight labour markets (CIPD, 2025c). For Eco-Insulate, ensuring pay rates are competitive</w:t>
      </w:r>
      <w:r w:rsidRPr="00F771E6">
        <w:t xml:space="preserve"> </w:t>
      </w:r>
      <w:r w:rsidRPr="00EA7699">
        <w:t>helps attract and retain workers without breaching affordability constraints.</w:t>
      </w:r>
    </w:p>
    <w:p w14:paraId="30D9ED5A" w14:textId="77777777" w:rsidR="00504B1E" w:rsidRPr="00F771E6" w:rsidRDefault="00504B1E" w:rsidP="00504B1E">
      <w:pPr>
        <w:spacing w:line="276" w:lineRule="auto"/>
        <w:jc w:val="both"/>
      </w:pPr>
      <w:r w:rsidRPr="00EA7699">
        <w:t xml:space="preserve">In addition to pay-setting legislation, certain employers must meet transparency and reporting requirements that influence reward strategies. The Gender Pay Gap (GPG) Regulations require employers with 250 or more employees to report annually on differences in average hourly pay between male and female employees, expressed as mean and median percentages (GOV.UK, </w:t>
      </w:r>
      <w:r w:rsidRPr="00EA7699">
        <w:lastRenderedPageBreak/>
        <w:t xml:space="preserve">2025). Organisations must also report differences in bonus pay and the proportion of men and women in each pay quartile. While GPG reporting is not a direct equal pay measure, it highlights broader representation and progression issues, prompting employers to review career pathways, reward structures and recruitment practices (Cotton, 2024). </w:t>
      </w:r>
      <w:r w:rsidRPr="00F771E6">
        <w:t>Even</w:t>
      </w:r>
      <w:r w:rsidRPr="00EA7699">
        <w:t xml:space="preserve"> though </w:t>
      </w:r>
      <w:r w:rsidRPr="00F771E6">
        <w:t xml:space="preserve">Eco-Insulate </w:t>
      </w:r>
      <w:r w:rsidRPr="00EA7699">
        <w:t xml:space="preserve">currently falls below the reporting threshold, internally monitoring pay data by gender could help prevent future disparities and demonstrate a commitment to fairness as the business expands. </w:t>
      </w:r>
    </w:p>
    <w:p w14:paraId="3373748E" w14:textId="77777777" w:rsidR="00504B1E" w:rsidRPr="00F771E6" w:rsidRDefault="00504B1E" w:rsidP="00504B1E">
      <w:pPr>
        <w:spacing w:line="276" w:lineRule="auto"/>
        <w:jc w:val="both"/>
      </w:pPr>
      <w:r w:rsidRPr="00EA7699">
        <w:t xml:space="preserve">CEO Pay Ratio Reporting </w:t>
      </w:r>
      <w:r w:rsidRPr="00F771E6">
        <w:t xml:space="preserve">also </w:t>
      </w:r>
      <w:r w:rsidRPr="00EA7699">
        <w:t>applies to UK-listed companies with over 250 UK employees, requiring them to disclose the ratio of CEO total remuneration to that of employees at the 25th, 50th, and 75th percentile of the pay distribution (</w:t>
      </w:r>
      <w:r w:rsidRPr="00F771E6">
        <w:t>Cotton, 2024</w:t>
      </w:r>
      <w:r w:rsidRPr="00EA7699">
        <w:t>). This information must be published in annual reports, alongside commentary explaining changes and organisational context. Such transparency can drive internal and external scrutiny, encouraging fairer pay structures and alignment between executive and workforce pay growth</w:t>
      </w:r>
      <w:r w:rsidRPr="00F771E6">
        <w:t xml:space="preserve"> (Maxwell, 2019).</w:t>
      </w:r>
      <w:r w:rsidRPr="00EA7699">
        <w:t xml:space="preserve"> </w:t>
      </w:r>
    </w:p>
    <w:p w14:paraId="6F4B43C6" w14:textId="77777777" w:rsidR="00504B1E" w:rsidRPr="00EA7699" w:rsidRDefault="00504B1E" w:rsidP="00504B1E">
      <w:pPr>
        <w:spacing w:line="276" w:lineRule="auto"/>
        <w:jc w:val="both"/>
      </w:pPr>
      <w:r w:rsidRPr="00F771E6">
        <w:t>By embedding compliance with these legislative requirements into its reward strategy, Eco-Insulate can not only meet legal obligations but also strengthen employee trust, enhance retention and position itself as a fair and competitive employer in the market.</w:t>
      </w:r>
    </w:p>
    <w:p w14:paraId="5138BCB8" w14:textId="77777777" w:rsidR="00504B1E" w:rsidRDefault="00504B1E"/>
    <w:sectPr w:rsidR="00504B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B1E"/>
    <w:rsid w:val="00275661"/>
    <w:rsid w:val="00504B1E"/>
    <w:rsid w:val="00C71CAD"/>
    <w:rsid w:val="00D53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05DDE"/>
  <w15:chartTrackingRefBased/>
  <w15:docId w15:val="{4146B950-06AF-4DB5-AA15-91E280F65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4B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4B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4B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4B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4B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4B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4B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4B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4B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4B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4B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4B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4B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4B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4B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4B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4B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4B1E"/>
    <w:rPr>
      <w:rFonts w:eastAsiaTheme="majorEastAsia" w:cstheme="majorBidi"/>
      <w:color w:val="272727" w:themeColor="text1" w:themeTint="D8"/>
    </w:rPr>
  </w:style>
  <w:style w:type="paragraph" w:styleId="Title">
    <w:name w:val="Title"/>
    <w:basedOn w:val="Normal"/>
    <w:next w:val="Normal"/>
    <w:link w:val="TitleChar"/>
    <w:uiPriority w:val="10"/>
    <w:qFormat/>
    <w:rsid w:val="00504B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4B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4B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4B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4B1E"/>
    <w:pPr>
      <w:spacing w:before="160"/>
      <w:jc w:val="center"/>
    </w:pPr>
    <w:rPr>
      <w:i/>
      <w:iCs/>
      <w:color w:val="404040" w:themeColor="text1" w:themeTint="BF"/>
    </w:rPr>
  </w:style>
  <w:style w:type="character" w:customStyle="1" w:styleId="QuoteChar">
    <w:name w:val="Quote Char"/>
    <w:basedOn w:val="DefaultParagraphFont"/>
    <w:link w:val="Quote"/>
    <w:uiPriority w:val="29"/>
    <w:rsid w:val="00504B1E"/>
    <w:rPr>
      <w:i/>
      <w:iCs/>
      <w:color w:val="404040" w:themeColor="text1" w:themeTint="BF"/>
    </w:rPr>
  </w:style>
  <w:style w:type="paragraph" w:styleId="ListParagraph">
    <w:name w:val="List Paragraph"/>
    <w:basedOn w:val="Normal"/>
    <w:uiPriority w:val="34"/>
    <w:qFormat/>
    <w:rsid w:val="00504B1E"/>
    <w:pPr>
      <w:ind w:left="720"/>
      <w:contextualSpacing/>
    </w:pPr>
  </w:style>
  <w:style w:type="character" w:styleId="IntenseEmphasis">
    <w:name w:val="Intense Emphasis"/>
    <w:basedOn w:val="DefaultParagraphFont"/>
    <w:uiPriority w:val="21"/>
    <w:qFormat/>
    <w:rsid w:val="00504B1E"/>
    <w:rPr>
      <w:i/>
      <w:iCs/>
      <w:color w:val="0F4761" w:themeColor="accent1" w:themeShade="BF"/>
    </w:rPr>
  </w:style>
  <w:style w:type="paragraph" w:styleId="IntenseQuote">
    <w:name w:val="Intense Quote"/>
    <w:basedOn w:val="Normal"/>
    <w:next w:val="Normal"/>
    <w:link w:val="IntenseQuoteChar"/>
    <w:uiPriority w:val="30"/>
    <w:qFormat/>
    <w:rsid w:val="00504B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4B1E"/>
    <w:rPr>
      <w:i/>
      <w:iCs/>
      <w:color w:val="0F4761" w:themeColor="accent1" w:themeShade="BF"/>
    </w:rPr>
  </w:style>
  <w:style w:type="character" w:styleId="IntenseReference">
    <w:name w:val="Intense Reference"/>
    <w:basedOn w:val="DefaultParagraphFont"/>
    <w:uiPriority w:val="32"/>
    <w:qFormat/>
    <w:rsid w:val="00504B1E"/>
    <w:rPr>
      <w:b/>
      <w:bCs/>
      <w:smallCaps/>
      <w:color w:val="0F4761" w:themeColor="accent1" w:themeShade="BF"/>
      <w:spacing w:val="5"/>
    </w:rPr>
  </w:style>
  <w:style w:type="paragraph" w:customStyle="1" w:styleId="Nornal">
    <w:name w:val="Nornal"/>
    <w:basedOn w:val="Normal"/>
    <w:link w:val="NornalChar"/>
    <w:qFormat/>
    <w:rsid w:val="00504B1E"/>
    <w:pPr>
      <w:spacing w:line="264" w:lineRule="auto"/>
    </w:pPr>
    <w:rPr>
      <w:rFonts w:ascii="Arial" w:hAnsi="Arial" w:cs="Arial"/>
      <w:kern w:val="0"/>
      <w14:ligatures w14:val="none"/>
    </w:rPr>
  </w:style>
  <w:style w:type="character" w:customStyle="1" w:styleId="NornalChar">
    <w:name w:val="Nornal Char"/>
    <w:basedOn w:val="DefaultParagraphFont"/>
    <w:link w:val="Nornal"/>
    <w:rsid w:val="00504B1E"/>
    <w:rPr>
      <w:rFonts w:ascii="Arial" w:hAnsi="Arial"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4483</Words>
  <Characters>25554</Characters>
  <Application>Microsoft Office Word</Application>
  <DocSecurity>0</DocSecurity>
  <Lines>212</Lines>
  <Paragraphs>59</Paragraphs>
  <ScaleCrop>false</ScaleCrop>
  <Company/>
  <LinksUpToDate>false</LinksUpToDate>
  <CharactersWithSpaces>29978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Curtis</dc:creator>
  <cp:keywords/>
  <dc:description/>
  <cp:lastModifiedBy>Lucy Curtis</cp:lastModifiedBy>
  <cp:revision>1</cp:revision>
  <dcterms:created xsi:type="dcterms:W3CDTF">2025-08-12T18:16:00Z</dcterms:created>
  <dcterms:modified xsi:type="dcterms:W3CDTF">2025-08-12T18:20:00Z</dcterms:modified>
</cp:coreProperties>
</file>