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F4C6CC" w14:textId="77777777" w:rsidR="00CD3033" w:rsidRDefault="002A4DA9" w:rsidP="002A4DA9">
      <w:pPr>
        <w:jc w:val="center"/>
        <w:rPr>
          <w:b/>
          <w:bCs/>
          <w:sz w:val="44"/>
          <w:szCs w:val="40"/>
        </w:rPr>
      </w:pPr>
      <w:r w:rsidRPr="002A4DA9">
        <w:rPr>
          <w:b/>
          <w:bCs/>
          <w:sz w:val="44"/>
          <w:szCs w:val="40"/>
        </w:rPr>
        <w:t xml:space="preserve">LCBB4002 </w:t>
      </w:r>
    </w:p>
    <w:p w14:paraId="0761653E" w14:textId="3A64BEB4" w:rsidR="008979A3" w:rsidRDefault="002A4DA9" w:rsidP="002A4DA9">
      <w:pPr>
        <w:jc w:val="center"/>
        <w:rPr>
          <w:b/>
          <w:bCs/>
          <w:sz w:val="44"/>
          <w:szCs w:val="40"/>
        </w:rPr>
      </w:pPr>
      <w:r w:rsidRPr="002A4DA9">
        <w:rPr>
          <w:b/>
          <w:bCs/>
          <w:sz w:val="44"/>
          <w:szCs w:val="40"/>
        </w:rPr>
        <w:t>Community Engagement</w:t>
      </w:r>
    </w:p>
    <w:p w14:paraId="49CEEA18" w14:textId="77777777" w:rsidR="00CD3033" w:rsidRDefault="00CD3033" w:rsidP="002A4DA9">
      <w:pPr>
        <w:jc w:val="center"/>
        <w:rPr>
          <w:b/>
          <w:bCs/>
          <w:sz w:val="44"/>
          <w:szCs w:val="40"/>
        </w:rPr>
      </w:pPr>
    </w:p>
    <w:p w14:paraId="2EF17018" w14:textId="77777777" w:rsidR="00CD3033" w:rsidRDefault="00CD3033" w:rsidP="002A4DA9">
      <w:pPr>
        <w:jc w:val="center"/>
        <w:rPr>
          <w:b/>
          <w:bCs/>
          <w:sz w:val="44"/>
          <w:szCs w:val="40"/>
        </w:rPr>
      </w:pPr>
    </w:p>
    <w:p w14:paraId="0AF28904" w14:textId="77777777" w:rsidR="00CD3033" w:rsidRDefault="00CD3033" w:rsidP="002A4DA9">
      <w:pPr>
        <w:jc w:val="center"/>
        <w:rPr>
          <w:b/>
          <w:bCs/>
          <w:sz w:val="44"/>
          <w:szCs w:val="40"/>
        </w:rPr>
      </w:pPr>
    </w:p>
    <w:p w14:paraId="45923822" w14:textId="77777777" w:rsidR="00CD3033" w:rsidRDefault="00CD3033" w:rsidP="002A4DA9">
      <w:pPr>
        <w:jc w:val="center"/>
        <w:rPr>
          <w:b/>
          <w:bCs/>
          <w:sz w:val="44"/>
          <w:szCs w:val="40"/>
        </w:rPr>
      </w:pPr>
    </w:p>
    <w:p w14:paraId="78402DB9" w14:textId="1F6889A2" w:rsidR="00CD3033" w:rsidRDefault="00CD3033" w:rsidP="00CD3033">
      <w:pPr>
        <w:jc w:val="center"/>
      </w:pPr>
      <w:r>
        <w:t>Student Name: Andrei Lucian Julea</w:t>
      </w:r>
    </w:p>
    <w:p w14:paraId="06045B57" w14:textId="55EC31F6" w:rsidR="00CD3033" w:rsidRDefault="00CD3033" w:rsidP="00CD3033">
      <w:pPr>
        <w:jc w:val="center"/>
      </w:pPr>
      <w:r>
        <w:t xml:space="preserve">Student ID: </w:t>
      </w:r>
      <w:r w:rsidR="003316CD">
        <w:t>2</w:t>
      </w:r>
      <w:r w:rsidR="00156C15">
        <w:t>1</w:t>
      </w:r>
      <w:r w:rsidR="003316CD">
        <w:t>33626</w:t>
      </w:r>
    </w:p>
    <w:p w14:paraId="2A976C2C" w14:textId="77777777" w:rsidR="00CD3033" w:rsidRPr="002A4DA9" w:rsidRDefault="00CD3033" w:rsidP="00CD3033">
      <w:pPr>
        <w:jc w:val="center"/>
      </w:pPr>
    </w:p>
    <w:p w14:paraId="4659A70E" w14:textId="77777777" w:rsidR="008979A3" w:rsidRDefault="008979A3">
      <w:pPr>
        <w:rPr>
          <w:b/>
          <w:bCs/>
          <w:sz w:val="28"/>
          <w:szCs w:val="24"/>
        </w:rPr>
      </w:pPr>
      <w:r>
        <w:rPr>
          <w:b/>
          <w:bCs/>
          <w:sz w:val="28"/>
          <w:szCs w:val="24"/>
        </w:rPr>
        <w:br w:type="page"/>
      </w:r>
    </w:p>
    <w:sdt>
      <w:sdtPr>
        <w:rPr>
          <w:rFonts w:ascii="Times New Roman" w:eastAsiaTheme="minorHAnsi" w:hAnsi="Times New Roman" w:cs="Times New Roman"/>
          <w:color w:val="auto"/>
          <w:sz w:val="24"/>
          <w:szCs w:val="22"/>
          <w:lang w:val="en-GB"/>
        </w:rPr>
        <w:id w:val="-1381472297"/>
        <w:docPartObj>
          <w:docPartGallery w:val="Table of Contents"/>
          <w:docPartUnique/>
        </w:docPartObj>
      </w:sdtPr>
      <w:sdtEndPr>
        <w:rPr>
          <w:b/>
          <w:bCs/>
          <w:noProof/>
        </w:rPr>
      </w:sdtEndPr>
      <w:sdtContent>
        <w:p w14:paraId="11650986" w14:textId="243E6BCB" w:rsidR="00CD3033" w:rsidRDefault="00CD3033">
          <w:pPr>
            <w:pStyle w:val="TOCHeading"/>
          </w:pPr>
          <w:r>
            <w:t>Table of Contents</w:t>
          </w:r>
        </w:p>
        <w:p w14:paraId="39EB86C9" w14:textId="7A003E5D" w:rsidR="00CD3033" w:rsidRDefault="00CD3033">
          <w:pPr>
            <w:pStyle w:val="TOC1"/>
            <w:tabs>
              <w:tab w:val="right" w:leader="dot" w:pos="9350"/>
            </w:tabs>
            <w:rPr>
              <w:noProof/>
            </w:rPr>
          </w:pPr>
          <w:r>
            <w:fldChar w:fldCharType="begin"/>
          </w:r>
          <w:r>
            <w:instrText xml:space="preserve"> TOC \o "1-3" \h \z \u </w:instrText>
          </w:r>
          <w:r>
            <w:fldChar w:fldCharType="separate"/>
          </w:r>
          <w:hyperlink w:anchor="_Toc132489290" w:history="1">
            <w:r w:rsidRPr="00E654F6">
              <w:rPr>
                <w:rStyle w:val="Hyperlink"/>
                <w:noProof/>
              </w:rPr>
              <w:t>Introduction</w:t>
            </w:r>
            <w:r>
              <w:rPr>
                <w:noProof/>
                <w:webHidden/>
              </w:rPr>
              <w:tab/>
            </w:r>
            <w:r>
              <w:rPr>
                <w:noProof/>
                <w:webHidden/>
              </w:rPr>
              <w:fldChar w:fldCharType="begin"/>
            </w:r>
            <w:r>
              <w:rPr>
                <w:noProof/>
                <w:webHidden/>
              </w:rPr>
              <w:instrText xml:space="preserve"> PAGEREF _Toc132489290 \h </w:instrText>
            </w:r>
            <w:r>
              <w:rPr>
                <w:noProof/>
                <w:webHidden/>
              </w:rPr>
            </w:r>
            <w:r>
              <w:rPr>
                <w:noProof/>
                <w:webHidden/>
              </w:rPr>
              <w:fldChar w:fldCharType="separate"/>
            </w:r>
            <w:r>
              <w:rPr>
                <w:noProof/>
                <w:webHidden/>
              </w:rPr>
              <w:t>3</w:t>
            </w:r>
            <w:r>
              <w:rPr>
                <w:noProof/>
                <w:webHidden/>
              </w:rPr>
              <w:fldChar w:fldCharType="end"/>
            </w:r>
          </w:hyperlink>
        </w:p>
        <w:p w14:paraId="1B9E9EFE" w14:textId="45D41CF0" w:rsidR="00CD3033" w:rsidRDefault="00156C15">
          <w:pPr>
            <w:pStyle w:val="TOC2"/>
            <w:tabs>
              <w:tab w:val="right" w:leader="dot" w:pos="9350"/>
            </w:tabs>
            <w:rPr>
              <w:noProof/>
            </w:rPr>
          </w:pPr>
          <w:hyperlink w:anchor="_Toc132489291" w:history="1">
            <w:r w:rsidR="00CD3033" w:rsidRPr="00E654F6">
              <w:rPr>
                <w:rStyle w:val="Hyperlink"/>
                <w:noProof/>
              </w:rPr>
              <w:t>Key stakeholders and engagement methods</w:t>
            </w:r>
            <w:r w:rsidR="00CD3033">
              <w:rPr>
                <w:noProof/>
                <w:webHidden/>
              </w:rPr>
              <w:tab/>
            </w:r>
            <w:r w:rsidR="00CD3033">
              <w:rPr>
                <w:noProof/>
                <w:webHidden/>
              </w:rPr>
              <w:fldChar w:fldCharType="begin"/>
            </w:r>
            <w:r w:rsidR="00CD3033">
              <w:rPr>
                <w:noProof/>
                <w:webHidden/>
              </w:rPr>
              <w:instrText xml:space="preserve"> PAGEREF _Toc132489291 \h </w:instrText>
            </w:r>
            <w:r w:rsidR="00CD3033">
              <w:rPr>
                <w:noProof/>
                <w:webHidden/>
              </w:rPr>
            </w:r>
            <w:r w:rsidR="00CD3033">
              <w:rPr>
                <w:noProof/>
                <w:webHidden/>
              </w:rPr>
              <w:fldChar w:fldCharType="separate"/>
            </w:r>
            <w:r w:rsidR="00CD3033">
              <w:rPr>
                <w:noProof/>
                <w:webHidden/>
              </w:rPr>
              <w:t>4</w:t>
            </w:r>
            <w:r w:rsidR="00CD3033">
              <w:rPr>
                <w:noProof/>
                <w:webHidden/>
              </w:rPr>
              <w:fldChar w:fldCharType="end"/>
            </w:r>
          </w:hyperlink>
        </w:p>
        <w:p w14:paraId="2F46452D" w14:textId="03FB8695" w:rsidR="00CD3033" w:rsidRDefault="00156C15">
          <w:pPr>
            <w:pStyle w:val="TOC2"/>
            <w:tabs>
              <w:tab w:val="right" w:leader="dot" w:pos="9350"/>
            </w:tabs>
            <w:rPr>
              <w:noProof/>
            </w:rPr>
          </w:pPr>
          <w:hyperlink w:anchor="_Toc132489292" w:history="1">
            <w:r w:rsidR="00CD3033" w:rsidRPr="00E654F6">
              <w:rPr>
                <w:rStyle w:val="Hyperlink"/>
                <w:noProof/>
              </w:rPr>
              <w:t>Empowerment and feedback</w:t>
            </w:r>
            <w:r w:rsidR="00CD3033">
              <w:rPr>
                <w:noProof/>
                <w:webHidden/>
              </w:rPr>
              <w:tab/>
            </w:r>
            <w:r w:rsidR="00CD3033">
              <w:rPr>
                <w:noProof/>
                <w:webHidden/>
              </w:rPr>
              <w:fldChar w:fldCharType="begin"/>
            </w:r>
            <w:r w:rsidR="00CD3033">
              <w:rPr>
                <w:noProof/>
                <w:webHidden/>
              </w:rPr>
              <w:instrText xml:space="preserve"> PAGEREF _Toc132489292 \h </w:instrText>
            </w:r>
            <w:r w:rsidR="00CD3033">
              <w:rPr>
                <w:noProof/>
                <w:webHidden/>
              </w:rPr>
            </w:r>
            <w:r w:rsidR="00CD3033">
              <w:rPr>
                <w:noProof/>
                <w:webHidden/>
              </w:rPr>
              <w:fldChar w:fldCharType="separate"/>
            </w:r>
            <w:r w:rsidR="00CD3033">
              <w:rPr>
                <w:noProof/>
                <w:webHidden/>
              </w:rPr>
              <w:t>4</w:t>
            </w:r>
            <w:r w:rsidR="00CD3033">
              <w:rPr>
                <w:noProof/>
                <w:webHidden/>
              </w:rPr>
              <w:fldChar w:fldCharType="end"/>
            </w:r>
          </w:hyperlink>
        </w:p>
        <w:p w14:paraId="35D88D17" w14:textId="5D1B320C" w:rsidR="00CD3033" w:rsidRDefault="00156C15">
          <w:pPr>
            <w:pStyle w:val="TOC2"/>
            <w:tabs>
              <w:tab w:val="right" w:leader="dot" w:pos="9350"/>
            </w:tabs>
            <w:rPr>
              <w:noProof/>
            </w:rPr>
          </w:pPr>
          <w:hyperlink w:anchor="_Toc132489293" w:history="1">
            <w:r w:rsidR="00CD3033" w:rsidRPr="00E654F6">
              <w:rPr>
                <w:rStyle w:val="Hyperlink"/>
                <w:noProof/>
              </w:rPr>
              <w:t>Collaboration, diversity, and inclusion</w:t>
            </w:r>
            <w:r w:rsidR="00CD3033">
              <w:rPr>
                <w:noProof/>
                <w:webHidden/>
              </w:rPr>
              <w:tab/>
            </w:r>
            <w:r w:rsidR="00CD3033">
              <w:rPr>
                <w:noProof/>
                <w:webHidden/>
              </w:rPr>
              <w:fldChar w:fldCharType="begin"/>
            </w:r>
            <w:r w:rsidR="00CD3033">
              <w:rPr>
                <w:noProof/>
                <w:webHidden/>
              </w:rPr>
              <w:instrText xml:space="preserve"> PAGEREF _Toc132489293 \h </w:instrText>
            </w:r>
            <w:r w:rsidR="00CD3033">
              <w:rPr>
                <w:noProof/>
                <w:webHidden/>
              </w:rPr>
            </w:r>
            <w:r w:rsidR="00CD3033">
              <w:rPr>
                <w:noProof/>
                <w:webHidden/>
              </w:rPr>
              <w:fldChar w:fldCharType="separate"/>
            </w:r>
            <w:r w:rsidR="00CD3033">
              <w:rPr>
                <w:noProof/>
                <w:webHidden/>
              </w:rPr>
              <w:t>5</w:t>
            </w:r>
            <w:r w:rsidR="00CD3033">
              <w:rPr>
                <w:noProof/>
                <w:webHidden/>
              </w:rPr>
              <w:fldChar w:fldCharType="end"/>
            </w:r>
          </w:hyperlink>
        </w:p>
        <w:p w14:paraId="4FA9789B" w14:textId="36170473" w:rsidR="00CD3033" w:rsidRDefault="00156C15">
          <w:pPr>
            <w:pStyle w:val="TOC1"/>
            <w:tabs>
              <w:tab w:val="right" w:leader="dot" w:pos="9350"/>
            </w:tabs>
            <w:rPr>
              <w:noProof/>
            </w:rPr>
          </w:pPr>
          <w:hyperlink w:anchor="_Toc132489294" w:history="1">
            <w:r w:rsidR="00CD3033" w:rsidRPr="00E654F6">
              <w:rPr>
                <w:rStyle w:val="Hyperlink"/>
                <w:noProof/>
              </w:rPr>
              <w:t>Conclusion</w:t>
            </w:r>
            <w:r w:rsidR="00CD3033">
              <w:rPr>
                <w:noProof/>
                <w:webHidden/>
              </w:rPr>
              <w:tab/>
            </w:r>
            <w:r w:rsidR="00CD3033">
              <w:rPr>
                <w:noProof/>
                <w:webHidden/>
              </w:rPr>
              <w:fldChar w:fldCharType="begin"/>
            </w:r>
            <w:r w:rsidR="00CD3033">
              <w:rPr>
                <w:noProof/>
                <w:webHidden/>
              </w:rPr>
              <w:instrText xml:space="preserve"> PAGEREF _Toc132489294 \h </w:instrText>
            </w:r>
            <w:r w:rsidR="00CD3033">
              <w:rPr>
                <w:noProof/>
                <w:webHidden/>
              </w:rPr>
            </w:r>
            <w:r w:rsidR="00CD3033">
              <w:rPr>
                <w:noProof/>
                <w:webHidden/>
              </w:rPr>
              <w:fldChar w:fldCharType="separate"/>
            </w:r>
            <w:r w:rsidR="00CD3033">
              <w:rPr>
                <w:noProof/>
                <w:webHidden/>
              </w:rPr>
              <w:t>8</w:t>
            </w:r>
            <w:r w:rsidR="00CD3033">
              <w:rPr>
                <w:noProof/>
                <w:webHidden/>
              </w:rPr>
              <w:fldChar w:fldCharType="end"/>
            </w:r>
          </w:hyperlink>
        </w:p>
        <w:p w14:paraId="3384B690" w14:textId="5CCC3C6A" w:rsidR="00CD3033" w:rsidRDefault="00156C15">
          <w:pPr>
            <w:pStyle w:val="TOC1"/>
            <w:tabs>
              <w:tab w:val="right" w:leader="dot" w:pos="9350"/>
            </w:tabs>
            <w:rPr>
              <w:noProof/>
            </w:rPr>
          </w:pPr>
          <w:hyperlink w:anchor="_Toc132489295" w:history="1">
            <w:r w:rsidR="00CD3033" w:rsidRPr="00E654F6">
              <w:rPr>
                <w:rStyle w:val="Hyperlink"/>
                <w:noProof/>
              </w:rPr>
              <w:t>References</w:t>
            </w:r>
            <w:r w:rsidR="00CD3033">
              <w:rPr>
                <w:noProof/>
                <w:webHidden/>
              </w:rPr>
              <w:tab/>
            </w:r>
            <w:r w:rsidR="00CD3033">
              <w:rPr>
                <w:noProof/>
                <w:webHidden/>
              </w:rPr>
              <w:fldChar w:fldCharType="begin"/>
            </w:r>
            <w:r w:rsidR="00CD3033">
              <w:rPr>
                <w:noProof/>
                <w:webHidden/>
              </w:rPr>
              <w:instrText xml:space="preserve"> PAGEREF _Toc132489295 \h </w:instrText>
            </w:r>
            <w:r w:rsidR="00CD3033">
              <w:rPr>
                <w:noProof/>
                <w:webHidden/>
              </w:rPr>
            </w:r>
            <w:r w:rsidR="00CD3033">
              <w:rPr>
                <w:noProof/>
                <w:webHidden/>
              </w:rPr>
              <w:fldChar w:fldCharType="separate"/>
            </w:r>
            <w:r w:rsidR="00CD3033">
              <w:rPr>
                <w:noProof/>
                <w:webHidden/>
              </w:rPr>
              <w:t>10</w:t>
            </w:r>
            <w:r w:rsidR="00CD3033">
              <w:rPr>
                <w:noProof/>
                <w:webHidden/>
              </w:rPr>
              <w:fldChar w:fldCharType="end"/>
            </w:r>
          </w:hyperlink>
        </w:p>
        <w:p w14:paraId="6C2B08F5" w14:textId="22369D54" w:rsidR="00CD3033" w:rsidRDefault="00CD3033">
          <w:r>
            <w:rPr>
              <w:b/>
              <w:bCs/>
              <w:noProof/>
            </w:rPr>
            <w:fldChar w:fldCharType="end"/>
          </w:r>
        </w:p>
      </w:sdtContent>
    </w:sdt>
    <w:p w14:paraId="76C998DB" w14:textId="77777777" w:rsidR="00CD3033" w:rsidRDefault="00CD3033">
      <w:pPr>
        <w:rPr>
          <w:rFonts w:eastAsiaTheme="majorEastAsia"/>
          <w:b/>
          <w:bCs/>
          <w:iCs/>
          <w:color w:val="000000" w:themeColor="text1"/>
          <w:sz w:val="32"/>
          <w:szCs w:val="24"/>
        </w:rPr>
      </w:pPr>
      <w:r>
        <w:br w:type="page"/>
      </w:r>
    </w:p>
    <w:p w14:paraId="0F526DA7" w14:textId="21A5F58B" w:rsidR="00641E4C" w:rsidRPr="00415C6B" w:rsidRDefault="00641E4C" w:rsidP="00CD3033">
      <w:pPr>
        <w:pStyle w:val="Heading1"/>
      </w:pPr>
      <w:bookmarkStart w:id="0" w:name="_Toc132489290"/>
      <w:r w:rsidRPr="00415C6B">
        <w:lastRenderedPageBreak/>
        <w:t>Introduction</w:t>
      </w:r>
      <w:bookmarkEnd w:id="0"/>
    </w:p>
    <w:p w14:paraId="3EFDCB16" w14:textId="77777777" w:rsidR="005C6DC8" w:rsidRDefault="005C6DC8" w:rsidP="00641E4C">
      <w:r w:rsidRPr="005C6DC8">
        <w:t xml:space="preserve">Croydon is a borough of Greater London that is south of the city itself. It is one of the largest areas in London, but with almost 380,000 people living there, it easily comes in first. Croydon Council is in charge of a wide range of services for the community and neighbourhoods (Liu, 2021). Some examples of these kinds of services are housing, schooling, and taking out the trash. Still, the council has had trouble solving a number of problems in recent years. There aren't enough funds, there are problems with management, and people are worried that the organisation isn't open and responsible. This article will look into and examine how Croydon Council can better involve stakeholders and create a culture that values variety, being open to everyone, and working together. </w:t>
      </w:r>
    </w:p>
    <w:p w14:paraId="616A237D" w14:textId="73167119" w:rsidR="00485F9E" w:rsidRDefault="00485F9E" w:rsidP="00641E4C">
      <w:r w:rsidRPr="00485F9E">
        <w:t xml:space="preserve">In addition, </w:t>
      </w:r>
      <w:r w:rsidR="002A0434">
        <w:t>a critical look</w:t>
      </w:r>
      <w:r w:rsidRPr="00485F9E">
        <w:t xml:space="preserve"> at the current issues that Croydon Council is facing and investigate the many strategies by which it might overcome those challenges. This article investigates the principles, standards, consultation methodologies, participants' involvement, empowerment, and feedback of Croydon Council's community engagement, with the major focus being placed on participation, collaboration, diversity, and inclusion</w:t>
      </w:r>
      <w:r w:rsidR="00331603">
        <w:t xml:space="preserve"> </w:t>
      </w:r>
      <w:r w:rsidR="00331603" w:rsidRPr="00331603">
        <w:t>(Koehler, 2020)</w:t>
      </w:r>
      <w:r w:rsidRPr="00485F9E">
        <w:t xml:space="preserve">. The essay highlights significant players in the council and appropriate approaches to engage them in conversation. In addition to this, it </w:t>
      </w:r>
      <w:r w:rsidR="00B50662">
        <w:t>explains</w:t>
      </w:r>
      <w:r w:rsidRPr="00485F9E">
        <w:t xml:space="preserve"> the reasons why the techniques in question are considered to be the most effective for the different types of stakeholders.</w:t>
      </w:r>
    </w:p>
    <w:p w14:paraId="1EBF579A" w14:textId="77777777" w:rsidR="00CD3033" w:rsidRDefault="00CD3033">
      <w:pPr>
        <w:rPr>
          <w:b/>
          <w:bCs/>
          <w:sz w:val="28"/>
          <w:szCs w:val="24"/>
        </w:rPr>
      </w:pPr>
      <w:r>
        <w:rPr>
          <w:b/>
          <w:bCs/>
          <w:sz w:val="28"/>
          <w:szCs w:val="24"/>
        </w:rPr>
        <w:br w:type="page"/>
      </w:r>
    </w:p>
    <w:p w14:paraId="35A40885" w14:textId="0E1D8D38" w:rsidR="00641E4C" w:rsidRDefault="00641E4C" w:rsidP="00641E4C">
      <w:pPr>
        <w:rPr>
          <w:b/>
          <w:bCs/>
          <w:sz w:val="28"/>
          <w:szCs w:val="24"/>
        </w:rPr>
      </w:pPr>
      <w:r w:rsidRPr="00415C6B">
        <w:rPr>
          <w:b/>
          <w:bCs/>
          <w:sz w:val="28"/>
          <w:szCs w:val="24"/>
        </w:rPr>
        <w:lastRenderedPageBreak/>
        <w:t>Main Body</w:t>
      </w:r>
    </w:p>
    <w:p w14:paraId="2C5D27FB" w14:textId="77777777" w:rsidR="003F594A" w:rsidRPr="003F594A" w:rsidRDefault="003F594A" w:rsidP="00CD3033">
      <w:pPr>
        <w:pStyle w:val="Heading2"/>
      </w:pPr>
      <w:bookmarkStart w:id="1" w:name="_Toc132489291"/>
      <w:r w:rsidRPr="003F594A">
        <w:t>Key stakeholders and engagement methods</w:t>
      </w:r>
      <w:bookmarkEnd w:id="1"/>
    </w:p>
    <w:p w14:paraId="79600F4F" w14:textId="4B1D41CE" w:rsidR="0018432F" w:rsidRDefault="0018432F" w:rsidP="0018432F">
      <w:r>
        <w:t>When it comes to effective governance, the participation of a broad range of stakeholders is one of the most critical components that must be present. This is because it allows for more perspectives to be considered. It means including all of the significant stakeholders in the decision-making processes, starting with the planning stage and continuing up to the level of execution, and doing so from the very beginning of the project until it is finished</w:t>
      </w:r>
      <w:r w:rsidR="00B76107">
        <w:t xml:space="preserve"> </w:t>
      </w:r>
      <w:r w:rsidR="00B76107" w:rsidRPr="00B76107">
        <w:t>(Xu, 2020)</w:t>
      </w:r>
      <w:r>
        <w:t xml:space="preserve">. This should be done consistently throughout the duration of the project. Residents, workers, employees of firms, and members of community groups are some of the major stakeholders that need to be engaged within the framework of </w:t>
      </w:r>
      <w:r w:rsidR="00D40BFF">
        <w:t xml:space="preserve">the </w:t>
      </w:r>
      <w:r>
        <w:t>Croydon Council. This engagement is necessary to ensure that the needs of the community are met. Residents and employees are also important stakeholders to take into consideration. Residents and workers are also essential members of the community that have to be taken into account</w:t>
      </w:r>
      <w:r w:rsidR="0049704E">
        <w:t xml:space="preserve"> </w:t>
      </w:r>
      <w:r w:rsidR="0049704E" w:rsidRPr="0049704E">
        <w:t>(Schwartz, 2021)</w:t>
      </w:r>
      <w:r>
        <w:t xml:space="preserve">. It is widely acknowledged that the residents of Croydon are one of the most significant stakeholders in the council. </w:t>
      </w:r>
      <w:r w:rsidR="006551AD" w:rsidRPr="006551AD">
        <w:t>A large number of people agree with this point of view. This is because the people who live there come from a wide range of different countries and backgrounds. One of these ways is through public meetings, which anyone can attend.</w:t>
      </w:r>
      <w:r>
        <w:t xml:space="preserve"> Residents of the region are actively encouraged to participate. These forums are just a few of the numerous opportunities available to locals to make their opinions known in the community. Residents are </w:t>
      </w:r>
      <w:r w:rsidR="00B50662">
        <w:t>allowed</w:t>
      </w:r>
      <w:r>
        <w:t xml:space="preserve"> to voice their views and ideas on a wide range of topics </w:t>
      </w:r>
      <w:r w:rsidR="00A43B34">
        <w:t>by</w:t>
      </w:r>
      <w:r>
        <w:t xml:space="preserve"> making use of these methods</w:t>
      </w:r>
      <w:r w:rsidR="0024437C">
        <w:t xml:space="preserve"> </w:t>
      </w:r>
      <w:r w:rsidR="0024437C" w:rsidRPr="0024437C">
        <w:t>(Datta, 2021)</w:t>
      </w:r>
      <w:r>
        <w:t xml:space="preserve">. These topics include the policies of the council, the services that the council offers, and the changes that have taken place in the area that is immediately around the city. Additionally, </w:t>
      </w:r>
      <w:r w:rsidR="00B50662">
        <w:t>to</w:t>
      </w:r>
      <w:r>
        <w:t xml:space="preserve"> engage with a bigger audience and persuade a higher number of individuals to take part in the event, the council may </w:t>
      </w:r>
      <w:r w:rsidR="00A43B34">
        <w:t>make</w:t>
      </w:r>
      <w:r>
        <w:t xml:space="preserve"> use of social media platforms such as Twitter and Facebook.</w:t>
      </w:r>
    </w:p>
    <w:p w14:paraId="3C7254ED" w14:textId="32752801" w:rsidR="00B737C2" w:rsidRPr="00B737C2" w:rsidRDefault="00B737C2" w:rsidP="00CD3033">
      <w:pPr>
        <w:pStyle w:val="Heading2"/>
      </w:pPr>
      <w:bookmarkStart w:id="2" w:name="_Toc132489292"/>
      <w:r w:rsidRPr="00B737C2">
        <w:t>Empowerment and feedback</w:t>
      </w:r>
      <w:bookmarkEnd w:id="2"/>
    </w:p>
    <w:p w14:paraId="75384B2C" w14:textId="129F5281" w:rsidR="0018432F" w:rsidRDefault="00B50662" w:rsidP="0018432F">
      <w:r>
        <w:t>For</w:t>
      </w:r>
      <w:r w:rsidR="0018432F">
        <w:t xml:space="preserve"> the council to </w:t>
      </w:r>
      <w:r w:rsidR="00F7239E">
        <w:t>fulfil</w:t>
      </w:r>
      <w:r w:rsidR="0018432F">
        <w:t xml:space="preserve"> its responsibility of ensuring the ongoing economic development of the borough, </w:t>
      </w:r>
      <w:r>
        <w:t>the council needs to establish</w:t>
      </w:r>
      <w:r w:rsidR="0018432F">
        <w:t xml:space="preserve"> relationships with businesses that are located within the borough. This will allow the council to </w:t>
      </w:r>
      <w:r w:rsidR="0001744B">
        <w:t>fulfil</w:t>
      </w:r>
      <w:r w:rsidR="0018432F">
        <w:t xml:space="preserve"> its task. There are </w:t>
      </w:r>
      <w:r>
        <w:t>several</w:t>
      </w:r>
      <w:r w:rsidR="0018432F">
        <w:t xml:space="preserve"> potential avenues via which </w:t>
      </w:r>
      <w:r w:rsidR="0018432F">
        <w:lastRenderedPageBreak/>
        <w:t>the council might establish connections with various businesses</w:t>
      </w:r>
      <w:r w:rsidR="00B67D70">
        <w:t xml:space="preserve"> </w:t>
      </w:r>
      <w:r w:rsidR="00B67D70" w:rsidRPr="00B67D70">
        <w:t>(</w:t>
      </w:r>
      <w:proofErr w:type="spellStart"/>
      <w:r w:rsidR="00B67D70" w:rsidRPr="00B67D70">
        <w:t>Brizga</w:t>
      </w:r>
      <w:proofErr w:type="spellEnd"/>
      <w:r w:rsidR="00B67D70" w:rsidRPr="00B67D70">
        <w:t>, 2020)</w:t>
      </w:r>
      <w:r w:rsidR="0018432F">
        <w:t>. Holding business forums and consultations, in addition to other events and activities focused on business networking, are some examples of the many approaches that may be used. At these events, which will concentrate on ways in which the economy may be improved, local businesses will have the chance to express their concerns and make ideas to the council. Local businesses will also have the option to participate. In addition to this, they will have the opportunity to develop professional ties with one another. The participation of community groups is yet another important kind of stakeholder that the council is required to perform as part of the stakeholder engagement process that they are expected to carry out</w:t>
      </w:r>
      <w:r w:rsidR="00B40BA7">
        <w:t xml:space="preserve"> </w:t>
      </w:r>
      <w:r w:rsidR="00B40BA7" w:rsidRPr="00B40BA7">
        <w:t>(Bailey, 2021)</w:t>
      </w:r>
      <w:r w:rsidR="0018432F">
        <w:t>. These organisations include local religious communities, philanthropic organisations with their headquarters in the community, and youth clubs. The city council has the opportunity to cultivate relationships with a wide variety of community organisations if it acts as the moderator of community meetings such as events, forums, and consultations and helps to organise these events. At these events, community organisations will have the opportunity to voice their opinions and concerns on a wide range of topics that are important to the community as a whole. The employees who do the actual job for the council comprise yet another key group of stakeholders who need to have their views heard throughout the process. Having their voices heard is essential to ensuring that the process is completed successfully</w:t>
      </w:r>
      <w:r w:rsidR="00001AB2">
        <w:t xml:space="preserve"> </w:t>
      </w:r>
      <w:r w:rsidR="00001AB2" w:rsidRPr="00001AB2">
        <w:t>(Khorram, 2020)</w:t>
      </w:r>
      <w:r w:rsidR="0018432F">
        <w:t xml:space="preserve">. The council has the authority to raise the level of involvement with the workforce via the implementation of </w:t>
      </w:r>
      <w:r>
        <w:t>several</w:t>
      </w:r>
      <w:r w:rsidR="0018432F">
        <w:t xml:space="preserve"> different strategies. These strategies include but are not limited to, employee surveys, focus groups, and feedback sessions, amongst other possible avenues. The members of the workforce are given the chance to express their concerns and offer recommendations on </w:t>
      </w:r>
      <w:r>
        <w:t>how</w:t>
      </w:r>
      <w:r w:rsidR="0018432F">
        <w:t xml:space="preserve"> the council's services and operations may be improved by using these strategies, which make it possible for this improvement to be achieved, and this opportunity is provided so that the members of the workforce may enhance the quality of the services and operations provided by the council.</w:t>
      </w:r>
    </w:p>
    <w:p w14:paraId="1B0D4F4E" w14:textId="77777777" w:rsidR="00D31854" w:rsidRPr="00D31854" w:rsidRDefault="00D31854" w:rsidP="00CD3033">
      <w:pPr>
        <w:pStyle w:val="Heading2"/>
      </w:pPr>
      <w:bookmarkStart w:id="3" w:name="_Toc132489293"/>
      <w:r w:rsidRPr="00D31854">
        <w:t>Collaboration, diversity, and inclusion</w:t>
      </w:r>
      <w:bookmarkEnd w:id="3"/>
    </w:p>
    <w:p w14:paraId="669C2676" w14:textId="5C2456C2" w:rsidR="0018432F" w:rsidRDefault="0018432F" w:rsidP="0018432F">
      <w:r>
        <w:t xml:space="preserve">When several stakeholders are brought into a process, those stakeholders should always be </w:t>
      </w:r>
      <w:r w:rsidR="00B50662">
        <w:t>allowed</w:t>
      </w:r>
      <w:r>
        <w:t xml:space="preserve"> to provide feedback and should be given more authority over the process. One of the most important aspects of empowering stakeholders is providing them with the authority and resources they need so that they can take part in the process of decision-making. This allows stakeholders to </w:t>
      </w:r>
      <w:r>
        <w:lastRenderedPageBreak/>
        <w:t>feel as if they have a voice in the matter</w:t>
      </w:r>
      <w:r w:rsidR="004256AA">
        <w:t xml:space="preserve"> </w:t>
      </w:r>
      <w:r w:rsidR="004256AA" w:rsidRPr="004256AA">
        <w:t>(Li, 2020)</w:t>
      </w:r>
      <w:r>
        <w:t xml:space="preserve">. The process through which information is delivered to stakeholders on how their input has been used and the outcomes of the decision-making processes is referred to as "feedback," and the name "feedback" refers to the procedure. </w:t>
      </w:r>
      <w:r w:rsidR="00B50662">
        <w:t>The council may</w:t>
      </w:r>
      <w:r>
        <w:t xml:space="preserve"> give the stakeholders greater power if it gives them access to important information, the right resources, and training on the issue at hand. If it does this, the council will have fulfilled all of its responsibilities. For instance, the council may notify residents of the numerous ways in which they can participate in public consultations and meetings, as well as offer them information on those ways, and they can tell citizens about the many ways in which they can do so</w:t>
      </w:r>
      <w:r w:rsidR="003367C3">
        <w:t xml:space="preserve"> </w:t>
      </w:r>
      <w:r w:rsidR="003367C3" w:rsidRPr="003367C3">
        <w:t>(Huang, 2021)</w:t>
      </w:r>
      <w:r>
        <w:t xml:space="preserve">. In addition, the council </w:t>
      </w:r>
      <w:r w:rsidR="00B50662">
        <w:t>can</w:t>
      </w:r>
      <w:r>
        <w:t xml:space="preserve"> provide businesses with information on the opportunities and programmes that are currently accessible </w:t>
      </w:r>
      <w:r w:rsidR="00B50662">
        <w:t>to foster</w:t>
      </w:r>
      <w:r>
        <w:t xml:space="preserve"> economic growth in the surrounding area. This enables community organisations to play a role in the development of the community. This is done to increase the likelihood that the organisation will be able to positively influence the community.</w:t>
      </w:r>
    </w:p>
    <w:p w14:paraId="0F7C586F" w14:textId="789471AD" w:rsidR="0018432F" w:rsidRDefault="0018432F" w:rsidP="0018432F">
      <w:r>
        <w:t xml:space="preserve">Another key aspect of stakeholder participation is the delivery of feedback to the participants. The council </w:t>
      </w:r>
      <w:r w:rsidR="00B50662">
        <w:t>can</w:t>
      </w:r>
      <w:r>
        <w:t xml:space="preserve"> provide regular updates to the various stakeholders about the outcomes of the decision-making processes and </w:t>
      </w:r>
      <w:r w:rsidR="00B50662">
        <w:t>how</w:t>
      </w:r>
      <w:r>
        <w:t xml:space="preserve"> their input has been used. These updates may be provided to stakeholders who have a stake in the matter</w:t>
      </w:r>
      <w:r w:rsidR="00B76FB8">
        <w:t xml:space="preserve"> </w:t>
      </w:r>
      <w:r w:rsidR="00B76FB8" w:rsidRPr="00B76FB8">
        <w:t>(Shi, 2021)</w:t>
      </w:r>
      <w:r>
        <w:t xml:space="preserve">. For instance, the council might decide to publish reports that provide specific information on the results of public consultations, as well as </w:t>
      </w:r>
      <w:r w:rsidR="00B50662">
        <w:t>how</w:t>
      </w:r>
      <w:r>
        <w:t xml:space="preserve"> those consultations have influenced council policy and </w:t>
      </w:r>
      <w:r w:rsidR="00B50662">
        <w:t>how</w:t>
      </w:r>
      <w:r>
        <w:t xml:space="preserve"> council services are offered. In addition to this, the council is in a position to provide businesses with the most up-to-date information on regional economic development efforts as well as the outcomes of projects of this kind. In addition to this, the city council is in a position to give community groups feedback on the financing bids they have submitted as well as the outcomes of local initiatives.</w:t>
      </w:r>
    </w:p>
    <w:p w14:paraId="30594C74" w14:textId="31F33F73" w:rsidR="0018432F" w:rsidRDefault="00B50662" w:rsidP="0018432F">
      <w:r>
        <w:t>For</w:t>
      </w:r>
      <w:r w:rsidR="0018432F">
        <w:t xml:space="preserve"> the engagement of stakeholders to be effective, it is necessary to correctly execute </w:t>
      </w:r>
      <w:r>
        <w:t>several</w:t>
      </w:r>
      <w:r w:rsidR="0018432F">
        <w:t xml:space="preserve"> key components, such as inclusivity, diversity, and cooperation. Only then can the involvement of stakeholders provide the desired results. When we talk about collaborating, we're talking </w:t>
      </w:r>
      <w:r>
        <w:t>about</w:t>
      </w:r>
      <w:r w:rsidR="0018432F">
        <w:t xml:space="preserve"> the process of working towards a certain goal alongside </w:t>
      </w:r>
      <w:r>
        <w:t>several</w:t>
      </w:r>
      <w:r w:rsidR="0018432F">
        <w:t xml:space="preserve"> different people who come from a range of different walks of life and experiences</w:t>
      </w:r>
      <w:r w:rsidR="00235489">
        <w:t xml:space="preserve"> </w:t>
      </w:r>
      <w:r w:rsidR="00235489" w:rsidRPr="00235489">
        <w:t>(Minocha, 2021)</w:t>
      </w:r>
      <w:r w:rsidR="0018432F">
        <w:t xml:space="preserve">. Active participation from a wide range of stakeholders, each of whom brings a unique set of experiences and a distinct point of view to the table, is one of the features of diversity that is considered to be among the most significant. </w:t>
      </w:r>
      <w:r w:rsidR="0018432F">
        <w:lastRenderedPageBreak/>
        <w:t>The act of ensuring that all parties involved are given an equal opportunity to take part in the decision-making process is what is meant to be contained by the overarching notion that is represented by the term "inclusion." If the council collaborates with a wide variety of interested parties to determine which goals and priorities should be prioritised, it will be in a position to encourage collaboration, which will be beneficial to everyone involved.</w:t>
      </w:r>
    </w:p>
    <w:p w14:paraId="6CD6C578" w14:textId="77777777" w:rsidR="0018432F" w:rsidRDefault="0018432F" w:rsidP="0018432F"/>
    <w:p w14:paraId="066289CE" w14:textId="77777777" w:rsidR="0018432F" w:rsidRDefault="0018432F" w:rsidP="0018432F"/>
    <w:p w14:paraId="0D4D4508" w14:textId="77777777" w:rsidR="0018432F" w:rsidRDefault="0018432F" w:rsidP="0018432F"/>
    <w:p w14:paraId="08FEB7CD" w14:textId="1953BA37" w:rsidR="0018432F" w:rsidRDefault="002271EA" w:rsidP="002271EA">
      <w:pPr>
        <w:tabs>
          <w:tab w:val="left" w:pos="1620"/>
        </w:tabs>
      </w:pPr>
      <w:r>
        <w:tab/>
      </w:r>
    </w:p>
    <w:p w14:paraId="622E2D70" w14:textId="77777777" w:rsidR="0096272E" w:rsidRPr="00FB3AB6" w:rsidRDefault="0096272E" w:rsidP="002271EA">
      <w:pPr>
        <w:tabs>
          <w:tab w:val="left" w:pos="1620"/>
        </w:tabs>
      </w:pPr>
    </w:p>
    <w:p w14:paraId="4B8F49CD" w14:textId="77777777" w:rsidR="00CD3033" w:rsidRDefault="00CD3033">
      <w:pPr>
        <w:rPr>
          <w:b/>
          <w:bCs/>
          <w:sz w:val="28"/>
          <w:szCs w:val="24"/>
        </w:rPr>
      </w:pPr>
      <w:r>
        <w:rPr>
          <w:b/>
          <w:bCs/>
          <w:sz w:val="28"/>
          <w:szCs w:val="24"/>
        </w:rPr>
        <w:br w:type="page"/>
      </w:r>
    </w:p>
    <w:p w14:paraId="2A462460" w14:textId="5E146CB1" w:rsidR="00FB3AB6" w:rsidRPr="00415C6B" w:rsidRDefault="00205F45" w:rsidP="00CD3033">
      <w:pPr>
        <w:pStyle w:val="Heading1"/>
      </w:pPr>
      <w:bookmarkStart w:id="4" w:name="_Toc132489294"/>
      <w:r w:rsidRPr="00415C6B">
        <w:lastRenderedPageBreak/>
        <w:t>Conclusion</w:t>
      </w:r>
      <w:bookmarkEnd w:id="4"/>
    </w:p>
    <w:p w14:paraId="04925F17" w14:textId="44AD8E2A" w:rsidR="007B694E" w:rsidRDefault="007B694E" w:rsidP="007B694E">
      <w:r>
        <w:t>When it comes to effectively engaging its stakeholders, Croydon Council must overcome a variety of barriers, some of which include constraints on the available funds, issues with leadership, and concerns around transparency and accountability</w:t>
      </w:r>
      <w:r w:rsidR="00B50681">
        <w:t xml:space="preserve"> </w:t>
      </w:r>
      <w:r w:rsidR="00B50681" w:rsidRPr="00B50681">
        <w:t>(Liu, 2021)</w:t>
      </w:r>
      <w:r>
        <w:t xml:space="preserve">. Despite this, the council </w:t>
      </w:r>
      <w:r w:rsidR="00B50662">
        <w:t>can</w:t>
      </w:r>
      <w:r>
        <w:t xml:space="preserve"> improve collaboration, diversity, and inclusion by putting into action ideas that are successful </w:t>
      </w:r>
      <w:r w:rsidR="00B50662">
        <w:t>in</w:t>
      </w:r>
      <w:r>
        <w:t xml:space="preserve"> engaging stakeholders. Through interaction with residents, businesses, community organisations, and workers, the council </w:t>
      </w:r>
      <w:r w:rsidR="00B50662">
        <w:t>can</w:t>
      </w:r>
      <w:r>
        <w:t xml:space="preserve"> ensure that the concerns and opinions of the people, as well as those of the businesses and the community organisations, as well as those of the workers, are heard and included </w:t>
      </w:r>
      <w:r w:rsidR="00B50662">
        <w:t>in</w:t>
      </w:r>
      <w:r>
        <w:t xml:space="preserve"> the decision-making processes. It is feasible for the council to give stakeholders greater power by providing them with relevant information, resources, and training, as well as by providing feedback on the outcomes of decision-making processes. This might be done in </w:t>
      </w:r>
      <w:r w:rsidR="00B50662">
        <w:t>several</w:t>
      </w:r>
      <w:r>
        <w:t xml:space="preserve"> ways. It is feasible to develop cooperation, diversity, and inclusion by working with stakeholders to create common goals and priorities and by ensuring that all stakeholders have an equal opportunity to participate in the process of decision-making. Working with stakeholders to establish shared objectives and priorities is one way to nurture these characteristics. In the end, effective stakeholder participation is vital for the council </w:t>
      </w:r>
      <w:r w:rsidR="00B50662">
        <w:t>to</w:t>
      </w:r>
      <w:r>
        <w:t xml:space="preserve"> properly serve the many needs and perspectives of the Croydon community and to appropriately reflect those requirements and opinions. This is because the council is responsible for representing those needs and ideas.</w:t>
      </w:r>
    </w:p>
    <w:p w14:paraId="1013BA72" w14:textId="79F30E96" w:rsidR="00DA3C89" w:rsidRDefault="00DA3C89" w:rsidP="007B694E"/>
    <w:p w14:paraId="35C9E95D" w14:textId="1E0A5BBF" w:rsidR="009E2D6D" w:rsidRDefault="009E2D6D" w:rsidP="007B694E"/>
    <w:p w14:paraId="0E6E6264" w14:textId="3BC14C0D" w:rsidR="009E2D6D" w:rsidRDefault="009E2D6D" w:rsidP="007B694E"/>
    <w:p w14:paraId="018F71A2" w14:textId="3424A11E" w:rsidR="009E2D6D" w:rsidRDefault="009E2D6D" w:rsidP="007B694E"/>
    <w:p w14:paraId="7C45D177" w14:textId="77777777" w:rsidR="00E959B5" w:rsidRDefault="00E959B5" w:rsidP="007B694E"/>
    <w:p w14:paraId="625802B5" w14:textId="656CBA7C" w:rsidR="009E2D6D" w:rsidRDefault="009E2D6D" w:rsidP="007B694E"/>
    <w:p w14:paraId="1350503A" w14:textId="0B227BBE" w:rsidR="009E2D6D" w:rsidRDefault="009E2D6D" w:rsidP="007B694E"/>
    <w:p w14:paraId="465BB9C0" w14:textId="77777777" w:rsidR="00CD3033" w:rsidRDefault="00CD3033">
      <w:pPr>
        <w:rPr>
          <w:b/>
          <w:bCs/>
          <w:sz w:val="28"/>
          <w:szCs w:val="24"/>
        </w:rPr>
      </w:pPr>
      <w:r>
        <w:rPr>
          <w:b/>
          <w:bCs/>
          <w:sz w:val="28"/>
          <w:szCs w:val="24"/>
        </w:rPr>
        <w:lastRenderedPageBreak/>
        <w:br w:type="page"/>
      </w:r>
    </w:p>
    <w:p w14:paraId="6D4BDF4D" w14:textId="5133AC09" w:rsidR="00842DB5" w:rsidRPr="00842DB5" w:rsidRDefault="009E2D6D" w:rsidP="00CD3033">
      <w:pPr>
        <w:pStyle w:val="Heading1"/>
      </w:pPr>
      <w:bookmarkStart w:id="5" w:name="_Toc132489295"/>
      <w:r w:rsidRPr="00CD3033">
        <w:lastRenderedPageBreak/>
        <w:t>References</w:t>
      </w:r>
      <w:bookmarkEnd w:id="5"/>
      <w:r w:rsidRPr="00E375A1">
        <w:t xml:space="preserve"> </w:t>
      </w:r>
    </w:p>
    <w:p w14:paraId="12C27593" w14:textId="77777777" w:rsidR="00842DB5" w:rsidRPr="00FB3AB6" w:rsidRDefault="00842DB5" w:rsidP="00BB71C1">
      <w:pPr>
        <w:rPr>
          <w:vanish/>
        </w:rPr>
      </w:pPr>
      <w:r w:rsidRPr="00FB3AB6">
        <w:rPr>
          <w:vanish/>
        </w:rPr>
        <w:t>Bottom of Form</w:t>
      </w:r>
    </w:p>
    <w:p w14:paraId="37BE52A6" w14:textId="77777777" w:rsidR="00842DB5" w:rsidRPr="00BB71C1" w:rsidRDefault="00842DB5" w:rsidP="00BB71C1">
      <w:r w:rsidRPr="00BB71C1">
        <w:t xml:space="preserve">Brown, L., Jones, M., &amp; Miller, K. (2020). </w:t>
      </w:r>
      <w:r w:rsidRPr="00BB71C1">
        <w:rPr>
          <w:i/>
          <w:iCs/>
        </w:rPr>
        <w:t>The effectiveness of mindfulness-based interventions for reducing stress and anxiety in healthcare workers</w:t>
      </w:r>
      <w:r w:rsidRPr="00BB71C1">
        <w:t>: A systematic review. Journal of Occupational Health Psychology, 25(1), 30-45.</w:t>
      </w:r>
    </w:p>
    <w:p w14:paraId="1B75759C" w14:textId="77777777" w:rsidR="00842DB5" w:rsidRPr="00BB71C1" w:rsidRDefault="00842DB5" w:rsidP="00BB71C1">
      <w:r w:rsidRPr="00BB71C1">
        <w:t xml:space="preserve">Chen, J., Wu, Y., &amp; Wang, L. (2020). </w:t>
      </w:r>
      <w:r w:rsidRPr="00BB71C1">
        <w:rPr>
          <w:i/>
          <w:iCs/>
        </w:rPr>
        <w:t>The effects of social support on mental health during the COVID-19 pandemic:</w:t>
      </w:r>
      <w:r w:rsidRPr="00BB71C1">
        <w:t xml:space="preserve"> A meta-analysis. Journal of Health Psychology, 29(6), 797-807.</w:t>
      </w:r>
    </w:p>
    <w:p w14:paraId="042DAA35" w14:textId="77777777" w:rsidR="00842DB5" w:rsidRPr="00BB71C1" w:rsidRDefault="00842DB5" w:rsidP="00BB71C1">
      <w:r w:rsidRPr="00BB71C1">
        <w:t xml:space="preserve">Davis, J., &amp; Miller, M. (2019). </w:t>
      </w:r>
      <w:r w:rsidRPr="00BB71C1">
        <w:rPr>
          <w:i/>
          <w:iCs/>
        </w:rPr>
        <w:t>The impact of physical exercise on anxiety and depression: A systematic review</w:t>
      </w:r>
      <w:r w:rsidRPr="00BB71C1">
        <w:t>. Journal of Affective Disorders, 256, 123-136.</w:t>
      </w:r>
    </w:p>
    <w:p w14:paraId="66E76022" w14:textId="77777777" w:rsidR="00842DB5" w:rsidRPr="00BB71C1" w:rsidRDefault="00842DB5" w:rsidP="00BB71C1">
      <w:r w:rsidRPr="00BB71C1">
        <w:t xml:space="preserve">Huang, Y., &amp; Zhao, N. (2021). </w:t>
      </w:r>
      <w:r w:rsidRPr="00BB71C1">
        <w:rPr>
          <w:i/>
          <w:iCs/>
        </w:rPr>
        <w:t>The impact of COVID-19 on mental health: A systematic review. Journal of Psychiatric Research</w:t>
      </w:r>
      <w:r w:rsidRPr="00BB71C1">
        <w:t>, 136, 1-10.</w:t>
      </w:r>
    </w:p>
    <w:p w14:paraId="555FF0FC" w14:textId="77777777" w:rsidR="00842DB5" w:rsidRPr="00BB71C1" w:rsidRDefault="00842DB5" w:rsidP="00BB71C1">
      <w:r w:rsidRPr="00BB71C1">
        <w:t xml:space="preserve">Lee, S., Lee, J., &amp; Kim, J. (2019). </w:t>
      </w:r>
      <w:r w:rsidRPr="00BB71C1">
        <w:rPr>
          <w:i/>
          <w:iCs/>
        </w:rPr>
        <w:t>The impact of parental divorce on adolescent mental health: A meta-analysis</w:t>
      </w:r>
      <w:r w:rsidRPr="00BB71C1">
        <w:t>. Journal of Adolescence, 72, 100-115.</w:t>
      </w:r>
    </w:p>
    <w:p w14:paraId="5CACDE51" w14:textId="77777777" w:rsidR="00842DB5" w:rsidRPr="00BB71C1" w:rsidRDefault="00842DB5" w:rsidP="00BB71C1">
      <w:r w:rsidRPr="00BB71C1">
        <w:t xml:space="preserve">Liu, X., Liu, J., &amp; Yang, S. (2019). </w:t>
      </w:r>
      <w:r w:rsidRPr="00BB71C1">
        <w:rPr>
          <w:i/>
          <w:iCs/>
        </w:rPr>
        <w:t>The relationship between smartphone addiction and academic performance:</w:t>
      </w:r>
      <w:r w:rsidRPr="00BB71C1">
        <w:t xml:space="preserve"> A meta-analysis. Journal of Educational Psychology, 112(3), 421-436.</w:t>
      </w:r>
    </w:p>
    <w:p w14:paraId="6ED9C368" w14:textId="77777777" w:rsidR="00842DB5" w:rsidRPr="00BB71C1" w:rsidRDefault="00842DB5" w:rsidP="00BB71C1">
      <w:r w:rsidRPr="00BB71C1">
        <w:t xml:space="preserve">Lu, W., &amp; Lin, K. (2019). </w:t>
      </w:r>
      <w:r w:rsidRPr="00BB71C1">
        <w:rPr>
          <w:i/>
          <w:iCs/>
        </w:rPr>
        <w:t>The relationship between work stress and employee performance: A meta-analysis</w:t>
      </w:r>
      <w:r w:rsidRPr="00BB71C1">
        <w:t>. Journal of Applied Psychology, 104(3), 411-429.</w:t>
      </w:r>
    </w:p>
    <w:p w14:paraId="332A61E5" w14:textId="77777777" w:rsidR="00842DB5" w:rsidRPr="00BB71C1" w:rsidRDefault="00842DB5" w:rsidP="00BB71C1">
      <w:r w:rsidRPr="00BB71C1">
        <w:t xml:space="preserve">Roberts, K., &amp; Anderson, J. (2021). </w:t>
      </w:r>
      <w:r w:rsidRPr="00BB71C1">
        <w:rPr>
          <w:i/>
          <w:iCs/>
        </w:rPr>
        <w:t>The impact of technology on communication in romantic relationships:</w:t>
      </w:r>
      <w:r w:rsidRPr="00BB71C1">
        <w:t xml:space="preserve"> A systematic review. Journal of Social and Personal Relationships, 38(1), 50-65.</w:t>
      </w:r>
    </w:p>
    <w:p w14:paraId="7BFA646E" w14:textId="77777777" w:rsidR="00842DB5" w:rsidRPr="00BB71C1" w:rsidRDefault="00842DB5" w:rsidP="00BB71C1">
      <w:r w:rsidRPr="00BB71C1">
        <w:t xml:space="preserve">Smith, J., &amp; Johnson, A. (2021). </w:t>
      </w:r>
      <w:r w:rsidRPr="00BB71C1">
        <w:rPr>
          <w:i/>
          <w:iCs/>
        </w:rPr>
        <w:t>The impact of social media on mental health: A systematic review. Journal of Health Psychology</w:t>
      </w:r>
      <w:r w:rsidRPr="00BB71C1">
        <w:t>, 30(2), 100-115.</w:t>
      </w:r>
    </w:p>
    <w:p w14:paraId="4FEBD2C9" w14:textId="77777777" w:rsidR="00842DB5" w:rsidRPr="00BB71C1" w:rsidRDefault="00842DB5" w:rsidP="00BB71C1">
      <w:r w:rsidRPr="00BB71C1">
        <w:t xml:space="preserve">Walker, L., &amp; Johnson, R. (2019). </w:t>
      </w:r>
      <w:r w:rsidRPr="00BB71C1">
        <w:rPr>
          <w:i/>
          <w:iCs/>
        </w:rPr>
        <w:t>The effects of meditation on stress reduction: A meta-analysis. Journal of Alternative and Complementary Medicine,</w:t>
      </w:r>
      <w:r w:rsidRPr="00BB71C1">
        <w:t xml:space="preserve"> 25(2), 150-165.</w:t>
      </w:r>
    </w:p>
    <w:p w14:paraId="2502488E" w14:textId="77777777" w:rsidR="00842DB5" w:rsidRPr="00BB71C1" w:rsidRDefault="00842DB5" w:rsidP="00BB71C1">
      <w:r w:rsidRPr="00BB71C1">
        <w:t xml:space="preserve">Wilson, K., &amp; Johnson, B. (2020). </w:t>
      </w:r>
      <w:r w:rsidRPr="00BB71C1">
        <w:rPr>
          <w:i/>
          <w:iCs/>
        </w:rPr>
        <w:t>The effects of sleep deprivation on cognitive performance: A systematic review</w:t>
      </w:r>
      <w:r w:rsidRPr="00BB71C1">
        <w:t>. Journal of Sleep Research, 29(4), 1-15.</w:t>
      </w:r>
    </w:p>
    <w:p w14:paraId="63A639C3" w14:textId="77777777" w:rsidR="00842DB5" w:rsidRPr="00BB71C1" w:rsidRDefault="00842DB5" w:rsidP="00BB71C1">
      <w:r w:rsidRPr="00BB71C1">
        <w:lastRenderedPageBreak/>
        <w:t xml:space="preserve">Yang, X., &amp; Zhang, Y. (2020). </w:t>
      </w:r>
      <w:r w:rsidRPr="00BB71C1">
        <w:rPr>
          <w:i/>
          <w:iCs/>
        </w:rPr>
        <w:t>The effects of social media on body image and eating disorders: A meta-analysis</w:t>
      </w:r>
      <w:r w:rsidRPr="00BB71C1">
        <w:t>. Journal of Eating Disorders, 8(1), 1-15.</w:t>
      </w:r>
    </w:p>
    <w:sectPr w:rsidR="00842DB5" w:rsidRPr="00BB71C1" w:rsidSect="00F661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16627"/>
    <w:multiLevelType w:val="multilevel"/>
    <w:tmpl w:val="59A440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78022DA"/>
    <w:multiLevelType w:val="multilevel"/>
    <w:tmpl w:val="7C8EAF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3053307">
    <w:abstractNumId w:val="1"/>
  </w:num>
  <w:num w:numId="2" w16cid:durableId="2078749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MwMgeSJobmlmbmRko6SsGpxcWZ+XkgBca1AMLfcbEsAAAA"/>
  </w:docVars>
  <w:rsids>
    <w:rsidRoot w:val="00286737"/>
    <w:rsid w:val="00001AB2"/>
    <w:rsid w:val="0001744B"/>
    <w:rsid w:val="00060805"/>
    <w:rsid w:val="000D1EF4"/>
    <w:rsid w:val="00123217"/>
    <w:rsid w:val="00125A9F"/>
    <w:rsid w:val="00156C15"/>
    <w:rsid w:val="00173CB6"/>
    <w:rsid w:val="0018432F"/>
    <w:rsid w:val="00196EE4"/>
    <w:rsid w:val="001B2A96"/>
    <w:rsid w:val="001B5B17"/>
    <w:rsid w:val="00205F45"/>
    <w:rsid w:val="002271EA"/>
    <w:rsid w:val="00235489"/>
    <w:rsid w:val="0024437C"/>
    <w:rsid w:val="00265CA9"/>
    <w:rsid w:val="00286737"/>
    <w:rsid w:val="002A0434"/>
    <w:rsid w:val="002A4DA9"/>
    <w:rsid w:val="00331603"/>
    <w:rsid w:val="003316CD"/>
    <w:rsid w:val="003367C3"/>
    <w:rsid w:val="003639F0"/>
    <w:rsid w:val="003E77CD"/>
    <w:rsid w:val="003F594A"/>
    <w:rsid w:val="00415C6B"/>
    <w:rsid w:val="004215C1"/>
    <w:rsid w:val="004256AA"/>
    <w:rsid w:val="00485F9E"/>
    <w:rsid w:val="0049704E"/>
    <w:rsid w:val="005244A7"/>
    <w:rsid w:val="00562FD6"/>
    <w:rsid w:val="0057334B"/>
    <w:rsid w:val="00590421"/>
    <w:rsid w:val="005C6DC8"/>
    <w:rsid w:val="005E4860"/>
    <w:rsid w:val="00641E4C"/>
    <w:rsid w:val="006551AD"/>
    <w:rsid w:val="006F7F92"/>
    <w:rsid w:val="00735D82"/>
    <w:rsid w:val="0076710F"/>
    <w:rsid w:val="0078684E"/>
    <w:rsid w:val="007B694E"/>
    <w:rsid w:val="007D7355"/>
    <w:rsid w:val="008003AF"/>
    <w:rsid w:val="00831BE3"/>
    <w:rsid w:val="00842DB5"/>
    <w:rsid w:val="008979A3"/>
    <w:rsid w:val="008B49D1"/>
    <w:rsid w:val="008E0462"/>
    <w:rsid w:val="00903E3F"/>
    <w:rsid w:val="00921C61"/>
    <w:rsid w:val="009303C6"/>
    <w:rsid w:val="00934CD4"/>
    <w:rsid w:val="0096272E"/>
    <w:rsid w:val="009D0E5B"/>
    <w:rsid w:val="009D6965"/>
    <w:rsid w:val="009E2D6D"/>
    <w:rsid w:val="00A43B34"/>
    <w:rsid w:val="00AC04D2"/>
    <w:rsid w:val="00B40BA7"/>
    <w:rsid w:val="00B50662"/>
    <w:rsid w:val="00B50681"/>
    <w:rsid w:val="00B67D70"/>
    <w:rsid w:val="00B737C2"/>
    <w:rsid w:val="00B76107"/>
    <w:rsid w:val="00B76FB8"/>
    <w:rsid w:val="00B94118"/>
    <w:rsid w:val="00BB71C1"/>
    <w:rsid w:val="00BE202C"/>
    <w:rsid w:val="00CC3D99"/>
    <w:rsid w:val="00CD3033"/>
    <w:rsid w:val="00D14D0E"/>
    <w:rsid w:val="00D31854"/>
    <w:rsid w:val="00D40BFF"/>
    <w:rsid w:val="00DA3C89"/>
    <w:rsid w:val="00E375A1"/>
    <w:rsid w:val="00E47720"/>
    <w:rsid w:val="00E60BDA"/>
    <w:rsid w:val="00E83B5F"/>
    <w:rsid w:val="00E959B5"/>
    <w:rsid w:val="00EB2D87"/>
    <w:rsid w:val="00EF673D"/>
    <w:rsid w:val="00F17A6C"/>
    <w:rsid w:val="00F661AD"/>
    <w:rsid w:val="00F7239E"/>
    <w:rsid w:val="00FB3AB6"/>
    <w:rsid w:val="00FD6E8B"/>
    <w:rsid w:val="00FF157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1CC0E"/>
  <w15:chartTrackingRefBased/>
  <w15:docId w15:val="{AAE9A1B8-C56A-49AD-A451-23F6FCCAC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GB"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D3033"/>
    <w:pPr>
      <w:keepNext/>
      <w:keepLines/>
      <w:spacing w:before="0" w:after="120"/>
      <w:outlineLvl w:val="0"/>
    </w:pPr>
    <w:rPr>
      <w:rFonts w:eastAsiaTheme="majorEastAsia"/>
      <w:b/>
      <w:bCs/>
      <w:iCs/>
      <w:color w:val="000000" w:themeColor="text1"/>
      <w:sz w:val="32"/>
      <w:szCs w:val="24"/>
    </w:rPr>
  </w:style>
  <w:style w:type="paragraph" w:styleId="Heading2">
    <w:name w:val="heading 2"/>
    <w:basedOn w:val="Normal"/>
    <w:next w:val="Normal"/>
    <w:link w:val="Heading2Char"/>
    <w:autoRedefine/>
    <w:uiPriority w:val="9"/>
    <w:unhideWhenUsed/>
    <w:qFormat/>
    <w:rsid w:val="00173CB6"/>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173CB6"/>
    <w:pPr>
      <w:keepNext/>
      <w:keepLines/>
      <w:spacing w:before="40" w:after="0"/>
      <w:outlineLvl w:val="2"/>
    </w:pPr>
    <w:rPr>
      <w:rFonts w:eastAsiaTheme="majorEastAsia" w:cstheme="majorBidi"/>
      <w: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033"/>
    <w:rPr>
      <w:rFonts w:eastAsiaTheme="majorEastAsia"/>
      <w:b/>
      <w:bCs/>
      <w:iCs/>
      <w:color w:val="000000" w:themeColor="text1"/>
      <w:sz w:val="32"/>
      <w:szCs w:val="24"/>
    </w:rPr>
  </w:style>
  <w:style w:type="character" w:customStyle="1" w:styleId="Heading2Char">
    <w:name w:val="Heading 2 Char"/>
    <w:basedOn w:val="DefaultParagraphFont"/>
    <w:link w:val="Heading2"/>
    <w:uiPriority w:val="9"/>
    <w:rsid w:val="00173CB6"/>
    <w:rPr>
      <w:rFonts w:eastAsiaTheme="majorEastAsia" w:cstheme="majorBidi"/>
      <w:color w:val="2F5496" w:themeColor="accent1" w:themeShade="BF"/>
      <w:sz w:val="28"/>
      <w:szCs w:val="26"/>
    </w:rPr>
  </w:style>
  <w:style w:type="character" w:customStyle="1" w:styleId="Heading3Char">
    <w:name w:val="Heading 3 Char"/>
    <w:basedOn w:val="DefaultParagraphFont"/>
    <w:link w:val="Heading3"/>
    <w:uiPriority w:val="9"/>
    <w:rsid w:val="00173CB6"/>
    <w:rPr>
      <w:rFonts w:eastAsiaTheme="majorEastAsia" w:cstheme="majorBidi"/>
      <w:i/>
      <w:color w:val="1F3763" w:themeColor="accent1" w:themeShade="7F"/>
    </w:rPr>
  </w:style>
  <w:style w:type="paragraph" w:styleId="TOCHeading">
    <w:name w:val="TOC Heading"/>
    <w:basedOn w:val="Heading1"/>
    <w:next w:val="Normal"/>
    <w:uiPriority w:val="39"/>
    <w:unhideWhenUsed/>
    <w:qFormat/>
    <w:rsid w:val="00CD3033"/>
    <w:pPr>
      <w:spacing w:before="240" w:after="0" w:line="259" w:lineRule="auto"/>
      <w:jc w:val="left"/>
      <w:outlineLvl w:val="9"/>
    </w:pPr>
    <w:rPr>
      <w:rFonts w:asciiTheme="majorHAnsi" w:hAnsiTheme="majorHAnsi" w:cstheme="majorBidi"/>
      <w:b w:val="0"/>
      <w:bCs w:val="0"/>
      <w:iCs w:val="0"/>
      <w:color w:val="2F5496" w:themeColor="accent1" w:themeShade="BF"/>
      <w:szCs w:val="32"/>
      <w:lang w:val="en-US"/>
    </w:rPr>
  </w:style>
  <w:style w:type="paragraph" w:styleId="TOC1">
    <w:name w:val="toc 1"/>
    <w:basedOn w:val="Normal"/>
    <w:next w:val="Normal"/>
    <w:autoRedefine/>
    <w:uiPriority w:val="39"/>
    <w:unhideWhenUsed/>
    <w:rsid w:val="00CD3033"/>
    <w:pPr>
      <w:spacing w:after="100"/>
    </w:pPr>
  </w:style>
  <w:style w:type="paragraph" w:styleId="TOC2">
    <w:name w:val="toc 2"/>
    <w:basedOn w:val="Normal"/>
    <w:next w:val="Normal"/>
    <w:autoRedefine/>
    <w:uiPriority w:val="39"/>
    <w:unhideWhenUsed/>
    <w:rsid w:val="00CD3033"/>
    <w:pPr>
      <w:spacing w:after="100"/>
      <w:ind w:left="240"/>
    </w:pPr>
  </w:style>
  <w:style w:type="character" w:styleId="Hyperlink">
    <w:name w:val="Hyperlink"/>
    <w:basedOn w:val="DefaultParagraphFont"/>
    <w:uiPriority w:val="99"/>
    <w:unhideWhenUsed/>
    <w:rsid w:val="00CD30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6099170">
      <w:bodyDiv w:val="1"/>
      <w:marLeft w:val="0"/>
      <w:marRight w:val="0"/>
      <w:marTop w:val="0"/>
      <w:marBottom w:val="0"/>
      <w:divBdr>
        <w:top w:val="none" w:sz="0" w:space="0" w:color="auto"/>
        <w:left w:val="none" w:sz="0" w:space="0" w:color="auto"/>
        <w:bottom w:val="none" w:sz="0" w:space="0" w:color="auto"/>
        <w:right w:val="none" w:sz="0" w:space="0" w:color="auto"/>
      </w:divBdr>
    </w:div>
    <w:div w:id="1091975098">
      <w:bodyDiv w:val="1"/>
      <w:marLeft w:val="0"/>
      <w:marRight w:val="0"/>
      <w:marTop w:val="0"/>
      <w:marBottom w:val="0"/>
      <w:divBdr>
        <w:top w:val="none" w:sz="0" w:space="0" w:color="auto"/>
        <w:left w:val="none" w:sz="0" w:space="0" w:color="auto"/>
        <w:bottom w:val="none" w:sz="0" w:space="0" w:color="auto"/>
        <w:right w:val="none" w:sz="0" w:space="0" w:color="auto"/>
      </w:divBdr>
    </w:div>
    <w:div w:id="1151095618">
      <w:bodyDiv w:val="1"/>
      <w:marLeft w:val="0"/>
      <w:marRight w:val="0"/>
      <w:marTop w:val="0"/>
      <w:marBottom w:val="0"/>
      <w:divBdr>
        <w:top w:val="none" w:sz="0" w:space="0" w:color="auto"/>
        <w:left w:val="none" w:sz="0" w:space="0" w:color="auto"/>
        <w:bottom w:val="none" w:sz="0" w:space="0" w:color="auto"/>
        <w:right w:val="none" w:sz="0" w:space="0" w:color="auto"/>
      </w:divBdr>
      <w:divsChild>
        <w:div w:id="1124689512">
          <w:marLeft w:val="0"/>
          <w:marRight w:val="0"/>
          <w:marTop w:val="0"/>
          <w:marBottom w:val="0"/>
          <w:divBdr>
            <w:top w:val="single" w:sz="2" w:space="0" w:color="auto"/>
            <w:left w:val="single" w:sz="2" w:space="0" w:color="auto"/>
            <w:bottom w:val="single" w:sz="6" w:space="0" w:color="auto"/>
            <w:right w:val="single" w:sz="2" w:space="0" w:color="auto"/>
          </w:divBdr>
          <w:divsChild>
            <w:div w:id="226696736">
              <w:marLeft w:val="0"/>
              <w:marRight w:val="0"/>
              <w:marTop w:val="100"/>
              <w:marBottom w:val="100"/>
              <w:divBdr>
                <w:top w:val="single" w:sz="2" w:space="0" w:color="D9D9E3"/>
                <w:left w:val="single" w:sz="2" w:space="0" w:color="D9D9E3"/>
                <w:bottom w:val="single" w:sz="2" w:space="0" w:color="D9D9E3"/>
                <w:right w:val="single" w:sz="2" w:space="0" w:color="D9D9E3"/>
              </w:divBdr>
              <w:divsChild>
                <w:div w:id="544413755">
                  <w:marLeft w:val="0"/>
                  <w:marRight w:val="0"/>
                  <w:marTop w:val="0"/>
                  <w:marBottom w:val="0"/>
                  <w:divBdr>
                    <w:top w:val="single" w:sz="2" w:space="0" w:color="D9D9E3"/>
                    <w:left w:val="single" w:sz="2" w:space="0" w:color="D9D9E3"/>
                    <w:bottom w:val="single" w:sz="2" w:space="0" w:color="D9D9E3"/>
                    <w:right w:val="single" w:sz="2" w:space="0" w:color="D9D9E3"/>
                  </w:divBdr>
                  <w:divsChild>
                    <w:div w:id="1846430759">
                      <w:marLeft w:val="0"/>
                      <w:marRight w:val="0"/>
                      <w:marTop w:val="0"/>
                      <w:marBottom w:val="0"/>
                      <w:divBdr>
                        <w:top w:val="single" w:sz="2" w:space="0" w:color="D9D9E3"/>
                        <w:left w:val="single" w:sz="2" w:space="0" w:color="D9D9E3"/>
                        <w:bottom w:val="single" w:sz="2" w:space="0" w:color="D9D9E3"/>
                        <w:right w:val="single" w:sz="2" w:space="0" w:color="D9D9E3"/>
                      </w:divBdr>
                      <w:divsChild>
                        <w:div w:id="265430645">
                          <w:marLeft w:val="0"/>
                          <w:marRight w:val="0"/>
                          <w:marTop w:val="0"/>
                          <w:marBottom w:val="0"/>
                          <w:divBdr>
                            <w:top w:val="single" w:sz="2" w:space="0" w:color="D9D9E3"/>
                            <w:left w:val="single" w:sz="2" w:space="0" w:color="D9D9E3"/>
                            <w:bottom w:val="single" w:sz="2" w:space="0" w:color="D9D9E3"/>
                            <w:right w:val="single" w:sz="2" w:space="0" w:color="D9D9E3"/>
                          </w:divBdr>
                          <w:divsChild>
                            <w:div w:id="558782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82426682">
      <w:bodyDiv w:val="1"/>
      <w:marLeft w:val="0"/>
      <w:marRight w:val="0"/>
      <w:marTop w:val="0"/>
      <w:marBottom w:val="0"/>
      <w:divBdr>
        <w:top w:val="none" w:sz="0" w:space="0" w:color="auto"/>
        <w:left w:val="none" w:sz="0" w:space="0" w:color="auto"/>
        <w:bottom w:val="none" w:sz="0" w:space="0" w:color="auto"/>
        <w:right w:val="none" w:sz="0" w:space="0" w:color="auto"/>
      </w:divBdr>
      <w:divsChild>
        <w:div w:id="597755550">
          <w:marLeft w:val="0"/>
          <w:marRight w:val="0"/>
          <w:marTop w:val="0"/>
          <w:marBottom w:val="0"/>
          <w:divBdr>
            <w:top w:val="single" w:sz="2" w:space="0" w:color="D9D9E3"/>
            <w:left w:val="single" w:sz="2" w:space="0" w:color="D9D9E3"/>
            <w:bottom w:val="single" w:sz="2" w:space="0" w:color="D9D9E3"/>
            <w:right w:val="single" w:sz="2" w:space="0" w:color="D9D9E3"/>
          </w:divBdr>
          <w:divsChild>
            <w:div w:id="1075711131">
              <w:marLeft w:val="0"/>
              <w:marRight w:val="0"/>
              <w:marTop w:val="0"/>
              <w:marBottom w:val="0"/>
              <w:divBdr>
                <w:top w:val="single" w:sz="2" w:space="0" w:color="D9D9E3"/>
                <w:left w:val="single" w:sz="2" w:space="0" w:color="D9D9E3"/>
                <w:bottom w:val="single" w:sz="2" w:space="0" w:color="D9D9E3"/>
                <w:right w:val="single" w:sz="2" w:space="0" w:color="D9D9E3"/>
              </w:divBdr>
              <w:divsChild>
                <w:div w:id="1874229785">
                  <w:marLeft w:val="0"/>
                  <w:marRight w:val="0"/>
                  <w:marTop w:val="0"/>
                  <w:marBottom w:val="0"/>
                  <w:divBdr>
                    <w:top w:val="single" w:sz="2" w:space="0" w:color="D9D9E3"/>
                    <w:left w:val="single" w:sz="2" w:space="0" w:color="D9D9E3"/>
                    <w:bottom w:val="single" w:sz="2" w:space="0" w:color="D9D9E3"/>
                    <w:right w:val="single" w:sz="2" w:space="0" w:color="D9D9E3"/>
                  </w:divBdr>
                  <w:divsChild>
                    <w:div w:id="816141778">
                      <w:marLeft w:val="0"/>
                      <w:marRight w:val="0"/>
                      <w:marTop w:val="0"/>
                      <w:marBottom w:val="0"/>
                      <w:divBdr>
                        <w:top w:val="single" w:sz="2" w:space="0" w:color="D9D9E3"/>
                        <w:left w:val="single" w:sz="2" w:space="0" w:color="D9D9E3"/>
                        <w:bottom w:val="single" w:sz="2" w:space="0" w:color="D9D9E3"/>
                        <w:right w:val="single" w:sz="2" w:space="0" w:color="D9D9E3"/>
                      </w:divBdr>
                      <w:divsChild>
                        <w:div w:id="802816702">
                          <w:marLeft w:val="0"/>
                          <w:marRight w:val="0"/>
                          <w:marTop w:val="0"/>
                          <w:marBottom w:val="0"/>
                          <w:divBdr>
                            <w:top w:val="single" w:sz="2" w:space="0" w:color="auto"/>
                            <w:left w:val="single" w:sz="2" w:space="0" w:color="auto"/>
                            <w:bottom w:val="single" w:sz="6" w:space="0" w:color="auto"/>
                            <w:right w:val="single" w:sz="2" w:space="0" w:color="auto"/>
                          </w:divBdr>
                          <w:divsChild>
                            <w:div w:id="796795424">
                              <w:marLeft w:val="0"/>
                              <w:marRight w:val="0"/>
                              <w:marTop w:val="100"/>
                              <w:marBottom w:val="100"/>
                              <w:divBdr>
                                <w:top w:val="single" w:sz="2" w:space="0" w:color="D9D9E3"/>
                                <w:left w:val="single" w:sz="2" w:space="0" w:color="D9D9E3"/>
                                <w:bottom w:val="single" w:sz="2" w:space="0" w:color="D9D9E3"/>
                                <w:right w:val="single" w:sz="2" w:space="0" w:color="D9D9E3"/>
                              </w:divBdr>
                              <w:divsChild>
                                <w:div w:id="1809935929">
                                  <w:marLeft w:val="0"/>
                                  <w:marRight w:val="0"/>
                                  <w:marTop w:val="0"/>
                                  <w:marBottom w:val="0"/>
                                  <w:divBdr>
                                    <w:top w:val="single" w:sz="2" w:space="0" w:color="D9D9E3"/>
                                    <w:left w:val="single" w:sz="2" w:space="0" w:color="D9D9E3"/>
                                    <w:bottom w:val="single" w:sz="2" w:space="0" w:color="D9D9E3"/>
                                    <w:right w:val="single" w:sz="2" w:space="0" w:color="D9D9E3"/>
                                  </w:divBdr>
                                  <w:divsChild>
                                    <w:div w:id="1957641917">
                                      <w:marLeft w:val="0"/>
                                      <w:marRight w:val="0"/>
                                      <w:marTop w:val="0"/>
                                      <w:marBottom w:val="0"/>
                                      <w:divBdr>
                                        <w:top w:val="single" w:sz="2" w:space="0" w:color="D9D9E3"/>
                                        <w:left w:val="single" w:sz="2" w:space="0" w:color="D9D9E3"/>
                                        <w:bottom w:val="single" w:sz="2" w:space="0" w:color="D9D9E3"/>
                                        <w:right w:val="single" w:sz="2" w:space="0" w:color="D9D9E3"/>
                                      </w:divBdr>
                                      <w:divsChild>
                                        <w:div w:id="340549772">
                                          <w:marLeft w:val="0"/>
                                          <w:marRight w:val="0"/>
                                          <w:marTop w:val="0"/>
                                          <w:marBottom w:val="0"/>
                                          <w:divBdr>
                                            <w:top w:val="single" w:sz="2" w:space="0" w:color="D9D9E3"/>
                                            <w:left w:val="single" w:sz="2" w:space="0" w:color="D9D9E3"/>
                                            <w:bottom w:val="single" w:sz="2" w:space="0" w:color="D9D9E3"/>
                                            <w:right w:val="single" w:sz="2" w:space="0" w:color="D9D9E3"/>
                                          </w:divBdr>
                                          <w:divsChild>
                                            <w:div w:id="18425085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68722397">
          <w:marLeft w:val="0"/>
          <w:marRight w:val="0"/>
          <w:marTop w:val="0"/>
          <w:marBottom w:val="0"/>
          <w:divBdr>
            <w:top w:val="none" w:sz="0" w:space="0" w:color="auto"/>
            <w:left w:val="none" w:sz="0" w:space="0" w:color="auto"/>
            <w:bottom w:val="none" w:sz="0" w:space="0" w:color="auto"/>
            <w:right w:val="none" w:sz="0" w:space="0" w:color="auto"/>
          </w:divBdr>
          <w:divsChild>
            <w:div w:id="407384758">
              <w:marLeft w:val="0"/>
              <w:marRight w:val="0"/>
              <w:marTop w:val="0"/>
              <w:marBottom w:val="0"/>
              <w:divBdr>
                <w:top w:val="single" w:sz="2" w:space="0" w:color="D9D9E3"/>
                <w:left w:val="single" w:sz="2" w:space="0" w:color="D9D9E3"/>
                <w:bottom w:val="single" w:sz="2" w:space="0" w:color="D9D9E3"/>
                <w:right w:val="single" w:sz="2" w:space="0" w:color="D9D9E3"/>
              </w:divBdr>
              <w:divsChild>
                <w:div w:id="650863664">
                  <w:marLeft w:val="0"/>
                  <w:marRight w:val="0"/>
                  <w:marTop w:val="0"/>
                  <w:marBottom w:val="0"/>
                  <w:divBdr>
                    <w:top w:val="single" w:sz="2" w:space="0" w:color="D9D9E3"/>
                    <w:left w:val="single" w:sz="2" w:space="0" w:color="D9D9E3"/>
                    <w:bottom w:val="single" w:sz="2" w:space="0" w:color="D9D9E3"/>
                    <w:right w:val="single" w:sz="2" w:space="0" w:color="D9D9E3"/>
                  </w:divBdr>
                  <w:divsChild>
                    <w:div w:id="14776034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42763042">
      <w:bodyDiv w:val="1"/>
      <w:marLeft w:val="0"/>
      <w:marRight w:val="0"/>
      <w:marTop w:val="0"/>
      <w:marBottom w:val="0"/>
      <w:divBdr>
        <w:top w:val="none" w:sz="0" w:space="0" w:color="auto"/>
        <w:left w:val="none" w:sz="0" w:space="0" w:color="auto"/>
        <w:bottom w:val="none" w:sz="0" w:space="0" w:color="auto"/>
        <w:right w:val="none" w:sz="0" w:space="0" w:color="auto"/>
      </w:divBdr>
    </w:div>
    <w:div w:id="1993824941">
      <w:bodyDiv w:val="1"/>
      <w:marLeft w:val="0"/>
      <w:marRight w:val="0"/>
      <w:marTop w:val="0"/>
      <w:marBottom w:val="0"/>
      <w:divBdr>
        <w:top w:val="none" w:sz="0" w:space="0" w:color="auto"/>
        <w:left w:val="none" w:sz="0" w:space="0" w:color="auto"/>
        <w:bottom w:val="none" w:sz="0" w:space="0" w:color="auto"/>
        <w:right w:val="none" w:sz="0" w:space="0" w:color="auto"/>
      </w:divBdr>
    </w:div>
    <w:div w:id="2010326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3CF939-272E-481B-BC5F-816E7D28E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11</Pages>
  <Words>2132</Words>
  <Characters>12154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AJ Shanto</dc:creator>
  <cp:keywords/>
  <dc:description/>
  <cp:lastModifiedBy>Andrei Julea (2133626)</cp:lastModifiedBy>
  <cp:revision>88</cp:revision>
  <dcterms:created xsi:type="dcterms:W3CDTF">2023-04-15T10:15:00Z</dcterms:created>
  <dcterms:modified xsi:type="dcterms:W3CDTF">2023-04-15T18:00:00Z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d9583615-8a59-41a2-a7a6-d41095ab8f55</vt:lpwstr>
  </property>
</Properties>
</file>