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6D099D" w14:textId="77777777" w:rsidR="00384D65" w:rsidRPr="00E8259B" w:rsidRDefault="00384D65" w:rsidP="0003420F">
      <w:pPr>
        <w:spacing w:before="0" w:after="0" w:line="480" w:lineRule="auto"/>
        <w:rPr>
          <w:lang w:val="en-GB"/>
        </w:rPr>
      </w:pPr>
    </w:p>
    <w:p w14:paraId="79169589" w14:textId="77777777" w:rsidR="00384D65" w:rsidRPr="0003420F" w:rsidRDefault="008D5838" w:rsidP="004715C8">
      <w:pPr>
        <w:spacing w:before="0" w:after="0" w:line="480" w:lineRule="auto"/>
        <w:jc w:val="center"/>
        <w:rPr>
          <w:sz w:val="28"/>
          <w:szCs w:val="28"/>
          <w:lang w:val="en-GB"/>
        </w:rPr>
      </w:pPr>
      <w:r w:rsidRPr="0003420F">
        <w:rPr>
          <w:sz w:val="28"/>
          <w:szCs w:val="28"/>
          <w:lang w:val="en-GB"/>
        </w:rPr>
        <w:t>Coursework: Written Report</w:t>
      </w:r>
    </w:p>
    <w:p w14:paraId="3392073C" w14:textId="7F70DBCD" w:rsidR="0003420F" w:rsidRPr="0003420F" w:rsidRDefault="0003420F" w:rsidP="004715C8">
      <w:pPr>
        <w:spacing w:before="0" w:after="0" w:line="480" w:lineRule="auto"/>
        <w:jc w:val="center"/>
        <w:rPr>
          <w:sz w:val="28"/>
          <w:szCs w:val="28"/>
          <w:lang w:val="en-GB"/>
        </w:rPr>
      </w:pPr>
      <w:r w:rsidRPr="0003420F">
        <w:rPr>
          <w:sz w:val="28"/>
          <w:szCs w:val="28"/>
          <w:lang w:val="en-GB"/>
        </w:rPr>
        <w:t>Assessment 1</w:t>
      </w:r>
    </w:p>
    <w:p w14:paraId="348647C3" w14:textId="77777777" w:rsidR="0003420F" w:rsidRDefault="0003420F" w:rsidP="004715C8">
      <w:pPr>
        <w:spacing w:before="0" w:after="0" w:line="480" w:lineRule="auto"/>
        <w:jc w:val="center"/>
        <w:rPr>
          <w:lang w:val="en-GB"/>
        </w:rPr>
      </w:pPr>
    </w:p>
    <w:p w14:paraId="3ABCEBAB" w14:textId="77777777" w:rsidR="0003420F" w:rsidRDefault="0003420F" w:rsidP="004715C8">
      <w:pPr>
        <w:spacing w:before="0" w:after="0" w:line="480" w:lineRule="auto"/>
        <w:jc w:val="center"/>
        <w:rPr>
          <w:lang w:val="en-GB"/>
        </w:rPr>
      </w:pPr>
    </w:p>
    <w:p w14:paraId="1879E39F" w14:textId="77777777" w:rsidR="0003420F" w:rsidRDefault="0003420F" w:rsidP="004715C8">
      <w:pPr>
        <w:spacing w:before="0" w:after="0" w:line="480" w:lineRule="auto"/>
        <w:jc w:val="center"/>
        <w:rPr>
          <w:lang w:val="en-GB"/>
        </w:rPr>
      </w:pPr>
    </w:p>
    <w:p w14:paraId="0D2B7978" w14:textId="77777777" w:rsidR="0003420F" w:rsidRDefault="0003420F" w:rsidP="004715C8">
      <w:pPr>
        <w:spacing w:before="0" w:after="0" w:line="480" w:lineRule="auto"/>
        <w:jc w:val="center"/>
        <w:rPr>
          <w:lang w:val="en-GB"/>
        </w:rPr>
      </w:pPr>
    </w:p>
    <w:p w14:paraId="5D8D7FCE" w14:textId="77777777" w:rsidR="0003420F" w:rsidRDefault="0003420F" w:rsidP="00E27F8B">
      <w:pPr>
        <w:spacing w:before="0" w:after="0" w:line="480" w:lineRule="auto"/>
        <w:rPr>
          <w:lang w:val="en-GB"/>
        </w:rPr>
      </w:pPr>
    </w:p>
    <w:p w14:paraId="233CED22" w14:textId="77777777" w:rsidR="0003420F" w:rsidRDefault="0003420F" w:rsidP="004715C8">
      <w:pPr>
        <w:spacing w:before="0" w:after="0" w:line="480" w:lineRule="auto"/>
        <w:jc w:val="center"/>
        <w:rPr>
          <w:lang w:val="en-GB"/>
        </w:rPr>
      </w:pPr>
    </w:p>
    <w:p w14:paraId="08318487" w14:textId="77777777" w:rsidR="0003420F" w:rsidRPr="00E8259B" w:rsidRDefault="0003420F" w:rsidP="004715C8">
      <w:pPr>
        <w:spacing w:before="0" w:after="0" w:line="480" w:lineRule="auto"/>
        <w:jc w:val="center"/>
        <w:rPr>
          <w:lang w:val="en-GB"/>
        </w:rPr>
      </w:pPr>
    </w:p>
    <w:p w14:paraId="6FE1B0D3" w14:textId="77777777" w:rsidR="0003420F" w:rsidRPr="000C5493" w:rsidRDefault="0003420F" w:rsidP="0003420F">
      <w:pPr>
        <w:spacing w:line="480" w:lineRule="auto"/>
        <w:jc w:val="center"/>
        <w:rPr>
          <w:szCs w:val="24"/>
        </w:rPr>
      </w:pPr>
      <w:r w:rsidRPr="000C5493">
        <w:rPr>
          <w:szCs w:val="24"/>
        </w:rPr>
        <w:t>Student ID: 2023296</w:t>
      </w:r>
    </w:p>
    <w:p w14:paraId="40497EF8" w14:textId="77777777" w:rsidR="0003420F" w:rsidRPr="000C5493" w:rsidRDefault="0003420F" w:rsidP="0003420F">
      <w:pPr>
        <w:spacing w:line="480" w:lineRule="auto"/>
        <w:jc w:val="center"/>
        <w:rPr>
          <w:szCs w:val="24"/>
        </w:rPr>
      </w:pPr>
      <w:r w:rsidRPr="000C5493">
        <w:rPr>
          <w:szCs w:val="24"/>
        </w:rPr>
        <w:t>Student: Larisa Tamas</w:t>
      </w:r>
    </w:p>
    <w:p w14:paraId="5E98D4B9" w14:textId="3EEC66E3" w:rsidR="0003420F" w:rsidRPr="00CE5A0F" w:rsidRDefault="0003420F" w:rsidP="0003420F">
      <w:pPr>
        <w:spacing w:line="480" w:lineRule="auto"/>
        <w:jc w:val="center"/>
        <w:rPr>
          <w:szCs w:val="24"/>
          <w:lang w:val="en-GB"/>
        </w:rPr>
      </w:pPr>
      <w:r w:rsidRPr="000C5493">
        <w:rPr>
          <w:szCs w:val="24"/>
        </w:rPr>
        <w:t>Module Code: LCBB</w:t>
      </w:r>
      <w:r>
        <w:rPr>
          <w:szCs w:val="24"/>
          <w:lang w:val="en-GB"/>
        </w:rPr>
        <w:t>600</w:t>
      </w:r>
      <w:r>
        <w:rPr>
          <w:szCs w:val="24"/>
          <w:lang w:val="en-GB"/>
        </w:rPr>
        <w:t>2</w:t>
      </w:r>
    </w:p>
    <w:p w14:paraId="282594E0" w14:textId="61FB8977" w:rsidR="0003420F" w:rsidRPr="00CE5A0F" w:rsidRDefault="0003420F" w:rsidP="0003420F">
      <w:pPr>
        <w:spacing w:line="480" w:lineRule="auto"/>
        <w:jc w:val="center"/>
        <w:rPr>
          <w:szCs w:val="24"/>
          <w:lang w:val="en-GB"/>
        </w:rPr>
      </w:pPr>
      <w:r w:rsidRPr="000C5493">
        <w:rPr>
          <w:szCs w:val="24"/>
        </w:rPr>
        <w:t xml:space="preserve">Lecturer: </w:t>
      </w:r>
      <w:r>
        <w:rPr>
          <w:szCs w:val="24"/>
          <w:lang w:val="en-GB"/>
        </w:rPr>
        <w:t>Thomas Adeyemi</w:t>
      </w:r>
    </w:p>
    <w:p w14:paraId="44CD1CC8" w14:textId="77777777" w:rsidR="0003420F" w:rsidRPr="000C5493" w:rsidRDefault="0003420F" w:rsidP="0003420F">
      <w:pPr>
        <w:spacing w:line="480" w:lineRule="auto"/>
        <w:jc w:val="center"/>
        <w:rPr>
          <w:szCs w:val="24"/>
        </w:rPr>
      </w:pPr>
      <w:r w:rsidRPr="000C5493">
        <w:rPr>
          <w:szCs w:val="24"/>
        </w:rPr>
        <w:t>BA Business Management</w:t>
      </w:r>
    </w:p>
    <w:p w14:paraId="0BD60278" w14:textId="77777777" w:rsidR="0003420F" w:rsidRPr="000C5493" w:rsidRDefault="0003420F" w:rsidP="0003420F">
      <w:pPr>
        <w:spacing w:line="480" w:lineRule="auto"/>
        <w:jc w:val="center"/>
        <w:rPr>
          <w:szCs w:val="24"/>
        </w:rPr>
      </w:pPr>
      <w:r>
        <w:rPr>
          <w:szCs w:val="24"/>
          <w:lang w:val="en-GB"/>
        </w:rPr>
        <w:t>26 August 2023</w:t>
      </w:r>
    </w:p>
    <w:p w14:paraId="740A86EB" w14:textId="77777777" w:rsidR="00E27F8B" w:rsidRPr="00E8259B" w:rsidRDefault="00C540A8" w:rsidP="0003420F">
      <w:pPr>
        <w:spacing w:before="0" w:after="0" w:line="480" w:lineRule="auto"/>
        <w:rPr>
          <w:lang w:val="en-GB"/>
        </w:rPr>
      </w:pPr>
      <w:r>
        <w:rPr>
          <w:lang w:val="en-GB"/>
        </w:rPr>
        <w:br w:type="page"/>
      </w:r>
    </w:p>
    <w:p w14:paraId="52E6D4F0" w14:textId="77777777" w:rsidR="00E27F8B" w:rsidRPr="00E27F8B" w:rsidRDefault="00E27F8B">
      <w:pPr>
        <w:pStyle w:val="TOCHeading"/>
        <w:rPr>
          <w:rFonts w:ascii="Times New Roman" w:hAnsi="Times New Roman"/>
          <w:b/>
          <w:bCs/>
          <w:sz w:val="24"/>
          <w:szCs w:val="24"/>
        </w:rPr>
      </w:pPr>
      <w:r w:rsidRPr="00E27F8B">
        <w:rPr>
          <w:rFonts w:ascii="Times New Roman" w:hAnsi="Times New Roman"/>
          <w:b/>
          <w:bCs/>
          <w:sz w:val="24"/>
          <w:szCs w:val="24"/>
        </w:rPr>
        <w:t>Contents</w:t>
      </w:r>
    </w:p>
    <w:p w14:paraId="44B3A7EE" w14:textId="7A6C460D" w:rsidR="00E27F8B" w:rsidRPr="00E27F8B" w:rsidRDefault="00E27F8B">
      <w:pPr>
        <w:pStyle w:val="TOC1"/>
        <w:tabs>
          <w:tab w:val="right" w:leader="dot" w:pos="9019"/>
        </w:tabs>
        <w:rPr>
          <w:b/>
          <w:bCs/>
          <w:noProof/>
          <w:szCs w:val="24"/>
        </w:rPr>
      </w:pPr>
      <w:r w:rsidRPr="00E27F8B">
        <w:rPr>
          <w:b/>
          <w:bCs/>
          <w:szCs w:val="24"/>
        </w:rPr>
        <w:fldChar w:fldCharType="begin"/>
      </w:r>
      <w:r w:rsidRPr="00E27F8B">
        <w:rPr>
          <w:b/>
          <w:bCs/>
          <w:szCs w:val="24"/>
        </w:rPr>
        <w:instrText xml:space="preserve"> TOC \o "1-3" \h \z \u </w:instrText>
      </w:r>
      <w:r w:rsidRPr="00E27F8B">
        <w:rPr>
          <w:b/>
          <w:bCs/>
          <w:szCs w:val="24"/>
        </w:rPr>
        <w:fldChar w:fldCharType="separate"/>
      </w:r>
      <w:hyperlink w:anchor="_Toc143947013" w:history="1">
        <w:r w:rsidRPr="00E27F8B">
          <w:rPr>
            <w:rStyle w:val="Hyperlink"/>
            <w:b/>
            <w:bCs/>
            <w:noProof/>
            <w:szCs w:val="24"/>
            <w:lang w:val="en-GB"/>
          </w:rPr>
          <w:t>Introduction</w:t>
        </w:r>
        <w:r w:rsidRPr="00E27F8B">
          <w:rPr>
            <w:b/>
            <w:bCs/>
            <w:noProof/>
            <w:webHidden/>
            <w:szCs w:val="24"/>
          </w:rPr>
          <w:tab/>
        </w:r>
        <w:r w:rsidRPr="00E27F8B">
          <w:rPr>
            <w:b/>
            <w:bCs/>
            <w:noProof/>
            <w:webHidden/>
            <w:szCs w:val="24"/>
          </w:rPr>
          <w:fldChar w:fldCharType="begin"/>
        </w:r>
        <w:r w:rsidRPr="00E27F8B">
          <w:rPr>
            <w:b/>
            <w:bCs/>
            <w:noProof/>
            <w:webHidden/>
            <w:szCs w:val="24"/>
          </w:rPr>
          <w:instrText xml:space="preserve"> PAGEREF _Toc143947013 \h </w:instrText>
        </w:r>
        <w:r w:rsidRPr="00E27F8B">
          <w:rPr>
            <w:b/>
            <w:bCs/>
            <w:noProof/>
            <w:webHidden/>
            <w:szCs w:val="24"/>
          </w:rPr>
        </w:r>
        <w:r w:rsidRPr="00E27F8B">
          <w:rPr>
            <w:b/>
            <w:bCs/>
            <w:noProof/>
            <w:webHidden/>
            <w:szCs w:val="24"/>
          </w:rPr>
          <w:fldChar w:fldCharType="separate"/>
        </w:r>
        <w:r w:rsidRPr="00E27F8B">
          <w:rPr>
            <w:b/>
            <w:bCs/>
            <w:noProof/>
            <w:webHidden/>
            <w:szCs w:val="24"/>
          </w:rPr>
          <w:t>3</w:t>
        </w:r>
        <w:r w:rsidRPr="00E27F8B">
          <w:rPr>
            <w:b/>
            <w:bCs/>
            <w:noProof/>
            <w:webHidden/>
            <w:szCs w:val="24"/>
          </w:rPr>
          <w:fldChar w:fldCharType="end"/>
        </w:r>
      </w:hyperlink>
    </w:p>
    <w:p w14:paraId="3B3E1FDE" w14:textId="271A2F27" w:rsidR="00E27F8B" w:rsidRPr="00E27F8B" w:rsidRDefault="00E27F8B">
      <w:pPr>
        <w:pStyle w:val="TOC1"/>
        <w:tabs>
          <w:tab w:val="right" w:leader="dot" w:pos="9019"/>
        </w:tabs>
        <w:rPr>
          <w:b/>
          <w:bCs/>
          <w:noProof/>
          <w:szCs w:val="24"/>
        </w:rPr>
      </w:pPr>
      <w:hyperlink w:anchor="_Toc143947014" w:history="1">
        <w:r w:rsidRPr="00E27F8B">
          <w:rPr>
            <w:rStyle w:val="Hyperlink"/>
            <w:b/>
            <w:bCs/>
            <w:noProof/>
            <w:szCs w:val="24"/>
            <w:lang w:val="en-GB"/>
          </w:rPr>
          <w:t>Nestlé SA Company</w:t>
        </w:r>
        <w:r w:rsidRPr="00E27F8B">
          <w:rPr>
            <w:b/>
            <w:bCs/>
            <w:noProof/>
            <w:webHidden/>
            <w:szCs w:val="24"/>
          </w:rPr>
          <w:tab/>
        </w:r>
        <w:r w:rsidRPr="00E27F8B">
          <w:rPr>
            <w:b/>
            <w:bCs/>
            <w:noProof/>
            <w:webHidden/>
            <w:szCs w:val="24"/>
          </w:rPr>
          <w:fldChar w:fldCharType="begin"/>
        </w:r>
        <w:r w:rsidRPr="00E27F8B">
          <w:rPr>
            <w:b/>
            <w:bCs/>
            <w:noProof/>
            <w:webHidden/>
            <w:szCs w:val="24"/>
          </w:rPr>
          <w:instrText xml:space="preserve"> PAGEREF _Toc143947014 \h </w:instrText>
        </w:r>
        <w:r w:rsidRPr="00E27F8B">
          <w:rPr>
            <w:b/>
            <w:bCs/>
            <w:noProof/>
            <w:webHidden/>
            <w:szCs w:val="24"/>
          </w:rPr>
        </w:r>
        <w:r w:rsidRPr="00E27F8B">
          <w:rPr>
            <w:b/>
            <w:bCs/>
            <w:noProof/>
            <w:webHidden/>
            <w:szCs w:val="24"/>
          </w:rPr>
          <w:fldChar w:fldCharType="separate"/>
        </w:r>
        <w:r w:rsidRPr="00E27F8B">
          <w:rPr>
            <w:b/>
            <w:bCs/>
            <w:noProof/>
            <w:webHidden/>
            <w:szCs w:val="24"/>
          </w:rPr>
          <w:t>3</w:t>
        </w:r>
        <w:r w:rsidRPr="00E27F8B">
          <w:rPr>
            <w:b/>
            <w:bCs/>
            <w:noProof/>
            <w:webHidden/>
            <w:szCs w:val="24"/>
          </w:rPr>
          <w:fldChar w:fldCharType="end"/>
        </w:r>
      </w:hyperlink>
    </w:p>
    <w:p w14:paraId="59594949" w14:textId="5406C82D" w:rsidR="00E27F8B" w:rsidRPr="00E27F8B" w:rsidRDefault="00E27F8B">
      <w:pPr>
        <w:pStyle w:val="TOC1"/>
        <w:tabs>
          <w:tab w:val="right" w:leader="dot" w:pos="9019"/>
        </w:tabs>
        <w:rPr>
          <w:b/>
          <w:bCs/>
          <w:noProof/>
          <w:szCs w:val="24"/>
        </w:rPr>
      </w:pPr>
      <w:hyperlink w:anchor="_Toc143947015" w:history="1">
        <w:r w:rsidRPr="00E27F8B">
          <w:rPr>
            <w:rStyle w:val="Hyperlink"/>
            <w:b/>
            <w:bCs/>
            <w:noProof/>
            <w:szCs w:val="24"/>
            <w:lang w:val="en-GB"/>
          </w:rPr>
          <w:t>Dividend Distribution Policy</w:t>
        </w:r>
        <w:r w:rsidRPr="00E27F8B">
          <w:rPr>
            <w:b/>
            <w:bCs/>
            <w:noProof/>
            <w:webHidden/>
            <w:szCs w:val="24"/>
          </w:rPr>
          <w:tab/>
        </w:r>
        <w:r w:rsidRPr="00E27F8B">
          <w:rPr>
            <w:b/>
            <w:bCs/>
            <w:noProof/>
            <w:webHidden/>
            <w:szCs w:val="24"/>
          </w:rPr>
          <w:fldChar w:fldCharType="begin"/>
        </w:r>
        <w:r w:rsidRPr="00E27F8B">
          <w:rPr>
            <w:b/>
            <w:bCs/>
            <w:noProof/>
            <w:webHidden/>
            <w:szCs w:val="24"/>
          </w:rPr>
          <w:instrText xml:space="preserve"> PAGEREF _Toc143947015 \h </w:instrText>
        </w:r>
        <w:r w:rsidRPr="00E27F8B">
          <w:rPr>
            <w:b/>
            <w:bCs/>
            <w:noProof/>
            <w:webHidden/>
            <w:szCs w:val="24"/>
          </w:rPr>
        </w:r>
        <w:r w:rsidRPr="00E27F8B">
          <w:rPr>
            <w:b/>
            <w:bCs/>
            <w:noProof/>
            <w:webHidden/>
            <w:szCs w:val="24"/>
          </w:rPr>
          <w:fldChar w:fldCharType="separate"/>
        </w:r>
        <w:r w:rsidRPr="00E27F8B">
          <w:rPr>
            <w:b/>
            <w:bCs/>
            <w:noProof/>
            <w:webHidden/>
            <w:szCs w:val="24"/>
          </w:rPr>
          <w:t>4</w:t>
        </w:r>
        <w:r w:rsidRPr="00E27F8B">
          <w:rPr>
            <w:b/>
            <w:bCs/>
            <w:noProof/>
            <w:webHidden/>
            <w:szCs w:val="24"/>
          </w:rPr>
          <w:fldChar w:fldCharType="end"/>
        </w:r>
      </w:hyperlink>
    </w:p>
    <w:p w14:paraId="515D53DB" w14:textId="71258B44" w:rsidR="00E27F8B" w:rsidRPr="00E27F8B" w:rsidRDefault="00E27F8B">
      <w:pPr>
        <w:pStyle w:val="TOC1"/>
        <w:tabs>
          <w:tab w:val="right" w:leader="dot" w:pos="9019"/>
        </w:tabs>
        <w:rPr>
          <w:b/>
          <w:bCs/>
          <w:noProof/>
          <w:szCs w:val="24"/>
        </w:rPr>
      </w:pPr>
      <w:hyperlink w:anchor="_Toc143947016" w:history="1">
        <w:r w:rsidRPr="00E27F8B">
          <w:rPr>
            <w:rStyle w:val="Hyperlink"/>
            <w:b/>
            <w:bCs/>
            <w:noProof/>
            <w:szCs w:val="24"/>
            <w:lang w:val="en-GB"/>
          </w:rPr>
          <w:t>The Efficient Market Hypothesis Theory</w:t>
        </w:r>
        <w:r w:rsidRPr="00E27F8B">
          <w:rPr>
            <w:b/>
            <w:bCs/>
            <w:noProof/>
            <w:webHidden/>
            <w:szCs w:val="24"/>
          </w:rPr>
          <w:tab/>
        </w:r>
        <w:r w:rsidRPr="00E27F8B">
          <w:rPr>
            <w:b/>
            <w:bCs/>
            <w:noProof/>
            <w:webHidden/>
            <w:szCs w:val="24"/>
          </w:rPr>
          <w:fldChar w:fldCharType="begin"/>
        </w:r>
        <w:r w:rsidRPr="00E27F8B">
          <w:rPr>
            <w:b/>
            <w:bCs/>
            <w:noProof/>
            <w:webHidden/>
            <w:szCs w:val="24"/>
          </w:rPr>
          <w:instrText xml:space="preserve"> PAGEREF _Toc143947016 \h </w:instrText>
        </w:r>
        <w:r w:rsidRPr="00E27F8B">
          <w:rPr>
            <w:b/>
            <w:bCs/>
            <w:noProof/>
            <w:webHidden/>
            <w:szCs w:val="24"/>
          </w:rPr>
        </w:r>
        <w:r w:rsidRPr="00E27F8B">
          <w:rPr>
            <w:b/>
            <w:bCs/>
            <w:noProof/>
            <w:webHidden/>
            <w:szCs w:val="24"/>
          </w:rPr>
          <w:fldChar w:fldCharType="separate"/>
        </w:r>
        <w:r w:rsidRPr="00E27F8B">
          <w:rPr>
            <w:b/>
            <w:bCs/>
            <w:noProof/>
            <w:webHidden/>
            <w:szCs w:val="24"/>
          </w:rPr>
          <w:t>5</w:t>
        </w:r>
        <w:r w:rsidRPr="00E27F8B">
          <w:rPr>
            <w:b/>
            <w:bCs/>
            <w:noProof/>
            <w:webHidden/>
            <w:szCs w:val="24"/>
          </w:rPr>
          <w:fldChar w:fldCharType="end"/>
        </w:r>
      </w:hyperlink>
    </w:p>
    <w:p w14:paraId="0466C657" w14:textId="1C03B85D" w:rsidR="00E27F8B" w:rsidRPr="00E27F8B" w:rsidRDefault="00E27F8B">
      <w:pPr>
        <w:pStyle w:val="TOC1"/>
        <w:tabs>
          <w:tab w:val="right" w:leader="dot" w:pos="9019"/>
        </w:tabs>
        <w:rPr>
          <w:b/>
          <w:bCs/>
          <w:noProof/>
          <w:szCs w:val="24"/>
        </w:rPr>
      </w:pPr>
      <w:hyperlink w:anchor="_Toc143947017" w:history="1">
        <w:r w:rsidRPr="00E27F8B">
          <w:rPr>
            <w:rStyle w:val="Hyperlink"/>
            <w:b/>
            <w:bCs/>
            <w:noProof/>
            <w:szCs w:val="24"/>
            <w:lang w:val="en-GB"/>
          </w:rPr>
          <w:t>Methods of Appraising Projects</w:t>
        </w:r>
        <w:r w:rsidRPr="00E27F8B">
          <w:rPr>
            <w:b/>
            <w:bCs/>
            <w:noProof/>
            <w:webHidden/>
            <w:szCs w:val="24"/>
          </w:rPr>
          <w:tab/>
        </w:r>
        <w:r w:rsidRPr="00E27F8B">
          <w:rPr>
            <w:b/>
            <w:bCs/>
            <w:noProof/>
            <w:webHidden/>
            <w:szCs w:val="24"/>
          </w:rPr>
          <w:fldChar w:fldCharType="begin"/>
        </w:r>
        <w:r w:rsidRPr="00E27F8B">
          <w:rPr>
            <w:b/>
            <w:bCs/>
            <w:noProof/>
            <w:webHidden/>
            <w:szCs w:val="24"/>
          </w:rPr>
          <w:instrText xml:space="preserve"> PAGEREF _Toc143947017 \h </w:instrText>
        </w:r>
        <w:r w:rsidRPr="00E27F8B">
          <w:rPr>
            <w:b/>
            <w:bCs/>
            <w:noProof/>
            <w:webHidden/>
            <w:szCs w:val="24"/>
          </w:rPr>
        </w:r>
        <w:r w:rsidRPr="00E27F8B">
          <w:rPr>
            <w:b/>
            <w:bCs/>
            <w:noProof/>
            <w:webHidden/>
            <w:szCs w:val="24"/>
          </w:rPr>
          <w:fldChar w:fldCharType="separate"/>
        </w:r>
        <w:r w:rsidRPr="00E27F8B">
          <w:rPr>
            <w:b/>
            <w:bCs/>
            <w:noProof/>
            <w:webHidden/>
            <w:szCs w:val="24"/>
          </w:rPr>
          <w:t>7</w:t>
        </w:r>
        <w:r w:rsidRPr="00E27F8B">
          <w:rPr>
            <w:b/>
            <w:bCs/>
            <w:noProof/>
            <w:webHidden/>
            <w:szCs w:val="24"/>
          </w:rPr>
          <w:fldChar w:fldCharType="end"/>
        </w:r>
      </w:hyperlink>
    </w:p>
    <w:p w14:paraId="75D3998C" w14:textId="79FEC6CB" w:rsidR="00E27F8B" w:rsidRPr="00E27F8B" w:rsidRDefault="00E27F8B">
      <w:pPr>
        <w:pStyle w:val="TOC1"/>
        <w:tabs>
          <w:tab w:val="right" w:leader="dot" w:pos="9019"/>
        </w:tabs>
        <w:rPr>
          <w:b/>
          <w:bCs/>
          <w:noProof/>
          <w:szCs w:val="24"/>
        </w:rPr>
      </w:pPr>
      <w:hyperlink w:anchor="_Toc143947018" w:history="1">
        <w:r w:rsidRPr="00E27F8B">
          <w:rPr>
            <w:rStyle w:val="Hyperlink"/>
            <w:b/>
            <w:bCs/>
            <w:noProof/>
            <w:szCs w:val="24"/>
            <w:lang w:val="en-GB"/>
          </w:rPr>
          <w:t>Conclusion</w:t>
        </w:r>
        <w:r w:rsidRPr="00E27F8B">
          <w:rPr>
            <w:b/>
            <w:bCs/>
            <w:noProof/>
            <w:webHidden/>
            <w:szCs w:val="24"/>
          </w:rPr>
          <w:tab/>
        </w:r>
        <w:r w:rsidRPr="00E27F8B">
          <w:rPr>
            <w:b/>
            <w:bCs/>
            <w:noProof/>
            <w:webHidden/>
            <w:szCs w:val="24"/>
          </w:rPr>
          <w:fldChar w:fldCharType="begin"/>
        </w:r>
        <w:r w:rsidRPr="00E27F8B">
          <w:rPr>
            <w:b/>
            <w:bCs/>
            <w:noProof/>
            <w:webHidden/>
            <w:szCs w:val="24"/>
          </w:rPr>
          <w:instrText xml:space="preserve"> PAGEREF _Toc143947018 \h </w:instrText>
        </w:r>
        <w:r w:rsidRPr="00E27F8B">
          <w:rPr>
            <w:b/>
            <w:bCs/>
            <w:noProof/>
            <w:webHidden/>
            <w:szCs w:val="24"/>
          </w:rPr>
        </w:r>
        <w:r w:rsidRPr="00E27F8B">
          <w:rPr>
            <w:b/>
            <w:bCs/>
            <w:noProof/>
            <w:webHidden/>
            <w:szCs w:val="24"/>
          </w:rPr>
          <w:fldChar w:fldCharType="separate"/>
        </w:r>
        <w:r w:rsidRPr="00E27F8B">
          <w:rPr>
            <w:b/>
            <w:bCs/>
            <w:noProof/>
            <w:webHidden/>
            <w:szCs w:val="24"/>
          </w:rPr>
          <w:t>8</w:t>
        </w:r>
        <w:r w:rsidRPr="00E27F8B">
          <w:rPr>
            <w:b/>
            <w:bCs/>
            <w:noProof/>
            <w:webHidden/>
            <w:szCs w:val="24"/>
          </w:rPr>
          <w:fldChar w:fldCharType="end"/>
        </w:r>
      </w:hyperlink>
    </w:p>
    <w:p w14:paraId="51B67490" w14:textId="15F0E0F1" w:rsidR="00E27F8B" w:rsidRPr="00E27F8B" w:rsidRDefault="00E27F8B">
      <w:pPr>
        <w:pStyle w:val="TOC1"/>
        <w:tabs>
          <w:tab w:val="right" w:leader="dot" w:pos="9019"/>
        </w:tabs>
        <w:rPr>
          <w:b/>
          <w:bCs/>
          <w:noProof/>
          <w:szCs w:val="24"/>
        </w:rPr>
      </w:pPr>
      <w:hyperlink w:anchor="_Toc143947019" w:history="1">
        <w:r w:rsidRPr="00E27F8B">
          <w:rPr>
            <w:rStyle w:val="Hyperlink"/>
            <w:b/>
            <w:bCs/>
            <w:noProof/>
            <w:szCs w:val="24"/>
            <w:lang w:val="en-GB"/>
          </w:rPr>
          <w:t>References</w:t>
        </w:r>
        <w:r w:rsidRPr="00E27F8B">
          <w:rPr>
            <w:b/>
            <w:bCs/>
            <w:noProof/>
            <w:webHidden/>
            <w:szCs w:val="24"/>
          </w:rPr>
          <w:tab/>
        </w:r>
        <w:r w:rsidRPr="00E27F8B">
          <w:rPr>
            <w:b/>
            <w:bCs/>
            <w:noProof/>
            <w:webHidden/>
            <w:szCs w:val="24"/>
          </w:rPr>
          <w:fldChar w:fldCharType="begin"/>
        </w:r>
        <w:r w:rsidRPr="00E27F8B">
          <w:rPr>
            <w:b/>
            <w:bCs/>
            <w:noProof/>
            <w:webHidden/>
            <w:szCs w:val="24"/>
          </w:rPr>
          <w:instrText xml:space="preserve"> PAGEREF _Toc143947019 \h </w:instrText>
        </w:r>
        <w:r w:rsidRPr="00E27F8B">
          <w:rPr>
            <w:b/>
            <w:bCs/>
            <w:noProof/>
            <w:webHidden/>
            <w:szCs w:val="24"/>
          </w:rPr>
        </w:r>
        <w:r w:rsidRPr="00E27F8B">
          <w:rPr>
            <w:b/>
            <w:bCs/>
            <w:noProof/>
            <w:webHidden/>
            <w:szCs w:val="24"/>
          </w:rPr>
          <w:fldChar w:fldCharType="separate"/>
        </w:r>
        <w:r w:rsidRPr="00E27F8B">
          <w:rPr>
            <w:b/>
            <w:bCs/>
            <w:noProof/>
            <w:webHidden/>
            <w:szCs w:val="24"/>
          </w:rPr>
          <w:t>10</w:t>
        </w:r>
        <w:r w:rsidRPr="00E27F8B">
          <w:rPr>
            <w:b/>
            <w:bCs/>
            <w:noProof/>
            <w:webHidden/>
            <w:szCs w:val="24"/>
          </w:rPr>
          <w:fldChar w:fldCharType="end"/>
        </w:r>
      </w:hyperlink>
    </w:p>
    <w:p w14:paraId="69D14A49" w14:textId="6E25C7EE" w:rsidR="0055233A" w:rsidRPr="0003420F" w:rsidRDefault="00E27F8B" w:rsidP="0003420F">
      <w:r w:rsidRPr="00E27F8B">
        <w:rPr>
          <w:b/>
          <w:bCs/>
          <w:noProof/>
          <w:szCs w:val="24"/>
        </w:rPr>
        <w:fldChar w:fldCharType="end"/>
      </w:r>
    </w:p>
    <w:p w14:paraId="0568A948" w14:textId="3A73EC73" w:rsidR="008D5838" w:rsidRPr="00062E53" w:rsidRDefault="00E27F8B" w:rsidP="00062E53">
      <w:pPr>
        <w:pStyle w:val="Heading1"/>
        <w:spacing w:line="480" w:lineRule="auto"/>
        <w:jc w:val="center"/>
        <w:rPr>
          <w:rFonts w:ascii="Times New Roman" w:hAnsi="Times New Roman"/>
          <w:sz w:val="24"/>
          <w:szCs w:val="24"/>
          <w:lang w:val="en-GB"/>
        </w:rPr>
      </w:pPr>
      <w:bookmarkStart w:id="0" w:name="_Toc143947013"/>
      <w:r>
        <w:rPr>
          <w:rFonts w:ascii="Times New Roman" w:hAnsi="Times New Roman"/>
          <w:sz w:val="24"/>
          <w:szCs w:val="24"/>
          <w:lang w:val="en-GB"/>
        </w:rPr>
        <w:br w:type="page"/>
      </w:r>
      <w:r w:rsidR="008D5838" w:rsidRPr="00062E53">
        <w:rPr>
          <w:rFonts w:ascii="Times New Roman" w:hAnsi="Times New Roman"/>
          <w:sz w:val="24"/>
          <w:szCs w:val="24"/>
          <w:lang w:val="en-GB"/>
        </w:rPr>
        <w:lastRenderedPageBreak/>
        <w:t>Introduction</w:t>
      </w:r>
      <w:bookmarkEnd w:id="0"/>
    </w:p>
    <w:p w14:paraId="1B32F391" w14:textId="050586A4" w:rsidR="00487F10" w:rsidRPr="00E8259B" w:rsidRDefault="00114111" w:rsidP="004715C8">
      <w:pPr>
        <w:spacing w:before="0" w:after="0" w:line="480" w:lineRule="auto"/>
        <w:rPr>
          <w:lang w:val="en-GB"/>
        </w:rPr>
      </w:pPr>
      <w:r w:rsidRPr="00E8259B">
        <w:rPr>
          <w:lang w:val="en-GB"/>
        </w:rPr>
        <w:tab/>
      </w:r>
      <w:r w:rsidR="00AF6F2C" w:rsidRPr="00E8259B">
        <w:rPr>
          <w:lang w:val="en-GB"/>
        </w:rPr>
        <w:t xml:space="preserve">Succeeding in the global market is one of the most prominent challenges facing multinational corporations (MNCs). Even though this challenge arises from multiple factors, the most notable one entails properly managing finances. Navigating and overcoming this challenge requires MNCs to understand the importance of international financial management (IFM) to the corporation. </w:t>
      </w:r>
      <w:r w:rsidR="000A5FD5" w:rsidRPr="00E8259B">
        <w:rPr>
          <w:lang w:val="en-GB"/>
        </w:rPr>
        <w:t xml:space="preserve">Corporations that understand the importance of IFM know that it helps them make sound investment and financing decisions while managing their international activities </w:t>
      </w:r>
      <w:r w:rsidR="00FA0162" w:rsidRPr="00E8259B">
        <w:rPr>
          <w:lang w:val="en-GB"/>
        </w:rPr>
        <w:t xml:space="preserve">(Breuer and Ruiz de Vargas, 2021). </w:t>
      </w:r>
      <w:r w:rsidR="00AF6F2C" w:rsidRPr="00E8259B">
        <w:rPr>
          <w:lang w:val="en-GB"/>
        </w:rPr>
        <w:t xml:space="preserve">It is through IFM that corporations can respond effectively to the complexities facing them in different international financial markets. </w:t>
      </w:r>
      <w:r w:rsidR="00487F10" w:rsidRPr="00E8259B">
        <w:rPr>
          <w:lang w:val="en-GB"/>
        </w:rPr>
        <w:t>Even though IFM is important, it presents numerous challenges to MNCs due to the complexities of operating across borders, currencies, and regulatory environments. However, addressing some of these challenges is possible by focusing on specific aspects of IFM. Accordingly, this report is a critical analysis and evaluation concerning the importance of IFM to Nestlé. These aspects include the company</w:t>
      </w:r>
      <w:r w:rsidR="00C172C7">
        <w:rPr>
          <w:lang w:val="en-GB"/>
        </w:rPr>
        <w:t>’</w:t>
      </w:r>
      <w:r w:rsidR="00487F10" w:rsidRPr="00E8259B">
        <w:rPr>
          <w:lang w:val="en-GB"/>
        </w:rPr>
        <w:t xml:space="preserve">s dividend distribution policy, adoption of the efficient market hypothesis theory, and methods of appraising projects. </w:t>
      </w:r>
    </w:p>
    <w:p w14:paraId="0CB6D54D" w14:textId="77777777" w:rsidR="00487F10" w:rsidRPr="00062E53" w:rsidRDefault="00487F10" w:rsidP="00062E53">
      <w:pPr>
        <w:pStyle w:val="Heading1"/>
        <w:spacing w:line="480" w:lineRule="auto"/>
        <w:jc w:val="center"/>
        <w:rPr>
          <w:rFonts w:ascii="Times New Roman" w:hAnsi="Times New Roman"/>
          <w:sz w:val="24"/>
          <w:szCs w:val="24"/>
          <w:lang w:val="en-GB"/>
        </w:rPr>
      </w:pPr>
      <w:bookmarkStart w:id="1" w:name="_Toc143947014"/>
      <w:r w:rsidRPr="00062E53">
        <w:rPr>
          <w:rFonts w:ascii="Times New Roman" w:hAnsi="Times New Roman"/>
          <w:sz w:val="24"/>
          <w:szCs w:val="24"/>
          <w:lang w:val="en-GB"/>
        </w:rPr>
        <w:t>Nestlé</w:t>
      </w:r>
      <w:r w:rsidR="003E1439" w:rsidRPr="00062E53">
        <w:rPr>
          <w:rFonts w:ascii="Times New Roman" w:hAnsi="Times New Roman"/>
          <w:sz w:val="24"/>
          <w:szCs w:val="24"/>
          <w:lang w:val="en-GB"/>
        </w:rPr>
        <w:t xml:space="preserve"> SA Company</w:t>
      </w:r>
      <w:bookmarkEnd w:id="1"/>
    </w:p>
    <w:p w14:paraId="5D21935C" w14:textId="58A2F56B" w:rsidR="00487F10" w:rsidRPr="00E8259B" w:rsidRDefault="00487F10" w:rsidP="004715C8">
      <w:pPr>
        <w:spacing w:before="0" w:after="0" w:line="480" w:lineRule="auto"/>
        <w:rPr>
          <w:lang w:val="en-GB"/>
        </w:rPr>
      </w:pPr>
      <w:r w:rsidRPr="00E8259B">
        <w:rPr>
          <w:lang w:val="en-GB"/>
        </w:rPr>
        <w:tab/>
        <w:t>Founded in 1866 in Switzerland, Nestlé is one of the world</w:t>
      </w:r>
      <w:r w:rsidR="00C172C7">
        <w:rPr>
          <w:lang w:val="en-GB"/>
        </w:rPr>
        <w:t>’</w:t>
      </w:r>
      <w:r w:rsidRPr="00E8259B">
        <w:rPr>
          <w:lang w:val="en-GB"/>
        </w:rPr>
        <w:t>s largest and most well-known MNCs in the food and beverage industry. It has grown into a global powerhouse with operations in almost every corner of the world.</w:t>
      </w:r>
      <w:r w:rsidR="003E1439" w:rsidRPr="00E8259B">
        <w:rPr>
          <w:lang w:val="en-GB"/>
        </w:rPr>
        <w:t xml:space="preserve"> The company operates in 188 countries, offering a diverse product portfolio with over 2,000 brands (Nestlé, 2023). Nestlé has </w:t>
      </w:r>
      <w:r w:rsidR="003E1439" w:rsidRPr="00E8259B">
        <w:rPr>
          <w:lang w:val="en-GB"/>
        </w:rPr>
        <w:lastRenderedPageBreak/>
        <w:t>consistently demonstrated strong financial performance throughout the years. It has a solid market capitalization and is recognized as one of the world</w:t>
      </w:r>
      <w:r w:rsidR="00C172C7">
        <w:rPr>
          <w:lang w:val="en-GB"/>
        </w:rPr>
        <w:t>’</w:t>
      </w:r>
      <w:r w:rsidR="003E1439" w:rsidRPr="00E8259B">
        <w:rPr>
          <w:lang w:val="en-GB"/>
        </w:rPr>
        <w:t>s most valuable and profitable consumer goods companies</w:t>
      </w:r>
      <w:r w:rsidR="0016635D" w:rsidRPr="00E8259B">
        <w:rPr>
          <w:lang w:val="en-GB"/>
        </w:rPr>
        <w:t xml:space="preserve"> (Khatun, Haque and Rahman, 2021). Nestlé</w:t>
      </w:r>
      <w:r w:rsidR="00C172C7">
        <w:rPr>
          <w:lang w:val="en-GB"/>
        </w:rPr>
        <w:t>’</w:t>
      </w:r>
      <w:r w:rsidR="0016635D" w:rsidRPr="00E8259B">
        <w:rPr>
          <w:lang w:val="en-GB"/>
        </w:rPr>
        <w:t xml:space="preserve">s track record and reputation suggest that it is proficient in managing the complexities of IFM as a global MNC. However, it is important to ascertain this proficiency through critical analysis and evaluation of its approach to dividend distribution, performance in financial markets, </w:t>
      </w:r>
      <w:r w:rsidR="00B469DE" w:rsidRPr="00E8259B">
        <w:rPr>
          <w:lang w:val="en-GB"/>
        </w:rPr>
        <w:t xml:space="preserve">and methods of appraising projects. </w:t>
      </w:r>
    </w:p>
    <w:p w14:paraId="6C1F0696" w14:textId="77777777" w:rsidR="008D5838" w:rsidRPr="00062E53" w:rsidRDefault="008D5838" w:rsidP="00062E53">
      <w:pPr>
        <w:pStyle w:val="Heading1"/>
        <w:spacing w:line="480" w:lineRule="auto"/>
        <w:jc w:val="center"/>
        <w:rPr>
          <w:rFonts w:ascii="Times New Roman" w:hAnsi="Times New Roman"/>
          <w:sz w:val="24"/>
          <w:szCs w:val="24"/>
          <w:lang w:val="en-GB"/>
        </w:rPr>
      </w:pPr>
      <w:bookmarkStart w:id="2" w:name="_Toc143947015"/>
      <w:r w:rsidRPr="00062E53">
        <w:rPr>
          <w:rFonts w:ascii="Times New Roman" w:hAnsi="Times New Roman"/>
          <w:sz w:val="24"/>
          <w:szCs w:val="24"/>
          <w:lang w:val="en-GB"/>
        </w:rPr>
        <w:t>Dividend Distribution Policy</w:t>
      </w:r>
      <w:bookmarkEnd w:id="2"/>
    </w:p>
    <w:p w14:paraId="7D4CA458" w14:textId="0A12BD44" w:rsidR="008D5838" w:rsidRPr="00E8259B" w:rsidRDefault="00B469DE" w:rsidP="004715C8">
      <w:pPr>
        <w:spacing w:before="0" w:after="0" w:line="480" w:lineRule="auto"/>
        <w:rPr>
          <w:lang w:val="en-GB"/>
        </w:rPr>
      </w:pPr>
      <w:r w:rsidRPr="00E8259B">
        <w:rPr>
          <w:lang w:val="en-GB"/>
        </w:rPr>
        <w:tab/>
        <w:t>Nestlé</w:t>
      </w:r>
      <w:r w:rsidR="00C172C7">
        <w:rPr>
          <w:lang w:val="en-GB"/>
        </w:rPr>
        <w:t>’</w:t>
      </w:r>
      <w:r w:rsidRPr="00E8259B">
        <w:rPr>
          <w:lang w:val="en-GB"/>
        </w:rPr>
        <w:t>s dividend distribution policy aimed to provide stable and attractive dividends to its shareholders while maintaining a strong financial position and supporting its growth strategies.</w:t>
      </w:r>
      <w:r w:rsidR="004000E3" w:rsidRPr="00E8259B">
        <w:rPr>
          <w:lang w:val="en-GB"/>
        </w:rPr>
        <w:t xml:space="preserve"> The key components of this policy include dividend stability and growth. Nestlé</w:t>
      </w:r>
      <w:r w:rsidR="00C172C7">
        <w:rPr>
          <w:lang w:val="en-GB"/>
        </w:rPr>
        <w:t>’</w:t>
      </w:r>
      <w:r w:rsidR="004000E3" w:rsidRPr="00E8259B">
        <w:rPr>
          <w:lang w:val="en-GB"/>
        </w:rPr>
        <w:t>s dividend policy prioritizes providing its shareholders with a stable and predictable dividend. The company pays dividends once a year after approval by the Annual General Meeting (AGM) of shareholders. The inclusion of a stable dividend as a key feature of Nestlé</w:t>
      </w:r>
      <w:r w:rsidR="00C172C7">
        <w:rPr>
          <w:lang w:val="en-GB"/>
        </w:rPr>
        <w:t>’</w:t>
      </w:r>
      <w:r w:rsidR="004000E3" w:rsidRPr="00E8259B">
        <w:rPr>
          <w:lang w:val="en-GB"/>
        </w:rPr>
        <w:t xml:space="preserve">s dividend distribution policy reflects a strategic approach to shareholder value and financial stability. </w:t>
      </w:r>
      <w:r w:rsidR="00D40F54" w:rsidRPr="00E8259B">
        <w:rPr>
          <w:lang w:val="en-GB"/>
        </w:rPr>
        <w:t>A corporation that pays stable dividends positively impacts the firm</w:t>
      </w:r>
      <w:r w:rsidR="00C172C7">
        <w:rPr>
          <w:lang w:val="en-GB"/>
        </w:rPr>
        <w:t>’</w:t>
      </w:r>
      <w:r w:rsidR="00D40F54" w:rsidRPr="00E8259B">
        <w:rPr>
          <w:lang w:val="en-GB"/>
        </w:rPr>
        <w:t xml:space="preserve">s value and shareholder wealth (Farrukh et al., 2017). </w:t>
      </w:r>
      <w:r w:rsidR="004000E3" w:rsidRPr="00E8259B">
        <w:rPr>
          <w:lang w:val="en-GB"/>
        </w:rPr>
        <w:t xml:space="preserve">However, there are both </w:t>
      </w:r>
      <w:r w:rsidR="0003420F" w:rsidRPr="00E8259B">
        <w:rPr>
          <w:lang w:val="en-GB"/>
        </w:rPr>
        <w:t>benefits,</w:t>
      </w:r>
      <w:r w:rsidR="004000E3" w:rsidRPr="00E8259B">
        <w:rPr>
          <w:lang w:val="en-GB"/>
        </w:rPr>
        <w:t xml:space="preserve"> and potential drawbacks associated with this approach. </w:t>
      </w:r>
      <w:r w:rsidR="00D40F54" w:rsidRPr="00E8259B">
        <w:rPr>
          <w:lang w:val="en-GB"/>
        </w:rPr>
        <w:t xml:space="preserve">The main benefits include investor confidence, long-term focus, market volatility mitigation, and attractiveness to income-oriented investors. At the same time, the drawbacks associated with this approach consist of opportunity costs, </w:t>
      </w:r>
      <w:r w:rsidR="00D40F54" w:rsidRPr="00E8259B">
        <w:rPr>
          <w:lang w:val="en-GB"/>
        </w:rPr>
        <w:lastRenderedPageBreak/>
        <w:t>limited flexibility, and inefficient capital allocation. Although Nestlé</w:t>
      </w:r>
      <w:r w:rsidR="00C172C7">
        <w:rPr>
          <w:lang w:val="en-GB"/>
        </w:rPr>
        <w:t>’</w:t>
      </w:r>
      <w:r w:rsidR="00D40F54" w:rsidRPr="00E8259B">
        <w:rPr>
          <w:lang w:val="en-GB"/>
        </w:rPr>
        <w:t>s stable dividend policy aligns with its identity as a long-standing, established company that values consistency and sustainability, the potential challenge lies in balancing stability with opportunities for growth and innovation. The company</w:t>
      </w:r>
      <w:r w:rsidR="00C172C7">
        <w:rPr>
          <w:lang w:val="en-GB"/>
        </w:rPr>
        <w:t>’</w:t>
      </w:r>
      <w:r w:rsidR="00D40F54" w:rsidRPr="00E8259B">
        <w:rPr>
          <w:lang w:val="en-GB"/>
        </w:rPr>
        <w:t>s ability to strike a balance between stability and growth will be crucial in effectively managing its dividend distribution policy.</w:t>
      </w:r>
    </w:p>
    <w:p w14:paraId="0049CDEA" w14:textId="5435D4FE" w:rsidR="00D40F54" w:rsidRPr="00E8259B" w:rsidRDefault="00D40F54" w:rsidP="004715C8">
      <w:pPr>
        <w:spacing w:before="0" w:after="0" w:line="480" w:lineRule="auto"/>
        <w:rPr>
          <w:lang w:val="en-GB"/>
        </w:rPr>
      </w:pPr>
      <w:r w:rsidRPr="00E8259B">
        <w:rPr>
          <w:lang w:val="en-GB"/>
        </w:rPr>
        <w:tab/>
        <w:t>Even though stability is the key focus, Nestlé aims to achieve moderate dividend growth over the long term. Dividend growth is aligned with the company</w:t>
      </w:r>
      <w:r w:rsidR="00C172C7">
        <w:rPr>
          <w:lang w:val="en-GB"/>
        </w:rPr>
        <w:t>’</w:t>
      </w:r>
      <w:r w:rsidRPr="00E8259B">
        <w:rPr>
          <w:lang w:val="en-GB"/>
        </w:rPr>
        <w:t>s financial performance and available resources.</w:t>
      </w:r>
      <w:r w:rsidR="004810BA" w:rsidRPr="00E8259B">
        <w:rPr>
          <w:lang w:val="en-GB"/>
        </w:rPr>
        <w:t xml:space="preserve"> For instance, its Board of Directors proposed a dividend increase of 15 centimes to CHF 2.95 per share to be paid in April 2023 based on the company</w:t>
      </w:r>
      <w:r w:rsidR="00C172C7">
        <w:rPr>
          <w:lang w:val="en-GB"/>
        </w:rPr>
        <w:t>’</w:t>
      </w:r>
      <w:r w:rsidR="004810BA" w:rsidRPr="00E8259B">
        <w:rPr>
          <w:lang w:val="en-GB"/>
        </w:rPr>
        <w:t>s 2022 performance (Nestlé SA, 2023). The concept of dividend growth in Nestlé</w:t>
      </w:r>
      <w:r w:rsidR="00C172C7">
        <w:rPr>
          <w:lang w:val="en-GB"/>
        </w:rPr>
        <w:t>’</w:t>
      </w:r>
      <w:r w:rsidR="004810BA" w:rsidRPr="00E8259B">
        <w:rPr>
          <w:lang w:val="en-GB"/>
        </w:rPr>
        <w:t xml:space="preserve">s dividend distribution policy is beneficial as it plays a crucial role in attracting investors, creating long-term value, hedging inflation, and aligning with earnings growth. However, this concept raises </w:t>
      </w:r>
      <w:r w:rsidR="004F681E" w:rsidRPr="00E8259B">
        <w:rPr>
          <w:lang w:val="en-GB"/>
        </w:rPr>
        <w:t xml:space="preserve">various issues, such as sustainability concerns, capital allocation challenges, opportunity costs, and dividend yield suppression. Therefore, the challenge for Nestlé lies in maintaining a balance between consistent dividend growth and the need for reinvestment in innovation and market expansion. The food and beverage industry </w:t>
      </w:r>
      <w:r w:rsidR="0003420F" w:rsidRPr="00E8259B">
        <w:rPr>
          <w:lang w:val="en-GB"/>
        </w:rPr>
        <w:t>are</w:t>
      </w:r>
      <w:r w:rsidR="004F681E" w:rsidRPr="00E8259B">
        <w:rPr>
          <w:lang w:val="en-GB"/>
        </w:rPr>
        <w:t xml:space="preserve"> subject to changing consumer preferences and market dynamics (Maciejewski and Mokrysz, 2019). Nestlé</w:t>
      </w:r>
      <w:r w:rsidR="00C172C7">
        <w:rPr>
          <w:lang w:val="en-GB"/>
        </w:rPr>
        <w:t>’</w:t>
      </w:r>
      <w:r w:rsidR="004F681E" w:rsidRPr="00E8259B">
        <w:rPr>
          <w:lang w:val="en-GB"/>
        </w:rPr>
        <w:t>s ability to allocate capital effectively while delivering on its dividend growth commitment is crucial.</w:t>
      </w:r>
    </w:p>
    <w:p w14:paraId="2A6D4CEC" w14:textId="77777777" w:rsidR="008D5838" w:rsidRPr="00062E53" w:rsidRDefault="008D5838" w:rsidP="00062E53">
      <w:pPr>
        <w:pStyle w:val="Heading1"/>
        <w:spacing w:line="480" w:lineRule="auto"/>
        <w:jc w:val="center"/>
        <w:rPr>
          <w:rFonts w:ascii="Times New Roman" w:hAnsi="Times New Roman"/>
          <w:sz w:val="24"/>
          <w:szCs w:val="24"/>
          <w:lang w:val="en-GB"/>
        </w:rPr>
      </w:pPr>
      <w:bookmarkStart w:id="3" w:name="_Toc143947016"/>
      <w:r w:rsidRPr="00062E53">
        <w:rPr>
          <w:rFonts w:ascii="Times New Roman" w:hAnsi="Times New Roman"/>
          <w:sz w:val="24"/>
          <w:szCs w:val="24"/>
          <w:lang w:val="en-GB"/>
        </w:rPr>
        <w:lastRenderedPageBreak/>
        <w:t>The Efficient Market Hypothesis Theory</w:t>
      </w:r>
      <w:bookmarkEnd w:id="3"/>
    </w:p>
    <w:p w14:paraId="3E2CB514" w14:textId="4EFDEFA1" w:rsidR="008D5838" w:rsidRPr="00E8259B" w:rsidRDefault="00B937F7" w:rsidP="004715C8">
      <w:pPr>
        <w:spacing w:before="0" w:after="0" w:line="480" w:lineRule="auto"/>
        <w:rPr>
          <w:lang w:val="en-GB"/>
        </w:rPr>
      </w:pPr>
      <w:r w:rsidRPr="00E8259B">
        <w:rPr>
          <w:lang w:val="en-GB"/>
        </w:rPr>
        <w:tab/>
        <w:t>The Efficient Market Hypothesis (EMH) theory contends that financial markets are efficient and that asset prices fully reflect all available information. EMH suggests that it</w:t>
      </w:r>
      <w:r w:rsidR="00C172C7">
        <w:rPr>
          <w:lang w:val="en-GB"/>
        </w:rPr>
        <w:t>’</w:t>
      </w:r>
      <w:r w:rsidRPr="00E8259B">
        <w:rPr>
          <w:lang w:val="en-GB"/>
        </w:rPr>
        <w:t>s impossible to consistently achieve above-average returns by using publicly available information since prices adjust instantaneously to new information</w:t>
      </w:r>
      <w:r w:rsidR="006C54D6" w:rsidRPr="00E8259B">
        <w:rPr>
          <w:lang w:val="en-GB"/>
        </w:rPr>
        <w:t xml:space="preserve"> (Brown, 2020)</w:t>
      </w:r>
      <w:r w:rsidRPr="00E8259B">
        <w:rPr>
          <w:lang w:val="en-GB"/>
        </w:rPr>
        <w:t xml:space="preserve">. A critical analysis and evaluation of the EMH theory in the context of </w:t>
      </w:r>
      <w:bookmarkStart w:id="4" w:name="_Hlk143702012"/>
      <w:r w:rsidRPr="00E8259B">
        <w:rPr>
          <w:lang w:val="en-GB"/>
        </w:rPr>
        <w:t>Nestlé</w:t>
      </w:r>
      <w:r w:rsidR="00C172C7">
        <w:rPr>
          <w:lang w:val="en-GB"/>
        </w:rPr>
        <w:t>’</w:t>
      </w:r>
      <w:r w:rsidRPr="00E8259B">
        <w:rPr>
          <w:lang w:val="en-GB"/>
        </w:rPr>
        <w:t xml:space="preserve">s operations </w:t>
      </w:r>
      <w:bookmarkEnd w:id="4"/>
      <w:r w:rsidRPr="00E8259B">
        <w:rPr>
          <w:lang w:val="en-GB"/>
        </w:rPr>
        <w:t xml:space="preserve">involves evaluating the extent to which market efficiency accurately describes the </w:t>
      </w:r>
      <w:r w:rsidR="0003420F" w:rsidRPr="00E8259B">
        <w:rPr>
          <w:lang w:val="en-GB"/>
        </w:rPr>
        <w:t>behaviour</w:t>
      </w:r>
      <w:r w:rsidRPr="00E8259B">
        <w:rPr>
          <w:lang w:val="en-GB"/>
        </w:rPr>
        <w:t xml:space="preserve"> of Nestlé</w:t>
      </w:r>
      <w:r w:rsidR="00C172C7">
        <w:rPr>
          <w:lang w:val="en-GB"/>
        </w:rPr>
        <w:t>’</w:t>
      </w:r>
      <w:r w:rsidRPr="00E8259B">
        <w:rPr>
          <w:lang w:val="en-GB"/>
        </w:rPr>
        <w:t>s stock prices and the efficiency of the market in reflecting all available information.</w:t>
      </w:r>
      <w:r w:rsidR="00A91DD4" w:rsidRPr="00E8259B">
        <w:rPr>
          <w:lang w:val="en-GB"/>
        </w:rPr>
        <w:t xml:space="preserve"> In this regard, there is support for EMH in the context of Nestlé</w:t>
      </w:r>
      <w:r w:rsidR="00C172C7">
        <w:rPr>
          <w:lang w:val="en-GB"/>
        </w:rPr>
        <w:t>’</w:t>
      </w:r>
      <w:r w:rsidR="00A91DD4" w:rsidRPr="00E8259B">
        <w:rPr>
          <w:lang w:val="en-GB"/>
        </w:rPr>
        <w:t xml:space="preserve">s operations. This support is due to information availability, analyst coverage, </w:t>
      </w:r>
      <w:r w:rsidR="00C85581" w:rsidRPr="00E8259B">
        <w:rPr>
          <w:lang w:val="en-GB"/>
        </w:rPr>
        <w:t>and semi-strong form EMH. Nestlé is subject to significant regulatory and reporting requirements as a large MNC. Its financial statements, performance reports, and other relevant information are available to the public, contributing to market efficiency in terms of information dissemination. Nestlé is widely covered by financial analysts and experts. Their analyses and recommendations are published and available to investors. This information should be quickly reflected in an efficient market in stock prices. Nestlé</w:t>
      </w:r>
      <w:r w:rsidR="00C172C7">
        <w:rPr>
          <w:lang w:val="en-GB"/>
        </w:rPr>
        <w:t>’</w:t>
      </w:r>
      <w:r w:rsidR="00C85581" w:rsidRPr="00E8259B">
        <w:rPr>
          <w:lang w:val="en-GB"/>
        </w:rPr>
        <w:t xml:space="preserve">s stock prices might quickly adjust to new information, including earnings reports, product launches, regulatory changes, and market developments. The semi-strong form of EMH suggests that all publicly available information is rapidly incorporated into stock prices. </w:t>
      </w:r>
    </w:p>
    <w:p w14:paraId="542BA318" w14:textId="2080E25F" w:rsidR="00C85581" w:rsidRPr="00E8259B" w:rsidRDefault="00C85581" w:rsidP="004715C8">
      <w:pPr>
        <w:spacing w:before="0" w:after="0" w:line="480" w:lineRule="auto"/>
        <w:rPr>
          <w:lang w:val="en-GB"/>
        </w:rPr>
      </w:pPr>
      <w:r w:rsidRPr="00E8259B">
        <w:rPr>
          <w:lang w:val="en-GB"/>
        </w:rPr>
        <w:tab/>
        <w:t xml:space="preserve"> However, the hypothesis is only partially applicable as many factors might not be fully accounted for by market efficiency. In particular, market efficiency may not fully </w:t>
      </w:r>
      <w:r w:rsidRPr="00E8259B">
        <w:rPr>
          <w:lang w:val="en-GB"/>
        </w:rPr>
        <w:lastRenderedPageBreak/>
        <w:t xml:space="preserve">account for longer-term factors such as consumer trends, brand loyalty, and innovation, even though EMH principles might apply to short-term price adjustments driven by immediate news and information. </w:t>
      </w:r>
      <w:r w:rsidR="0003420F">
        <w:rPr>
          <w:lang w:val="en-GB"/>
        </w:rPr>
        <w:t>Behavioural</w:t>
      </w:r>
      <w:r w:rsidRPr="00E8259B">
        <w:rPr>
          <w:lang w:val="en-GB"/>
        </w:rPr>
        <w:t xml:space="preserve"> biases and market </w:t>
      </w:r>
      <w:r w:rsidR="006C54D6" w:rsidRPr="00E8259B">
        <w:rPr>
          <w:lang w:val="en-GB"/>
        </w:rPr>
        <w:t>inefficiencies</w:t>
      </w:r>
      <w:r w:rsidRPr="00E8259B">
        <w:rPr>
          <w:lang w:val="en-GB"/>
        </w:rPr>
        <w:t xml:space="preserve"> also hinder the application of the EMH theory in </w:t>
      </w:r>
      <w:r w:rsidR="006C54D6" w:rsidRPr="00E8259B">
        <w:rPr>
          <w:lang w:val="en-GB"/>
        </w:rPr>
        <w:t>the context of Nestlé</w:t>
      </w:r>
      <w:r w:rsidR="00C172C7">
        <w:rPr>
          <w:lang w:val="en-GB"/>
        </w:rPr>
        <w:t>’</w:t>
      </w:r>
      <w:r w:rsidR="006C54D6" w:rsidRPr="00E8259B">
        <w:rPr>
          <w:lang w:val="en-GB"/>
        </w:rPr>
        <w:t>s operations. EMH assumes that investors are rational and make decisions based solely on available information</w:t>
      </w:r>
      <w:r w:rsidR="009069B8" w:rsidRPr="00E8259B">
        <w:rPr>
          <w:lang w:val="en-GB"/>
        </w:rPr>
        <w:t xml:space="preserve"> (Liu et al., 2022)</w:t>
      </w:r>
      <w:r w:rsidR="006C54D6" w:rsidRPr="00E8259B">
        <w:rPr>
          <w:lang w:val="en-GB"/>
        </w:rPr>
        <w:t xml:space="preserve">. However, real-world investors can be influenced by </w:t>
      </w:r>
      <w:r w:rsidR="0003420F">
        <w:rPr>
          <w:lang w:val="en-GB"/>
        </w:rPr>
        <w:t>behavioural</w:t>
      </w:r>
      <w:r w:rsidR="006C54D6" w:rsidRPr="00E8259B">
        <w:rPr>
          <w:lang w:val="en-GB"/>
        </w:rPr>
        <w:t xml:space="preserve"> biases, leading to market inefficiencies and </w:t>
      </w:r>
      <w:r w:rsidR="0003420F" w:rsidRPr="00E8259B">
        <w:rPr>
          <w:lang w:val="en-GB"/>
        </w:rPr>
        <w:t>mispricing’s</w:t>
      </w:r>
      <w:r w:rsidR="006C54D6" w:rsidRPr="00E8259B">
        <w:rPr>
          <w:lang w:val="en-GB"/>
        </w:rPr>
        <w:t>. EMH doesn</w:t>
      </w:r>
      <w:r w:rsidR="00C172C7">
        <w:rPr>
          <w:lang w:val="en-GB"/>
        </w:rPr>
        <w:t>’</w:t>
      </w:r>
      <w:r w:rsidR="006C54D6" w:rsidRPr="00E8259B">
        <w:rPr>
          <w:lang w:val="en-GB"/>
        </w:rPr>
        <w:t xml:space="preserve">t account for situations where </w:t>
      </w:r>
      <w:r w:rsidR="0003420F" w:rsidRPr="00E8259B">
        <w:rPr>
          <w:lang w:val="en-GB"/>
        </w:rPr>
        <w:t>mispricing’s</w:t>
      </w:r>
      <w:r w:rsidR="006C54D6" w:rsidRPr="00E8259B">
        <w:rPr>
          <w:lang w:val="en-GB"/>
        </w:rPr>
        <w:t xml:space="preserve"> occur due to market sentiment, speculation, or trading by institutional investors with access to advanced information</w:t>
      </w:r>
      <w:r w:rsidR="009069B8" w:rsidRPr="00E8259B">
        <w:rPr>
          <w:lang w:val="en-GB"/>
        </w:rPr>
        <w:t xml:space="preserve"> (Bouattour and Martinez, 2019)</w:t>
      </w:r>
      <w:r w:rsidR="006C54D6" w:rsidRPr="00E8259B">
        <w:rPr>
          <w:lang w:val="en-GB"/>
        </w:rPr>
        <w:t>. Additionally, the global nature of Nestlé</w:t>
      </w:r>
      <w:r w:rsidR="00C172C7">
        <w:rPr>
          <w:lang w:val="en-GB"/>
        </w:rPr>
        <w:t>’</w:t>
      </w:r>
      <w:r w:rsidR="006C54D6" w:rsidRPr="00E8259B">
        <w:rPr>
          <w:lang w:val="en-GB"/>
        </w:rPr>
        <w:t xml:space="preserve">s operations introduces complexities related to currency fluctuations, regulatory changes, and geopolitical events. These factors can create pricing inefficiencies that EMH might not fully capture. </w:t>
      </w:r>
    </w:p>
    <w:p w14:paraId="291CBFF7" w14:textId="085283C0" w:rsidR="008D5838" w:rsidRPr="00062E53" w:rsidRDefault="008D5838" w:rsidP="00062E53">
      <w:pPr>
        <w:pStyle w:val="Heading1"/>
        <w:spacing w:line="480" w:lineRule="auto"/>
        <w:jc w:val="center"/>
        <w:rPr>
          <w:rFonts w:ascii="Times New Roman" w:hAnsi="Times New Roman"/>
          <w:sz w:val="24"/>
          <w:szCs w:val="24"/>
          <w:lang w:val="en-GB"/>
        </w:rPr>
      </w:pPr>
      <w:bookmarkStart w:id="5" w:name="_Toc143947017"/>
      <w:r w:rsidRPr="00062E53">
        <w:rPr>
          <w:rFonts w:ascii="Times New Roman" w:hAnsi="Times New Roman"/>
          <w:sz w:val="24"/>
          <w:szCs w:val="24"/>
          <w:lang w:val="en-GB"/>
        </w:rPr>
        <w:t>Methods of Appraising Projects</w:t>
      </w:r>
      <w:bookmarkEnd w:id="5"/>
    </w:p>
    <w:p w14:paraId="4EFD1DF4" w14:textId="343C37F3" w:rsidR="008D5838" w:rsidRPr="00E8259B" w:rsidRDefault="00E75713" w:rsidP="004715C8">
      <w:pPr>
        <w:spacing w:before="0" w:after="0" w:line="480" w:lineRule="auto"/>
        <w:rPr>
          <w:lang w:val="en-GB"/>
        </w:rPr>
      </w:pPr>
      <w:r w:rsidRPr="00E8259B">
        <w:rPr>
          <w:lang w:val="en-GB"/>
        </w:rPr>
        <w:tab/>
      </w:r>
      <w:r w:rsidR="002A4CB7" w:rsidRPr="00E8259B">
        <w:rPr>
          <w:lang w:val="en-GB"/>
        </w:rPr>
        <w:t xml:space="preserve">Nestlé uses </w:t>
      </w:r>
      <w:r w:rsidR="00E8349A" w:rsidRPr="00E8259B">
        <w:rPr>
          <w:lang w:val="en-GB"/>
        </w:rPr>
        <w:t>i</w:t>
      </w:r>
      <w:r w:rsidR="002A4CB7" w:rsidRPr="00E8259B">
        <w:rPr>
          <w:lang w:val="en-GB"/>
        </w:rPr>
        <w:t xml:space="preserve">nternal </w:t>
      </w:r>
      <w:r w:rsidR="00E8349A" w:rsidRPr="00E8259B">
        <w:rPr>
          <w:lang w:val="en-GB"/>
        </w:rPr>
        <w:t>r</w:t>
      </w:r>
      <w:r w:rsidR="002A4CB7" w:rsidRPr="00E8259B">
        <w:rPr>
          <w:lang w:val="en-GB"/>
        </w:rPr>
        <w:t xml:space="preserve">ate of </w:t>
      </w:r>
      <w:r w:rsidR="00E8349A" w:rsidRPr="00E8259B">
        <w:rPr>
          <w:lang w:val="en-GB"/>
        </w:rPr>
        <w:t>r</w:t>
      </w:r>
      <w:r w:rsidR="002A4CB7" w:rsidRPr="00E8259B">
        <w:rPr>
          <w:lang w:val="en-GB"/>
        </w:rPr>
        <w:t xml:space="preserve">eturn (IRR) and payback period as the two main methods for appraising projects. </w:t>
      </w:r>
      <w:r w:rsidR="00E8349A" w:rsidRPr="00E8259B">
        <w:rPr>
          <w:lang w:val="en-GB"/>
        </w:rPr>
        <w:t>IRR is the discount rate at which the NPV of a project becomes zero. Nestlé uses IRR to assess whether a project</w:t>
      </w:r>
      <w:r w:rsidR="00C172C7">
        <w:rPr>
          <w:lang w:val="en-GB"/>
        </w:rPr>
        <w:t>’</w:t>
      </w:r>
      <w:r w:rsidR="00E8349A" w:rsidRPr="00E8259B">
        <w:rPr>
          <w:lang w:val="en-GB"/>
        </w:rPr>
        <w:t>s potential return exceeds the cost of capital. Projects with IRR higher than the company</w:t>
      </w:r>
      <w:r w:rsidR="00C172C7">
        <w:rPr>
          <w:lang w:val="en-GB"/>
        </w:rPr>
        <w:t>’</w:t>
      </w:r>
      <w:r w:rsidR="00E8349A" w:rsidRPr="00E8259B">
        <w:rPr>
          <w:lang w:val="en-GB"/>
        </w:rPr>
        <w:t xml:space="preserve">s required rate of return are considered </w:t>
      </w:r>
      <w:r w:rsidR="0003420F" w:rsidRPr="00E8259B">
        <w:rPr>
          <w:lang w:val="en-GB"/>
        </w:rPr>
        <w:t>favourable</w:t>
      </w:r>
      <w:r w:rsidR="00E8349A" w:rsidRPr="00E8259B">
        <w:rPr>
          <w:lang w:val="en-GB"/>
        </w:rPr>
        <w:t xml:space="preserve">. The payback period is the time it takes for a project to recover its initial investment. Nestlé uses this method to assess how quickly it can recoup its investment and start generating positive cash flows. These two methods are optimized to ensure that </w:t>
      </w:r>
      <w:r w:rsidR="00E8349A" w:rsidRPr="00E8259B">
        <w:rPr>
          <w:lang w:val="en-GB"/>
        </w:rPr>
        <w:lastRenderedPageBreak/>
        <w:t>appraised projects contribute to the company</w:t>
      </w:r>
      <w:r w:rsidR="00C172C7">
        <w:rPr>
          <w:lang w:val="en-GB"/>
        </w:rPr>
        <w:t>’</w:t>
      </w:r>
      <w:r w:rsidR="00E8349A" w:rsidRPr="00E8259B">
        <w:rPr>
          <w:lang w:val="en-GB"/>
        </w:rPr>
        <w:t xml:space="preserve">s commitment to creating shared value. </w:t>
      </w:r>
      <w:r w:rsidR="00901D8E" w:rsidRPr="00E8259B">
        <w:rPr>
          <w:lang w:val="en-GB"/>
        </w:rPr>
        <w:t xml:space="preserve">A nutrition, health, and wellness strategy drives value creation for business and society at Nestlé (Espinoza-Orias, Cooper, and Lariani, 2018). </w:t>
      </w:r>
      <w:r w:rsidR="00E8349A" w:rsidRPr="00E8259B">
        <w:rPr>
          <w:lang w:val="en-GB"/>
        </w:rPr>
        <w:t>A project</w:t>
      </w:r>
      <w:r w:rsidR="00C172C7">
        <w:rPr>
          <w:lang w:val="en-GB"/>
        </w:rPr>
        <w:t>’</w:t>
      </w:r>
      <w:r w:rsidR="00E8349A" w:rsidRPr="00E8259B">
        <w:rPr>
          <w:lang w:val="en-GB"/>
        </w:rPr>
        <w:t xml:space="preserve">s ability to create shared value depends on its ability to deliver benefits to society, shareholders, and the business. </w:t>
      </w:r>
      <w:r w:rsidR="00901D8E" w:rsidRPr="00E8259B">
        <w:rPr>
          <w:lang w:val="en-GB"/>
        </w:rPr>
        <w:t>Each method has its strengths and limitations, which are important to consider in the context of Nestlé</w:t>
      </w:r>
      <w:r w:rsidR="00C172C7">
        <w:rPr>
          <w:lang w:val="en-GB"/>
        </w:rPr>
        <w:t>’</w:t>
      </w:r>
      <w:r w:rsidR="00901D8E" w:rsidRPr="00E8259B">
        <w:rPr>
          <w:lang w:val="en-GB"/>
        </w:rPr>
        <w:t xml:space="preserve">s project appraisal process. </w:t>
      </w:r>
    </w:p>
    <w:p w14:paraId="5F72EE75" w14:textId="577D1BB7" w:rsidR="00901D8E" w:rsidRPr="00E8259B" w:rsidRDefault="00901D8E" w:rsidP="004715C8">
      <w:pPr>
        <w:spacing w:before="0" w:after="0" w:line="480" w:lineRule="auto"/>
        <w:rPr>
          <w:lang w:val="en-GB"/>
        </w:rPr>
      </w:pPr>
      <w:r w:rsidRPr="00E8259B">
        <w:rPr>
          <w:lang w:val="en-GB"/>
        </w:rPr>
        <w:tab/>
      </w:r>
      <w:r w:rsidR="00F46EBB" w:rsidRPr="00E8259B">
        <w:rPr>
          <w:lang w:val="en-GB"/>
        </w:rPr>
        <w:t>IRR is advantageous because it reflects the time value of money, provides a percentage return, and has a clear decision rule. It considers the time value of money by discounting cash flows to determine the rate at which the project breaks even. This acknowledges that a dollar received in the future is worth less than a dollar received today. IRR provides a percentage return, making it easy to compare against the required rate of return or cost of capital. The drawbacks of IRR include reinvestment assumptions, failure to consider the scale of investments, and the emergence of multiple IRRs, which creates ambiguity in interpretation and decision-</w:t>
      </w:r>
      <w:r w:rsidR="0076451A" w:rsidRPr="00E8259B">
        <w:rPr>
          <w:lang w:val="en-GB"/>
        </w:rPr>
        <w:t>making (Mellichamp, 2017).</w:t>
      </w:r>
      <w:r w:rsidR="00F46EBB" w:rsidRPr="00E8259B">
        <w:rPr>
          <w:lang w:val="en-GB"/>
        </w:rPr>
        <w:t xml:space="preserve"> The payback period method</w:t>
      </w:r>
      <w:r w:rsidR="00C172C7">
        <w:rPr>
          <w:lang w:val="en-GB"/>
        </w:rPr>
        <w:t>’</w:t>
      </w:r>
      <w:r w:rsidR="00F46EBB" w:rsidRPr="00E8259B">
        <w:rPr>
          <w:lang w:val="en-GB"/>
        </w:rPr>
        <w:t xml:space="preserve">s benefits include simplicity, risk reduction, liquidity improvement, and short-term focus. However, its limitations include the lack of decision criteria, restricted to the recovery period, and ignoring the time value of money. </w:t>
      </w:r>
    </w:p>
    <w:p w14:paraId="5732F005" w14:textId="662166E7" w:rsidR="00F46EBB" w:rsidRPr="00E8259B" w:rsidRDefault="00F46EBB" w:rsidP="004715C8">
      <w:pPr>
        <w:spacing w:before="0" w:after="0" w:line="480" w:lineRule="auto"/>
        <w:rPr>
          <w:lang w:val="en-GB"/>
        </w:rPr>
      </w:pPr>
      <w:r w:rsidRPr="00E8259B">
        <w:rPr>
          <w:lang w:val="en-GB"/>
        </w:rPr>
        <w:tab/>
        <w:t>Nestlé values both simplicity and long-term profitability in its project appraisal methods as an MNC operating in the consumer goods industry. While IRR provides a percentage return and considers the time value of money, it might face challenges in projects with complex cash flow patterns</w:t>
      </w:r>
      <w:r w:rsidR="0076451A" w:rsidRPr="00E8259B">
        <w:rPr>
          <w:lang w:val="en-GB"/>
        </w:rPr>
        <w:t xml:space="preserve"> (Gallo, 2016)</w:t>
      </w:r>
      <w:r w:rsidRPr="00E8259B">
        <w:rPr>
          <w:lang w:val="en-GB"/>
        </w:rPr>
        <w:t xml:space="preserve">. The payback period could be useful for </w:t>
      </w:r>
      <w:r w:rsidRPr="00E8259B">
        <w:rPr>
          <w:lang w:val="en-GB"/>
        </w:rPr>
        <w:lastRenderedPageBreak/>
        <w:t>Nestlé when liquidity and quick capital recovery are important. Still, it might not capture the company</w:t>
      </w:r>
      <w:r w:rsidR="00C172C7">
        <w:rPr>
          <w:lang w:val="en-GB"/>
        </w:rPr>
        <w:t>’</w:t>
      </w:r>
      <w:r w:rsidRPr="00E8259B">
        <w:rPr>
          <w:lang w:val="en-GB"/>
        </w:rPr>
        <w:t>s long-term growth strategies. Combining these methods might be beneficial in the context of Nestlé</w:t>
      </w:r>
      <w:r w:rsidR="00C172C7">
        <w:rPr>
          <w:lang w:val="en-GB"/>
        </w:rPr>
        <w:t>’</w:t>
      </w:r>
      <w:r w:rsidRPr="00E8259B">
        <w:rPr>
          <w:lang w:val="en-GB"/>
        </w:rPr>
        <w:t>s operations. The IRR can assess the potential returns, and the payback period can provide insights into how quickly the investment will be recouped.</w:t>
      </w:r>
    </w:p>
    <w:p w14:paraId="582ED0C6" w14:textId="77777777" w:rsidR="008D5838" w:rsidRPr="00062E53" w:rsidRDefault="008D5838" w:rsidP="00062E53">
      <w:pPr>
        <w:pStyle w:val="Heading1"/>
        <w:spacing w:line="480" w:lineRule="auto"/>
        <w:jc w:val="center"/>
        <w:rPr>
          <w:rFonts w:ascii="Times New Roman" w:hAnsi="Times New Roman"/>
          <w:sz w:val="24"/>
          <w:szCs w:val="24"/>
          <w:lang w:val="en-GB"/>
        </w:rPr>
      </w:pPr>
      <w:bookmarkStart w:id="6" w:name="_Toc143947018"/>
      <w:r w:rsidRPr="00062E53">
        <w:rPr>
          <w:rFonts w:ascii="Times New Roman" w:hAnsi="Times New Roman"/>
          <w:sz w:val="24"/>
          <w:szCs w:val="24"/>
          <w:lang w:val="en-GB"/>
        </w:rPr>
        <w:t>Conclusion</w:t>
      </w:r>
      <w:bookmarkEnd w:id="6"/>
    </w:p>
    <w:p w14:paraId="170C176C" w14:textId="4B81DFEC" w:rsidR="00D12A8C" w:rsidRDefault="00AA7204" w:rsidP="004715C8">
      <w:pPr>
        <w:spacing w:before="0" w:after="0" w:line="480" w:lineRule="auto"/>
        <w:rPr>
          <w:lang w:val="en-GB"/>
        </w:rPr>
      </w:pPr>
      <w:r w:rsidRPr="00E8259B">
        <w:rPr>
          <w:lang w:val="en-GB"/>
        </w:rPr>
        <w:t xml:space="preserve">  </w:t>
      </w:r>
      <w:r w:rsidR="0076451A" w:rsidRPr="00E8259B">
        <w:rPr>
          <w:lang w:val="en-GB"/>
        </w:rPr>
        <w:tab/>
        <w:t>Using Nestlé as a case study, this report has demonstrated the importance of IFM for MNCs. Nestlé</w:t>
      </w:r>
      <w:r w:rsidR="00C172C7">
        <w:rPr>
          <w:lang w:val="en-GB"/>
        </w:rPr>
        <w:t>’</w:t>
      </w:r>
      <w:r w:rsidR="0076451A" w:rsidRPr="00E8259B">
        <w:rPr>
          <w:lang w:val="en-GB"/>
        </w:rPr>
        <w:t>s commitment to IFM is evident through its dividend distribution policy, adherence to the EMH theory, and methods of appraising projects. The company</w:t>
      </w:r>
      <w:r w:rsidR="00C172C7">
        <w:rPr>
          <w:lang w:val="en-GB"/>
        </w:rPr>
        <w:t>’</w:t>
      </w:r>
      <w:r w:rsidR="0076451A" w:rsidRPr="00E8259B">
        <w:rPr>
          <w:lang w:val="en-GB"/>
        </w:rPr>
        <w:t>s stable dividend policy underscores its emphasis on providing predictable returns to shareholders while maintaining financial stability. The adoption of the EMH theory reflects Nestlé</w:t>
      </w:r>
      <w:r w:rsidR="00C172C7">
        <w:rPr>
          <w:lang w:val="en-GB"/>
        </w:rPr>
        <w:t>’</w:t>
      </w:r>
      <w:r w:rsidR="0076451A" w:rsidRPr="00E8259B">
        <w:rPr>
          <w:lang w:val="en-GB"/>
        </w:rPr>
        <w:t xml:space="preserve">s recognition of market efficiency. However, real-world complexities and </w:t>
      </w:r>
      <w:r w:rsidR="0003420F">
        <w:rPr>
          <w:lang w:val="en-GB"/>
        </w:rPr>
        <w:t>behavioural</w:t>
      </w:r>
      <w:r w:rsidR="0076451A" w:rsidRPr="00E8259B">
        <w:rPr>
          <w:lang w:val="en-GB"/>
        </w:rPr>
        <w:t xml:space="preserve"> biases may challenge its complete applicability. Nestlé</w:t>
      </w:r>
      <w:r w:rsidR="00C172C7">
        <w:rPr>
          <w:lang w:val="en-GB"/>
        </w:rPr>
        <w:t>’</w:t>
      </w:r>
      <w:r w:rsidR="0076451A" w:rsidRPr="00E8259B">
        <w:rPr>
          <w:lang w:val="en-GB"/>
        </w:rPr>
        <w:t>s use of IRR and payback period for project appraisal balances the need for simplicity and long-term profitability. These methods, while beneficial, also come with limitations that Nestlé must consider in its investment decisions. Overall, Nestlé</w:t>
      </w:r>
      <w:r w:rsidR="00C172C7">
        <w:rPr>
          <w:lang w:val="en-GB"/>
        </w:rPr>
        <w:t>’</w:t>
      </w:r>
      <w:r w:rsidR="0076451A" w:rsidRPr="00E8259B">
        <w:rPr>
          <w:lang w:val="en-GB"/>
        </w:rPr>
        <w:t>s approach to IFM exemplifies its dedication to creating shared value for society, shareholders, and the business. As Nestlé continues to navigate the challenges of the global market, its strategic focus on IFM remains a cornerstone for sustained success.</w:t>
      </w:r>
    </w:p>
    <w:p w14:paraId="72E6D9CB" w14:textId="1358423B" w:rsidR="0036583E" w:rsidRPr="00D12A8C" w:rsidRDefault="00D12A8C" w:rsidP="00D12A8C">
      <w:pPr>
        <w:pStyle w:val="Heading1"/>
        <w:spacing w:line="480" w:lineRule="auto"/>
        <w:jc w:val="center"/>
        <w:rPr>
          <w:rFonts w:ascii="Times New Roman" w:hAnsi="Times New Roman"/>
          <w:sz w:val="24"/>
          <w:lang w:val="en-GB"/>
        </w:rPr>
      </w:pPr>
      <w:r>
        <w:rPr>
          <w:lang w:val="en-GB"/>
        </w:rPr>
        <w:br w:type="page"/>
      </w:r>
      <w:bookmarkStart w:id="7" w:name="_Toc143947019"/>
      <w:r w:rsidR="0058076E" w:rsidRPr="00062E53">
        <w:rPr>
          <w:rFonts w:ascii="Times New Roman" w:hAnsi="Times New Roman"/>
          <w:sz w:val="24"/>
          <w:szCs w:val="24"/>
          <w:lang w:val="en-GB"/>
        </w:rPr>
        <w:lastRenderedPageBreak/>
        <w:t>References</w:t>
      </w:r>
      <w:bookmarkEnd w:id="7"/>
    </w:p>
    <w:p w14:paraId="1D3E4812" w14:textId="3D7E2F22" w:rsidR="0076451A" w:rsidRPr="003B2964" w:rsidRDefault="0076451A" w:rsidP="004715C8">
      <w:pPr>
        <w:widowControl w:val="0"/>
        <w:autoSpaceDE w:val="0"/>
        <w:autoSpaceDN w:val="0"/>
        <w:adjustRightInd w:val="0"/>
        <w:spacing w:before="0" w:after="0" w:line="480" w:lineRule="auto"/>
        <w:ind w:left="720" w:hanging="720"/>
        <w:rPr>
          <w:szCs w:val="24"/>
          <w:lang w:val="en-GB"/>
        </w:rPr>
      </w:pPr>
      <w:r w:rsidRPr="003B2964">
        <w:rPr>
          <w:szCs w:val="24"/>
          <w:lang w:val="en-GB"/>
        </w:rPr>
        <w:t xml:space="preserve">Bouattour, M. </w:t>
      </w:r>
      <w:r w:rsidR="003B2964">
        <w:rPr>
          <w:szCs w:val="24"/>
          <w:lang w:val="en-GB"/>
        </w:rPr>
        <w:t>&amp;</w:t>
      </w:r>
      <w:r w:rsidRPr="003B2964">
        <w:rPr>
          <w:szCs w:val="24"/>
          <w:lang w:val="en-GB"/>
        </w:rPr>
        <w:t xml:space="preserve"> Martinez, I. (2019) Efficient </w:t>
      </w:r>
      <w:r w:rsidR="004715C8" w:rsidRPr="003B2964">
        <w:rPr>
          <w:szCs w:val="24"/>
          <w:lang w:val="en-GB"/>
        </w:rPr>
        <w:t>market hypothesis: An experimental study with uncertainty and asymmetric information</w:t>
      </w:r>
      <w:r w:rsidRPr="003B2964">
        <w:rPr>
          <w:szCs w:val="24"/>
          <w:lang w:val="en-GB"/>
        </w:rPr>
        <w:t xml:space="preserve">. </w:t>
      </w:r>
      <w:r w:rsidRPr="003B2964">
        <w:rPr>
          <w:i/>
          <w:iCs/>
          <w:szCs w:val="24"/>
          <w:lang w:val="en-GB"/>
        </w:rPr>
        <w:t>Finance Contrôle Stratégie</w:t>
      </w:r>
      <w:r w:rsidR="00C172C7" w:rsidRPr="003B2964">
        <w:rPr>
          <w:szCs w:val="24"/>
          <w:lang w:val="en-GB"/>
        </w:rPr>
        <w:t>.</w:t>
      </w:r>
      <w:r w:rsidRPr="003B2964">
        <w:rPr>
          <w:szCs w:val="24"/>
          <w:lang w:val="en-GB"/>
        </w:rPr>
        <w:t xml:space="preserve"> 22</w:t>
      </w:r>
      <w:r w:rsidR="00C172C7" w:rsidRPr="003B2964">
        <w:rPr>
          <w:szCs w:val="24"/>
          <w:lang w:val="en-GB"/>
        </w:rPr>
        <w:t xml:space="preserve"> </w:t>
      </w:r>
      <w:r w:rsidRPr="003B2964">
        <w:rPr>
          <w:szCs w:val="24"/>
          <w:lang w:val="en-GB"/>
        </w:rPr>
        <w:t>(4),</w:t>
      </w:r>
      <w:r w:rsidR="00C172C7" w:rsidRPr="003B2964">
        <w:rPr>
          <w:szCs w:val="24"/>
          <w:lang w:val="en-GB"/>
        </w:rPr>
        <w:t xml:space="preserve"> </w:t>
      </w:r>
      <w:r w:rsidRPr="003B2964">
        <w:rPr>
          <w:szCs w:val="24"/>
          <w:lang w:val="en-GB"/>
        </w:rPr>
        <w:t xml:space="preserve">1–27. </w:t>
      </w:r>
      <w:hyperlink r:id="rId8" w:history="1">
        <w:r w:rsidRPr="003B2964">
          <w:rPr>
            <w:szCs w:val="24"/>
            <w:lang w:val="en-GB"/>
          </w:rPr>
          <w:t>https://doi.org/10.4000/fcs.3821</w:t>
        </w:r>
      </w:hyperlink>
      <w:r w:rsidRPr="003B2964">
        <w:rPr>
          <w:szCs w:val="24"/>
          <w:lang w:val="en-GB"/>
        </w:rPr>
        <w:t>.</w:t>
      </w:r>
    </w:p>
    <w:p w14:paraId="795F8FCF" w14:textId="1A3FD203" w:rsidR="0076451A" w:rsidRPr="003B2964" w:rsidRDefault="0076451A" w:rsidP="004715C8">
      <w:pPr>
        <w:widowControl w:val="0"/>
        <w:autoSpaceDE w:val="0"/>
        <w:autoSpaceDN w:val="0"/>
        <w:adjustRightInd w:val="0"/>
        <w:spacing w:before="0" w:after="0" w:line="480" w:lineRule="auto"/>
        <w:ind w:left="720" w:hanging="720"/>
        <w:rPr>
          <w:szCs w:val="24"/>
          <w:lang w:val="en-GB"/>
        </w:rPr>
      </w:pPr>
      <w:r w:rsidRPr="003B2964">
        <w:rPr>
          <w:szCs w:val="24"/>
          <w:lang w:val="en-GB"/>
        </w:rPr>
        <w:t xml:space="preserve">Breuer, W. </w:t>
      </w:r>
      <w:r w:rsidR="003B2964">
        <w:rPr>
          <w:szCs w:val="24"/>
          <w:lang w:val="en-GB"/>
        </w:rPr>
        <w:t>&amp;</w:t>
      </w:r>
      <w:r w:rsidRPr="003B2964">
        <w:rPr>
          <w:szCs w:val="24"/>
          <w:lang w:val="en-GB"/>
        </w:rPr>
        <w:t xml:space="preserve"> Ruiz de Vargas, S. (2021</w:t>
      </w:r>
      <w:r w:rsidR="00C94BB2" w:rsidRPr="003B2964">
        <w:rPr>
          <w:szCs w:val="24"/>
          <w:lang w:val="en-GB"/>
        </w:rPr>
        <w:t xml:space="preserve">) </w:t>
      </w:r>
      <w:r w:rsidRPr="003B2964">
        <w:rPr>
          <w:szCs w:val="24"/>
          <w:lang w:val="en-GB"/>
        </w:rPr>
        <w:t xml:space="preserve">Some </w:t>
      </w:r>
      <w:r w:rsidR="004715C8" w:rsidRPr="003B2964">
        <w:rPr>
          <w:szCs w:val="24"/>
          <w:lang w:val="en-GB"/>
        </w:rPr>
        <w:t xml:space="preserve">key developments in international financial management. </w:t>
      </w:r>
      <w:r w:rsidRPr="003B2964">
        <w:rPr>
          <w:i/>
          <w:iCs/>
          <w:szCs w:val="24"/>
          <w:lang w:val="en-GB"/>
        </w:rPr>
        <w:t>Journal of Business Economics</w:t>
      </w:r>
      <w:r w:rsidR="00C172C7" w:rsidRPr="003B2964">
        <w:rPr>
          <w:szCs w:val="24"/>
          <w:lang w:val="en-GB"/>
        </w:rPr>
        <w:t xml:space="preserve">. </w:t>
      </w:r>
      <w:r w:rsidRPr="003B2964">
        <w:rPr>
          <w:szCs w:val="24"/>
          <w:lang w:val="en-GB"/>
        </w:rPr>
        <w:t>91</w:t>
      </w:r>
      <w:r w:rsidR="00C172C7" w:rsidRPr="003B2964">
        <w:rPr>
          <w:szCs w:val="24"/>
          <w:lang w:val="en-GB"/>
        </w:rPr>
        <w:t xml:space="preserve"> </w:t>
      </w:r>
      <w:r w:rsidRPr="003B2964">
        <w:rPr>
          <w:szCs w:val="24"/>
          <w:lang w:val="en-GB"/>
        </w:rPr>
        <w:t xml:space="preserve">(5), 595–615. </w:t>
      </w:r>
      <w:hyperlink r:id="rId9" w:history="1">
        <w:r w:rsidRPr="003B2964">
          <w:rPr>
            <w:szCs w:val="24"/>
            <w:lang w:val="en-GB"/>
          </w:rPr>
          <w:t>https://doi.org/10.1007/s11573-021-01039-8</w:t>
        </w:r>
      </w:hyperlink>
      <w:r w:rsidRPr="003B2964">
        <w:rPr>
          <w:szCs w:val="24"/>
          <w:lang w:val="en-GB"/>
        </w:rPr>
        <w:t>.</w:t>
      </w:r>
    </w:p>
    <w:p w14:paraId="621CFE05" w14:textId="1D688540" w:rsidR="0076451A" w:rsidRPr="003B2964" w:rsidRDefault="0076451A" w:rsidP="004715C8">
      <w:pPr>
        <w:widowControl w:val="0"/>
        <w:autoSpaceDE w:val="0"/>
        <w:autoSpaceDN w:val="0"/>
        <w:adjustRightInd w:val="0"/>
        <w:spacing w:before="0" w:after="0" w:line="480" w:lineRule="auto"/>
        <w:ind w:left="720" w:hanging="720"/>
        <w:rPr>
          <w:szCs w:val="24"/>
          <w:lang w:val="en-GB"/>
        </w:rPr>
      </w:pPr>
      <w:r w:rsidRPr="003B2964">
        <w:rPr>
          <w:szCs w:val="24"/>
          <w:lang w:val="en-GB"/>
        </w:rPr>
        <w:t>Brown, S.</w:t>
      </w:r>
      <w:r w:rsidR="003B2964">
        <w:rPr>
          <w:szCs w:val="24"/>
          <w:lang w:val="en-GB"/>
        </w:rPr>
        <w:t xml:space="preserve"> </w:t>
      </w:r>
      <w:r w:rsidRPr="003B2964">
        <w:rPr>
          <w:szCs w:val="24"/>
          <w:lang w:val="en-GB"/>
        </w:rPr>
        <w:t>J. (2020)</w:t>
      </w:r>
      <w:r w:rsidR="00C172C7" w:rsidRPr="003B2964">
        <w:rPr>
          <w:szCs w:val="24"/>
          <w:lang w:val="en-GB"/>
        </w:rPr>
        <w:t xml:space="preserve"> </w:t>
      </w:r>
      <w:r w:rsidRPr="003B2964">
        <w:rPr>
          <w:szCs w:val="24"/>
          <w:lang w:val="en-GB"/>
        </w:rPr>
        <w:t xml:space="preserve">The </w:t>
      </w:r>
      <w:r w:rsidR="004715C8" w:rsidRPr="003B2964">
        <w:rPr>
          <w:szCs w:val="24"/>
          <w:lang w:val="en-GB"/>
        </w:rPr>
        <w:t>efficient market hypothesis, the financial analysts journal, and the professional status of investment management</w:t>
      </w:r>
      <w:r w:rsidRPr="003B2964">
        <w:rPr>
          <w:szCs w:val="24"/>
          <w:lang w:val="en-GB"/>
        </w:rPr>
        <w:t xml:space="preserve">. </w:t>
      </w:r>
      <w:r w:rsidRPr="003B2964">
        <w:rPr>
          <w:i/>
          <w:iCs/>
          <w:szCs w:val="24"/>
          <w:lang w:val="en-GB"/>
        </w:rPr>
        <w:t>Financial Analysts Journal</w:t>
      </w:r>
      <w:r w:rsidR="00C172C7" w:rsidRPr="003B2964">
        <w:rPr>
          <w:szCs w:val="24"/>
          <w:lang w:val="en-GB"/>
        </w:rPr>
        <w:t xml:space="preserve">. </w:t>
      </w:r>
      <w:r w:rsidRPr="003B2964">
        <w:rPr>
          <w:szCs w:val="24"/>
          <w:lang w:val="en-GB"/>
        </w:rPr>
        <w:t>76</w:t>
      </w:r>
      <w:r w:rsidR="00C172C7" w:rsidRPr="003B2964">
        <w:rPr>
          <w:szCs w:val="24"/>
          <w:lang w:val="en-GB"/>
        </w:rPr>
        <w:t xml:space="preserve"> </w:t>
      </w:r>
      <w:r w:rsidRPr="003B2964">
        <w:rPr>
          <w:szCs w:val="24"/>
          <w:lang w:val="en-GB"/>
        </w:rPr>
        <w:t xml:space="preserve">(2), 5–14. </w:t>
      </w:r>
      <w:hyperlink r:id="rId10" w:history="1">
        <w:r w:rsidRPr="003B2964">
          <w:rPr>
            <w:szCs w:val="24"/>
            <w:lang w:val="en-GB"/>
          </w:rPr>
          <w:t>https://doi.org/10.1080/0015198x.2020.1734375</w:t>
        </w:r>
      </w:hyperlink>
      <w:r w:rsidRPr="003B2964">
        <w:rPr>
          <w:szCs w:val="24"/>
          <w:lang w:val="en-GB"/>
        </w:rPr>
        <w:t>.</w:t>
      </w:r>
    </w:p>
    <w:p w14:paraId="0D49EF8B" w14:textId="3C56DEF8" w:rsidR="0076451A" w:rsidRPr="00C172C7" w:rsidRDefault="0076451A" w:rsidP="004715C8">
      <w:pPr>
        <w:widowControl w:val="0"/>
        <w:autoSpaceDE w:val="0"/>
        <w:autoSpaceDN w:val="0"/>
        <w:adjustRightInd w:val="0"/>
        <w:spacing w:before="0" w:after="0" w:line="480" w:lineRule="auto"/>
        <w:ind w:left="720" w:hanging="720"/>
        <w:rPr>
          <w:szCs w:val="24"/>
          <w:lang w:val="en-GB"/>
        </w:rPr>
      </w:pPr>
      <w:r w:rsidRPr="003B2964">
        <w:rPr>
          <w:szCs w:val="24"/>
          <w:lang w:val="en-GB"/>
        </w:rPr>
        <w:t xml:space="preserve">Espinoza-Orias, N., Cooper, K. </w:t>
      </w:r>
      <w:r w:rsidR="003B2964" w:rsidRPr="003B2964">
        <w:rPr>
          <w:szCs w:val="24"/>
          <w:lang w:val="en-GB"/>
        </w:rPr>
        <w:t>&amp;</w:t>
      </w:r>
      <w:r w:rsidRPr="003B2964">
        <w:rPr>
          <w:szCs w:val="24"/>
          <w:lang w:val="en-GB"/>
        </w:rPr>
        <w:t xml:space="preserve"> Lariani, S. (2018) Integrated </w:t>
      </w:r>
      <w:r w:rsidR="004715C8" w:rsidRPr="003B2964">
        <w:rPr>
          <w:szCs w:val="24"/>
          <w:lang w:val="en-GB"/>
        </w:rPr>
        <w:t xml:space="preserve">product development </w:t>
      </w:r>
      <w:r w:rsidRPr="003B2964">
        <w:rPr>
          <w:szCs w:val="24"/>
          <w:lang w:val="en-GB"/>
        </w:rPr>
        <w:t xml:space="preserve">at Nestlé. In: E. Benetto, K. Gericke </w:t>
      </w:r>
      <w:r w:rsidR="003B2964" w:rsidRPr="003B2964">
        <w:rPr>
          <w:szCs w:val="24"/>
          <w:lang w:val="en-GB"/>
        </w:rPr>
        <w:t>&amp;</w:t>
      </w:r>
      <w:r w:rsidRPr="003B2964">
        <w:rPr>
          <w:szCs w:val="24"/>
          <w:lang w:val="en-GB"/>
        </w:rPr>
        <w:t xml:space="preserve"> M. Guiton </w:t>
      </w:r>
      <w:r w:rsidR="003B2964" w:rsidRPr="003B2964">
        <w:rPr>
          <w:szCs w:val="24"/>
          <w:lang w:val="en-GB"/>
        </w:rPr>
        <w:t>(</w:t>
      </w:r>
      <w:r w:rsidRPr="003B2964">
        <w:rPr>
          <w:szCs w:val="24"/>
          <w:lang w:val="en-GB"/>
        </w:rPr>
        <w:t>eds.</w:t>
      </w:r>
      <w:r w:rsidR="003B2964" w:rsidRPr="003B2964">
        <w:rPr>
          <w:szCs w:val="24"/>
          <w:lang w:val="en-GB"/>
        </w:rPr>
        <w:t>)</w:t>
      </w:r>
      <w:r w:rsidRPr="003B2964">
        <w:rPr>
          <w:szCs w:val="24"/>
          <w:lang w:val="en-GB"/>
        </w:rPr>
        <w:t xml:space="preserve">, </w:t>
      </w:r>
      <w:r w:rsidRPr="003B2964">
        <w:rPr>
          <w:i/>
          <w:iCs/>
          <w:szCs w:val="24"/>
          <w:lang w:val="en-GB"/>
        </w:rPr>
        <w:t xml:space="preserve">Designing </w:t>
      </w:r>
      <w:r w:rsidR="003B2964" w:rsidRPr="003B2964">
        <w:rPr>
          <w:i/>
          <w:iCs/>
          <w:szCs w:val="24"/>
          <w:lang w:val="en-GB"/>
        </w:rPr>
        <w:t>sustainable technologies, products, and policies: From science to innovation</w:t>
      </w:r>
      <w:r w:rsidRPr="003B2964">
        <w:rPr>
          <w:szCs w:val="24"/>
          <w:lang w:val="en-GB"/>
        </w:rPr>
        <w:t xml:space="preserve">. Springer, Cham, pp.447–456. </w:t>
      </w:r>
    </w:p>
    <w:p w14:paraId="68776649" w14:textId="2B84C96C" w:rsidR="0076451A" w:rsidRPr="00E8259B" w:rsidRDefault="0076451A" w:rsidP="004715C8">
      <w:pPr>
        <w:widowControl w:val="0"/>
        <w:autoSpaceDE w:val="0"/>
        <w:autoSpaceDN w:val="0"/>
        <w:adjustRightInd w:val="0"/>
        <w:spacing w:before="0" w:after="0" w:line="480" w:lineRule="auto"/>
        <w:ind w:left="720" w:hanging="720"/>
        <w:rPr>
          <w:szCs w:val="24"/>
          <w:lang w:val="en-GB"/>
        </w:rPr>
      </w:pPr>
      <w:r w:rsidRPr="003B2964">
        <w:rPr>
          <w:szCs w:val="24"/>
          <w:lang w:val="en-GB"/>
        </w:rPr>
        <w:t xml:space="preserve">Farrukh, K., Irshad, S., Shams Khakwani, M., Ishaque, S. </w:t>
      </w:r>
      <w:r w:rsidR="003B2964">
        <w:rPr>
          <w:szCs w:val="24"/>
          <w:lang w:val="en-GB"/>
        </w:rPr>
        <w:t>&amp;</w:t>
      </w:r>
      <w:r w:rsidRPr="003B2964">
        <w:rPr>
          <w:szCs w:val="24"/>
          <w:lang w:val="en-GB"/>
        </w:rPr>
        <w:t xml:space="preserve"> Ansari, N.</w:t>
      </w:r>
      <w:r w:rsidR="003B2964">
        <w:rPr>
          <w:szCs w:val="24"/>
          <w:lang w:val="en-GB"/>
        </w:rPr>
        <w:t xml:space="preserve"> </w:t>
      </w:r>
      <w:r w:rsidRPr="003B2964">
        <w:rPr>
          <w:szCs w:val="24"/>
          <w:lang w:val="en-GB"/>
        </w:rPr>
        <w:t xml:space="preserve">Y. (2017) Impact of </w:t>
      </w:r>
      <w:r w:rsidR="004715C8" w:rsidRPr="003B2964">
        <w:rPr>
          <w:szCs w:val="24"/>
          <w:lang w:val="en-GB"/>
        </w:rPr>
        <w:t xml:space="preserve">dividend policy on shareholders wealth and firm performance </w:t>
      </w:r>
      <w:r w:rsidRPr="003B2964">
        <w:rPr>
          <w:szCs w:val="24"/>
          <w:lang w:val="en-GB"/>
        </w:rPr>
        <w:t xml:space="preserve">in Pakistan. </w:t>
      </w:r>
      <w:r w:rsidRPr="003B2964">
        <w:rPr>
          <w:i/>
          <w:iCs/>
          <w:szCs w:val="24"/>
          <w:lang w:val="en-GB"/>
        </w:rPr>
        <w:t>Cogent Business &amp; Management</w:t>
      </w:r>
      <w:r w:rsidR="00C172C7" w:rsidRPr="003B2964">
        <w:rPr>
          <w:szCs w:val="24"/>
          <w:lang w:val="en-GB"/>
        </w:rPr>
        <w:t>.</w:t>
      </w:r>
      <w:r w:rsidRPr="003B2964">
        <w:rPr>
          <w:szCs w:val="24"/>
          <w:lang w:val="en-GB"/>
        </w:rPr>
        <w:t xml:space="preserve"> 4</w:t>
      </w:r>
      <w:r w:rsidR="00C172C7" w:rsidRPr="003B2964">
        <w:rPr>
          <w:szCs w:val="24"/>
          <w:lang w:val="en-GB"/>
        </w:rPr>
        <w:t xml:space="preserve"> </w:t>
      </w:r>
      <w:r w:rsidRPr="003B2964">
        <w:rPr>
          <w:szCs w:val="24"/>
          <w:lang w:val="en-GB"/>
        </w:rPr>
        <w:t xml:space="preserve">(1), 1–11. </w:t>
      </w:r>
      <w:hyperlink r:id="rId11" w:history="1">
        <w:r w:rsidRPr="003B2964">
          <w:rPr>
            <w:szCs w:val="24"/>
            <w:lang w:val="en-GB"/>
          </w:rPr>
          <w:t>https://doi.org/10.1080/23311975.2017.1408208</w:t>
        </w:r>
      </w:hyperlink>
      <w:r w:rsidRPr="003B2964">
        <w:rPr>
          <w:szCs w:val="24"/>
          <w:lang w:val="en-GB"/>
        </w:rPr>
        <w:t>.</w:t>
      </w:r>
    </w:p>
    <w:p w14:paraId="479BE09A" w14:textId="1AC589D7" w:rsidR="0076451A" w:rsidRPr="00E8259B" w:rsidRDefault="0076451A" w:rsidP="004715C8">
      <w:pPr>
        <w:widowControl w:val="0"/>
        <w:autoSpaceDE w:val="0"/>
        <w:autoSpaceDN w:val="0"/>
        <w:adjustRightInd w:val="0"/>
        <w:spacing w:before="0" w:after="0" w:line="480" w:lineRule="auto"/>
        <w:ind w:left="720" w:hanging="720"/>
        <w:rPr>
          <w:szCs w:val="24"/>
          <w:lang w:val="en-GB"/>
        </w:rPr>
      </w:pPr>
      <w:r w:rsidRPr="00F43829">
        <w:rPr>
          <w:szCs w:val="24"/>
          <w:lang w:val="en-GB"/>
        </w:rPr>
        <w:t xml:space="preserve">Gallo, A. (2016) </w:t>
      </w:r>
      <w:r w:rsidRPr="00F43829">
        <w:rPr>
          <w:i/>
          <w:iCs/>
          <w:szCs w:val="24"/>
          <w:lang w:val="en-GB"/>
        </w:rPr>
        <w:t xml:space="preserve">A </w:t>
      </w:r>
      <w:r w:rsidR="004715C8" w:rsidRPr="00F43829">
        <w:rPr>
          <w:i/>
          <w:iCs/>
          <w:szCs w:val="24"/>
          <w:lang w:val="en-GB"/>
        </w:rPr>
        <w:t>refresher on internal rate of return</w:t>
      </w:r>
      <w:r w:rsidRPr="00F43829">
        <w:rPr>
          <w:szCs w:val="24"/>
          <w:lang w:val="en-GB"/>
        </w:rPr>
        <w:t xml:space="preserve">. </w:t>
      </w:r>
      <w:hyperlink r:id="rId12" w:history="1">
        <w:r w:rsidR="00F43829" w:rsidRPr="00F43829">
          <w:rPr>
            <w:rStyle w:val="Hyperlink"/>
            <w:szCs w:val="24"/>
            <w:lang w:val="en-GB"/>
          </w:rPr>
          <w:t>https://hbr.org/2016/03/a-refresher-on-internal-rate-of-return</w:t>
        </w:r>
      </w:hyperlink>
      <w:r w:rsidRPr="00E8259B">
        <w:rPr>
          <w:szCs w:val="24"/>
          <w:lang w:val="en-GB"/>
        </w:rPr>
        <w:t>.</w:t>
      </w:r>
    </w:p>
    <w:p w14:paraId="420444DE" w14:textId="41E6D6C4" w:rsidR="0076451A" w:rsidRPr="003B2964" w:rsidRDefault="0076451A" w:rsidP="004715C8">
      <w:pPr>
        <w:widowControl w:val="0"/>
        <w:autoSpaceDE w:val="0"/>
        <w:autoSpaceDN w:val="0"/>
        <w:adjustRightInd w:val="0"/>
        <w:spacing w:before="0" w:after="0" w:line="480" w:lineRule="auto"/>
        <w:ind w:left="720" w:hanging="720"/>
        <w:rPr>
          <w:szCs w:val="24"/>
          <w:lang w:val="en-GB"/>
        </w:rPr>
      </w:pPr>
      <w:r w:rsidRPr="003B2964">
        <w:rPr>
          <w:szCs w:val="24"/>
          <w:lang w:val="en-GB"/>
        </w:rPr>
        <w:lastRenderedPageBreak/>
        <w:t>Khatun, M.</w:t>
      </w:r>
      <w:r w:rsidR="003B2964">
        <w:rPr>
          <w:szCs w:val="24"/>
          <w:lang w:val="en-GB"/>
        </w:rPr>
        <w:t xml:space="preserve"> </w:t>
      </w:r>
      <w:r w:rsidRPr="003B2964">
        <w:rPr>
          <w:szCs w:val="24"/>
          <w:lang w:val="en-GB"/>
        </w:rPr>
        <w:t>A., Haque, S.</w:t>
      </w:r>
      <w:r w:rsidR="003B2964">
        <w:rPr>
          <w:szCs w:val="24"/>
          <w:lang w:val="en-GB"/>
        </w:rPr>
        <w:t xml:space="preserve"> </w:t>
      </w:r>
      <w:r w:rsidRPr="003B2964">
        <w:rPr>
          <w:szCs w:val="24"/>
          <w:lang w:val="en-GB"/>
        </w:rPr>
        <w:t xml:space="preserve">Z. </w:t>
      </w:r>
      <w:r w:rsidR="003B2964">
        <w:rPr>
          <w:szCs w:val="24"/>
          <w:lang w:val="en-GB"/>
        </w:rPr>
        <w:t>&amp;</w:t>
      </w:r>
      <w:r w:rsidRPr="003B2964">
        <w:rPr>
          <w:szCs w:val="24"/>
          <w:lang w:val="en-GB"/>
        </w:rPr>
        <w:t xml:space="preserve"> Rahman, S. (2021) Forecasting </w:t>
      </w:r>
      <w:r w:rsidR="004715C8" w:rsidRPr="003B2964">
        <w:rPr>
          <w:szCs w:val="24"/>
          <w:lang w:val="en-GB"/>
        </w:rPr>
        <w:t>financial performance using regression techniques</w:t>
      </w:r>
      <w:r w:rsidRPr="003B2964">
        <w:rPr>
          <w:szCs w:val="24"/>
          <w:lang w:val="en-GB"/>
        </w:rPr>
        <w:t xml:space="preserve">: A </w:t>
      </w:r>
      <w:r w:rsidR="004715C8" w:rsidRPr="003B2964">
        <w:rPr>
          <w:szCs w:val="24"/>
          <w:lang w:val="en-GB"/>
        </w:rPr>
        <w:t>case study on comparative analysi</w:t>
      </w:r>
      <w:r w:rsidRPr="003B2964">
        <w:rPr>
          <w:szCs w:val="24"/>
          <w:lang w:val="en-GB"/>
        </w:rPr>
        <w:t xml:space="preserve">s of Nestle and Unilever. </w:t>
      </w:r>
      <w:r w:rsidRPr="003B2964">
        <w:rPr>
          <w:i/>
          <w:iCs/>
          <w:szCs w:val="24"/>
          <w:lang w:val="en-GB"/>
        </w:rPr>
        <w:t>AIUB Journal of Business and Economics</w:t>
      </w:r>
      <w:r w:rsidR="00C172C7" w:rsidRPr="003B2964">
        <w:rPr>
          <w:szCs w:val="24"/>
          <w:lang w:val="en-GB"/>
        </w:rPr>
        <w:t xml:space="preserve">. </w:t>
      </w:r>
      <w:r w:rsidRPr="003B2964">
        <w:rPr>
          <w:szCs w:val="24"/>
          <w:lang w:val="en-GB"/>
        </w:rPr>
        <w:t>18</w:t>
      </w:r>
      <w:r w:rsidR="00C172C7" w:rsidRPr="003B2964">
        <w:rPr>
          <w:szCs w:val="24"/>
          <w:lang w:val="en-GB"/>
        </w:rPr>
        <w:t xml:space="preserve"> </w:t>
      </w:r>
      <w:r w:rsidRPr="003B2964">
        <w:rPr>
          <w:szCs w:val="24"/>
          <w:lang w:val="en-GB"/>
        </w:rPr>
        <w:t>(1), 133–159.</w:t>
      </w:r>
      <w:hyperlink r:id="rId13" w:history="1">
        <w:r w:rsidR="003B2964" w:rsidRPr="003B2964">
          <w:rPr>
            <w:rStyle w:val="Hyperlink"/>
            <w:szCs w:val="24"/>
            <w:lang w:val="en-GB"/>
          </w:rPr>
          <w:t xml:space="preserve"> https://ajbe.aiub.edu/index.php/ajbe/article/view/101</w:t>
        </w:r>
      </w:hyperlink>
      <w:r w:rsidRPr="003B2964">
        <w:rPr>
          <w:szCs w:val="24"/>
          <w:lang w:val="en-GB"/>
        </w:rPr>
        <w:t>.</w:t>
      </w:r>
    </w:p>
    <w:p w14:paraId="38D2D915" w14:textId="10DDEC3B" w:rsidR="0076451A" w:rsidRPr="003B2964" w:rsidRDefault="0076451A" w:rsidP="004715C8">
      <w:pPr>
        <w:widowControl w:val="0"/>
        <w:autoSpaceDE w:val="0"/>
        <w:autoSpaceDN w:val="0"/>
        <w:adjustRightInd w:val="0"/>
        <w:spacing w:before="0" w:after="0" w:line="480" w:lineRule="auto"/>
        <w:ind w:left="720" w:hanging="720"/>
        <w:rPr>
          <w:szCs w:val="24"/>
          <w:lang w:val="en-GB"/>
        </w:rPr>
      </w:pPr>
      <w:r w:rsidRPr="003B2964">
        <w:rPr>
          <w:szCs w:val="24"/>
          <w:lang w:val="en-GB"/>
        </w:rPr>
        <w:t xml:space="preserve">Liu, G., Yu, C.-P., Shiu, S.-N. </w:t>
      </w:r>
      <w:r w:rsidR="003B2964">
        <w:rPr>
          <w:szCs w:val="24"/>
          <w:lang w:val="en-GB"/>
        </w:rPr>
        <w:t>&amp;</w:t>
      </w:r>
      <w:r w:rsidRPr="003B2964">
        <w:rPr>
          <w:szCs w:val="24"/>
          <w:lang w:val="en-GB"/>
        </w:rPr>
        <w:t xml:space="preserve"> Shih, I-Tung. (2022) The </w:t>
      </w:r>
      <w:r w:rsidR="004715C8" w:rsidRPr="003B2964">
        <w:rPr>
          <w:szCs w:val="24"/>
          <w:lang w:val="en-GB"/>
        </w:rPr>
        <w:t>efficient market hypothesis and the fractal market hypothesis: Interfluves, fusions, and evolutions</w:t>
      </w:r>
      <w:r w:rsidRPr="003B2964">
        <w:rPr>
          <w:szCs w:val="24"/>
          <w:lang w:val="en-GB"/>
        </w:rPr>
        <w:t xml:space="preserve">. </w:t>
      </w:r>
      <w:r w:rsidRPr="003B2964">
        <w:rPr>
          <w:i/>
          <w:iCs/>
          <w:szCs w:val="24"/>
          <w:lang w:val="en-GB"/>
        </w:rPr>
        <w:t>SAGE Open</w:t>
      </w:r>
      <w:r w:rsidR="00C172C7" w:rsidRPr="003B2964">
        <w:rPr>
          <w:szCs w:val="24"/>
          <w:lang w:val="en-GB"/>
        </w:rPr>
        <w:t>.</w:t>
      </w:r>
      <w:r w:rsidRPr="003B2964">
        <w:rPr>
          <w:szCs w:val="24"/>
          <w:lang w:val="en-GB"/>
        </w:rPr>
        <w:t xml:space="preserve"> 12</w:t>
      </w:r>
      <w:r w:rsidR="00C172C7" w:rsidRPr="003B2964">
        <w:rPr>
          <w:szCs w:val="24"/>
          <w:lang w:val="en-GB"/>
        </w:rPr>
        <w:t xml:space="preserve"> </w:t>
      </w:r>
      <w:r w:rsidRPr="003B2964">
        <w:rPr>
          <w:szCs w:val="24"/>
          <w:lang w:val="en-GB"/>
        </w:rPr>
        <w:t xml:space="preserve">(1), 1–8. </w:t>
      </w:r>
      <w:hyperlink r:id="rId14" w:history="1">
        <w:r w:rsidRPr="003B2964">
          <w:rPr>
            <w:szCs w:val="24"/>
            <w:lang w:val="en-GB"/>
          </w:rPr>
          <w:t>https://doi.org/10.1177/21582440221082137</w:t>
        </w:r>
      </w:hyperlink>
      <w:r w:rsidRPr="003B2964">
        <w:rPr>
          <w:szCs w:val="24"/>
          <w:lang w:val="en-GB"/>
        </w:rPr>
        <w:t>.</w:t>
      </w:r>
    </w:p>
    <w:p w14:paraId="0BDECBB4" w14:textId="645F9731" w:rsidR="0076451A" w:rsidRPr="003B2964" w:rsidRDefault="0076451A" w:rsidP="004715C8">
      <w:pPr>
        <w:widowControl w:val="0"/>
        <w:autoSpaceDE w:val="0"/>
        <w:autoSpaceDN w:val="0"/>
        <w:adjustRightInd w:val="0"/>
        <w:spacing w:before="0" w:after="0" w:line="480" w:lineRule="auto"/>
        <w:ind w:left="720" w:hanging="720"/>
        <w:rPr>
          <w:szCs w:val="24"/>
          <w:lang w:val="en-GB"/>
        </w:rPr>
      </w:pPr>
      <w:r w:rsidRPr="003B2964">
        <w:rPr>
          <w:szCs w:val="24"/>
          <w:lang w:val="en-GB"/>
        </w:rPr>
        <w:t xml:space="preserve">Maciejewski, G. </w:t>
      </w:r>
      <w:r w:rsidR="003B2964">
        <w:rPr>
          <w:szCs w:val="24"/>
          <w:lang w:val="en-GB"/>
        </w:rPr>
        <w:t>&amp;</w:t>
      </w:r>
      <w:r w:rsidRPr="003B2964">
        <w:rPr>
          <w:szCs w:val="24"/>
          <w:lang w:val="en-GB"/>
        </w:rPr>
        <w:t xml:space="preserve"> </w:t>
      </w:r>
      <w:r w:rsidR="0003420F" w:rsidRPr="003B2964">
        <w:rPr>
          <w:szCs w:val="24"/>
          <w:lang w:val="en-GB"/>
        </w:rPr>
        <w:t>Mokrysz,</w:t>
      </w:r>
      <w:r w:rsidRPr="003B2964">
        <w:rPr>
          <w:szCs w:val="24"/>
          <w:lang w:val="en-GB"/>
        </w:rPr>
        <w:t xml:space="preserve"> S. (2019) New </w:t>
      </w:r>
      <w:r w:rsidR="004715C8" w:rsidRPr="003B2964">
        <w:rPr>
          <w:szCs w:val="24"/>
          <w:lang w:val="en-GB"/>
        </w:rPr>
        <w:t>trends in consumption on the coffee market</w:t>
      </w:r>
      <w:r w:rsidRPr="003B2964">
        <w:rPr>
          <w:szCs w:val="24"/>
          <w:lang w:val="en-GB"/>
        </w:rPr>
        <w:t xml:space="preserve">. </w:t>
      </w:r>
      <w:r w:rsidRPr="003B2964">
        <w:rPr>
          <w:i/>
          <w:iCs/>
          <w:szCs w:val="24"/>
          <w:lang w:val="en-GB"/>
        </w:rPr>
        <w:t>Scientific Journals of the Warsaw University of Life Sciences, European Policies, Finances and Marketing</w:t>
      </w:r>
      <w:r w:rsidR="00C172C7" w:rsidRPr="003B2964">
        <w:rPr>
          <w:i/>
          <w:iCs/>
          <w:szCs w:val="24"/>
          <w:lang w:val="en-GB"/>
        </w:rPr>
        <w:t xml:space="preserve">. </w:t>
      </w:r>
      <w:r w:rsidRPr="003B2964">
        <w:rPr>
          <w:szCs w:val="24"/>
          <w:lang w:val="en-GB"/>
        </w:rPr>
        <w:t>22</w:t>
      </w:r>
      <w:r w:rsidR="00C172C7" w:rsidRPr="003B2964">
        <w:rPr>
          <w:szCs w:val="24"/>
          <w:lang w:val="en-GB"/>
        </w:rPr>
        <w:t xml:space="preserve"> </w:t>
      </w:r>
      <w:r w:rsidRPr="003B2964">
        <w:rPr>
          <w:szCs w:val="24"/>
          <w:lang w:val="en-GB"/>
        </w:rPr>
        <w:t>(71), 132–144.</w:t>
      </w:r>
      <w:hyperlink r:id="rId15" w:history="1">
        <w:r w:rsidR="003B2964" w:rsidRPr="003B2964">
          <w:rPr>
            <w:rStyle w:val="Hyperlink"/>
            <w:szCs w:val="24"/>
            <w:lang w:val="en-GB"/>
          </w:rPr>
          <w:t xml:space="preserve"> https://doi.org/10.22630/PEFIM.2019.22.71.31</w:t>
        </w:r>
      </w:hyperlink>
      <w:r w:rsidRPr="003B2964">
        <w:rPr>
          <w:szCs w:val="24"/>
          <w:lang w:val="en-GB"/>
        </w:rPr>
        <w:t>.</w:t>
      </w:r>
    </w:p>
    <w:p w14:paraId="7D398065" w14:textId="0944442C" w:rsidR="0076451A" w:rsidRPr="00E8259B" w:rsidRDefault="0076451A" w:rsidP="004715C8">
      <w:pPr>
        <w:widowControl w:val="0"/>
        <w:autoSpaceDE w:val="0"/>
        <w:autoSpaceDN w:val="0"/>
        <w:adjustRightInd w:val="0"/>
        <w:spacing w:before="0" w:after="0" w:line="480" w:lineRule="auto"/>
        <w:ind w:left="720" w:hanging="720"/>
        <w:rPr>
          <w:szCs w:val="24"/>
          <w:lang w:val="en-GB"/>
        </w:rPr>
      </w:pPr>
      <w:r w:rsidRPr="003B2964">
        <w:rPr>
          <w:szCs w:val="24"/>
          <w:lang w:val="en-GB"/>
        </w:rPr>
        <w:t>Mellichamp, D.</w:t>
      </w:r>
      <w:r w:rsidR="003B2964">
        <w:rPr>
          <w:szCs w:val="24"/>
          <w:lang w:val="en-GB"/>
        </w:rPr>
        <w:t xml:space="preserve"> </w:t>
      </w:r>
      <w:r w:rsidRPr="003B2964">
        <w:rPr>
          <w:szCs w:val="24"/>
          <w:lang w:val="en-GB"/>
        </w:rPr>
        <w:t xml:space="preserve">A. (2017) Internal </w:t>
      </w:r>
      <w:r w:rsidR="004715C8" w:rsidRPr="003B2964">
        <w:rPr>
          <w:szCs w:val="24"/>
          <w:lang w:val="en-GB"/>
        </w:rPr>
        <w:t>rate of return: Good and bad features, and a new way of interpreting the historic measure</w:t>
      </w:r>
      <w:r w:rsidR="00C94BB2" w:rsidRPr="003B2964">
        <w:rPr>
          <w:szCs w:val="24"/>
          <w:lang w:val="en-GB"/>
        </w:rPr>
        <w:t xml:space="preserve">. </w:t>
      </w:r>
      <w:r w:rsidRPr="003B2964">
        <w:rPr>
          <w:i/>
          <w:iCs/>
          <w:szCs w:val="24"/>
          <w:lang w:val="en-GB"/>
        </w:rPr>
        <w:t>Computers &amp; Chemical Engineering</w:t>
      </w:r>
      <w:r w:rsidR="00C172C7" w:rsidRPr="003B2964">
        <w:rPr>
          <w:szCs w:val="24"/>
          <w:lang w:val="en-GB"/>
        </w:rPr>
        <w:t>.</w:t>
      </w:r>
      <w:r w:rsidRPr="003B2964">
        <w:rPr>
          <w:szCs w:val="24"/>
          <w:lang w:val="en-GB"/>
        </w:rPr>
        <w:t xml:space="preserve"> 106, 396–406. </w:t>
      </w:r>
      <w:hyperlink r:id="rId16" w:history="1">
        <w:r w:rsidR="003B2964" w:rsidRPr="003B2964">
          <w:rPr>
            <w:rStyle w:val="Hyperlink"/>
            <w:szCs w:val="24"/>
            <w:lang w:val="en-GB"/>
          </w:rPr>
          <w:t>https://doi.org/10.1016/j.compchemeng.2017.06.005</w:t>
        </w:r>
      </w:hyperlink>
      <w:r w:rsidRPr="003B2964">
        <w:rPr>
          <w:szCs w:val="24"/>
          <w:lang w:val="en-GB"/>
        </w:rPr>
        <w:t>.</w:t>
      </w:r>
    </w:p>
    <w:p w14:paraId="21FF91E3" w14:textId="09B1EC7D" w:rsidR="0076451A" w:rsidRPr="00F43829" w:rsidRDefault="0076451A" w:rsidP="004715C8">
      <w:pPr>
        <w:widowControl w:val="0"/>
        <w:autoSpaceDE w:val="0"/>
        <w:autoSpaceDN w:val="0"/>
        <w:adjustRightInd w:val="0"/>
        <w:spacing w:before="0" w:after="0" w:line="480" w:lineRule="auto"/>
        <w:ind w:left="720" w:hanging="720"/>
        <w:rPr>
          <w:szCs w:val="24"/>
          <w:lang w:val="en-GB"/>
        </w:rPr>
      </w:pPr>
      <w:r w:rsidRPr="00F43829">
        <w:rPr>
          <w:szCs w:val="24"/>
          <w:lang w:val="en-GB"/>
        </w:rPr>
        <w:t>Nestlé</w:t>
      </w:r>
      <w:r w:rsidR="003B2964" w:rsidRPr="00F43829">
        <w:rPr>
          <w:szCs w:val="24"/>
          <w:lang w:val="en-GB"/>
        </w:rPr>
        <w:t>.</w:t>
      </w:r>
      <w:r w:rsidRPr="00F43829">
        <w:rPr>
          <w:szCs w:val="24"/>
          <w:lang w:val="en-GB"/>
        </w:rPr>
        <w:t xml:space="preserve"> (2023) </w:t>
      </w:r>
      <w:r w:rsidRPr="00F43829">
        <w:rPr>
          <w:i/>
          <w:iCs/>
          <w:szCs w:val="24"/>
          <w:lang w:val="en-GB"/>
        </w:rPr>
        <w:t xml:space="preserve">About </w:t>
      </w:r>
      <w:r w:rsidR="00C94BB2" w:rsidRPr="00F43829">
        <w:rPr>
          <w:i/>
          <w:iCs/>
          <w:szCs w:val="24"/>
          <w:lang w:val="en-GB"/>
        </w:rPr>
        <w:t>U</w:t>
      </w:r>
      <w:r w:rsidRPr="00F43829">
        <w:rPr>
          <w:i/>
          <w:iCs/>
          <w:szCs w:val="24"/>
          <w:lang w:val="en-GB"/>
        </w:rPr>
        <w:t>s</w:t>
      </w:r>
      <w:r w:rsidRPr="00F43829">
        <w:rPr>
          <w:szCs w:val="24"/>
          <w:lang w:val="en-GB"/>
        </w:rPr>
        <w:t xml:space="preserve">. </w:t>
      </w:r>
      <w:hyperlink r:id="rId17" w:history="1">
        <w:r w:rsidRPr="00F43829">
          <w:rPr>
            <w:szCs w:val="24"/>
            <w:lang w:val="en-GB"/>
          </w:rPr>
          <w:t>https://www.nestle.com/about</w:t>
        </w:r>
      </w:hyperlink>
      <w:r w:rsidRPr="00F43829">
        <w:rPr>
          <w:szCs w:val="24"/>
          <w:lang w:val="en-GB"/>
        </w:rPr>
        <w:t xml:space="preserve"> [Accessed 23 Aug. 2023].</w:t>
      </w:r>
    </w:p>
    <w:p w14:paraId="4982340B" w14:textId="74E19849" w:rsidR="00A46977" w:rsidRPr="004715C8" w:rsidRDefault="0076451A" w:rsidP="004715C8">
      <w:pPr>
        <w:widowControl w:val="0"/>
        <w:autoSpaceDE w:val="0"/>
        <w:autoSpaceDN w:val="0"/>
        <w:adjustRightInd w:val="0"/>
        <w:spacing w:before="0" w:after="0" w:line="480" w:lineRule="auto"/>
        <w:ind w:left="720" w:hanging="720"/>
        <w:rPr>
          <w:szCs w:val="24"/>
          <w:lang w:val="en-GB"/>
        </w:rPr>
      </w:pPr>
      <w:r w:rsidRPr="00F43829">
        <w:rPr>
          <w:szCs w:val="24"/>
          <w:lang w:val="en-GB"/>
        </w:rPr>
        <w:t>Nestlé SA</w:t>
      </w:r>
      <w:r w:rsidR="003B2964" w:rsidRPr="00F43829">
        <w:rPr>
          <w:szCs w:val="24"/>
          <w:lang w:val="en-GB"/>
        </w:rPr>
        <w:t>.</w:t>
      </w:r>
      <w:r w:rsidRPr="00F43829">
        <w:rPr>
          <w:szCs w:val="24"/>
          <w:lang w:val="en-GB"/>
        </w:rPr>
        <w:t xml:space="preserve"> (2023) </w:t>
      </w:r>
      <w:r w:rsidRPr="00F43829">
        <w:rPr>
          <w:i/>
          <w:iCs/>
          <w:szCs w:val="24"/>
          <w:lang w:val="en-GB"/>
        </w:rPr>
        <w:t xml:space="preserve">Annual </w:t>
      </w:r>
      <w:r w:rsidR="00F43829" w:rsidRPr="00F43829">
        <w:rPr>
          <w:i/>
          <w:iCs/>
          <w:szCs w:val="24"/>
          <w:lang w:val="en-GB"/>
        </w:rPr>
        <w:t>r</w:t>
      </w:r>
      <w:r w:rsidRPr="00F43829">
        <w:rPr>
          <w:i/>
          <w:iCs/>
          <w:szCs w:val="24"/>
          <w:lang w:val="en-GB"/>
        </w:rPr>
        <w:t>eview 2022</w:t>
      </w:r>
      <w:r w:rsidRPr="00F43829">
        <w:rPr>
          <w:szCs w:val="24"/>
          <w:lang w:val="en-GB"/>
        </w:rPr>
        <w:t xml:space="preserve">. </w:t>
      </w:r>
      <w:hyperlink r:id="rId18" w:history="1">
        <w:r w:rsidRPr="00F43829">
          <w:rPr>
            <w:szCs w:val="24"/>
            <w:lang w:val="en-GB"/>
          </w:rPr>
          <w:t>https://www.nestle.com/sites/default/files/2023-03/2022-annual-review-en.pdf</w:t>
        </w:r>
      </w:hyperlink>
      <w:r w:rsidRPr="00F43829">
        <w:rPr>
          <w:szCs w:val="24"/>
          <w:lang w:val="en-GB"/>
        </w:rPr>
        <w:t xml:space="preserve"> [Accessed 23 Aug. 2023].</w:t>
      </w:r>
    </w:p>
    <w:sectPr w:rsidR="00A46977" w:rsidRPr="004715C8" w:rsidSect="00384D65">
      <w:headerReference w:type="default" r:id="rId19"/>
      <w:footerReference w:type="default" r:id="rId20"/>
      <w:pgSz w:w="11909" w:h="16834" w:code="9"/>
      <w:pgMar w:top="1440" w:right="1440" w:bottom="1440" w:left="1440" w:header="720" w:footer="109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696FF1" w14:textId="77777777" w:rsidR="00340767" w:rsidRDefault="00340767">
      <w:pPr>
        <w:spacing w:before="0" w:after="0" w:line="240" w:lineRule="auto"/>
      </w:pPr>
      <w:r>
        <w:separator/>
      </w:r>
    </w:p>
  </w:endnote>
  <w:endnote w:type="continuationSeparator" w:id="0">
    <w:p w14:paraId="77482725" w14:textId="77777777" w:rsidR="00340767" w:rsidRDefault="0034076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6AC3B6" w14:textId="464F5585" w:rsidR="00E27F8B" w:rsidRDefault="00E27F8B" w:rsidP="00E27F8B">
    <w:pPr>
      <w:pStyle w:val="Footer"/>
      <w:jc w:val="center"/>
    </w:pPr>
    <w:r>
      <w:fldChar w:fldCharType="begin"/>
    </w:r>
    <w:r>
      <w:instrText xml:space="preserve"> PAGE   \* MERGEFORMAT </w:instrText>
    </w:r>
    <w:r>
      <w:fldChar w:fldCharType="separate"/>
    </w:r>
    <w:r>
      <w:rPr>
        <w:noProof/>
      </w:rPr>
      <w:t>2</w:t>
    </w:r>
    <w:r>
      <w:rPr>
        <w:noProof/>
      </w:rPr>
      <w:fldChar w:fldCharType="end"/>
    </w:r>
  </w:p>
  <w:p w14:paraId="58CE719E" w14:textId="77777777" w:rsidR="00E27F8B" w:rsidRDefault="00E27F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4D04D2" w14:textId="77777777" w:rsidR="00340767" w:rsidRDefault="00340767">
      <w:pPr>
        <w:spacing w:before="0" w:after="0" w:line="240" w:lineRule="auto"/>
      </w:pPr>
      <w:r>
        <w:separator/>
      </w:r>
    </w:p>
  </w:footnote>
  <w:footnote w:type="continuationSeparator" w:id="0">
    <w:p w14:paraId="3D17BBF3" w14:textId="77777777" w:rsidR="00340767" w:rsidRDefault="00340767">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B05917" w14:textId="38EB7894" w:rsidR="00384D65" w:rsidRPr="0003420F" w:rsidRDefault="0003420F" w:rsidP="0003420F">
    <w:pPr>
      <w:pStyle w:val="Header"/>
    </w:pPr>
    <w:r w:rsidRPr="00FD4130">
      <w:rPr>
        <w:noProof/>
      </w:rPr>
      <w:pict w14:anchorId="65BCA8D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i1025" type="#_x0000_t75" alt="Text, letter&#10;&#10;Description automatically generated" style="width:188pt;height:105.5pt;visibility:visible;mso-wrap-style:square">
          <v:imagedata r:id="rId1" o:title="Text, letter&#10;&#10;Description automatically generated"/>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06030E"/>
    <w:multiLevelType w:val="singleLevel"/>
    <w:tmpl w:val="9E48B9B0"/>
    <w:lvl w:ilvl="0">
      <w:start w:val="1"/>
      <w:numFmt w:val="bullet"/>
      <w:pStyle w:val="NormalPointer"/>
      <w:lvlText w:val=""/>
      <w:lvlJc w:val="left"/>
      <w:pPr>
        <w:tabs>
          <w:tab w:val="num" w:pos="360"/>
        </w:tabs>
        <w:ind w:left="360" w:hanging="360"/>
      </w:pPr>
      <w:rPr>
        <w:rFonts w:ascii="Symbol" w:hAnsi="Symbol" w:hint="default"/>
      </w:rPr>
    </w:lvl>
  </w:abstractNum>
  <w:abstractNum w:abstractNumId="1" w15:restartNumberingAfterBreak="0">
    <w:nsid w:val="65303F76"/>
    <w:multiLevelType w:val="singleLevel"/>
    <w:tmpl w:val="0409000F"/>
    <w:lvl w:ilvl="0">
      <w:start w:val="1"/>
      <w:numFmt w:val="decimal"/>
      <w:lvlText w:val="%1."/>
      <w:lvlJc w:val="left"/>
      <w:pPr>
        <w:tabs>
          <w:tab w:val="num" w:pos="360"/>
        </w:tabs>
        <w:ind w:left="360" w:hanging="360"/>
      </w:pPr>
    </w:lvl>
  </w:abstractNum>
  <w:num w:numId="1" w16cid:durableId="431559996">
    <w:abstractNumId w:val="1"/>
  </w:num>
  <w:num w:numId="2" w16cid:durableId="263726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PersonalInformation/>
  <w:removeDateAndTim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oNotTrackMoves/>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I0tTQ2NDa0MLa0MDVR0lEKTi0uzszPAykwqgUASnUgbiwAAAA="/>
  </w:docVars>
  <w:rsids>
    <w:rsidRoot w:val="00A25C25"/>
    <w:rsid w:val="00014A7D"/>
    <w:rsid w:val="0003420F"/>
    <w:rsid w:val="00062E53"/>
    <w:rsid w:val="000A5FD5"/>
    <w:rsid w:val="00114111"/>
    <w:rsid w:val="00163001"/>
    <w:rsid w:val="0016635D"/>
    <w:rsid w:val="001A1DFF"/>
    <w:rsid w:val="001A58DA"/>
    <w:rsid w:val="00226784"/>
    <w:rsid w:val="00284331"/>
    <w:rsid w:val="00291DF4"/>
    <w:rsid w:val="002A4CB7"/>
    <w:rsid w:val="002C4611"/>
    <w:rsid w:val="00340767"/>
    <w:rsid w:val="0036583E"/>
    <w:rsid w:val="00384D65"/>
    <w:rsid w:val="003B2964"/>
    <w:rsid w:val="003B4CD2"/>
    <w:rsid w:val="003C6CBA"/>
    <w:rsid w:val="003D7527"/>
    <w:rsid w:val="003E1439"/>
    <w:rsid w:val="003E639A"/>
    <w:rsid w:val="004000E3"/>
    <w:rsid w:val="004307D5"/>
    <w:rsid w:val="004369B3"/>
    <w:rsid w:val="004715C8"/>
    <w:rsid w:val="004810BA"/>
    <w:rsid w:val="00487F10"/>
    <w:rsid w:val="004A3940"/>
    <w:rsid w:val="004F681E"/>
    <w:rsid w:val="0055233A"/>
    <w:rsid w:val="00570E32"/>
    <w:rsid w:val="0058076E"/>
    <w:rsid w:val="005A4C8B"/>
    <w:rsid w:val="005D1F65"/>
    <w:rsid w:val="005F7387"/>
    <w:rsid w:val="006A6AFB"/>
    <w:rsid w:val="006B40DB"/>
    <w:rsid w:val="006C54D6"/>
    <w:rsid w:val="0076451A"/>
    <w:rsid w:val="007B3444"/>
    <w:rsid w:val="008D5838"/>
    <w:rsid w:val="00901D8E"/>
    <w:rsid w:val="009069B8"/>
    <w:rsid w:val="009245F8"/>
    <w:rsid w:val="009330B5"/>
    <w:rsid w:val="00A25C25"/>
    <w:rsid w:val="00A46977"/>
    <w:rsid w:val="00A91DD4"/>
    <w:rsid w:val="00AA7204"/>
    <w:rsid w:val="00AB770E"/>
    <w:rsid w:val="00AF6F2C"/>
    <w:rsid w:val="00B01719"/>
    <w:rsid w:val="00B175CB"/>
    <w:rsid w:val="00B469DE"/>
    <w:rsid w:val="00B937F7"/>
    <w:rsid w:val="00BB7D6D"/>
    <w:rsid w:val="00C172C7"/>
    <w:rsid w:val="00C35BD6"/>
    <w:rsid w:val="00C540A8"/>
    <w:rsid w:val="00C85581"/>
    <w:rsid w:val="00C94BB2"/>
    <w:rsid w:val="00C97DB7"/>
    <w:rsid w:val="00CA240A"/>
    <w:rsid w:val="00CE6610"/>
    <w:rsid w:val="00D12A8C"/>
    <w:rsid w:val="00D1600B"/>
    <w:rsid w:val="00D40F54"/>
    <w:rsid w:val="00D50463"/>
    <w:rsid w:val="00DF40AD"/>
    <w:rsid w:val="00E121CB"/>
    <w:rsid w:val="00E27F8B"/>
    <w:rsid w:val="00E75713"/>
    <w:rsid w:val="00E8259B"/>
    <w:rsid w:val="00E8349A"/>
    <w:rsid w:val="00EC5062"/>
    <w:rsid w:val="00F178C7"/>
    <w:rsid w:val="00F43829"/>
    <w:rsid w:val="00F46EBB"/>
    <w:rsid w:val="00F744CC"/>
    <w:rsid w:val="00F77AF4"/>
    <w:rsid w:val="00F87233"/>
    <w:rsid w:val="00FA0162"/>
    <w:rsid w:val="00FD694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E7B68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ko-KR"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233A"/>
    <w:pPr>
      <w:spacing w:before="120" w:after="120" w:line="360" w:lineRule="auto"/>
    </w:pPr>
    <w:rPr>
      <w:sz w:val="24"/>
      <w:lang w:val="en-AU" w:eastAsia="en-US"/>
    </w:rPr>
  </w:style>
  <w:style w:type="paragraph" w:styleId="Heading1">
    <w:name w:val="heading 1"/>
    <w:basedOn w:val="Normal"/>
    <w:next w:val="Normal"/>
    <w:qFormat/>
    <w:pPr>
      <w:keepNext/>
      <w:spacing w:before="240" w:after="60"/>
      <w:outlineLvl w:val="0"/>
    </w:pPr>
    <w:rPr>
      <w:rFonts w:ascii="Arial" w:hAnsi="Arial"/>
      <w:b/>
      <w:kern w:val="28"/>
      <w:sz w:val="28"/>
    </w:rPr>
  </w:style>
  <w:style w:type="paragraph" w:styleId="Heading2">
    <w:name w:val="heading 2"/>
    <w:basedOn w:val="Normal"/>
    <w:next w:val="Normal"/>
    <w:qFormat/>
    <w:pPr>
      <w:keepNext/>
      <w:spacing w:before="240" w:after="60"/>
      <w:outlineLvl w:val="1"/>
    </w:pPr>
    <w:rPr>
      <w:rFonts w:ascii="Arial" w:hAnsi="Arial"/>
      <w:b/>
      <w:i/>
    </w:rPr>
  </w:style>
  <w:style w:type="paragraph" w:styleId="Heading3">
    <w:name w:val="heading 3"/>
    <w:basedOn w:val="Normal"/>
    <w:next w:val="Normal"/>
    <w:qFormat/>
    <w:pPr>
      <w:keepNext/>
      <w:spacing w:before="240" w:after="60"/>
      <w:outlineLvl w:val="2"/>
    </w:pPr>
    <w:rPr>
      <w:rFonts w:ascii="Arial" w:hAnsi="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lockquote">
    <w:name w:val="Blockquote"/>
    <w:basedOn w:val="Normal"/>
    <w:pPr>
      <w:spacing w:before="100" w:after="100"/>
      <w:ind w:left="360" w:right="360"/>
    </w:pPr>
    <w:rPr>
      <w:snapToGrid w:val="0"/>
    </w:rPr>
  </w:style>
  <w:style w:type="character" w:customStyle="1" w:styleId="CITE">
    <w:name w:val="CITE"/>
    <w:rPr>
      <w:i/>
    </w:rPr>
  </w:style>
  <w:style w:type="paragraph" w:customStyle="1" w:styleId="DefinitionList">
    <w:name w:val="Definition List"/>
    <w:basedOn w:val="Normal"/>
    <w:next w:val="Normal"/>
    <w:pPr>
      <w:ind w:left="360"/>
    </w:pPr>
    <w:rPr>
      <w:snapToGrid w:val="0"/>
    </w:rPr>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rPr>
      <w:sz w:val="18"/>
    </w:rPr>
  </w:style>
  <w:style w:type="character" w:styleId="PageNumber">
    <w:name w:val="page number"/>
    <w:basedOn w:val="DefaultParagraphFont"/>
  </w:style>
  <w:style w:type="paragraph" w:styleId="BodyText">
    <w:name w:val="Body Text"/>
    <w:basedOn w:val="Normal"/>
    <w:rsid w:val="00EC5062"/>
    <w:pPr>
      <w:jc w:val="both"/>
    </w:pPr>
    <w:rPr>
      <w:szCs w:val="24"/>
    </w:rPr>
  </w:style>
  <w:style w:type="paragraph" w:customStyle="1" w:styleId="NormalPointer">
    <w:name w:val="Normal Pointer"/>
    <w:basedOn w:val="Normal"/>
    <w:pPr>
      <w:numPr>
        <w:numId w:val="2"/>
      </w:numPr>
    </w:pPr>
  </w:style>
  <w:style w:type="paragraph" w:styleId="NormalWeb">
    <w:name w:val="Normal (Web)"/>
    <w:basedOn w:val="Normal"/>
    <w:rsid w:val="001A1DFF"/>
    <w:pPr>
      <w:spacing w:before="100" w:beforeAutospacing="1" w:after="100" w:afterAutospacing="1"/>
    </w:pPr>
    <w:rPr>
      <w:szCs w:val="24"/>
    </w:rPr>
  </w:style>
  <w:style w:type="character" w:customStyle="1" w:styleId="cite0">
    <w:name w:val="cite"/>
    <w:rsid w:val="001A1DFF"/>
    <w:rPr>
      <w:i/>
      <w:iCs/>
    </w:rPr>
  </w:style>
  <w:style w:type="character" w:styleId="Emphasis">
    <w:name w:val="Emphasis"/>
    <w:qFormat/>
    <w:rsid w:val="00AB770E"/>
    <w:rPr>
      <w:i/>
      <w:iCs/>
    </w:rPr>
  </w:style>
  <w:style w:type="paragraph" w:customStyle="1" w:styleId="blockquote0">
    <w:name w:val="blockquote"/>
    <w:basedOn w:val="Normal"/>
    <w:rsid w:val="005A4C8B"/>
    <w:pPr>
      <w:spacing w:before="100" w:beforeAutospacing="1" w:after="100" w:afterAutospacing="1"/>
    </w:pPr>
    <w:rPr>
      <w:szCs w:val="24"/>
    </w:rPr>
  </w:style>
  <w:style w:type="table" w:styleId="TableGrid">
    <w:name w:val="Table Grid"/>
    <w:basedOn w:val="TableNormal"/>
    <w:rsid w:val="00B0171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link w:val="Header"/>
    <w:uiPriority w:val="99"/>
    <w:rsid w:val="00384D65"/>
    <w:rPr>
      <w:sz w:val="24"/>
      <w:lang w:val="en-AU" w:eastAsia="en-US"/>
    </w:rPr>
  </w:style>
  <w:style w:type="paragraph" w:styleId="Date">
    <w:name w:val="Date"/>
    <w:basedOn w:val="Normal"/>
    <w:next w:val="Normal"/>
    <w:link w:val="DateChar"/>
    <w:uiPriority w:val="99"/>
    <w:semiHidden/>
    <w:unhideWhenUsed/>
    <w:rsid w:val="00DF40AD"/>
  </w:style>
  <w:style w:type="character" w:customStyle="1" w:styleId="DateChar">
    <w:name w:val="Date Char"/>
    <w:link w:val="Date"/>
    <w:uiPriority w:val="99"/>
    <w:semiHidden/>
    <w:rsid w:val="00DF40AD"/>
    <w:rPr>
      <w:sz w:val="24"/>
      <w:lang w:val="en-AU" w:eastAsia="en-US"/>
    </w:rPr>
  </w:style>
  <w:style w:type="character" w:styleId="Hyperlink">
    <w:name w:val="Hyperlink"/>
    <w:uiPriority w:val="99"/>
    <w:unhideWhenUsed/>
    <w:rsid w:val="003B2964"/>
    <w:rPr>
      <w:color w:val="0563C1"/>
      <w:u w:val="single"/>
    </w:rPr>
  </w:style>
  <w:style w:type="character" w:styleId="UnresolvedMention">
    <w:name w:val="Unresolved Mention"/>
    <w:uiPriority w:val="99"/>
    <w:semiHidden/>
    <w:unhideWhenUsed/>
    <w:rsid w:val="003B2964"/>
    <w:rPr>
      <w:color w:val="605E5C"/>
      <w:shd w:val="clear" w:color="auto" w:fill="E1DFDD"/>
    </w:rPr>
  </w:style>
  <w:style w:type="paragraph" w:styleId="TOCHeading">
    <w:name w:val="TOC Heading"/>
    <w:basedOn w:val="Heading1"/>
    <w:next w:val="Normal"/>
    <w:uiPriority w:val="39"/>
    <w:unhideWhenUsed/>
    <w:qFormat/>
    <w:rsid w:val="0003420F"/>
    <w:pPr>
      <w:keepLines/>
      <w:spacing w:after="0" w:line="259" w:lineRule="auto"/>
      <w:outlineLvl w:val="9"/>
    </w:pPr>
    <w:rPr>
      <w:rFonts w:ascii="Calibri Light" w:eastAsia="Malgun Gothic" w:hAnsi="Calibri Light"/>
      <w:b w:val="0"/>
      <w:color w:val="2F5496"/>
      <w:kern w:val="0"/>
      <w:sz w:val="32"/>
      <w:szCs w:val="32"/>
      <w:lang w:val="en-US"/>
    </w:rPr>
  </w:style>
  <w:style w:type="paragraph" w:styleId="TOC1">
    <w:name w:val="toc 1"/>
    <w:basedOn w:val="Normal"/>
    <w:next w:val="Normal"/>
    <w:autoRedefine/>
    <w:uiPriority w:val="39"/>
    <w:unhideWhenUsed/>
    <w:rsid w:val="00E27F8B"/>
  </w:style>
  <w:style w:type="character" w:customStyle="1" w:styleId="FooterChar">
    <w:name w:val="Footer Char"/>
    <w:link w:val="Footer"/>
    <w:uiPriority w:val="99"/>
    <w:rsid w:val="00E27F8B"/>
    <w:rPr>
      <w:sz w:val="18"/>
      <w:lang w:val="en-AU"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375909">
      <w:bodyDiv w:val="1"/>
      <w:marLeft w:val="0"/>
      <w:marRight w:val="0"/>
      <w:marTop w:val="0"/>
      <w:marBottom w:val="0"/>
      <w:divBdr>
        <w:top w:val="none" w:sz="0" w:space="0" w:color="auto"/>
        <w:left w:val="none" w:sz="0" w:space="0" w:color="auto"/>
        <w:bottom w:val="none" w:sz="0" w:space="0" w:color="auto"/>
        <w:right w:val="none" w:sz="0" w:space="0" w:color="auto"/>
      </w:divBdr>
    </w:div>
    <w:div w:id="99184306">
      <w:bodyDiv w:val="1"/>
      <w:marLeft w:val="0"/>
      <w:marRight w:val="0"/>
      <w:marTop w:val="0"/>
      <w:marBottom w:val="0"/>
      <w:divBdr>
        <w:top w:val="none" w:sz="0" w:space="0" w:color="auto"/>
        <w:left w:val="none" w:sz="0" w:space="0" w:color="auto"/>
        <w:bottom w:val="none" w:sz="0" w:space="0" w:color="auto"/>
        <w:right w:val="none" w:sz="0" w:space="0" w:color="auto"/>
      </w:divBdr>
      <w:divsChild>
        <w:div w:id="6797457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67723907">
      <w:bodyDiv w:val="1"/>
      <w:marLeft w:val="0"/>
      <w:marRight w:val="0"/>
      <w:marTop w:val="0"/>
      <w:marBottom w:val="0"/>
      <w:divBdr>
        <w:top w:val="none" w:sz="0" w:space="0" w:color="auto"/>
        <w:left w:val="none" w:sz="0" w:space="0" w:color="auto"/>
        <w:bottom w:val="none" w:sz="0" w:space="0" w:color="auto"/>
        <w:right w:val="none" w:sz="0" w:space="0" w:color="auto"/>
      </w:divBdr>
    </w:div>
    <w:div w:id="488330872">
      <w:bodyDiv w:val="1"/>
      <w:marLeft w:val="0"/>
      <w:marRight w:val="0"/>
      <w:marTop w:val="0"/>
      <w:marBottom w:val="0"/>
      <w:divBdr>
        <w:top w:val="none" w:sz="0" w:space="0" w:color="auto"/>
        <w:left w:val="none" w:sz="0" w:space="0" w:color="auto"/>
        <w:bottom w:val="none" w:sz="0" w:space="0" w:color="auto"/>
        <w:right w:val="none" w:sz="0" w:space="0" w:color="auto"/>
      </w:divBdr>
    </w:div>
    <w:div w:id="499388303">
      <w:bodyDiv w:val="1"/>
      <w:marLeft w:val="0"/>
      <w:marRight w:val="0"/>
      <w:marTop w:val="0"/>
      <w:marBottom w:val="0"/>
      <w:divBdr>
        <w:top w:val="none" w:sz="0" w:space="0" w:color="auto"/>
        <w:left w:val="none" w:sz="0" w:space="0" w:color="auto"/>
        <w:bottom w:val="none" w:sz="0" w:space="0" w:color="auto"/>
        <w:right w:val="none" w:sz="0" w:space="0" w:color="auto"/>
      </w:divBdr>
    </w:div>
    <w:div w:id="615210377">
      <w:bodyDiv w:val="1"/>
      <w:marLeft w:val="0"/>
      <w:marRight w:val="0"/>
      <w:marTop w:val="0"/>
      <w:marBottom w:val="0"/>
      <w:divBdr>
        <w:top w:val="none" w:sz="0" w:space="0" w:color="auto"/>
        <w:left w:val="none" w:sz="0" w:space="0" w:color="auto"/>
        <w:bottom w:val="none" w:sz="0" w:space="0" w:color="auto"/>
        <w:right w:val="none" w:sz="0" w:space="0" w:color="auto"/>
      </w:divBdr>
    </w:div>
    <w:div w:id="1090391322">
      <w:bodyDiv w:val="1"/>
      <w:marLeft w:val="0"/>
      <w:marRight w:val="0"/>
      <w:marTop w:val="0"/>
      <w:marBottom w:val="0"/>
      <w:divBdr>
        <w:top w:val="none" w:sz="0" w:space="0" w:color="auto"/>
        <w:left w:val="none" w:sz="0" w:space="0" w:color="auto"/>
        <w:bottom w:val="none" w:sz="0" w:space="0" w:color="auto"/>
        <w:right w:val="none" w:sz="0" w:space="0" w:color="auto"/>
      </w:divBdr>
    </w:div>
    <w:div w:id="1130242552">
      <w:bodyDiv w:val="1"/>
      <w:marLeft w:val="0"/>
      <w:marRight w:val="0"/>
      <w:marTop w:val="0"/>
      <w:marBottom w:val="0"/>
      <w:divBdr>
        <w:top w:val="none" w:sz="0" w:space="0" w:color="auto"/>
        <w:left w:val="none" w:sz="0" w:space="0" w:color="auto"/>
        <w:bottom w:val="none" w:sz="0" w:space="0" w:color="auto"/>
        <w:right w:val="none" w:sz="0" w:space="0" w:color="auto"/>
      </w:divBdr>
    </w:div>
    <w:div w:id="1599021172">
      <w:bodyDiv w:val="1"/>
      <w:marLeft w:val="0"/>
      <w:marRight w:val="0"/>
      <w:marTop w:val="0"/>
      <w:marBottom w:val="0"/>
      <w:divBdr>
        <w:top w:val="none" w:sz="0" w:space="0" w:color="auto"/>
        <w:left w:val="none" w:sz="0" w:space="0" w:color="auto"/>
        <w:bottom w:val="none" w:sz="0" w:space="0" w:color="auto"/>
        <w:right w:val="none" w:sz="0" w:space="0" w:color="auto"/>
      </w:divBdr>
    </w:div>
    <w:div w:id="1671524051">
      <w:bodyDiv w:val="1"/>
      <w:marLeft w:val="0"/>
      <w:marRight w:val="0"/>
      <w:marTop w:val="0"/>
      <w:marBottom w:val="0"/>
      <w:divBdr>
        <w:top w:val="none" w:sz="0" w:space="0" w:color="auto"/>
        <w:left w:val="none" w:sz="0" w:space="0" w:color="auto"/>
        <w:bottom w:val="none" w:sz="0" w:space="0" w:color="auto"/>
        <w:right w:val="none" w:sz="0" w:space="0" w:color="auto"/>
      </w:divBdr>
    </w:div>
    <w:div w:id="20607851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4000/fcs.3821" TargetMode="External"/><Relationship Id="rId13" Type="http://schemas.openxmlformats.org/officeDocument/2006/relationships/hyperlink" Target="%20https://ajbe.aiub.edu/index.php/ajbe/article/view/101" TargetMode="External"/><Relationship Id="rId18" Type="http://schemas.openxmlformats.org/officeDocument/2006/relationships/hyperlink" Target="https://www.nestle.com/sites/default/files/2023-03/2022-annual-review-en.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hbr.org/2016/03/a-refresher-on-internal-rate-of-return" TargetMode="External"/><Relationship Id="rId17" Type="http://schemas.openxmlformats.org/officeDocument/2006/relationships/hyperlink" Target="https://www.nestle.com/about" TargetMode="External"/><Relationship Id="rId2" Type="http://schemas.openxmlformats.org/officeDocument/2006/relationships/numbering" Target="numbering.xml"/><Relationship Id="rId16" Type="http://schemas.openxmlformats.org/officeDocument/2006/relationships/hyperlink" Target="https://doi.org/10.1016/j.compchemeng.2017.06.005"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23311975.2017.1408208" TargetMode="External"/><Relationship Id="rId5" Type="http://schemas.openxmlformats.org/officeDocument/2006/relationships/webSettings" Target="webSettings.xml"/><Relationship Id="rId15" Type="http://schemas.openxmlformats.org/officeDocument/2006/relationships/hyperlink" Target="%20https://doi.org/10.22630/PEFIM.2019.22.71.31" TargetMode="External"/><Relationship Id="rId10" Type="http://schemas.openxmlformats.org/officeDocument/2006/relationships/hyperlink" Target="https://doi.org/10.1080/0015198x.2020.1734375"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007/s11573-021-01039-8" TargetMode="External"/><Relationship Id="rId14" Type="http://schemas.openxmlformats.org/officeDocument/2006/relationships/hyperlink" Target="https://doi.org/10.1177/21582440221082137"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E49BCB-0B46-46D6-AD60-CB6DA701B2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2329</Words>
  <Characters>13278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2023-08-24T22:43:00Z</dcterms:created>
  <dcterms:modified xsi:type="dcterms:W3CDTF">2023-08-26T12:00:00Z</dcterms:modified>
</cp:coreProperties>
</file>