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5D251" w14:textId="091F213A" w:rsidR="00E70E0A" w:rsidRDefault="00E70E0A" w:rsidP="00E70E0A">
      <w:pPr>
        <w:rPr>
          <w:rFonts w:ascii="Times New Roman" w:hAnsi="Times New Roman" w:cs="Times New Roman"/>
        </w:rPr>
      </w:pPr>
    </w:p>
    <w:p w14:paraId="39ED6672" w14:textId="77777777" w:rsidR="00B70DE8" w:rsidRDefault="00B70DE8" w:rsidP="00E70E0A">
      <w:pPr>
        <w:rPr>
          <w:rFonts w:ascii="Times New Roman" w:hAnsi="Times New Roman" w:cs="Times New Roman"/>
        </w:rPr>
      </w:pPr>
    </w:p>
    <w:p w14:paraId="3F2F2347" w14:textId="77777777" w:rsidR="00B70DE8" w:rsidRDefault="00B70DE8" w:rsidP="00E70E0A">
      <w:pPr>
        <w:rPr>
          <w:rFonts w:ascii="Times New Roman" w:hAnsi="Times New Roman" w:cs="Times New Roman"/>
        </w:rPr>
      </w:pPr>
    </w:p>
    <w:p w14:paraId="75C454A2" w14:textId="77777777" w:rsidR="00B70DE8" w:rsidRDefault="00B70DE8" w:rsidP="00E70E0A">
      <w:pPr>
        <w:rPr>
          <w:rFonts w:ascii="Times New Roman" w:hAnsi="Times New Roman" w:cs="Times New Roman"/>
        </w:rPr>
      </w:pPr>
    </w:p>
    <w:p w14:paraId="120EEF49" w14:textId="77777777" w:rsidR="00B70DE8" w:rsidRDefault="00B70DE8" w:rsidP="00E70E0A">
      <w:pPr>
        <w:rPr>
          <w:rFonts w:ascii="Times New Roman" w:hAnsi="Times New Roman" w:cs="Times New Roman"/>
        </w:rPr>
      </w:pPr>
    </w:p>
    <w:p w14:paraId="7C6F6C0D" w14:textId="77777777" w:rsidR="00B70DE8" w:rsidRDefault="00B70DE8" w:rsidP="00E70E0A">
      <w:pPr>
        <w:rPr>
          <w:rFonts w:ascii="Times New Roman" w:hAnsi="Times New Roman" w:cs="Times New Roman"/>
        </w:rPr>
      </w:pPr>
    </w:p>
    <w:p w14:paraId="32CD5FBE" w14:textId="77777777" w:rsidR="00B70DE8" w:rsidRDefault="00B70DE8" w:rsidP="00E70E0A">
      <w:pPr>
        <w:rPr>
          <w:rFonts w:ascii="Times New Roman" w:hAnsi="Times New Roman" w:cs="Times New Roman"/>
        </w:rPr>
      </w:pPr>
    </w:p>
    <w:p w14:paraId="7EBC7115" w14:textId="77777777" w:rsidR="00B70DE8" w:rsidRDefault="00B70DE8" w:rsidP="00E70E0A">
      <w:pPr>
        <w:rPr>
          <w:rFonts w:ascii="Times New Roman" w:hAnsi="Times New Roman" w:cs="Times New Roman"/>
        </w:rPr>
      </w:pPr>
    </w:p>
    <w:p w14:paraId="4676C0B7" w14:textId="77777777" w:rsidR="00B70DE8" w:rsidRDefault="00B70DE8" w:rsidP="00E70E0A">
      <w:pPr>
        <w:rPr>
          <w:rFonts w:ascii="Times New Roman" w:hAnsi="Times New Roman" w:cs="Times New Roman"/>
        </w:rPr>
      </w:pPr>
    </w:p>
    <w:p w14:paraId="704B2D1C" w14:textId="77777777" w:rsidR="00B70DE8" w:rsidRPr="00E70E0A" w:rsidRDefault="00B70DE8" w:rsidP="00E70E0A">
      <w:pPr>
        <w:rPr>
          <w:rFonts w:ascii="Times New Roman" w:hAnsi="Times New Roman" w:cs="Times New Roman"/>
        </w:rPr>
      </w:pPr>
    </w:p>
    <w:p w14:paraId="4612580C" w14:textId="77777777" w:rsidR="00E70E0A" w:rsidRPr="00E70E0A" w:rsidRDefault="00E70E0A" w:rsidP="00E70E0A">
      <w:pPr>
        <w:jc w:val="center"/>
        <w:rPr>
          <w:rFonts w:ascii="Times New Roman" w:hAnsi="Times New Roman" w:cs="Times New Roman"/>
        </w:rPr>
      </w:pPr>
    </w:p>
    <w:p w14:paraId="48C8B068" w14:textId="77777777" w:rsidR="00E70E0A" w:rsidRPr="00E70E0A" w:rsidRDefault="00E70E0A" w:rsidP="00E70E0A">
      <w:pPr>
        <w:jc w:val="center"/>
        <w:rPr>
          <w:rFonts w:ascii="Times New Roman" w:hAnsi="Times New Roman" w:cs="Times New Roman"/>
        </w:rPr>
      </w:pPr>
      <w:r w:rsidRPr="00E70E0A">
        <w:rPr>
          <w:rFonts w:ascii="Times New Roman" w:hAnsi="Times New Roman" w:cs="Times New Roman"/>
        </w:rPr>
        <w:t>A Report on the Life Course Approach to Health and Wellbeing</w:t>
      </w:r>
    </w:p>
    <w:p w14:paraId="39DCB0D4" w14:textId="7AD55727" w:rsidR="00E70E0A" w:rsidRDefault="00E70E0A" w:rsidP="00E70E0A">
      <w:pPr>
        <w:jc w:val="center"/>
        <w:rPr>
          <w:rFonts w:ascii="Times New Roman" w:hAnsi="Times New Roman" w:cs="Times New Roman"/>
        </w:rPr>
      </w:pPr>
      <w:r w:rsidRPr="00E70E0A">
        <w:rPr>
          <w:rFonts w:ascii="Times New Roman" w:hAnsi="Times New Roman" w:cs="Times New Roman"/>
        </w:rPr>
        <w:t>BMNS4014</w:t>
      </w:r>
    </w:p>
    <w:p w14:paraId="4C07ED59" w14:textId="657D7564" w:rsidR="00E70E0A" w:rsidRPr="00E70E0A" w:rsidRDefault="00E70E0A" w:rsidP="00E70E0A">
      <w:pPr>
        <w:jc w:val="center"/>
        <w:rPr>
          <w:rFonts w:ascii="Times New Roman" w:hAnsi="Times New Roman" w:cs="Times New Roman"/>
        </w:rPr>
      </w:pPr>
      <w:r w:rsidRPr="00E70E0A">
        <w:rPr>
          <w:rFonts w:ascii="Times New Roman" w:hAnsi="Times New Roman" w:cs="Times New Roman"/>
        </w:rPr>
        <w:t>Menna Davies</w:t>
      </w:r>
    </w:p>
    <w:p w14:paraId="68F63845" w14:textId="2CAF7AB1" w:rsidR="00E70E0A" w:rsidRDefault="00E70E0A" w:rsidP="00E70E0A">
      <w:pPr>
        <w:jc w:val="center"/>
        <w:rPr>
          <w:rFonts w:ascii="Times New Roman" w:hAnsi="Times New Roman" w:cs="Times New Roman"/>
        </w:rPr>
      </w:pPr>
      <w:r w:rsidRPr="00E70E0A">
        <w:rPr>
          <w:rFonts w:ascii="Times New Roman" w:hAnsi="Times New Roman" w:cs="Times New Roman"/>
        </w:rPr>
        <w:t>22249</w:t>
      </w:r>
      <w:r w:rsidR="000C6FDC">
        <w:rPr>
          <w:rFonts w:ascii="Times New Roman" w:hAnsi="Times New Roman" w:cs="Times New Roman"/>
        </w:rPr>
        <w:t>13</w:t>
      </w:r>
    </w:p>
    <w:p w14:paraId="451F1015" w14:textId="01B0020A" w:rsidR="00C8660D" w:rsidRDefault="00C8660D" w:rsidP="00E70E0A">
      <w:pPr>
        <w:jc w:val="center"/>
        <w:rPr>
          <w:rFonts w:ascii="Times New Roman" w:hAnsi="Times New Roman" w:cs="Times New Roman"/>
        </w:rPr>
      </w:pPr>
      <w:r>
        <w:rPr>
          <w:rFonts w:ascii="Times New Roman" w:hAnsi="Times New Roman" w:cs="Times New Roman"/>
        </w:rPr>
        <w:t>Ben Duxbury</w:t>
      </w:r>
    </w:p>
    <w:p w14:paraId="5D6690C8" w14:textId="2C7E6DCE" w:rsidR="001E16E1" w:rsidRDefault="001E16E1">
      <w:pPr>
        <w:rPr>
          <w:rFonts w:ascii="Times New Roman" w:hAnsi="Times New Roman" w:cs="Times New Roman"/>
        </w:rPr>
      </w:pPr>
    </w:p>
    <w:p w14:paraId="0B74E0CE" w14:textId="77777777" w:rsidR="001E16E1" w:rsidRDefault="001E16E1">
      <w:pPr>
        <w:rPr>
          <w:rFonts w:ascii="Times New Roman" w:hAnsi="Times New Roman" w:cs="Times New Roman"/>
        </w:rPr>
      </w:pPr>
    </w:p>
    <w:p w14:paraId="5B26E870" w14:textId="77777777" w:rsidR="001E16E1" w:rsidRDefault="001E16E1">
      <w:pPr>
        <w:rPr>
          <w:rFonts w:ascii="Times New Roman" w:hAnsi="Times New Roman" w:cs="Times New Roman"/>
        </w:rPr>
      </w:pPr>
    </w:p>
    <w:p w14:paraId="405FF0B6" w14:textId="77777777" w:rsidR="001E16E1" w:rsidRDefault="001E16E1">
      <w:pPr>
        <w:rPr>
          <w:rFonts w:ascii="Times New Roman" w:hAnsi="Times New Roman" w:cs="Times New Roman"/>
        </w:rPr>
      </w:pPr>
    </w:p>
    <w:p w14:paraId="5D49B705" w14:textId="77777777" w:rsidR="001E16E1" w:rsidRDefault="001E16E1">
      <w:pPr>
        <w:rPr>
          <w:rFonts w:ascii="Times New Roman" w:hAnsi="Times New Roman" w:cs="Times New Roman"/>
        </w:rPr>
      </w:pPr>
    </w:p>
    <w:p w14:paraId="287A7AB0" w14:textId="77777777" w:rsidR="001E16E1" w:rsidRDefault="001E16E1">
      <w:pPr>
        <w:rPr>
          <w:rFonts w:ascii="Times New Roman" w:hAnsi="Times New Roman" w:cs="Times New Roman"/>
        </w:rPr>
      </w:pPr>
    </w:p>
    <w:p w14:paraId="013F4F75" w14:textId="77777777" w:rsidR="001E16E1" w:rsidRDefault="001E16E1">
      <w:pPr>
        <w:rPr>
          <w:rFonts w:ascii="Times New Roman" w:hAnsi="Times New Roman" w:cs="Times New Roman"/>
        </w:rPr>
      </w:pPr>
    </w:p>
    <w:p w14:paraId="1AA7687B" w14:textId="77777777" w:rsidR="001E16E1" w:rsidRDefault="001E16E1">
      <w:pPr>
        <w:rPr>
          <w:rFonts w:ascii="Times New Roman" w:hAnsi="Times New Roman" w:cs="Times New Roman"/>
        </w:rPr>
      </w:pPr>
    </w:p>
    <w:p w14:paraId="335BE4E9" w14:textId="77777777" w:rsidR="001E16E1" w:rsidRDefault="001E16E1">
      <w:pPr>
        <w:rPr>
          <w:rFonts w:ascii="Times New Roman" w:hAnsi="Times New Roman" w:cs="Times New Roman"/>
        </w:rPr>
      </w:pPr>
    </w:p>
    <w:p w14:paraId="57177538" w14:textId="77777777" w:rsidR="001E16E1" w:rsidRDefault="001E16E1">
      <w:pPr>
        <w:rPr>
          <w:rFonts w:ascii="Times New Roman" w:hAnsi="Times New Roman" w:cs="Times New Roman"/>
        </w:rPr>
      </w:pPr>
    </w:p>
    <w:p w14:paraId="1AB392BE" w14:textId="77777777" w:rsidR="001E16E1" w:rsidRDefault="001E16E1">
      <w:pPr>
        <w:rPr>
          <w:rFonts w:ascii="Times New Roman" w:hAnsi="Times New Roman" w:cs="Times New Roman"/>
        </w:rPr>
      </w:pPr>
    </w:p>
    <w:p w14:paraId="10DFB616" w14:textId="77777777" w:rsidR="001E16E1" w:rsidRDefault="001E16E1">
      <w:pPr>
        <w:rPr>
          <w:rFonts w:ascii="Times New Roman" w:hAnsi="Times New Roman" w:cs="Times New Roman"/>
        </w:rPr>
      </w:pPr>
    </w:p>
    <w:p w14:paraId="062C2E3F" w14:textId="54527D2B" w:rsidR="001E16E1" w:rsidRDefault="001E16E1">
      <w:pPr>
        <w:rPr>
          <w:rFonts w:ascii="Times New Roman" w:hAnsi="Times New Roman" w:cs="Times New Roman"/>
        </w:rPr>
      </w:pPr>
      <w:proofErr w:type="spellStart"/>
      <w:r>
        <w:rPr>
          <w:rFonts w:ascii="Times New Roman" w:hAnsi="Times New Roman" w:cs="Times New Roman"/>
        </w:rPr>
        <w:t>i</w:t>
      </w:r>
      <w:proofErr w:type="spellEnd"/>
    </w:p>
    <w:p w14:paraId="086B4D81" w14:textId="28724DA7" w:rsidR="00E70E0A" w:rsidRDefault="00E70E0A" w:rsidP="00E70E0A">
      <w:pPr>
        <w:rPr>
          <w:rFonts w:ascii="Times New Roman" w:hAnsi="Times New Roman" w:cs="Times New Roman"/>
          <w:u w:val="single"/>
        </w:rPr>
      </w:pPr>
      <w:r w:rsidRPr="00AD1941">
        <w:rPr>
          <w:rFonts w:ascii="Times New Roman" w:hAnsi="Times New Roman" w:cs="Times New Roman"/>
          <w:u w:val="single"/>
        </w:rPr>
        <w:lastRenderedPageBreak/>
        <w:t xml:space="preserve">Abstract </w:t>
      </w:r>
    </w:p>
    <w:p w14:paraId="7A5E40D4" w14:textId="603B1D2C" w:rsidR="00B16031" w:rsidRPr="00B16031" w:rsidRDefault="00B16031" w:rsidP="00E70E0A">
      <w:pPr>
        <w:rPr>
          <w:rFonts w:ascii="Times New Roman" w:hAnsi="Times New Roman" w:cs="Times New Roman"/>
        </w:rPr>
      </w:pPr>
      <w:r w:rsidRPr="00B16031">
        <w:rPr>
          <w:rFonts w:ascii="Times New Roman" w:hAnsi="Times New Roman" w:cs="Times New Roman"/>
        </w:rPr>
        <w:t xml:space="preserve">This report explores the life course approach to health and wellbeing, focusing on how social, economic and environmental factors influence health over time. It examines how experiences from early childhood to older age can shape long-term outcomes, including the impact of family, education, income and living conditions. The report also considers how inequalities can develop and affect </w:t>
      </w:r>
      <w:bookmarkStart w:id="0" w:name="_Int_Ny03NZjx"/>
      <w:r w:rsidRPr="00B16031">
        <w:rPr>
          <w:rFonts w:ascii="Times New Roman" w:hAnsi="Times New Roman" w:cs="Times New Roman"/>
        </w:rPr>
        <w:t>different groups</w:t>
      </w:r>
      <w:bookmarkEnd w:id="0"/>
      <w:r w:rsidRPr="00B16031">
        <w:rPr>
          <w:rFonts w:ascii="Times New Roman" w:hAnsi="Times New Roman" w:cs="Times New Roman"/>
        </w:rPr>
        <w:t xml:space="preserve"> in society. In addition, it discusses the role of interventions at different life stages in improving health and reducing inequalities. Overall, the report highlights the importance of early support and equal access to services in promoting better health outcomes across the life course.</w:t>
      </w:r>
    </w:p>
    <w:p w14:paraId="423A30F8" w14:textId="77777777" w:rsidR="00615FCE" w:rsidRDefault="00615FCE">
      <w:pPr>
        <w:rPr>
          <w:rFonts w:ascii="Times New Roman" w:hAnsi="Times New Roman" w:cs="Times New Roman"/>
        </w:rPr>
      </w:pPr>
      <w:r>
        <w:rPr>
          <w:rFonts w:ascii="Times New Roman" w:hAnsi="Times New Roman" w:cs="Times New Roman"/>
        </w:rPr>
        <w:br w:type="page"/>
      </w:r>
    </w:p>
    <w:p w14:paraId="30F650D7" w14:textId="080B11F7" w:rsidR="00615FCE" w:rsidRDefault="00615FCE" w:rsidP="00E70E0A">
      <w:pPr>
        <w:rPr>
          <w:rFonts w:ascii="Times New Roman" w:hAnsi="Times New Roman" w:cs="Times New Roman"/>
          <w:b/>
          <w:bCs/>
        </w:rPr>
      </w:pPr>
      <w:r w:rsidRPr="00615FCE">
        <w:rPr>
          <w:rFonts w:ascii="Times New Roman" w:hAnsi="Times New Roman" w:cs="Times New Roman"/>
          <w:b/>
          <w:bCs/>
        </w:rPr>
        <w:lastRenderedPageBreak/>
        <w:t xml:space="preserve">Contents </w:t>
      </w:r>
    </w:p>
    <w:p w14:paraId="074C8549" w14:textId="77777777" w:rsidR="00615FCE" w:rsidRDefault="00615FCE" w:rsidP="00E70E0A">
      <w:pPr>
        <w:rPr>
          <w:rFonts w:ascii="Times New Roman" w:hAnsi="Times New Roman" w:cs="Times New Roman"/>
          <w:b/>
          <w:bCs/>
        </w:rPr>
      </w:pPr>
    </w:p>
    <w:p w14:paraId="68BF5220" w14:textId="1172628F" w:rsidR="00615FCE" w:rsidRDefault="00615FCE" w:rsidP="00E70E0A">
      <w:pPr>
        <w:rPr>
          <w:rFonts w:ascii="Times New Roman" w:hAnsi="Times New Roman" w:cs="Times New Roman"/>
        </w:rPr>
      </w:pPr>
      <w:r>
        <w:rPr>
          <w:rFonts w:ascii="Times New Roman" w:hAnsi="Times New Roman" w:cs="Times New Roman"/>
        </w:rPr>
        <w:t>Title page ………………………………………………………………………………</w:t>
      </w:r>
      <w:r w:rsidR="0025305B">
        <w:rPr>
          <w:rFonts w:ascii="Times New Roman" w:hAnsi="Times New Roman" w:cs="Times New Roman"/>
        </w:rPr>
        <w:t>…</w:t>
      </w:r>
      <w:r>
        <w:rPr>
          <w:rFonts w:ascii="Times New Roman" w:hAnsi="Times New Roman" w:cs="Times New Roman"/>
        </w:rPr>
        <w:t>…... i</w:t>
      </w:r>
    </w:p>
    <w:p w14:paraId="03A0B608" w14:textId="0FEC6BE8" w:rsidR="00615FCE" w:rsidRDefault="00615FCE" w:rsidP="00E70E0A">
      <w:pPr>
        <w:rPr>
          <w:rFonts w:ascii="Times New Roman" w:hAnsi="Times New Roman" w:cs="Times New Roman"/>
        </w:rPr>
      </w:pPr>
      <w:r>
        <w:rPr>
          <w:rFonts w:ascii="Times New Roman" w:hAnsi="Times New Roman" w:cs="Times New Roman"/>
        </w:rPr>
        <w:t>Abstract………………………………………………………………………………</w:t>
      </w:r>
      <w:r w:rsidR="0025305B">
        <w:rPr>
          <w:rFonts w:ascii="Times New Roman" w:hAnsi="Times New Roman" w:cs="Times New Roman"/>
        </w:rPr>
        <w:t>..</w:t>
      </w:r>
      <w:r>
        <w:rPr>
          <w:rFonts w:ascii="Times New Roman" w:hAnsi="Times New Roman" w:cs="Times New Roman"/>
        </w:rPr>
        <w:t>……... ii</w:t>
      </w:r>
    </w:p>
    <w:p w14:paraId="2662E77D" w14:textId="03954188" w:rsidR="00615FCE" w:rsidRDefault="00615FCE" w:rsidP="00E70E0A">
      <w:pPr>
        <w:rPr>
          <w:rFonts w:ascii="Times New Roman" w:hAnsi="Times New Roman" w:cs="Times New Roman"/>
        </w:rPr>
      </w:pPr>
      <w:r>
        <w:rPr>
          <w:rFonts w:ascii="Times New Roman" w:hAnsi="Times New Roman" w:cs="Times New Roman"/>
        </w:rPr>
        <w:t>Contents……………………………………………………………………………</w:t>
      </w:r>
      <w:r w:rsidR="0025305B">
        <w:rPr>
          <w:rFonts w:ascii="Times New Roman" w:hAnsi="Times New Roman" w:cs="Times New Roman"/>
        </w:rPr>
        <w:t>..</w:t>
      </w:r>
      <w:r>
        <w:rPr>
          <w:rFonts w:ascii="Times New Roman" w:hAnsi="Times New Roman" w:cs="Times New Roman"/>
        </w:rPr>
        <w:t>………. iii</w:t>
      </w:r>
    </w:p>
    <w:p w14:paraId="66BDC660" w14:textId="66B8DB62" w:rsidR="00615FCE" w:rsidRDefault="00615FCE" w:rsidP="00E70E0A">
      <w:pPr>
        <w:rPr>
          <w:rFonts w:ascii="Times New Roman" w:hAnsi="Times New Roman" w:cs="Times New Roman"/>
        </w:rPr>
      </w:pPr>
      <w:r>
        <w:rPr>
          <w:rFonts w:ascii="Times New Roman" w:hAnsi="Times New Roman" w:cs="Times New Roman"/>
        </w:rPr>
        <w:t>Introduction…………………………………………………………………………</w:t>
      </w:r>
      <w:r w:rsidR="00E05387">
        <w:rPr>
          <w:rFonts w:ascii="Times New Roman" w:hAnsi="Times New Roman" w:cs="Times New Roman"/>
        </w:rPr>
        <w:t>...</w:t>
      </w:r>
      <w:r>
        <w:rPr>
          <w:rFonts w:ascii="Times New Roman" w:hAnsi="Times New Roman" w:cs="Times New Roman"/>
        </w:rPr>
        <w:t>……</w:t>
      </w:r>
      <w:r w:rsidR="00930134">
        <w:rPr>
          <w:rFonts w:ascii="Times New Roman" w:hAnsi="Times New Roman" w:cs="Times New Roman"/>
        </w:rPr>
        <w:t>….</w:t>
      </w:r>
      <w:r>
        <w:rPr>
          <w:rFonts w:ascii="Times New Roman" w:hAnsi="Times New Roman" w:cs="Times New Roman"/>
        </w:rPr>
        <w:t>1</w:t>
      </w:r>
    </w:p>
    <w:p w14:paraId="4FFA9F79" w14:textId="47197D3C" w:rsidR="00615FCE" w:rsidRDefault="00615FCE" w:rsidP="00E70E0A">
      <w:pPr>
        <w:rPr>
          <w:rFonts w:ascii="Times New Roman" w:hAnsi="Times New Roman" w:cs="Times New Roman"/>
        </w:rPr>
      </w:pPr>
      <w:r>
        <w:rPr>
          <w:rFonts w:ascii="Times New Roman" w:hAnsi="Times New Roman" w:cs="Times New Roman"/>
        </w:rPr>
        <w:t>The life course approach and social factors……………………………………………</w:t>
      </w:r>
      <w:r w:rsidR="00E05387">
        <w:rPr>
          <w:rFonts w:ascii="Times New Roman" w:hAnsi="Times New Roman" w:cs="Times New Roman"/>
        </w:rPr>
        <w:t>..</w:t>
      </w:r>
      <w:r>
        <w:rPr>
          <w:rFonts w:ascii="Times New Roman" w:hAnsi="Times New Roman" w:cs="Times New Roman"/>
        </w:rPr>
        <w:t>…….2</w:t>
      </w:r>
    </w:p>
    <w:p w14:paraId="60B87C0E" w14:textId="0652E4A6" w:rsidR="00615FCE" w:rsidRDefault="00615FCE" w:rsidP="00E70E0A">
      <w:pPr>
        <w:rPr>
          <w:rFonts w:ascii="Times New Roman" w:hAnsi="Times New Roman" w:cs="Times New Roman"/>
        </w:rPr>
      </w:pPr>
      <w:r>
        <w:rPr>
          <w:rFonts w:ascii="Times New Roman" w:hAnsi="Times New Roman" w:cs="Times New Roman"/>
        </w:rPr>
        <w:t>The life course approach and Environmental factors…………………………………………3</w:t>
      </w:r>
    </w:p>
    <w:p w14:paraId="2C8B386D" w14:textId="64F97168" w:rsidR="00C70D4F" w:rsidRDefault="00615FCE" w:rsidP="00C70D4F">
      <w:pPr>
        <w:rPr>
          <w:rFonts w:ascii="Times New Roman" w:hAnsi="Times New Roman" w:cs="Times New Roman"/>
        </w:rPr>
      </w:pPr>
      <w:r>
        <w:rPr>
          <w:rFonts w:ascii="Times New Roman" w:hAnsi="Times New Roman" w:cs="Times New Roman"/>
        </w:rPr>
        <w:t xml:space="preserve">The life course approach </w:t>
      </w:r>
      <w:r w:rsidR="00C70D4F">
        <w:rPr>
          <w:rFonts w:ascii="Times New Roman" w:hAnsi="Times New Roman" w:cs="Times New Roman"/>
        </w:rPr>
        <w:t>and economic factors……………………………………………….4</w:t>
      </w:r>
    </w:p>
    <w:p w14:paraId="6C8D0DAE" w14:textId="7CC86501" w:rsidR="00C70D4F" w:rsidRDefault="00C70D4F" w:rsidP="00C70D4F">
      <w:pPr>
        <w:rPr>
          <w:rFonts w:ascii="Times New Roman" w:hAnsi="Times New Roman" w:cs="Times New Roman"/>
        </w:rPr>
      </w:pPr>
      <w:r>
        <w:rPr>
          <w:rFonts w:ascii="Times New Roman" w:hAnsi="Times New Roman" w:cs="Times New Roman"/>
        </w:rPr>
        <w:t>The life course approach and interventions……………………………………</w:t>
      </w:r>
      <w:r w:rsidR="00E05387">
        <w:rPr>
          <w:rFonts w:ascii="Times New Roman" w:hAnsi="Times New Roman" w:cs="Times New Roman"/>
        </w:rPr>
        <w:t>.</w:t>
      </w:r>
      <w:r>
        <w:rPr>
          <w:rFonts w:ascii="Times New Roman" w:hAnsi="Times New Roman" w:cs="Times New Roman"/>
        </w:rPr>
        <w:t>…………</w:t>
      </w:r>
      <w:r w:rsidR="00930134">
        <w:rPr>
          <w:rFonts w:ascii="Times New Roman" w:hAnsi="Times New Roman" w:cs="Times New Roman"/>
        </w:rPr>
        <w:t>…...</w:t>
      </w:r>
      <w:r>
        <w:rPr>
          <w:rFonts w:ascii="Times New Roman" w:hAnsi="Times New Roman" w:cs="Times New Roman"/>
        </w:rPr>
        <w:t>5</w:t>
      </w:r>
    </w:p>
    <w:p w14:paraId="34E6F111" w14:textId="5075B2B8" w:rsidR="00E05387" w:rsidRDefault="00E05387" w:rsidP="00C70D4F">
      <w:pPr>
        <w:rPr>
          <w:rFonts w:ascii="Times New Roman" w:hAnsi="Times New Roman" w:cs="Times New Roman"/>
        </w:rPr>
      </w:pPr>
      <w:r>
        <w:rPr>
          <w:rFonts w:ascii="Times New Roman" w:hAnsi="Times New Roman" w:cs="Times New Roman"/>
        </w:rPr>
        <w:t>Determents of health model……………………………………………………..…………….6</w:t>
      </w:r>
    </w:p>
    <w:p w14:paraId="5C69B75D" w14:textId="1A2A45F4" w:rsidR="00E05387" w:rsidRDefault="00C70D4F" w:rsidP="00C70D4F">
      <w:pPr>
        <w:rPr>
          <w:rFonts w:ascii="Times New Roman" w:hAnsi="Times New Roman" w:cs="Times New Roman"/>
        </w:rPr>
      </w:pPr>
      <w:r>
        <w:rPr>
          <w:rFonts w:ascii="Times New Roman" w:hAnsi="Times New Roman" w:cs="Times New Roman"/>
        </w:rPr>
        <w:t>Conclusions and recommendations………………………………………………</w:t>
      </w:r>
      <w:r w:rsidR="00E05387">
        <w:rPr>
          <w:rFonts w:ascii="Times New Roman" w:hAnsi="Times New Roman" w:cs="Times New Roman"/>
        </w:rPr>
        <w:t>...</w:t>
      </w:r>
      <w:r>
        <w:rPr>
          <w:rFonts w:ascii="Times New Roman" w:hAnsi="Times New Roman" w:cs="Times New Roman"/>
        </w:rPr>
        <w:t>………</w:t>
      </w:r>
      <w:r w:rsidR="00930134">
        <w:rPr>
          <w:rFonts w:ascii="Times New Roman" w:hAnsi="Times New Roman" w:cs="Times New Roman"/>
        </w:rPr>
        <w:t>….</w:t>
      </w:r>
      <w:r w:rsidR="00E05387">
        <w:rPr>
          <w:rFonts w:ascii="Times New Roman" w:hAnsi="Times New Roman" w:cs="Times New Roman"/>
        </w:rPr>
        <w:t>7</w:t>
      </w:r>
    </w:p>
    <w:p w14:paraId="3FE040A6" w14:textId="7BB97A02" w:rsidR="00C70D4F" w:rsidRDefault="00C70D4F" w:rsidP="00C70D4F">
      <w:pPr>
        <w:rPr>
          <w:rFonts w:ascii="Times New Roman" w:hAnsi="Times New Roman" w:cs="Times New Roman"/>
        </w:rPr>
      </w:pPr>
      <w:r>
        <w:rPr>
          <w:rFonts w:ascii="Times New Roman" w:hAnsi="Times New Roman" w:cs="Times New Roman"/>
        </w:rPr>
        <w:t>Reference</w:t>
      </w:r>
      <w:r w:rsidR="00BF03E5">
        <w:rPr>
          <w:rFonts w:ascii="Times New Roman" w:hAnsi="Times New Roman" w:cs="Times New Roman"/>
        </w:rPr>
        <w:t xml:space="preserve"> list </w:t>
      </w:r>
      <w:r>
        <w:rPr>
          <w:rFonts w:ascii="Times New Roman" w:hAnsi="Times New Roman" w:cs="Times New Roman"/>
        </w:rPr>
        <w:t>……………………………………………………………………</w:t>
      </w:r>
      <w:r w:rsidR="00E05387">
        <w:rPr>
          <w:rFonts w:ascii="Times New Roman" w:hAnsi="Times New Roman" w:cs="Times New Roman"/>
        </w:rPr>
        <w:t>…</w:t>
      </w:r>
      <w:r>
        <w:rPr>
          <w:rFonts w:ascii="Times New Roman" w:hAnsi="Times New Roman" w:cs="Times New Roman"/>
        </w:rPr>
        <w:t>………</w:t>
      </w:r>
      <w:r w:rsidR="00930134">
        <w:rPr>
          <w:rFonts w:ascii="Times New Roman" w:hAnsi="Times New Roman" w:cs="Times New Roman"/>
        </w:rPr>
        <w:t>….</w:t>
      </w:r>
      <w:r>
        <w:rPr>
          <w:rFonts w:ascii="Times New Roman" w:hAnsi="Times New Roman" w:cs="Times New Roman"/>
        </w:rPr>
        <w:t xml:space="preserve">8 </w:t>
      </w:r>
    </w:p>
    <w:p w14:paraId="7101AA1F" w14:textId="77777777" w:rsidR="00AD4006" w:rsidRDefault="00AD4006" w:rsidP="00C70D4F">
      <w:pPr>
        <w:rPr>
          <w:rFonts w:ascii="Times New Roman" w:hAnsi="Times New Roman" w:cs="Times New Roman"/>
        </w:rPr>
        <w:sectPr w:rsidR="00AD4006" w:rsidSect="001E16E1">
          <w:footerReference w:type="even" r:id="rId10"/>
          <w:footerReference w:type="default" r:id="rId11"/>
          <w:pgSz w:w="11906" w:h="16838"/>
          <w:pgMar w:top="1440" w:right="1440" w:bottom="1440" w:left="1440" w:header="708" w:footer="708" w:gutter="0"/>
          <w:pgNumType w:fmt="lowerRoman" w:start="1"/>
          <w:cols w:space="708"/>
          <w:titlePg/>
          <w:docGrid w:linePitch="360"/>
        </w:sectPr>
      </w:pPr>
    </w:p>
    <w:p w14:paraId="2740268F" w14:textId="77777777" w:rsidR="00DA227C" w:rsidRDefault="00DA227C" w:rsidP="00C70D4F">
      <w:pPr>
        <w:rPr>
          <w:rFonts w:ascii="Times New Roman" w:hAnsi="Times New Roman" w:cs="Times New Roman"/>
        </w:rPr>
      </w:pPr>
    </w:p>
    <w:p w14:paraId="3CB19ECF" w14:textId="67D2AF14" w:rsidR="00C70D4F" w:rsidRDefault="00C70D4F">
      <w:pPr>
        <w:rPr>
          <w:rFonts w:ascii="Times New Roman" w:hAnsi="Times New Roman" w:cs="Times New Roman"/>
        </w:rPr>
      </w:pPr>
    </w:p>
    <w:p w14:paraId="3712E8E3" w14:textId="54E36F74" w:rsidR="00C70D4F" w:rsidRPr="00CA343F" w:rsidRDefault="00C70D4F" w:rsidP="00C70D4F">
      <w:pPr>
        <w:rPr>
          <w:rFonts w:ascii="Times New Roman" w:hAnsi="Times New Roman" w:cs="Times New Roman"/>
          <w:u w:val="single"/>
        </w:rPr>
      </w:pPr>
      <w:r w:rsidRPr="00CA343F">
        <w:rPr>
          <w:rFonts w:ascii="Times New Roman" w:hAnsi="Times New Roman" w:cs="Times New Roman"/>
          <w:u w:val="single"/>
        </w:rPr>
        <w:t>Introduction</w:t>
      </w:r>
    </w:p>
    <w:p w14:paraId="60CAB1A2" w14:textId="1706110B" w:rsidR="003A1C67" w:rsidRPr="003A1C67" w:rsidRDefault="003A1C67" w:rsidP="003A1C67">
      <w:pPr>
        <w:rPr>
          <w:rFonts w:ascii="Times New Roman" w:hAnsi="Times New Roman" w:cs="Times New Roman"/>
        </w:rPr>
      </w:pPr>
      <w:r w:rsidRPr="003A1C67">
        <w:rPr>
          <w:rFonts w:ascii="Times New Roman" w:hAnsi="Times New Roman" w:cs="Times New Roman"/>
        </w:rPr>
        <w:t>The life course approach looks at how different factors throughout a person’s life can influence their health and wellbeing. It recognises that health is not only affected by what happens at one point in time, but by experiences from early childhood through to old age. These experiences can include social, economic and environmental factors, as well as lifestyle choices and access to services.</w:t>
      </w:r>
      <w:r>
        <w:rPr>
          <w:rFonts w:ascii="Times New Roman" w:hAnsi="Times New Roman" w:cs="Times New Roman"/>
        </w:rPr>
        <w:t xml:space="preserve"> </w:t>
      </w:r>
      <w:r w:rsidRPr="003A1C67">
        <w:rPr>
          <w:rFonts w:ascii="Times New Roman" w:hAnsi="Times New Roman" w:cs="Times New Roman"/>
        </w:rPr>
        <w:t>This approach has become increasingly important as people are living longer and populations are ageing. At the same time, health inequalities are still a major issue, with some groups experiencing poorer health outcomes than others. There is now a greater focus on preventing illness rather than only treating it, as early support can reduce long-term health problems.</w:t>
      </w:r>
      <w:r>
        <w:rPr>
          <w:rFonts w:ascii="Times New Roman" w:hAnsi="Times New Roman" w:cs="Times New Roman"/>
        </w:rPr>
        <w:t xml:space="preserve"> </w:t>
      </w:r>
      <w:r w:rsidRPr="003A1C67">
        <w:rPr>
          <w:rFonts w:ascii="Times New Roman" w:hAnsi="Times New Roman" w:cs="Times New Roman"/>
        </w:rPr>
        <w:t>Research shows that early life experiences can have lasting effects on development and future health. For example, a healthy and supportive childhood can lead to better outcomes in education, employment and overall wellbeing. In contrast, negative experiences such as poverty or poor living conditions can increase the risk of poor health later in life.</w:t>
      </w:r>
      <w:r>
        <w:rPr>
          <w:rFonts w:ascii="Times New Roman" w:hAnsi="Times New Roman" w:cs="Times New Roman"/>
        </w:rPr>
        <w:t xml:space="preserve"> </w:t>
      </w:r>
      <w:r w:rsidRPr="003A1C67">
        <w:rPr>
          <w:rFonts w:ascii="Times New Roman" w:hAnsi="Times New Roman" w:cs="Times New Roman"/>
        </w:rPr>
        <w:t>The life course approach is important because it helps identify when and where support is needed most.</w:t>
      </w:r>
      <w:r>
        <w:rPr>
          <w:rFonts w:ascii="Times New Roman" w:hAnsi="Times New Roman" w:cs="Times New Roman"/>
        </w:rPr>
        <w:t xml:space="preserve">  </w:t>
      </w:r>
      <w:r w:rsidRPr="003A1C67">
        <w:rPr>
          <w:rFonts w:ascii="Times New Roman" w:hAnsi="Times New Roman" w:cs="Times New Roman"/>
        </w:rPr>
        <w:t>This report will explore the life course approach and examine how social, economic and environmental factors, as well as interventions, influence health and wellbeing over time.</w:t>
      </w:r>
    </w:p>
    <w:p w14:paraId="2DBB817C" w14:textId="1EC57E1E" w:rsidR="001B669C" w:rsidRDefault="00CA343F">
      <w:pPr>
        <w:rPr>
          <w:rFonts w:ascii="Times New Roman" w:hAnsi="Times New Roman" w:cs="Times New Roman"/>
        </w:rPr>
      </w:pPr>
      <w:r>
        <w:rPr>
          <w:rFonts w:ascii="Times New Roman" w:hAnsi="Times New Roman" w:cs="Times New Roman"/>
        </w:rPr>
        <w:br w:type="page"/>
      </w:r>
    </w:p>
    <w:p w14:paraId="69760E08" w14:textId="143C4E19" w:rsidR="00C70D4F" w:rsidRPr="002223F1" w:rsidRDefault="00930134" w:rsidP="00C70D4F">
      <w:pPr>
        <w:rPr>
          <w:rFonts w:ascii="Times New Roman" w:hAnsi="Times New Roman" w:cs="Times New Roman"/>
          <w:u w:val="single"/>
        </w:rPr>
      </w:pPr>
      <w:r w:rsidRPr="002223F1">
        <w:rPr>
          <w:rFonts w:ascii="Times New Roman" w:hAnsi="Times New Roman" w:cs="Times New Roman"/>
          <w:u w:val="single"/>
        </w:rPr>
        <w:lastRenderedPageBreak/>
        <w:t>The life course approach and social factors</w:t>
      </w:r>
    </w:p>
    <w:p w14:paraId="48EED216" w14:textId="4D80D581" w:rsidR="00B1147C" w:rsidRDefault="00563C67">
      <w:pPr>
        <w:rPr>
          <w:rFonts w:ascii="Times New Roman" w:hAnsi="Times New Roman" w:cs="Times New Roman"/>
        </w:rPr>
      </w:pPr>
      <w:r w:rsidRPr="00563C67">
        <w:rPr>
          <w:rFonts w:ascii="Times New Roman" w:hAnsi="Times New Roman" w:cs="Times New Roman"/>
        </w:rPr>
        <w:t>Social factors are important within the life course approach as they influence health and wellbeing from early childhood to old age. These factors include family, education, relationships</w:t>
      </w:r>
      <w:r w:rsidR="00D71848" w:rsidRPr="00563C67">
        <w:rPr>
          <w:rFonts w:ascii="Times New Roman" w:hAnsi="Times New Roman" w:cs="Times New Roman"/>
        </w:rPr>
        <w:t>,</w:t>
      </w:r>
      <w:r w:rsidRPr="00563C67">
        <w:rPr>
          <w:rFonts w:ascii="Times New Roman" w:hAnsi="Times New Roman" w:cs="Times New Roman"/>
        </w:rPr>
        <w:t xml:space="preserve"> and social support. Positive experiences can promote good health and wellbeing, while negative experiences can increase the risk of poor mental and physical health</w:t>
      </w:r>
      <w:r w:rsidR="00E231AE">
        <w:rPr>
          <w:rFonts w:ascii="Times New Roman" w:hAnsi="Times New Roman" w:cs="Times New Roman"/>
        </w:rPr>
        <w:t xml:space="preserve">. </w:t>
      </w:r>
      <w:r w:rsidR="00B1147C" w:rsidRPr="00B1147C">
        <w:rPr>
          <w:rFonts w:ascii="Times New Roman" w:hAnsi="Times New Roman" w:cs="Times New Roman"/>
        </w:rPr>
        <w:t xml:space="preserve">In contrast, negative experiences such as poor relationships or lack of support can increase the risk of poor mental and physical health. </w:t>
      </w:r>
    </w:p>
    <w:p w14:paraId="32683E14" w14:textId="77777777" w:rsidR="009605A7" w:rsidRDefault="009605A7">
      <w:pPr>
        <w:rPr>
          <w:rFonts w:ascii="Times New Roman" w:hAnsi="Times New Roman" w:cs="Times New Roman"/>
        </w:rPr>
      </w:pPr>
    </w:p>
    <w:p w14:paraId="16D8ED22" w14:textId="1A2FBF7E" w:rsidR="006424BD" w:rsidRPr="006424BD" w:rsidRDefault="006424BD" w:rsidP="006424BD">
      <w:pPr>
        <w:rPr>
          <w:rFonts w:ascii="Times New Roman" w:hAnsi="Times New Roman" w:cs="Times New Roman"/>
        </w:rPr>
      </w:pPr>
      <w:r w:rsidRPr="006424BD">
        <w:rPr>
          <w:rFonts w:ascii="Times New Roman" w:hAnsi="Times New Roman" w:cs="Times New Roman"/>
          <w:u w:val="single"/>
        </w:rPr>
        <w:t>Family and Early Life</w:t>
      </w:r>
      <w:r w:rsidRPr="006424BD">
        <w:rPr>
          <w:rFonts w:ascii="Times New Roman" w:hAnsi="Times New Roman" w:cs="Times New Roman"/>
        </w:rPr>
        <w:br/>
        <w:t xml:space="preserve">Family and early life experiences are important within the life course approach as they influence development from a young age. Positive experiences, such as support and stability, promote healthy growth and improve mental well-being. However, conflict and neglect can lead to stress and poor mental and physical health, continuing into adulthood. Research on Adverse Childhood Experiences (ACEs) shows that negative experiences in childhood can increase the risk of long-term health problems later in life. </w:t>
      </w:r>
      <w:r w:rsidR="00D3756D" w:rsidRPr="006424BD">
        <w:rPr>
          <w:rFonts w:ascii="Times New Roman" w:hAnsi="Times New Roman" w:cs="Times New Roman"/>
        </w:rPr>
        <w:t>Although</w:t>
      </w:r>
      <w:r w:rsidRPr="006424BD">
        <w:rPr>
          <w:rFonts w:ascii="Times New Roman" w:hAnsi="Times New Roman" w:cs="Times New Roman"/>
        </w:rPr>
        <w:t xml:space="preserve"> not all individuals who experience negative early life experiences will develop long-term health problems, as protective factors such as resilience and later support can reduce these effects (CDC, 2023).</w:t>
      </w:r>
    </w:p>
    <w:p w14:paraId="1B0DDEFC" w14:textId="77777777" w:rsidR="006424BD" w:rsidRPr="006424BD" w:rsidRDefault="006424BD" w:rsidP="006424BD">
      <w:pPr>
        <w:rPr>
          <w:rFonts w:ascii="Times New Roman" w:hAnsi="Times New Roman" w:cs="Times New Roman"/>
        </w:rPr>
      </w:pPr>
    </w:p>
    <w:p w14:paraId="1A6577DC" w14:textId="6DE40050" w:rsidR="006424BD" w:rsidRPr="007B6D39" w:rsidRDefault="006424BD" w:rsidP="006424BD">
      <w:pPr>
        <w:rPr>
          <w:rFonts w:ascii="Times New Roman" w:hAnsi="Times New Roman" w:cs="Times New Roman"/>
          <w:u w:val="single"/>
        </w:rPr>
      </w:pPr>
      <w:r w:rsidRPr="006424BD">
        <w:rPr>
          <w:rFonts w:ascii="Times New Roman" w:hAnsi="Times New Roman" w:cs="Times New Roman"/>
          <w:u w:val="single"/>
        </w:rPr>
        <w:t>Education</w:t>
      </w:r>
      <w:r w:rsidRPr="006424BD">
        <w:rPr>
          <w:rFonts w:ascii="Times New Roman" w:hAnsi="Times New Roman" w:cs="Times New Roman"/>
        </w:rPr>
        <w:br/>
        <w:t>Education is a key social factor that affects opportunities and lifestyle choices across the life course. Higher levels of education can improve health outcomes, as individuals are more likely to understand healthy behaviours. Education also influences employment and income, which can impact living conditions and long-term wellbeing. Research shows that individuals with lower levels of education are more likely to experience poorer health outcomes, while those with higher education tend to live longer and healthier lives (Health Action Research, 2023).</w:t>
      </w:r>
    </w:p>
    <w:p w14:paraId="12C4A1B8" w14:textId="19116279" w:rsidR="009605A7" w:rsidRPr="006424BD" w:rsidRDefault="006424BD" w:rsidP="006424BD">
      <w:pPr>
        <w:rPr>
          <w:rFonts w:ascii="Times New Roman" w:hAnsi="Times New Roman" w:cs="Times New Roman"/>
        </w:rPr>
      </w:pPr>
      <w:r w:rsidRPr="006424BD">
        <w:rPr>
          <w:rFonts w:ascii="Times New Roman" w:hAnsi="Times New Roman" w:cs="Times New Roman"/>
          <w:u w:val="single"/>
        </w:rPr>
        <w:t>Inequality</w:t>
      </w:r>
      <w:r w:rsidRPr="006424BD">
        <w:rPr>
          <w:rFonts w:ascii="Times New Roman" w:hAnsi="Times New Roman" w:cs="Times New Roman"/>
        </w:rPr>
        <w:br/>
        <w:t>Social inequality means that not everyone has equal access to opportunities and resources. Within the life course approach, disadvantaged groups are more likely to experience poorer health outcomes. Limited access to education, healthcare, and income can negatively affect health and wellbeing over time. Research shows that people living in more deprived areas are more likely to experience illness and have a lower life expectancy (British Medical Association, 2023).</w:t>
      </w:r>
    </w:p>
    <w:p w14:paraId="68E66F9D" w14:textId="68845C7F" w:rsidR="00C44113" w:rsidRPr="00A7650B" w:rsidRDefault="00C44113" w:rsidP="00C44113">
      <w:pPr>
        <w:rPr>
          <w:rFonts w:ascii="Times New Roman" w:hAnsi="Times New Roman" w:cs="Times New Roman"/>
          <w:sz w:val="22"/>
          <w:szCs w:val="22"/>
          <w:u w:val="single"/>
        </w:rPr>
      </w:pPr>
      <w:r w:rsidRPr="00A7650B">
        <w:rPr>
          <w:rFonts w:ascii="Times New Roman" w:hAnsi="Times New Roman" w:cs="Times New Roman"/>
          <w:sz w:val="22"/>
          <w:szCs w:val="22"/>
          <w:u w:val="single"/>
        </w:rPr>
        <w:t>Social Support and Relationships</w:t>
      </w:r>
    </w:p>
    <w:p w14:paraId="695A80ED" w14:textId="2E1E9233" w:rsidR="00B1147C" w:rsidRPr="001B669C" w:rsidRDefault="00AB1A74" w:rsidP="00B77D7C">
      <w:pPr>
        <w:rPr>
          <w:rFonts w:ascii="Times New Roman" w:hAnsi="Times New Roman" w:cs="Times New Roman"/>
          <w:sz w:val="22"/>
          <w:szCs w:val="22"/>
        </w:rPr>
      </w:pPr>
      <w:r w:rsidRPr="00AB1A74">
        <w:rPr>
          <w:rFonts w:ascii="Times New Roman" w:hAnsi="Times New Roman" w:cs="Times New Roman"/>
          <w:sz w:val="22"/>
          <w:szCs w:val="22"/>
        </w:rPr>
        <w:t>Social support and relationships play a significant role in health across the life course. Strong connections with family, friends, and communities can improve mental wellbeing and provide emotional support. In contrast, social isolation can increase the risk of poor health, particularly in older age, highlighting the importance of maintaining relationships (World Health Organization, 2023)</w:t>
      </w:r>
    </w:p>
    <w:p w14:paraId="2830B8F5" w14:textId="4B67D4C6" w:rsidR="00B77D7C" w:rsidRPr="002223F1" w:rsidRDefault="00930134" w:rsidP="00B77D7C">
      <w:pPr>
        <w:rPr>
          <w:rFonts w:ascii="Times New Roman" w:hAnsi="Times New Roman" w:cs="Times New Roman"/>
          <w:u w:val="single"/>
        </w:rPr>
      </w:pPr>
      <w:r w:rsidRPr="002223F1">
        <w:rPr>
          <w:rFonts w:ascii="Times New Roman" w:hAnsi="Times New Roman" w:cs="Times New Roman"/>
          <w:u w:val="single"/>
        </w:rPr>
        <w:lastRenderedPageBreak/>
        <w:t>The life course approach and Environmental factors</w:t>
      </w:r>
    </w:p>
    <w:p w14:paraId="24070DD9" w14:textId="12FFA6BE" w:rsidR="004F258A" w:rsidRPr="004F258A" w:rsidRDefault="004F258A" w:rsidP="004F258A">
      <w:pPr>
        <w:rPr>
          <w:rFonts w:ascii="Times New Roman" w:hAnsi="Times New Roman" w:cs="Times New Roman"/>
        </w:rPr>
      </w:pPr>
      <w:r w:rsidRPr="004F258A">
        <w:rPr>
          <w:rFonts w:ascii="Times New Roman" w:hAnsi="Times New Roman" w:cs="Times New Roman"/>
        </w:rPr>
        <w:t>Environmental factors are also important within the life course approach as they affect health and wellbeing at every stage of life. These factors include housing, pollution, neighbourhood conditions</w:t>
      </w:r>
      <w:r w:rsidR="00AB6C07" w:rsidRPr="004F258A">
        <w:rPr>
          <w:rFonts w:ascii="Times New Roman" w:hAnsi="Times New Roman" w:cs="Times New Roman"/>
        </w:rPr>
        <w:t>,</w:t>
      </w:r>
      <w:r w:rsidRPr="004F258A">
        <w:rPr>
          <w:rFonts w:ascii="Times New Roman" w:hAnsi="Times New Roman" w:cs="Times New Roman"/>
        </w:rPr>
        <w:t xml:space="preserve"> and access to services. A safe and clean environment can support good health, while poor conditions can increase the risk of illness and stress. The environment people live in can influence their health outcomes over time and contribute to differences in health between groups.</w:t>
      </w:r>
    </w:p>
    <w:p w14:paraId="3DAB11FA" w14:textId="77777777" w:rsidR="004F258A" w:rsidRPr="004F258A" w:rsidRDefault="004F258A" w:rsidP="004F258A">
      <w:pPr>
        <w:rPr>
          <w:rFonts w:ascii="Times New Roman" w:hAnsi="Times New Roman" w:cs="Times New Roman"/>
        </w:rPr>
      </w:pPr>
    </w:p>
    <w:p w14:paraId="66DD7CFC" w14:textId="73F0F497" w:rsidR="004F258A" w:rsidRPr="004F258A" w:rsidRDefault="004F258A" w:rsidP="004F258A">
      <w:pPr>
        <w:rPr>
          <w:rFonts w:ascii="Times New Roman" w:hAnsi="Times New Roman" w:cs="Times New Roman"/>
        </w:rPr>
      </w:pPr>
      <w:r w:rsidRPr="004F258A">
        <w:rPr>
          <w:rFonts w:ascii="Times New Roman" w:hAnsi="Times New Roman" w:cs="Times New Roman"/>
          <w:u w:val="single"/>
        </w:rPr>
        <w:t>Housing conditions</w:t>
      </w:r>
      <w:r w:rsidRPr="004F258A">
        <w:rPr>
          <w:rFonts w:ascii="Times New Roman" w:hAnsi="Times New Roman" w:cs="Times New Roman"/>
        </w:rPr>
        <w:br/>
        <w:t xml:space="preserve">Housing conditions are an important environmental factor within the life course approach, as they directly affect health and wellbeing. Safe, clean housing supports good health, while poor conditions such as overcrowding, damp, and unsafe environments can lead to respiratory illness, poor mental well-being, and long-term health problems. Research shows that damp and mould in housing can produce harmful substances that increase the risk of respiratory illness and long-term health problems </w:t>
      </w:r>
      <w:r w:rsidR="002627A3" w:rsidRPr="009605A7">
        <w:rPr>
          <w:rFonts w:ascii="Times New Roman" w:hAnsi="Times New Roman" w:cs="Times New Roman"/>
        </w:rPr>
        <w:t>(Gov.UK</w:t>
      </w:r>
      <w:r w:rsidRPr="004F258A">
        <w:rPr>
          <w:rFonts w:ascii="Times New Roman" w:hAnsi="Times New Roman" w:cs="Times New Roman"/>
        </w:rPr>
        <w:t>, 2024).</w:t>
      </w:r>
    </w:p>
    <w:p w14:paraId="5A10AF3B" w14:textId="77777777" w:rsidR="004F258A" w:rsidRPr="004F258A" w:rsidRDefault="004F258A" w:rsidP="004F258A">
      <w:pPr>
        <w:rPr>
          <w:rFonts w:ascii="Times New Roman" w:hAnsi="Times New Roman" w:cs="Times New Roman"/>
        </w:rPr>
      </w:pPr>
    </w:p>
    <w:p w14:paraId="4D1F428C" w14:textId="77777777" w:rsidR="004F258A" w:rsidRPr="004F258A" w:rsidRDefault="004F258A" w:rsidP="004F258A">
      <w:pPr>
        <w:rPr>
          <w:rFonts w:ascii="Times New Roman" w:hAnsi="Times New Roman" w:cs="Times New Roman"/>
        </w:rPr>
      </w:pPr>
      <w:r w:rsidRPr="004F258A">
        <w:rPr>
          <w:rFonts w:ascii="Times New Roman" w:hAnsi="Times New Roman" w:cs="Times New Roman"/>
          <w:u w:val="single"/>
        </w:rPr>
        <w:t>Physical Environment</w:t>
      </w:r>
      <w:r w:rsidRPr="004F258A">
        <w:rPr>
          <w:rFonts w:ascii="Times New Roman" w:hAnsi="Times New Roman" w:cs="Times New Roman"/>
        </w:rPr>
        <w:br/>
        <w:t xml:space="preserve">The physical environment, including air pollution, water quality, and noise levels, plays a significant role in health across the life course. Exposure to pollution can increase the risk of respiratory and cardiovascular diseases. Research shows that air pollution </w:t>
      </w:r>
      <w:bookmarkStart w:id="1" w:name="_Int_KNoQXuI5"/>
      <w:r w:rsidRPr="004F258A">
        <w:rPr>
          <w:rFonts w:ascii="Times New Roman" w:hAnsi="Times New Roman" w:cs="Times New Roman"/>
        </w:rPr>
        <w:t>is linked</w:t>
      </w:r>
      <w:bookmarkEnd w:id="1"/>
      <w:r w:rsidRPr="004F258A">
        <w:rPr>
          <w:rFonts w:ascii="Times New Roman" w:hAnsi="Times New Roman" w:cs="Times New Roman"/>
        </w:rPr>
        <w:t xml:space="preserve"> to long-term health conditions, including respiratory and cardiovascular diseases (Dutton, 2019).</w:t>
      </w:r>
    </w:p>
    <w:p w14:paraId="4348E613" w14:textId="77777777" w:rsidR="004F258A" w:rsidRPr="004F258A" w:rsidRDefault="004F258A" w:rsidP="004F258A">
      <w:pPr>
        <w:rPr>
          <w:rFonts w:ascii="Times New Roman" w:hAnsi="Times New Roman" w:cs="Times New Roman"/>
        </w:rPr>
      </w:pPr>
    </w:p>
    <w:p w14:paraId="5EAF5259" w14:textId="55C8274C" w:rsidR="004F258A" w:rsidRPr="004F258A" w:rsidRDefault="004F258A" w:rsidP="004F258A">
      <w:pPr>
        <w:rPr>
          <w:rFonts w:ascii="Times New Roman" w:hAnsi="Times New Roman" w:cs="Times New Roman"/>
        </w:rPr>
      </w:pPr>
      <w:r w:rsidRPr="004F258A">
        <w:rPr>
          <w:rFonts w:ascii="Times New Roman" w:hAnsi="Times New Roman" w:cs="Times New Roman"/>
          <w:u w:val="single"/>
        </w:rPr>
        <w:t>Neighbourhood and Community</w:t>
      </w:r>
      <w:r w:rsidRPr="004F258A">
        <w:rPr>
          <w:rFonts w:ascii="Times New Roman" w:hAnsi="Times New Roman" w:cs="Times New Roman"/>
        </w:rPr>
        <w:br/>
        <w:t>Neighbourhood and community environments influence both physical and mental health. Living in safe areas with access to parks and green spaces encourages physical activity and social interaction. Unsafe neighbourhoods with high crime levels can increase stress and anxiety</w:t>
      </w:r>
      <w:r w:rsidR="002627A3" w:rsidRPr="009605A7">
        <w:rPr>
          <w:rFonts w:ascii="Times New Roman" w:hAnsi="Times New Roman" w:cs="Times New Roman"/>
        </w:rPr>
        <w:t>. Research</w:t>
      </w:r>
      <w:r w:rsidR="003C1EEF" w:rsidRPr="009605A7">
        <w:rPr>
          <w:rFonts w:ascii="Times New Roman" w:hAnsi="Times New Roman" w:cs="Times New Roman"/>
        </w:rPr>
        <w:t xml:space="preserve"> shows </w:t>
      </w:r>
      <w:r w:rsidR="00487B1E" w:rsidRPr="009605A7">
        <w:rPr>
          <w:rFonts w:ascii="Times New Roman" w:hAnsi="Times New Roman" w:cs="Times New Roman"/>
        </w:rPr>
        <w:t>that living in disadvantaged neighbourhoods is linked to higher levels of stress and poorer mental health (</w:t>
      </w:r>
      <w:r w:rsidR="002627A3" w:rsidRPr="009605A7">
        <w:rPr>
          <w:rFonts w:ascii="Times New Roman" w:hAnsi="Times New Roman" w:cs="Times New Roman"/>
        </w:rPr>
        <w:t>WHO, 2024</w:t>
      </w:r>
      <w:r w:rsidR="00487B1E" w:rsidRPr="009605A7">
        <w:rPr>
          <w:rFonts w:ascii="Times New Roman" w:hAnsi="Times New Roman" w:cs="Times New Roman"/>
        </w:rPr>
        <w:t>)</w:t>
      </w:r>
    </w:p>
    <w:p w14:paraId="06F70C4F" w14:textId="77777777" w:rsidR="004F258A" w:rsidRPr="004F258A" w:rsidRDefault="004F258A" w:rsidP="004F258A">
      <w:pPr>
        <w:rPr>
          <w:rFonts w:ascii="Times New Roman" w:hAnsi="Times New Roman" w:cs="Times New Roman"/>
        </w:rPr>
      </w:pPr>
    </w:p>
    <w:p w14:paraId="4E9FDC5C" w14:textId="77777777" w:rsidR="004F258A" w:rsidRPr="004F258A" w:rsidRDefault="004F258A" w:rsidP="004F258A">
      <w:pPr>
        <w:rPr>
          <w:rFonts w:ascii="Times New Roman" w:hAnsi="Times New Roman" w:cs="Times New Roman"/>
        </w:rPr>
      </w:pPr>
      <w:r w:rsidRPr="004F258A">
        <w:rPr>
          <w:rFonts w:ascii="Times New Roman" w:hAnsi="Times New Roman" w:cs="Times New Roman"/>
          <w:u w:val="single"/>
        </w:rPr>
        <w:t>Access to Services</w:t>
      </w:r>
      <w:r w:rsidRPr="004F258A">
        <w:rPr>
          <w:rFonts w:ascii="Times New Roman" w:hAnsi="Times New Roman" w:cs="Times New Roman"/>
          <w:u w:val="single"/>
        </w:rPr>
        <w:br/>
      </w:r>
      <w:r w:rsidRPr="004F258A">
        <w:rPr>
          <w:rFonts w:ascii="Times New Roman" w:hAnsi="Times New Roman" w:cs="Times New Roman"/>
        </w:rPr>
        <w:t xml:space="preserve">Access to services, including healthcare, education, and transport, is essential for </w:t>
      </w:r>
      <w:bookmarkStart w:id="2" w:name="_Int_6pSLpNlM"/>
      <w:r w:rsidRPr="004F258A">
        <w:rPr>
          <w:rFonts w:ascii="Times New Roman" w:hAnsi="Times New Roman" w:cs="Times New Roman"/>
        </w:rPr>
        <w:t>maintaining</w:t>
      </w:r>
      <w:bookmarkEnd w:id="2"/>
      <w:r w:rsidRPr="004F258A">
        <w:rPr>
          <w:rFonts w:ascii="Times New Roman" w:hAnsi="Times New Roman" w:cs="Times New Roman"/>
        </w:rPr>
        <w:t xml:space="preserve"> health and wellbeing. Limited access can delay treatment, reduce opportunities, and negatively impact quality of life.</w:t>
      </w:r>
    </w:p>
    <w:p w14:paraId="485191B5" w14:textId="1D752493" w:rsidR="002223F1" w:rsidRPr="009605A7" w:rsidRDefault="002223F1" w:rsidP="002223F1">
      <w:pPr>
        <w:rPr>
          <w:rFonts w:ascii="Times New Roman" w:hAnsi="Times New Roman" w:cs="Times New Roman"/>
        </w:rPr>
      </w:pPr>
    </w:p>
    <w:p w14:paraId="74E46447" w14:textId="77777777" w:rsidR="00C44113" w:rsidRPr="009605A7" w:rsidRDefault="00C44113" w:rsidP="00B77D7C">
      <w:pPr>
        <w:rPr>
          <w:rFonts w:ascii="Times New Roman" w:hAnsi="Times New Roman" w:cs="Times New Roman"/>
        </w:rPr>
      </w:pPr>
    </w:p>
    <w:p w14:paraId="134CEBEE" w14:textId="15DEA3B2" w:rsidR="00946C48" w:rsidRPr="009605A7" w:rsidRDefault="00B77D7C" w:rsidP="00D84EB9">
      <w:pPr>
        <w:rPr>
          <w:u w:val="single"/>
        </w:rPr>
      </w:pPr>
      <w:r w:rsidRPr="009605A7">
        <w:rPr>
          <w:rFonts w:ascii="Times New Roman" w:hAnsi="Times New Roman" w:cs="Times New Roman"/>
        </w:rPr>
        <w:br w:type="page"/>
      </w:r>
      <w:r w:rsidRPr="009605A7">
        <w:rPr>
          <w:u w:val="single"/>
        </w:rPr>
        <w:lastRenderedPageBreak/>
        <w:t>The life course approach and economic factors</w:t>
      </w:r>
    </w:p>
    <w:p w14:paraId="203D32BC" w14:textId="77777777" w:rsidR="00123F08" w:rsidRPr="009605A7" w:rsidRDefault="00123F08" w:rsidP="00123F08">
      <w:pPr>
        <w:rPr>
          <w:rFonts w:ascii="Times New Roman" w:hAnsi="Times New Roman" w:cs="Times New Roman"/>
        </w:rPr>
      </w:pPr>
      <w:r w:rsidRPr="009605A7">
        <w:rPr>
          <w:rFonts w:ascii="Times New Roman" w:hAnsi="Times New Roman" w:cs="Times New Roman"/>
        </w:rPr>
        <w:t>Economic factors are important within the life course approach as they influence health and wellbeing from childhood to old age. These factors include income, employment, poverty and financial stability. They can affect people’s opportunities, lifestyle choices and overall quality of life over time.</w:t>
      </w:r>
    </w:p>
    <w:p w14:paraId="26E26992" w14:textId="4B4F1DB0" w:rsidR="007D2F78" w:rsidRPr="009605A7" w:rsidRDefault="007D2F78" w:rsidP="00123F08">
      <w:pPr>
        <w:rPr>
          <w:rFonts w:ascii="Times New Roman" w:hAnsi="Times New Roman" w:cs="Times New Roman"/>
          <w:u w:val="single"/>
        </w:rPr>
      </w:pPr>
      <w:r w:rsidRPr="009605A7">
        <w:rPr>
          <w:rFonts w:ascii="Times New Roman" w:hAnsi="Times New Roman" w:cs="Times New Roman"/>
          <w:u w:val="single"/>
        </w:rPr>
        <w:t xml:space="preserve">Income </w:t>
      </w:r>
    </w:p>
    <w:p w14:paraId="66D01828" w14:textId="77777777" w:rsidR="00123F08" w:rsidRPr="009605A7" w:rsidRDefault="00123F08" w:rsidP="00123F08">
      <w:pPr>
        <w:rPr>
          <w:rFonts w:ascii="Times New Roman" w:hAnsi="Times New Roman" w:cs="Times New Roman"/>
        </w:rPr>
      </w:pPr>
      <w:r w:rsidRPr="009605A7">
        <w:rPr>
          <w:rFonts w:ascii="Times New Roman" w:hAnsi="Times New Roman" w:cs="Times New Roman"/>
        </w:rPr>
        <w:t>Income affects quality of life. Higher income allows better access to healthcare, healthy food and safe housing, which supports good health. In contrast, low income is linked to poorer health outcomes and increased stress, which can negatively affect both mental and physical health.</w:t>
      </w:r>
    </w:p>
    <w:p w14:paraId="2B2C4607" w14:textId="1411685B" w:rsidR="00CF1167" w:rsidRPr="009605A7" w:rsidRDefault="00CF1167" w:rsidP="00123F08">
      <w:pPr>
        <w:rPr>
          <w:rFonts w:ascii="Times New Roman" w:hAnsi="Times New Roman" w:cs="Times New Roman"/>
          <w:u w:val="single"/>
        </w:rPr>
      </w:pPr>
      <w:r w:rsidRPr="009605A7">
        <w:rPr>
          <w:rFonts w:ascii="Times New Roman" w:hAnsi="Times New Roman" w:cs="Times New Roman"/>
          <w:u w:val="single"/>
        </w:rPr>
        <w:t xml:space="preserve">Employment </w:t>
      </w:r>
    </w:p>
    <w:p w14:paraId="583BA9C5" w14:textId="77777777" w:rsidR="00123F08" w:rsidRPr="009605A7" w:rsidRDefault="00123F08" w:rsidP="00123F08">
      <w:pPr>
        <w:rPr>
          <w:rFonts w:ascii="Times New Roman" w:hAnsi="Times New Roman" w:cs="Times New Roman"/>
        </w:rPr>
      </w:pPr>
      <w:r w:rsidRPr="009605A7">
        <w:rPr>
          <w:rFonts w:ascii="Times New Roman" w:hAnsi="Times New Roman" w:cs="Times New Roman"/>
        </w:rPr>
        <w:t>Employment also plays an important role. Having a job provides income and stability, which can improve wellbeing. It can also give a sense of purpose and routine. However, unemployment is linked to stress, anxiety and poor health. The type of job can also affect health, for example unsafe working conditions can increase the risk of injury or illness.</w:t>
      </w:r>
    </w:p>
    <w:p w14:paraId="114DAF68" w14:textId="596B44B1" w:rsidR="00CF1167" w:rsidRPr="009605A7" w:rsidRDefault="00CF1167" w:rsidP="00123F08">
      <w:pPr>
        <w:rPr>
          <w:rFonts w:ascii="Times New Roman" w:hAnsi="Times New Roman" w:cs="Times New Roman"/>
          <w:u w:val="single"/>
        </w:rPr>
      </w:pPr>
      <w:r w:rsidRPr="009605A7">
        <w:rPr>
          <w:rFonts w:ascii="Times New Roman" w:hAnsi="Times New Roman" w:cs="Times New Roman"/>
          <w:u w:val="single"/>
        </w:rPr>
        <w:t>Poverty</w:t>
      </w:r>
    </w:p>
    <w:p w14:paraId="03ECD259" w14:textId="77777777" w:rsidR="00123F08" w:rsidRPr="009605A7" w:rsidRDefault="00123F08" w:rsidP="00123F08">
      <w:pPr>
        <w:rPr>
          <w:rFonts w:ascii="Times New Roman" w:hAnsi="Times New Roman" w:cs="Times New Roman"/>
        </w:rPr>
      </w:pPr>
      <w:r w:rsidRPr="009605A7">
        <w:rPr>
          <w:rFonts w:ascii="Times New Roman" w:hAnsi="Times New Roman" w:cs="Times New Roman"/>
        </w:rPr>
        <w:t>Poverty has a significant impact on health. People living in poverty may have limited access to healthcare, education and healthy food. This can increase the risk of illness and reduce life expectancy. It can also affect living conditions, which may lead to long-term health problems.</w:t>
      </w:r>
    </w:p>
    <w:p w14:paraId="76F7AD9D" w14:textId="77777777" w:rsidR="00CF1167" w:rsidRPr="009605A7" w:rsidRDefault="00CF1167" w:rsidP="00123F08">
      <w:pPr>
        <w:rPr>
          <w:rFonts w:ascii="Times New Roman" w:hAnsi="Times New Roman" w:cs="Times New Roman"/>
        </w:rPr>
      </w:pPr>
    </w:p>
    <w:p w14:paraId="2F4E4366" w14:textId="77777777" w:rsidR="00123F08" w:rsidRPr="009605A7" w:rsidRDefault="00123F08" w:rsidP="00123F08">
      <w:pPr>
        <w:rPr>
          <w:rFonts w:ascii="Times New Roman" w:hAnsi="Times New Roman" w:cs="Times New Roman"/>
        </w:rPr>
      </w:pPr>
      <w:r w:rsidRPr="009605A7">
        <w:rPr>
          <w:rFonts w:ascii="Times New Roman" w:hAnsi="Times New Roman" w:cs="Times New Roman"/>
        </w:rPr>
        <w:t>Overall, economic factors influence health across the life course. Disadvantage in early life can affect future opportunities, and health inequalities can build up over time, creating a cycle of poor health and poverty.</w:t>
      </w:r>
    </w:p>
    <w:p w14:paraId="722E956E" w14:textId="77777777" w:rsidR="00946C48" w:rsidRPr="009605A7" w:rsidRDefault="00946C48" w:rsidP="00D84EB9">
      <w:pPr>
        <w:rPr>
          <w:rFonts w:ascii="Times New Roman" w:hAnsi="Times New Roman" w:cs="Times New Roman"/>
        </w:rPr>
      </w:pPr>
    </w:p>
    <w:p w14:paraId="0A1B8D90" w14:textId="77777777" w:rsidR="00946C48" w:rsidRPr="009605A7" w:rsidRDefault="00946C48" w:rsidP="00D84EB9">
      <w:pPr>
        <w:rPr>
          <w:rFonts w:ascii="Times New Roman" w:hAnsi="Times New Roman" w:cs="Times New Roman"/>
        </w:rPr>
      </w:pPr>
    </w:p>
    <w:p w14:paraId="08C3AFD6" w14:textId="77777777" w:rsidR="00946C48" w:rsidRPr="009605A7" w:rsidRDefault="00946C48" w:rsidP="00D84EB9">
      <w:pPr>
        <w:rPr>
          <w:rFonts w:ascii="Times New Roman" w:hAnsi="Times New Roman" w:cs="Times New Roman"/>
        </w:rPr>
      </w:pPr>
    </w:p>
    <w:p w14:paraId="0D736B3B" w14:textId="77777777" w:rsidR="00946C48" w:rsidRPr="009605A7" w:rsidRDefault="00946C48" w:rsidP="00D84EB9">
      <w:pPr>
        <w:rPr>
          <w:rFonts w:ascii="Times New Roman" w:hAnsi="Times New Roman" w:cs="Times New Roman"/>
        </w:rPr>
      </w:pPr>
    </w:p>
    <w:p w14:paraId="3FA3FB3D" w14:textId="77777777" w:rsidR="00946C48" w:rsidRPr="009605A7" w:rsidRDefault="00946C48" w:rsidP="00D84EB9">
      <w:pPr>
        <w:rPr>
          <w:rFonts w:ascii="Times New Roman" w:hAnsi="Times New Roman" w:cs="Times New Roman"/>
        </w:rPr>
      </w:pPr>
    </w:p>
    <w:p w14:paraId="02740EAF" w14:textId="77777777" w:rsidR="00946C48" w:rsidRPr="009605A7" w:rsidRDefault="00946C48" w:rsidP="00D84EB9">
      <w:pPr>
        <w:rPr>
          <w:rFonts w:ascii="Times New Roman" w:hAnsi="Times New Roman" w:cs="Times New Roman"/>
        </w:rPr>
      </w:pPr>
    </w:p>
    <w:p w14:paraId="7080EDCD" w14:textId="77777777" w:rsidR="00946C48" w:rsidRPr="009605A7" w:rsidRDefault="00946C48" w:rsidP="00D84EB9">
      <w:pPr>
        <w:rPr>
          <w:rFonts w:ascii="Times New Roman" w:hAnsi="Times New Roman" w:cs="Times New Roman"/>
        </w:rPr>
      </w:pPr>
    </w:p>
    <w:p w14:paraId="6A1E7D5D" w14:textId="77777777" w:rsidR="001C467C" w:rsidRPr="009605A7" w:rsidRDefault="001C467C" w:rsidP="00D84EB9">
      <w:pPr>
        <w:rPr>
          <w:rFonts w:ascii="Times New Roman" w:hAnsi="Times New Roman" w:cs="Times New Roman"/>
        </w:rPr>
      </w:pPr>
    </w:p>
    <w:p w14:paraId="7A65B37C" w14:textId="77777777" w:rsidR="00783AF6" w:rsidRPr="009605A7" w:rsidRDefault="00783AF6" w:rsidP="00D84EB9">
      <w:pPr>
        <w:rPr>
          <w:rFonts w:ascii="Times New Roman" w:hAnsi="Times New Roman" w:cs="Times New Roman"/>
        </w:rPr>
      </w:pPr>
    </w:p>
    <w:p w14:paraId="60D39ED3" w14:textId="77777777" w:rsidR="00783AF6" w:rsidRPr="009605A7" w:rsidRDefault="00783AF6" w:rsidP="00D84EB9">
      <w:pPr>
        <w:rPr>
          <w:rFonts w:ascii="Times New Roman" w:hAnsi="Times New Roman" w:cs="Times New Roman"/>
        </w:rPr>
      </w:pPr>
    </w:p>
    <w:p w14:paraId="7A490C67" w14:textId="77777777" w:rsidR="00946C48" w:rsidRPr="009605A7" w:rsidRDefault="00946C48" w:rsidP="00946C48">
      <w:pPr>
        <w:rPr>
          <w:rFonts w:ascii="Times New Roman" w:hAnsi="Times New Roman" w:cs="Times New Roman"/>
          <w:u w:val="single"/>
        </w:rPr>
      </w:pPr>
      <w:r w:rsidRPr="009605A7">
        <w:rPr>
          <w:rFonts w:ascii="Times New Roman" w:hAnsi="Times New Roman" w:cs="Times New Roman"/>
          <w:u w:val="single"/>
        </w:rPr>
        <w:lastRenderedPageBreak/>
        <w:t xml:space="preserve">The life course approach and interventions </w:t>
      </w:r>
    </w:p>
    <w:p w14:paraId="22770D7B" w14:textId="77777777" w:rsidR="00A10CB8" w:rsidRPr="009605A7" w:rsidRDefault="00A10CB8" w:rsidP="00946C48">
      <w:pPr>
        <w:rPr>
          <w:rFonts w:ascii="Times New Roman" w:hAnsi="Times New Roman" w:cs="Times New Roman"/>
        </w:rPr>
      </w:pPr>
    </w:p>
    <w:p w14:paraId="272A2CE1" w14:textId="0F46A5D3" w:rsidR="00D84EB9" w:rsidRDefault="00D84EB9" w:rsidP="00D84EB9">
      <w:r w:rsidRPr="009605A7">
        <w:t>Interventions are actions, programmes and policies designed to improve health and wellbeing. Within the life course approach, interventions can take place at different stages of life, from early childhood to old age. They aim to prevent illness, promote healthy behaviours and reduce</w:t>
      </w:r>
      <w:r w:rsidRPr="00D84EB9">
        <w:t xml:space="preserve"> health inequalities over time.</w:t>
      </w:r>
    </w:p>
    <w:p w14:paraId="39CFE355" w14:textId="77777777" w:rsidR="00783AF6" w:rsidRDefault="00783AF6" w:rsidP="00D84EB9"/>
    <w:p w14:paraId="36B22E26" w14:textId="2D6E5962" w:rsidR="00CF1167" w:rsidRPr="006A0BF2" w:rsidRDefault="00CF1167" w:rsidP="00D84EB9">
      <w:pPr>
        <w:rPr>
          <w:u w:val="single"/>
        </w:rPr>
      </w:pPr>
      <w:r w:rsidRPr="006A0BF2">
        <w:rPr>
          <w:u w:val="single"/>
        </w:rPr>
        <w:t xml:space="preserve">Early life </w:t>
      </w:r>
    </w:p>
    <w:p w14:paraId="18086951" w14:textId="1B104A0D" w:rsidR="00D84EB9" w:rsidRDefault="00D84EB9" w:rsidP="00D84EB9">
      <w:pPr>
        <w:rPr>
          <w:rFonts w:ascii="Times New Roman" w:hAnsi="Times New Roman" w:cs="Times New Roman"/>
        </w:rPr>
      </w:pPr>
      <w:r w:rsidRPr="00D84EB9">
        <w:rPr>
          <w:rFonts w:ascii="Times New Roman" w:hAnsi="Times New Roman" w:cs="Times New Roman"/>
        </w:rPr>
        <w:t xml:space="preserve">Early life interventions focus on supporting children and families. These include vaccination programmes, early years support such as parenting advice and childcare, and school health programmes. </w:t>
      </w:r>
      <w:r w:rsidR="009F4E4D">
        <w:rPr>
          <w:rFonts w:ascii="Times New Roman" w:hAnsi="Times New Roman" w:cs="Times New Roman"/>
        </w:rPr>
        <w:t xml:space="preserve">The world health </w:t>
      </w:r>
      <w:r w:rsidR="00E01F56">
        <w:rPr>
          <w:rFonts w:ascii="Times New Roman" w:hAnsi="Times New Roman" w:cs="Times New Roman"/>
        </w:rPr>
        <w:t>organisation</w:t>
      </w:r>
      <w:r w:rsidR="009F4E4D">
        <w:rPr>
          <w:rFonts w:ascii="Times New Roman" w:hAnsi="Times New Roman" w:cs="Times New Roman"/>
        </w:rPr>
        <w:t xml:space="preserve"> (2020) </w:t>
      </w:r>
      <w:r w:rsidR="00926768">
        <w:rPr>
          <w:rFonts w:ascii="Times New Roman" w:hAnsi="Times New Roman" w:cs="Times New Roman"/>
        </w:rPr>
        <w:t xml:space="preserve">states that having vaccinations at </w:t>
      </w:r>
      <w:r w:rsidR="00AB6C07">
        <w:rPr>
          <w:rFonts w:ascii="Times New Roman" w:hAnsi="Times New Roman" w:cs="Times New Roman"/>
        </w:rPr>
        <w:t>an early</w:t>
      </w:r>
      <w:r w:rsidR="00926768">
        <w:rPr>
          <w:rFonts w:ascii="Times New Roman" w:hAnsi="Times New Roman" w:cs="Times New Roman"/>
        </w:rPr>
        <w:t xml:space="preserve"> age </w:t>
      </w:r>
      <w:r w:rsidR="005406AE">
        <w:rPr>
          <w:rFonts w:ascii="Times New Roman" w:hAnsi="Times New Roman" w:cs="Times New Roman"/>
        </w:rPr>
        <w:t xml:space="preserve">helps to prevent serious illnesses </w:t>
      </w:r>
      <w:r w:rsidR="00176A41">
        <w:rPr>
          <w:rFonts w:ascii="Times New Roman" w:hAnsi="Times New Roman" w:cs="Times New Roman"/>
        </w:rPr>
        <w:t>later</w:t>
      </w:r>
      <w:r w:rsidR="00E01F56">
        <w:rPr>
          <w:rFonts w:ascii="Times New Roman" w:hAnsi="Times New Roman" w:cs="Times New Roman"/>
        </w:rPr>
        <w:t xml:space="preserve"> in life and protects longer health. </w:t>
      </w:r>
      <w:r w:rsidRPr="00D84EB9">
        <w:rPr>
          <w:rFonts w:ascii="Times New Roman" w:hAnsi="Times New Roman" w:cs="Times New Roman"/>
        </w:rPr>
        <w:t xml:space="preserve">These interventions help promote healthy development from </w:t>
      </w:r>
      <w:r w:rsidR="00FF45B2" w:rsidRPr="00D84EB9">
        <w:rPr>
          <w:rFonts w:ascii="Times New Roman" w:hAnsi="Times New Roman" w:cs="Times New Roman"/>
        </w:rPr>
        <w:t>an early</w:t>
      </w:r>
      <w:r w:rsidRPr="00D84EB9">
        <w:rPr>
          <w:rFonts w:ascii="Times New Roman" w:hAnsi="Times New Roman" w:cs="Times New Roman"/>
        </w:rPr>
        <w:t xml:space="preserve"> age and can reduce the risk of future health problems.</w:t>
      </w:r>
      <w:r w:rsidR="00844CF9">
        <w:rPr>
          <w:rFonts w:ascii="Times New Roman" w:hAnsi="Times New Roman" w:cs="Times New Roman"/>
        </w:rPr>
        <w:t xml:space="preserve"> </w:t>
      </w:r>
    </w:p>
    <w:p w14:paraId="795796BB" w14:textId="77777777" w:rsidR="00783AF6" w:rsidRDefault="00783AF6" w:rsidP="00D84EB9">
      <w:pPr>
        <w:rPr>
          <w:rFonts w:ascii="Times New Roman" w:hAnsi="Times New Roman" w:cs="Times New Roman"/>
        </w:rPr>
      </w:pPr>
    </w:p>
    <w:p w14:paraId="0FCB6068" w14:textId="721874C1" w:rsidR="00CF1167" w:rsidRPr="006A0BF2" w:rsidRDefault="00CF1167" w:rsidP="00D84EB9">
      <w:pPr>
        <w:rPr>
          <w:rFonts w:ascii="Times New Roman" w:hAnsi="Times New Roman" w:cs="Times New Roman"/>
          <w:u w:val="single"/>
        </w:rPr>
      </w:pPr>
      <w:r w:rsidRPr="006A0BF2">
        <w:rPr>
          <w:rFonts w:ascii="Times New Roman" w:hAnsi="Times New Roman" w:cs="Times New Roman"/>
          <w:u w:val="single"/>
        </w:rPr>
        <w:t xml:space="preserve">Adolescence </w:t>
      </w:r>
      <w:r w:rsidR="006A0BF2">
        <w:rPr>
          <w:rFonts w:ascii="Times New Roman" w:hAnsi="Times New Roman" w:cs="Times New Roman"/>
          <w:u w:val="single"/>
        </w:rPr>
        <w:t>and adulthood</w:t>
      </w:r>
    </w:p>
    <w:p w14:paraId="15BCF709" w14:textId="18F278A4" w:rsidR="00D84EB9" w:rsidRDefault="00D84EB9" w:rsidP="00D84EB9">
      <w:pPr>
        <w:rPr>
          <w:rFonts w:ascii="Times New Roman" w:hAnsi="Times New Roman" w:cs="Times New Roman"/>
        </w:rPr>
      </w:pPr>
      <w:r w:rsidRPr="00D84EB9">
        <w:rPr>
          <w:rFonts w:ascii="Times New Roman" w:hAnsi="Times New Roman" w:cs="Times New Roman"/>
        </w:rPr>
        <w:t xml:space="preserve">During adolescence and adulthood, interventions focus on encouraging healthy lifestyles and providing support services. Health education, such as advice on diet, exercise and smoking, can help individuals make healthier choices. Access to healthcare services, workplace health programmes and mental health support can improve wellbeing and prevent </w:t>
      </w:r>
      <w:r w:rsidR="006F79BC" w:rsidRPr="00D84EB9">
        <w:rPr>
          <w:rFonts w:ascii="Times New Roman" w:hAnsi="Times New Roman" w:cs="Times New Roman"/>
        </w:rPr>
        <w:t>illness.</w:t>
      </w:r>
      <w:r w:rsidR="006F79BC">
        <w:rPr>
          <w:rFonts w:ascii="Times New Roman" w:hAnsi="Times New Roman" w:cs="Times New Roman"/>
        </w:rPr>
        <w:t xml:space="preserve"> Public health England (2021) supports this by </w:t>
      </w:r>
      <w:r w:rsidR="00FF45B2">
        <w:rPr>
          <w:rFonts w:ascii="Times New Roman" w:hAnsi="Times New Roman" w:cs="Times New Roman"/>
        </w:rPr>
        <w:t>saying</w:t>
      </w:r>
      <w:r w:rsidR="006F79BC">
        <w:rPr>
          <w:rFonts w:ascii="Times New Roman" w:hAnsi="Times New Roman" w:cs="Times New Roman"/>
        </w:rPr>
        <w:t xml:space="preserve"> that </w:t>
      </w:r>
      <w:r w:rsidR="00DE058F">
        <w:rPr>
          <w:rFonts w:ascii="Times New Roman" w:hAnsi="Times New Roman" w:cs="Times New Roman"/>
        </w:rPr>
        <w:t xml:space="preserve">having </w:t>
      </w:r>
      <w:r w:rsidR="00FB29B6">
        <w:rPr>
          <w:rFonts w:ascii="Times New Roman" w:hAnsi="Times New Roman" w:cs="Times New Roman"/>
        </w:rPr>
        <w:t>access</w:t>
      </w:r>
      <w:r w:rsidR="00DE058F">
        <w:rPr>
          <w:rFonts w:ascii="Times New Roman" w:hAnsi="Times New Roman" w:cs="Times New Roman"/>
        </w:rPr>
        <w:t xml:space="preserve"> to healt</w:t>
      </w:r>
      <w:r w:rsidR="00FB29B6">
        <w:rPr>
          <w:rFonts w:ascii="Times New Roman" w:hAnsi="Times New Roman" w:cs="Times New Roman"/>
        </w:rPr>
        <w:t xml:space="preserve">h </w:t>
      </w:r>
      <w:r w:rsidR="00894C57">
        <w:rPr>
          <w:rFonts w:ascii="Times New Roman" w:hAnsi="Times New Roman" w:cs="Times New Roman"/>
        </w:rPr>
        <w:t>education</w:t>
      </w:r>
      <w:r w:rsidR="008B6C63">
        <w:rPr>
          <w:rFonts w:ascii="Times New Roman" w:hAnsi="Times New Roman" w:cs="Times New Roman"/>
        </w:rPr>
        <w:t xml:space="preserve"> encourages healthier lifestyle choices. </w:t>
      </w:r>
    </w:p>
    <w:p w14:paraId="69040899" w14:textId="77777777" w:rsidR="00783AF6" w:rsidRDefault="00783AF6" w:rsidP="00D84EB9">
      <w:pPr>
        <w:rPr>
          <w:rFonts w:ascii="Times New Roman" w:hAnsi="Times New Roman" w:cs="Times New Roman"/>
        </w:rPr>
      </w:pPr>
    </w:p>
    <w:p w14:paraId="7A17904E" w14:textId="2F946654" w:rsidR="006A0BF2" w:rsidRPr="003254DD" w:rsidRDefault="006A0BF2" w:rsidP="00D84EB9">
      <w:pPr>
        <w:rPr>
          <w:rFonts w:ascii="Times New Roman" w:hAnsi="Times New Roman" w:cs="Times New Roman"/>
          <w:u w:val="single"/>
        </w:rPr>
      </w:pPr>
      <w:r w:rsidRPr="003254DD">
        <w:rPr>
          <w:rFonts w:ascii="Times New Roman" w:hAnsi="Times New Roman" w:cs="Times New Roman"/>
          <w:u w:val="single"/>
        </w:rPr>
        <w:t>Older age</w:t>
      </w:r>
    </w:p>
    <w:p w14:paraId="0D5DC700" w14:textId="31793234" w:rsidR="00D84EB9" w:rsidRPr="003254DD" w:rsidRDefault="00D84EB9" w:rsidP="00D84EB9">
      <w:pPr>
        <w:rPr>
          <w:rFonts w:ascii="Times New Roman" w:hAnsi="Times New Roman" w:cs="Times New Roman"/>
        </w:rPr>
      </w:pPr>
      <w:r w:rsidRPr="003254DD">
        <w:rPr>
          <w:rFonts w:ascii="Times New Roman" w:hAnsi="Times New Roman" w:cs="Times New Roman"/>
        </w:rPr>
        <w:t>In older age, interventions aim to support independence and quality of life. Social care support, community services</w:t>
      </w:r>
      <w:r w:rsidR="00FF45B2" w:rsidRPr="003254DD">
        <w:rPr>
          <w:rFonts w:ascii="Times New Roman" w:hAnsi="Times New Roman" w:cs="Times New Roman"/>
        </w:rPr>
        <w:t>,</w:t>
      </w:r>
      <w:r w:rsidRPr="003254DD">
        <w:rPr>
          <w:rFonts w:ascii="Times New Roman" w:hAnsi="Times New Roman" w:cs="Times New Roman"/>
        </w:rPr>
        <w:t xml:space="preserve"> and programmes to reduce loneliness and isolation are important. These interventions help older adults stay healthy and maintain their wellbeing.</w:t>
      </w:r>
    </w:p>
    <w:p w14:paraId="072BFF91" w14:textId="4E530BC8" w:rsidR="001C467C" w:rsidRPr="003254DD" w:rsidRDefault="001C467C" w:rsidP="00D84EB9">
      <w:pPr>
        <w:rPr>
          <w:rFonts w:ascii="Times New Roman" w:hAnsi="Times New Roman" w:cs="Times New Roman"/>
        </w:rPr>
      </w:pPr>
    </w:p>
    <w:p w14:paraId="04AF41F0" w14:textId="753E2248" w:rsidR="00D84EB9" w:rsidRPr="003254DD" w:rsidRDefault="00D84EB9" w:rsidP="00D84EB9">
      <w:pPr>
        <w:rPr>
          <w:rFonts w:ascii="Times New Roman" w:hAnsi="Times New Roman" w:cs="Times New Roman"/>
        </w:rPr>
      </w:pPr>
      <w:r w:rsidRPr="003254DD">
        <w:rPr>
          <w:rFonts w:ascii="Times New Roman" w:hAnsi="Times New Roman" w:cs="Times New Roman"/>
        </w:rPr>
        <w:t>However, not everyone has equal access to interventions. Disadvantaged groups may face barriers such as cost, location</w:t>
      </w:r>
      <w:r w:rsidR="00FF45B2" w:rsidRPr="003254DD">
        <w:rPr>
          <w:rFonts w:ascii="Times New Roman" w:hAnsi="Times New Roman" w:cs="Times New Roman"/>
        </w:rPr>
        <w:t>,</w:t>
      </w:r>
      <w:r w:rsidRPr="003254DD">
        <w:rPr>
          <w:rFonts w:ascii="Times New Roman" w:hAnsi="Times New Roman" w:cs="Times New Roman"/>
        </w:rPr>
        <w:t xml:space="preserve"> or lack of information. Therefore, interventions should be accessible to all and targeted where they are most needed to reduce health inequalities.</w:t>
      </w:r>
    </w:p>
    <w:p w14:paraId="575DD01E" w14:textId="77777777" w:rsidR="003254DD" w:rsidRPr="003254DD" w:rsidRDefault="003254DD" w:rsidP="00D84EB9">
      <w:pPr>
        <w:rPr>
          <w:rFonts w:ascii="Times New Roman" w:hAnsi="Times New Roman" w:cs="Times New Roman"/>
        </w:rPr>
      </w:pPr>
    </w:p>
    <w:p w14:paraId="5771C9BE" w14:textId="7DC19B11" w:rsidR="00A91A89" w:rsidRDefault="009C7267">
      <w:pPr>
        <w:rPr>
          <w:rFonts w:ascii="Times New Roman" w:hAnsi="Times New Roman" w:cs="Times New Roman"/>
        </w:rPr>
      </w:pPr>
      <w:r w:rsidRPr="003254DD">
        <w:rPr>
          <w:rFonts w:ascii="Times New Roman" w:hAnsi="Times New Roman" w:cs="Times New Roman"/>
        </w:rPr>
        <w:t xml:space="preserve"> </w:t>
      </w:r>
      <w:r w:rsidR="001C467C" w:rsidRPr="003254DD">
        <w:rPr>
          <w:rFonts w:ascii="Times New Roman" w:hAnsi="Times New Roman" w:cs="Times New Roman"/>
        </w:rPr>
        <w:t xml:space="preserve">The Health and Social Care Act 2012 </w:t>
      </w:r>
      <w:r w:rsidR="00B678C3" w:rsidRPr="003254DD">
        <w:rPr>
          <w:rFonts w:ascii="Times New Roman" w:hAnsi="Times New Roman" w:cs="Times New Roman"/>
        </w:rPr>
        <w:t>emphasise</w:t>
      </w:r>
      <w:r w:rsidR="001C467C" w:rsidRPr="003254DD">
        <w:rPr>
          <w:rFonts w:ascii="Times New Roman" w:hAnsi="Times New Roman" w:cs="Times New Roman"/>
        </w:rPr>
        <w:t xml:space="preserve"> the importance of reducing health inequalities by improving access to healthcare and services, supporting better health outcomes across different communities (UK Government, 2012)</w:t>
      </w:r>
    </w:p>
    <w:p w14:paraId="79CAD5B1" w14:textId="68672134" w:rsidR="00086B5A" w:rsidRPr="00086B5A" w:rsidRDefault="005E29B2">
      <w:pPr>
        <w:rPr>
          <w:rFonts w:ascii="Times New Roman" w:hAnsi="Times New Roman" w:cs="Times New Roman"/>
          <w:u w:val="single"/>
        </w:rPr>
      </w:pPr>
      <w:r w:rsidRPr="00A91A89">
        <w:rPr>
          <w:rFonts w:ascii="Times New Roman" w:hAnsi="Times New Roman" w:cs="Times New Roman"/>
        </w:rPr>
        <w:br w:type="page"/>
      </w:r>
      <w:r w:rsidR="00086B5A" w:rsidRPr="00086B5A">
        <w:rPr>
          <w:rFonts w:ascii="Times New Roman" w:hAnsi="Times New Roman" w:cs="Times New Roman"/>
          <w:u w:val="single"/>
        </w:rPr>
        <w:lastRenderedPageBreak/>
        <w:t xml:space="preserve">Determents of health </w:t>
      </w:r>
    </w:p>
    <w:p w14:paraId="6049D19C" w14:textId="77777777" w:rsidR="00086B5A" w:rsidRDefault="00086B5A">
      <w:pPr>
        <w:rPr>
          <w:rFonts w:ascii="Times New Roman" w:hAnsi="Times New Roman" w:cs="Times New Roman"/>
        </w:rPr>
      </w:pPr>
    </w:p>
    <w:p w14:paraId="35C28767" w14:textId="01F4E474" w:rsidR="00086B5A" w:rsidRDefault="00F269FE">
      <w:pPr>
        <w:rPr>
          <w:rFonts w:ascii="Times New Roman" w:hAnsi="Times New Roman" w:cs="Times New Roman"/>
        </w:rPr>
      </w:pPr>
      <w:r>
        <w:rPr>
          <w:noProof/>
        </w:rPr>
        <w:drawing>
          <wp:inline distT="0" distB="0" distL="0" distR="0" wp14:anchorId="11008296" wp14:editId="4B0F9C84">
            <wp:extent cx="5731510" cy="3844925"/>
            <wp:effectExtent l="0" t="0" r="2540" b="3175"/>
            <wp:docPr id="1036949437" name="Picture 1" descr="determinants-of-health_dahlgren-whitehead-model_the-health-scien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erminants-of-health_dahlgren-whitehead-model_the-health-scienc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44925"/>
                    </a:xfrm>
                    <a:prstGeom prst="rect">
                      <a:avLst/>
                    </a:prstGeom>
                    <a:noFill/>
                    <a:ln>
                      <a:noFill/>
                    </a:ln>
                  </pic:spPr>
                </pic:pic>
              </a:graphicData>
            </a:graphic>
          </wp:inline>
        </w:drawing>
      </w:r>
    </w:p>
    <w:p w14:paraId="50D30D8E" w14:textId="5EE54CB2" w:rsidR="00D26DD2" w:rsidRDefault="00D14C3A">
      <w:pPr>
        <w:rPr>
          <w:rFonts w:ascii="Times New Roman" w:hAnsi="Times New Roman" w:cs="Times New Roman"/>
        </w:rPr>
      </w:pPr>
      <w:r>
        <w:rPr>
          <w:rFonts w:ascii="Times New Roman" w:hAnsi="Times New Roman" w:cs="Times New Roman"/>
        </w:rPr>
        <w:t>(</w:t>
      </w:r>
      <w:r w:rsidR="008D7AB9">
        <w:rPr>
          <w:rFonts w:ascii="Times New Roman" w:hAnsi="Times New Roman" w:cs="Times New Roman"/>
        </w:rPr>
        <w:t>Dahlgren</w:t>
      </w:r>
      <w:r w:rsidR="000A1B94">
        <w:rPr>
          <w:rFonts w:ascii="Times New Roman" w:hAnsi="Times New Roman" w:cs="Times New Roman"/>
        </w:rPr>
        <w:t xml:space="preserve"> and Whitehead, 201</w:t>
      </w:r>
      <w:r w:rsidR="00D26DD2">
        <w:rPr>
          <w:rFonts w:ascii="Times New Roman" w:hAnsi="Times New Roman" w:cs="Times New Roman"/>
        </w:rPr>
        <w:t>7</w:t>
      </w:r>
      <w:r>
        <w:rPr>
          <w:rFonts w:ascii="Times New Roman" w:hAnsi="Times New Roman" w:cs="Times New Roman"/>
        </w:rPr>
        <w:t>)</w:t>
      </w:r>
      <w:r w:rsidR="00D26DD2">
        <w:rPr>
          <w:rFonts w:ascii="Times New Roman" w:hAnsi="Times New Roman" w:cs="Times New Roman"/>
        </w:rPr>
        <w:t xml:space="preserve"> </w:t>
      </w:r>
    </w:p>
    <w:p w14:paraId="0A1E3966" w14:textId="423C7605" w:rsidR="00A62C91" w:rsidRDefault="00161CFE">
      <w:pPr>
        <w:rPr>
          <w:rFonts w:ascii="Times New Roman" w:hAnsi="Times New Roman" w:cs="Times New Roman"/>
        </w:rPr>
      </w:pPr>
      <w:r w:rsidRPr="00161CFE">
        <w:rPr>
          <w:rFonts w:ascii="Times New Roman" w:hAnsi="Times New Roman" w:cs="Times New Roman"/>
        </w:rPr>
        <w:t xml:space="preserve">The diagram shows the determinants of health, including individual, social, and environmental factors that influence health outcomes. Within the life course approach, these factors interact and impact individuals at </w:t>
      </w:r>
      <w:r w:rsidR="00FF45B2" w:rsidRPr="00161CFE">
        <w:rPr>
          <w:rFonts w:ascii="Times New Roman" w:hAnsi="Times New Roman" w:cs="Times New Roman"/>
        </w:rPr>
        <w:t>various</w:t>
      </w:r>
      <w:r w:rsidRPr="00161CFE">
        <w:rPr>
          <w:rFonts w:ascii="Times New Roman" w:hAnsi="Times New Roman" w:cs="Times New Roman"/>
        </w:rPr>
        <w:t xml:space="preserve"> stages of life, from childhood to old age. For example, education, housing, and social support can shape opportunities and behaviours over time, contributing to either positive health outcomes or long-term health inequalities across the life course.</w:t>
      </w:r>
    </w:p>
    <w:p w14:paraId="6574F536" w14:textId="77777777" w:rsidR="00A62C91" w:rsidRDefault="00A62C91">
      <w:pPr>
        <w:rPr>
          <w:rFonts w:ascii="Times New Roman" w:hAnsi="Times New Roman" w:cs="Times New Roman"/>
        </w:rPr>
      </w:pPr>
    </w:p>
    <w:p w14:paraId="5FC1444A" w14:textId="77777777" w:rsidR="00A62C91" w:rsidRDefault="00A62C91">
      <w:pPr>
        <w:rPr>
          <w:rFonts w:ascii="Times New Roman" w:hAnsi="Times New Roman" w:cs="Times New Roman"/>
        </w:rPr>
      </w:pPr>
    </w:p>
    <w:p w14:paraId="19FA240E" w14:textId="77777777" w:rsidR="00A62C91" w:rsidRDefault="00A62C91">
      <w:pPr>
        <w:rPr>
          <w:rFonts w:ascii="Times New Roman" w:hAnsi="Times New Roman" w:cs="Times New Roman"/>
        </w:rPr>
      </w:pPr>
    </w:p>
    <w:p w14:paraId="1168731B" w14:textId="77777777" w:rsidR="00A62C91" w:rsidRDefault="00A62C91">
      <w:pPr>
        <w:rPr>
          <w:rFonts w:ascii="Times New Roman" w:hAnsi="Times New Roman" w:cs="Times New Roman"/>
        </w:rPr>
      </w:pPr>
    </w:p>
    <w:p w14:paraId="0330DC05" w14:textId="77777777" w:rsidR="00A62C91" w:rsidRDefault="00A62C91">
      <w:pPr>
        <w:rPr>
          <w:rFonts w:ascii="Times New Roman" w:hAnsi="Times New Roman" w:cs="Times New Roman"/>
        </w:rPr>
      </w:pPr>
    </w:p>
    <w:p w14:paraId="272E8267" w14:textId="77777777" w:rsidR="00A62C91" w:rsidRDefault="00A62C91">
      <w:pPr>
        <w:rPr>
          <w:rFonts w:ascii="Times New Roman" w:hAnsi="Times New Roman" w:cs="Times New Roman"/>
        </w:rPr>
      </w:pPr>
    </w:p>
    <w:p w14:paraId="3CF364B8" w14:textId="77777777" w:rsidR="00A62C91" w:rsidRDefault="00A62C91">
      <w:pPr>
        <w:rPr>
          <w:rFonts w:ascii="Times New Roman" w:hAnsi="Times New Roman" w:cs="Times New Roman"/>
        </w:rPr>
      </w:pPr>
    </w:p>
    <w:p w14:paraId="7A301AEA" w14:textId="77777777" w:rsidR="00A62C91" w:rsidRDefault="00A62C91">
      <w:pPr>
        <w:rPr>
          <w:rFonts w:ascii="Times New Roman" w:hAnsi="Times New Roman" w:cs="Times New Roman"/>
        </w:rPr>
      </w:pPr>
    </w:p>
    <w:p w14:paraId="446A1208" w14:textId="77777777" w:rsidR="004D640D" w:rsidRDefault="004D640D" w:rsidP="00C70D4F">
      <w:pPr>
        <w:rPr>
          <w:rFonts w:ascii="Times New Roman" w:hAnsi="Times New Roman" w:cs="Times New Roman"/>
        </w:rPr>
      </w:pPr>
    </w:p>
    <w:p w14:paraId="0EBD93E0" w14:textId="1431D474" w:rsidR="00930134" w:rsidRDefault="005E29B2" w:rsidP="00C70D4F">
      <w:pPr>
        <w:rPr>
          <w:rFonts w:ascii="Times New Roman" w:hAnsi="Times New Roman" w:cs="Times New Roman"/>
          <w:u w:val="single"/>
        </w:rPr>
      </w:pPr>
      <w:r w:rsidRPr="004D640D">
        <w:rPr>
          <w:rFonts w:ascii="Times New Roman" w:hAnsi="Times New Roman" w:cs="Times New Roman"/>
          <w:u w:val="single"/>
        </w:rPr>
        <w:lastRenderedPageBreak/>
        <w:t>Conclusion</w:t>
      </w:r>
      <w:r w:rsidR="006E6E80">
        <w:rPr>
          <w:rFonts w:ascii="Times New Roman" w:hAnsi="Times New Roman" w:cs="Times New Roman"/>
          <w:u w:val="single"/>
        </w:rPr>
        <w:t xml:space="preserve"> </w:t>
      </w:r>
    </w:p>
    <w:p w14:paraId="42B15E31" w14:textId="77777777" w:rsidR="00F52152" w:rsidRDefault="00F52152" w:rsidP="00C70D4F">
      <w:pPr>
        <w:rPr>
          <w:rFonts w:ascii="Times New Roman" w:hAnsi="Times New Roman" w:cs="Times New Roman"/>
          <w:u w:val="single"/>
        </w:rPr>
      </w:pPr>
    </w:p>
    <w:p w14:paraId="644FCA64" w14:textId="70F41858" w:rsidR="00F52152" w:rsidRDefault="00F52152" w:rsidP="00C70D4F">
      <w:pPr>
        <w:rPr>
          <w:rFonts w:ascii="Times New Roman" w:hAnsi="Times New Roman" w:cs="Times New Roman"/>
        </w:rPr>
      </w:pPr>
      <w:r w:rsidRPr="00F52152">
        <w:rPr>
          <w:rFonts w:ascii="Times New Roman" w:hAnsi="Times New Roman" w:cs="Times New Roman"/>
        </w:rPr>
        <w:t xml:space="preserve">In conclusion, this report has shown that health </w:t>
      </w:r>
      <w:bookmarkStart w:id="3" w:name="_Int_8gNAwjJD"/>
      <w:r w:rsidRPr="00F52152">
        <w:rPr>
          <w:rFonts w:ascii="Times New Roman" w:hAnsi="Times New Roman" w:cs="Times New Roman"/>
        </w:rPr>
        <w:t>is shaped</w:t>
      </w:r>
      <w:bookmarkEnd w:id="3"/>
      <w:r w:rsidRPr="00F52152">
        <w:rPr>
          <w:rFonts w:ascii="Times New Roman" w:hAnsi="Times New Roman" w:cs="Times New Roman"/>
        </w:rPr>
        <w:t xml:space="preserve"> by a range of social, economic, and environmental factors across the life course. Experiences from early life to older age influence outcomes over time. Understanding these factors can help provide the right support, improve wellbeing, and reduce health inequalities in society.</w:t>
      </w:r>
      <w:r>
        <w:rPr>
          <w:rFonts w:ascii="Times New Roman" w:hAnsi="Times New Roman" w:cs="Times New Roman"/>
        </w:rPr>
        <w:t xml:space="preserve"> </w:t>
      </w:r>
    </w:p>
    <w:p w14:paraId="282A6A51" w14:textId="77777777" w:rsidR="00D67994" w:rsidRDefault="00D67994" w:rsidP="00C70D4F">
      <w:pPr>
        <w:rPr>
          <w:rFonts w:ascii="Times New Roman" w:hAnsi="Times New Roman" w:cs="Times New Roman"/>
        </w:rPr>
      </w:pPr>
    </w:p>
    <w:p w14:paraId="56B01D36" w14:textId="7E3A75AC" w:rsidR="00D67994" w:rsidRDefault="00D67994" w:rsidP="00D67994">
      <w:pPr>
        <w:rPr>
          <w:rFonts w:ascii="Times New Roman" w:hAnsi="Times New Roman" w:cs="Times New Roman"/>
          <w:u w:val="single"/>
        </w:rPr>
      </w:pPr>
      <w:r>
        <w:rPr>
          <w:rFonts w:ascii="Times New Roman" w:hAnsi="Times New Roman" w:cs="Times New Roman"/>
          <w:u w:val="single"/>
        </w:rPr>
        <w:t xml:space="preserve">Recommendations </w:t>
      </w:r>
    </w:p>
    <w:p w14:paraId="49D27840" w14:textId="77777777" w:rsidR="006E6E80" w:rsidRPr="00D67994" w:rsidRDefault="006E6E80" w:rsidP="00C70D4F">
      <w:pPr>
        <w:rPr>
          <w:rFonts w:ascii="Times New Roman" w:hAnsi="Times New Roman" w:cs="Times New Roman"/>
        </w:rPr>
      </w:pPr>
    </w:p>
    <w:p w14:paraId="1B41C00E" w14:textId="77777777" w:rsidR="00D67994" w:rsidRDefault="00D67994" w:rsidP="00D67994">
      <w:pPr>
        <w:numPr>
          <w:ilvl w:val="0"/>
          <w:numId w:val="2"/>
        </w:numPr>
        <w:rPr>
          <w:rFonts w:ascii="Times New Roman" w:hAnsi="Times New Roman" w:cs="Times New Roman"/>
        </w:rPr>
      </w:pPr>
      <w:r w:rsidRPr="00D67994">
        <w:rPr>
          <w:rFonts w:ascii="Times New Roman" w:hAnsi="Times New Roman" w:cs="Times New Roman"/>
        </w:rPr>
        <w:t>Provide more support for children and families, such as parenting programmes and early education, to improve long-term health outcomes.</w:t>
      </w:r>
    </w:p>
    <w:p w14:paraId="48D114A6" w14:textId="77777777" w:rsidR="00D67994" w:rsidRPr="00D67994" w:rsidRDefault="00D67994" w:rsidP="00D67994">
      <w:pPr>
        <w:ind w:left="720"/>
        <w:rPr>
          <w:rFonts w:ascii="Times New Roman" w:hAnsi="Times New Roman" w:cs="Times New Roman"/>
        </w:rPr>
      </w:pPr>
    </w:p>
    <w:p w14:paraId="56D91790" w14:textId="77777777" w:rsidR="00D67994" w:rsidRPr="00D67994" w:rsidRDefault="00D67994" w:rsidP="00D67994">
      <w:pPr>
        <w:numPr>
          <w:ilvl w:val="0"/>
          <w:numId w:val="3"/>
        </w:numPr>
        <w:rPr>
          <w:rFonts w:ascii="Times New Roman" w:hAnsi="Times New Roman" w:cs="Times New Roman"/>
        </w:rPr>
      </w:pPr>
      <w:r w:rsidRPr="00D67994">
        <w:rPr>
          <w:rFonts w:ascii="Times New Roman" w:hAnsi="Times New Roman" w:cs="Times New Roman"/>
        </w:rPr>
        <w:t>Make healthcare, education, and support services easier to access, especially for disadvantaged groups.</w:t>
      </w:r>
    </w:p>
    <w:p w14:paraId="29D53202" w14:textId="77777777" w:rsidR="006E6E80" w:rsidRDefault="006E6E80" w:rsidP="00C70D4F">
      <w:pPr>
        <w:rPr>
          <w:rFonts w:ascii="Times New Roman" w:hAnsi="Times New Roman" w:cs="Times New Roman"/>
        </w:rPr>
      </w:pPr>
    </w:p>
    <w:p w14:paraId="238BB7F1" w14:textId="77777777" w:rsidR="00F52152" w:rsidRDefault="00F52152" w:rsidP="00C70D4F">
      <w:pPr>
        <w:rPr>
          <w:rFonts w:ascii="Times New Roman" w:hAnsi="Times New Roman" w:cs="Times New Roman"/>
        </w:rPr>
      </w:pPr>
    </w:p>
    <w:p w14:paraId="547D849E" w14:textId="77777777" w:rsidR="00F52152" w:rsidRPr="00F52152" w:rsidRDefault="00F52152" w:rsidP="00C70D4F">
      <w:pPr>
        <w:rPr>
          <w:rFonts w:ascii="Times New Roman" w:hAnsi="Times New Roman" w:cs="Times New Roman"/>
        </w:rPr>
      </w:pPr>
    </w:p>
    <w:p w14:paraId="533334E2" w14:textId="77777777" w:rsidR="00027F23" w:rsidRDefault="00027F23">
      <w:pPr>
        <w:rPr>
          <w:rFonts w:ascii="Times New Roman" w:hAnsi="Times New Roman" w:cs="Times New Roman"/>
          <w:u w:val="single"/>
        </w:rPr>
      </w:pPr>
    </w:p>
    <w:p w14:paraId="08B31F0A" w14:textId="77777777" w:rsidR="007D23E0" w:rsidRDefault="007D23E0">
      <w:pPr>
        <w:rPr>
          <w:rFonts w:ascii="Times New Roman" w:hAnsi="Times New Roman" w:cs="Times New Roman"/>
          <w:u w:val="single"/>
        </w:rPr>
      </w:pPr>
    </w:p>
    <w:p w14:paraId="3F6E750A" w14:textId="77777777" w:rsidR="007D23E0" w:rsidRDefault="007D23E0">
      <w:pPr>
        <w:rPr>
          <w:rFonts w:ascii="Times New Roman" w:hAnsi="Times New Roman" w:cs="Times New Roman"/>
          <w:u w:val="single"/>
        </w:rPr>
      </w:pPr>
    </w:p>
    <w:p w14:paraId="37AE6E39" w14:textId="77777777" w:rsidR="007D23E0" w:rsidRDefault="007D23E0">
      <w:pPr>
        <w:rPr>
          <w:rFonts w:ascii="Times New Roman" w:hAnsi="Times New Roman" w:cs="Times New Roman"/>
          <w:u w:val="single"/>
        </w:rPr>
      </w:pPr>
    </w:p>
    <w:p w14:paraId="2D4BBCAA" w14:textId="77777777" w:rsidR="007D23E0" w:rsidRDefault="007D23E0">
      <w:pPr>
        <w:rPr>
          <w:rFonts w:ascii="Times New Roman" w:hAnsi="Times New Roman" w:cs="Times New Roman"/>
          <w:u w:val="single"/>
        </w:rPr>
      </w:pPr>
    </w:p>
    <w:p w14:paraId="66BE6117" w14:textId="77777777" w:rsidR="007D23E0" w:rsidRDefault="007D23E0">
      <w:pPr>
        <w:rPr>
          <w:rFonts w:ascii="Times New Roman" w:hAnsi="Times New Roman" w:cs="Times New Roman"/>
          <w:u w:val="single"/>
        </w:rPr>
      </w:pPr>
    </w:p>
    <w:p w14:paraId="737EB369" w14:textId="77777777" w:rsidR="007D23E0" w:rsidRDefault="007D23E0">
      <w:pPr>
        <w:rPr>
          <w:rFonts w:ascii="Times New Roman" w:hAnsi="Times New Roman" w:cs="Times New Roman"/>
          <w:u w:val="single"/>
        </w:rPr>
      </w:pPr>
    </w:p>
    <w:p w14:paraId="7CF76BCE" w14:textId="77777777" w:rsidR="007D23E0" w:rsidRDefault="007D23E0">
      <w:pPr>
        <w:rPr>
          <w:rFonts w:ascii="Times New Roman" w:hAnsi="Times New Roman" w:cs="Times New Roman"/>
          <w:u w:val="single"/>
        </w:rPr>
      </w:pPr>
    </w:p>
    <w:p w14:paraId="182F906B" w14:textId="77777777" w:rsidR="007D23E0" w:rsidRDefault="007D23E0">
      <w:pPr>
        <w:rPr>
          <w:rFonts w:ascii="Times New Roman" w:hAnsi="Times New Roman" w:cs="Times New Roman"/>
          <w:u w:val="single"/>
        </w:rPr>
      </w:pPr>
    </w:p>
    <w:p w14:paraId="43961E71" w14:textId="77777777" w:rsidR="007D23E0" w:rsidRDefault="007D23E0">
      <w:pPr>
        <w:rPr>
          <w:rFonts w:ascii="Times New Roman" w:hAnsi="Times New Roman" w:cs="Times New Roman"/>
          <w:u w:val="single"/>
        </w:rPr>
      </w:pPr>
    </w:p>
    <w:p w14:paraId="29D659EE" w14:textId="77777777" w:rsidR="007D23E0" w:rsidRDefault="007D23E0">
      <w:pPr>
        <w:rPr>
          <w:rFonts w:ascii="Times New Roman" w:hAnsi="Times New Roman" w:cs="Times New Roman"/>
          <w:u w:val="single"/>
        </w:rPr>
      </w:pPr>
    </w:p>
    <w:p w14:paraId="2CE44C95" w14:textId="77777777" w:rsidR="007D23E0" w:rsidRDefault="007D23E0">
      <w:pPr>
        <w:rPr>
          <w:rFonts w:ascii="Times New Roman" w:hAnsi="Times New Roman" w:cs="Times New Roman"/>
          <w:u w:val="single"/>
        </w:rPr>
      </w:pPr>
    </w:p>
    <w:p w14:paraId="4B81ACF3" w14:textId="77777777" w:rsidR="007D23E0" w:rsidRDefault="007D23E0" w:rsidP="00C70D4F">
      <w:pPr>
        <w:rPr>
          <w:rFonts w:ascii="Times New Roman" w:hAnsi="Times New Roman" w:cs="Times New Roman"/>
          <w:u w:val="single"/>
        </w:rPr>
      </w:pPr>
    </w:p>
    <w:p w14:paraId="4AA13895" w14:textId="77777777" w:rsidR="00D67994" w:rsidRDefault="00D67994" w:rsidP="00C70D4F">
      <w:pPr>
        <w:rPr>
          <w:rFonts w:ascii="Times New Roman" w:hAnsi="Times New Roman" w:cs="Times New Roman"/>
          <w:u w:val="single"/>
        </w:rPr>
      </w:pPr>
    </w:p>
    <w:p w14:paraId="0E503135" w14:textId="44820835" w:rsidR="005E29B2" w:rsidRDefault="005E29B2" w:rsidP="00C70D4F">
      <w:pPr>
        <w:rPr>
          <w:rFonts w:ascii="Times New Roman" w:hAnsi="Times New Roman" w:cs="Times New Roman"/>
          <w:u w:val="single"/>
        </w:rPr>
      </w:pPr>
      <w:r w:rsidRPr="004D640D">
        <w:rPr>
          <w:rFonts w:ascii="Times New Roman" w:hAnsi="Times New Roman" w:cs="Times New Roman"/>
          <w:u w:val="single"/>
        </w:rPr>
        <w:lastRenderedPageBreak/>
        <w:t>Reference list</w:t>
      </w:r>
    </w:p>
    <w:p w14:paraId="5130CE6E" w14:textId="77777777" w:rsidR="00457B47" w:rsidRPr="00457B47" w:rsidRDefault="00457B47" w:rsidP="00457B47">
      <w:pPr>
        <w:rPr>
          <w:rFonts w:ascii="Times New Roman" w:hAnsi="Times New Roman" w:cs="Times New Roman"/>
          <w:b/>
          <w:bCs/>
          <w:u w:val="single"/>
        </w:rPr>
      </w:pPr>
      <w:r w:rsidRPr="00457B47">
        <w:rPr>
          <w:rFonts w:ascii="Times New Roman" w:hAnsi="Times New Roman" w:cs="Times New Roman"/>
          <w:b/>
          <w:bCs/>
          <w:u w:val="single"/>
        </w:rPr>
        <w:t>Reference list</w:t>
      </w:r>
    </w:p>
    <w:p w14:paraId="586C3C6F" w14:textId="3EA6864A"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British Medical Association (2026). </w:t>
      </w:r>
      <w:r w:rsidRPr="00457B47">
        <w:rPr>
          <w:rFonts w:ascii="Times New Roman" w:hAnsi="Times New Roman" w:cs="Times New Roman"/>
          <w:i/>
          <w:iCs/>
        </w:rPr>
        <w:t>Health inequalities in England</w:t>
      </w:r>
      <w:r w:rsidRPr="00457B47">
        <w:rPr>
          <w:rFonts w:ascii="Times New Roman" w:hAnsi="Times New Roman" w:cs="Times New Roman"/>
        </w:rPr>
        <w:t xml:space="preserve">. The British Medical Association is the trade union and professional body for doctors in the UK. Available at: </w:t>
      </w:r>
      <w:hyperlink r:id="rId13" w:history="1">
        <w:r w:rsidRPr="00457B47">
          <w:rPr>
            <w:rStyle w:val="Hyperlink"/>
            <w:rFonts w:ascii="Times New Roman" w:hAnsi="Times New Roman" w:cs="Times New Roman"/>
          </w:rPr>
          <w:t>https://www.bma.org.uk/what-we-do/population-health/addressing-social-determinants-that-influence-health/health-inequalities-in-england</w:t>
        </w:r>
      </w:hyperlink>
      <w:r>
        <w:rPr>
          <w:rFonts w:ascii="Times New Roman" w:hAnsi="Times New Roman" w:cs="Times New Roman"/>
        </w:rPr>
        <w:t xml:space="preserve"> </w:t>
      </w:r>
      <w:r w:rsidR="00D4476D">
        <w:rPr>
          <w:rFonts w:ascii="Times New Roman" w:hAnsi="Times New Roman" w:cs="Times New Roman"/>
        </w:rPr>
        <w:t>(Accessed on 24 April 2026)</w:t>
      </w:r>
    </w:p>
    <w:p w14:paraId="4B574C6F" w14:textId="208E5D97"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CDC (2021). </w:t>
      </w:r>
      <w:r w:rsidRPr="00457B47">
        <w:rPr>
          <w:rFonts w:ascii="Times New Roman" w:hAnsi="Times New Roman" w:cs="Times New Roman"/>
          <w:i/>
          <w:iCs/>
        </w:rPr>
        <w:t>Preventing Adverse Childhood Experiences</w:t>
      </w:r>
      <w:r w:rsidRPr="00457B47">
        <w:rPr>
          <w:rFonts w:ascii="Times New Roman" w:hAnsi="Times New Roman" w:cs="Times New Roman"/>
        </w:rPr>
        <w:t xml:space="preserve">. [online] Centres for Disease Control and Prevention. Available at: </w:t>
      </w:r>
      <w:hyperlink r:id="rId14" w:history="1">
        <w:r w:rsidR="00D4476D" w:rsidRPr="00457B47">
          <w:rPr>
            <w:rStyle w:val="Hyperlink"/>
            <w:rFonts w:ascii="Times New Roman" w:hAnsi="Times New Roman" w:cs="Times New Roman"/>
          </w:rPr>
          <w:t>https://www.cdc.gov/vitalsigns/aces/index.html?utm</w:t>
        </w:r>
      </w:hyperlink>
      <w:proofErr w:type="gramStart"/>
      <w:r w:rsidRPr="00457B47">
        <w:rPr>
          <w:rFonts w:ascii="Times New Roman" w:hAnsi="Times New Roman" w:cs="Times New Roman"/>
        </w:rPr>
        <w:t>.</w:t>
      </w:r>
      <w:r w:rsidR="00D4476D">
        <w:rPr>
          <w:rFonts w:ascii="Times New Roman" w:hAnsi="Times New Roman" w:cs="Times New Roman"/>
        </w:rPr>
        <w:t xml:space="preserve"> </w:t>
      </w:r>
      <w:r w:rsidR="007C57A8" w:rsidRPr="00457B47">
        <w:rPr>
          <w:rFonts w:ascii="Times New Roman" w:hAnsi="Times New Roman" w:cs="Times New Roman"/>
        </w:rPr>
        <w:t>.</w:t>
      </w:r>
      <w:proofErr w:type="gramEnd"/>
      <w:r w:rsidR="007C57A8">
        <w:rPr>
          <w:rFonts w:ascii="Times New Roman" w:hAnsi="Times New Roman" w:cs="Times New Roman"/>
        </w:rPr>
        <w:t xml:space="preserve"> (Accessed on 24 April 2026)</w:t>
      </w:r>
    </w:p>
    <w:p w14:paraId="6F1C1D8E" w14:textId="157AA3F8"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Dutton, A. (2019). </w:t>
      </w:r>
      <w:r w:rsidRPr="00457B47">
        <w:rPr>
          <w:rFonts w:ascii="Times New Roman" w:hAnsi="Times New Roman" w:cs="Times New Roman"/>
          <w:i/>
          <w:iCs/>
        </w:rPr>
        <w:t>UK natural capital accounts - Office for National Statistics</w:t>
      </w:r>
      <w:r w:rsidRPr="00457B47">
        <w:rPr>
          <w:rFonts w:ascii="Times New Roman" w:hAnsi="Times New Roman" w:cs="Times New Roman"/>
        </w:rPr>
        <w:t xml:space="preserve">. [online] www.ons.gov.uk. Available at: </w:t>
      </w:r>
      <w:hyperlink r:id="rId15" w:history="1">
        <w:r w:rsidR="007C57A8" w:rsidRPr="00457B47">
          <w:rPr>
            <w:rStyle w:val="Hyperlink"/>
            <w:rFonts w:ascii="Times New Roman" w:hAnsi="Times New Roman" w:cs="Times New Roman"/>
          </w:rPr>
          <w:t>https://www.ons.gov.uk/economy/environmentalaccounts/bulletins/uknaturalcapitalaccounts/2019</w:t>
        </w:r>
      </w:hyperlink>
      <w:r w:rsidR="007C57A8">
        <w:rPr>
          <w:rFonts w:ascii="Times New Roman" w:hAnsi="Times New Roman" w:cs="Times New Roman"/>
        </w:rPr>
        <w:t xml:space="preserve"> (Accessed on 24 April 2026)</w:t>
      </w:r>
    </w:p>
    <w:p w14:paraId="24A6CB9F" w14:textId="7934584B"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Gov.UK (2024). </w:t>
      </w:r>
      <w:r w:rsidRPr="00457B47">
        <w:rPr>
          <w:rFonts w:ascii="Times New Roman" w:hAnsi="Times New Roman" w:cs="Times New Roman"/>
          <w:i/>
          <w:iCs/>
        </w:rPr>
        <w:t>Understanding and addressing the health risks of damp and mould in the home</w:t>
      </w:r>
      <w:r w:rsidRPr="00457B47">
        <w:rPr>
          <w:rFonts w:ascii="Times New Roman" w:hAnsi="Times New Roman" w:cs="Times New Roman"/>
        </w:rPr>
        <w:t xml:space="preserve">. GOV.UK. Available at: </w:t>
      </w:r>
      <w:hyperlink r:id="rId16" w:history="1">
        <w:r w:rsidR="007C57A8" w:rsidRPr="00457B47">
          <w:rPr>
            <w:rStyle w:val="Hyperlink"/>
            <w:rFonts w:ascii="Times New Roman" w:hAnsi="Times New Roman" w:cs="Times New Roman"/>
          </w:rPr>
          <w:t>https://www.gov.uk/government/publications/damp-and-mould-understanding-and-addressing-the-health-risks-for-rented-housing-providers/understanding-and-addressing-the-health-risks-of-damp-and-mould-in-the-home--2</w:t>
        </w:r>
      </w:hyperlink>
      <w:r w:rsidR="007C57A8">
        <w:rPr>
          <w:rFonts w:ascii="Times New Roman" w:hAnsi="Times New Roman" w:cs="Times New Roman"/>
        </w:rPr>
        <w:t xml:space="preserve"> (Accessed on 24 April 2026)</w:t>
      </w:r>
    </w:p>
    <w:p w14:paraId="2DDE5021" w14:textId="27BD9105"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Healthactionresearch.org.uk. (2020). </w:t>
      </w:r>
      <w:r w:rsidRPr="00457B47">
        <w:rPr>
          <w:rFonts w:ascii="Times New Roman" w:hAnsi="Times New Roman" w:cs="Times New Roman"/>
          <w:i/>
          <w:iCs/>
        </w:rPr>
        <w:t>The role of education in reducing health inequalities - Health Action Research Group</w:t>
      </w:r>
      <w:r w:rsidRPr="00457B47">
        <w:rPr>
          <w:rFonts w:ascii="Times New Roman" w:hAnsi="Times New Roman" w:cs="Times New Roman"/>
        </w:rPr>
        <w:t xml:space="preserve">. Available at: </w:t>
      </w:r>
      <w:hyperlink r:id="rId17" w:history="1">
        <w:r w:rsidR="009B727C" w:rsidRPr="00457B47">
          <w:rPr>
            <w:rStyle w:val="Hyperlink"/>
            <w:rFonts w:ascii="Times New Roman" w:hAnsi="Times New Roman" w:cs="Times New Roman"/>
          </w:rPr>
          <w:t>https://www.healthactionresearch.org.uk/tackling-obesity/the-role-of-education/?ut</w:t>
        </w:r>
      </w:hyperlink>
      <w:r w:rsidR="009B727C">
        <w:rPr>
          <w:rFonts w:ascii="Times New Roman" w:hAnsi="Times New Roman" w:cs="Times New Roman"/>
        </w:rPr>
        <w:t xml:space="preserve"> </w:t>
      </w:r>
      <w:r w:rsidRPr="00457B47">
        <w:rPr>
          <w:rFonts w:ascii="Times New Roman" w:hAnsi="Times New Roman" w:cs="Times New Roman"/>
        </w:rPr>
        <w:t xml:space="preserve"> </w:t>
      </w:r>
      <w:r w:rsidR="009B727C">
        <w:rPr>
          <w:rFonts w:ascii="Times New Roman" w:hAnsi="Times New Roman" w:cs="Times New Roman"/>
        </w:rPr>
        <w:t>(</w:t>
      </w:r>
      <w:r w:rsidRPr="00457B47">
        <w:rPr>
          <w:rFonts w:ascii="Times New Roman" w:hAnsi="Times New Roman" w:cs="Times New Roman"/>
        </w:rPr>
        <w:t>Accessed 19 Apr</w:t>
      </w:r>
      <w:r w:rsidR="009B727C">
        <w:rPr>
          <w:rFonts w:ascii="Times New Roman" w:hAnsi="Times New Roman" w:cs="Times New Roman"/>
        </w:rPr>
        <w:t>il</w:t>
      </w:r>
      <w:r w:rsidRPr="00457B47">
        <w:rPr>
          <w:rFonts w:ascii="Times New Roman" w:hAnsi="Times New Roman" w:cs="Times New Roman"/>
        </w:rPr>
        <w:t xml:space="preserve"> 2026</w:t>
      </w:r>
      <w:r w:rsidR="009B727C">
        <w:rPr>
          <w:rFonts w:ascii="Times New Roman" w:hAnsi="Times New Roman" w:cs="Times New Roman"/>
        </w:rPr>
        <w:t>)</w:t>
      </w:r>
    </w:p>
    <w:p w14:paraId="44B4D2C3" w14:textId="26154F71"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Public Health England (2018). </w:t>
      </w:r>
      <w:r w:rsidRPr="00457B47">
        <w:rPr>
          <w:rFonts w:ascii="Times New Roman" w:hAnsi="Times New Roman" w:cs="Times New Roman"/>
          <w:i/>
          <w:iCs/>
        </w:rPr>
        <w:t>Chapter 6: Wider Determinants of Health</w:t>
      </w:r>
      <w:r w:rsidRPr="00457B47">
        <w:rPr>
          <w:rFonts w:ascii="Times New Roman" w:hAnsi="Times New Roman" w:cs="Times New Roman"/>
        </w:rPr>
        <w:t>.</w:t>
      </w:r>
      <w:r w:rsidR="009B727C">
        <w:rPr>
          <w:rFonts w:ascii="Times New Roman" w:hAnsi="Times New Roman" w:cs="Times New Roman"/>
        </w:rPr>
        <w:t xml:space="preserve"> </w:t>
      </w:r>
      <w:r w:rsidRPr="00457B47">
        <w:rPr>
          <w:rFonts w:ascii="Times New Roman" w:hAnsi="Times New Roman" w:cs="Times New Roman"/>
        </w:rPr>
        <w:t xml:space="preserve">GOV.UK. Available at: </w:t>
      </w:r>
      <w:hyperlink r:id="rId18" w:history="1">
        <w:r w:rsidR="009B727C" w:rsidRPr="00457B47">
          <w:rPr>
            <w:rStyle w:val="Hyperlink"/>
            <w:rFonts w:ascii="Times New Roman" w:hAnsi="Times New Roman" w:cs="Times New Roman"/>
          </w:rPr>
          <w:t>https://www.gov.uk/government/publications/health-profile-for-england-2018/chapter-6-wider-determinants-of-health</w:t>
        </w:r>
      </w:hyperlink>
      <w:r w:rsidR="009B727C">
        <w:rPr>
          <w:rFonts w:ascii="Times New Roman" w:hAnsi="Times New Roman" w:cs="Times New Roman"/>
        </w:rPr>
        <w:t xml:space="preserve">  (Accessed on 24 April 2026)</w:t>
      </w:r>
    </w:p>
    <w:p w14:paraId="68065555" w14:textId="18F77D7F"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Public Health England (2021). </w:t>
      </w:r>
      <w:r w:rsidRPr="00457B47">
        <w:rPr>
          <w:rFonts w:ascii="Times New Roman" w:hAnsi="Times New Roman" w:cs="Times New Roman"/>
          <w:i/>
          <w:iCs/>
        </w:rPr>
        <w:t>Education, Schooling and Health Summary</w:t>
      </w:r>
      <w:r w:rsidRPr="00457B47">
        <w:rPr>
          <w:rFonts w:ascii="Times New Roman" w:hAnsi="Times New Roman" w:cs="Times New Roman"/>
        </w:rPr>
        <w:t>.</w:t>
      </w:r>
      <w:r w:rsidR="009B727C">
        <w:rPr>
          <w:rFonts w:ascii="Times New Roman" w:hAnsi="Times New Roman" w:cs="Times New Roman"/>
        </w:rPr>
        <w:t xml:space="preserve"> </w:t>
      </w:r>
      <w:r w:rsidRPr="00457B47">
        <w:rPr>
          <w:rFonts w:ascii="Times New Roman" w:hAnsi="Times New Roman" w:cs="Times New Roman"/>
        </w:rPr>
        <w:t xml:space="preserve">GOV.UK. Available at: </w:t>
      </w:r>
      <w:hyperlink r:id="rId19" w:history="1">
        <w:r w:rsidR="009B727C" w:rsidRPr="00457B47">
          <w:rPr>
            <w:rStyle w:val="Hyperlink"/>
            <w:rFonts w:ascii="Times New Roman" w:hAnsi="Times New Roman" w:cs="Times New Roman"/>
          </w:rPr>
          <w:t>https://www.gov.uk/government/publications/education-schooling-and-health/education-schooling-and-health-summary</w:t>
        </w:r>
      </w:hyperlink>
      <w:r w:rsidR="009B727C">
        <w:rPr>
          <w:rFonts w:ascii="Times New Roman" w:hAnsi="Times New Roman" w:cs="Times New Roman"/>
        </w:rPr>
        <w:t xml:space="preserve"> </w:t>
      </w:r>
      <w:r w:rsidR="009B727C" w:rsidRPr="00457B47">
        <w:rPr>
          <w:rFonts w:ascii="Times New Roman" w:hAnsi="Times New Roman" w:cs="Times New Roman"/>
        </w:rPr>
        <w:t>.</w:t>
      </w:r>
      <w:r w:rsidR="009B727C">
        <w:rPr>
          <w:rFonts w:ascii="Times New Roman" w:hAnsi="Times New Roman" w:cs="Times New Roman"/>
        </w:rPr>
        <w:t xml:space="preserve"> (Accessed on 24 April 2026)</w:t>
      </w:r>
    </w:p>
    <w:p w14:paraId="56049D8E" w14:textId="110D5342"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Raghupathi, V. and Raghupathi, W. (2020). The Influence of Education on health: an Empirical Assessment of OECD Countries for the Period 1995–2015. </w:t>
      </w:r>
      <w:r w:rsidRPr="00457B47">
        <w:rPr>
          <w:rFonts w:ascii="Times New Roman" w:hAnsi="Times New Roman" w:cs="Times New Roman"/>
          <w:i/>
          <w:iCs/>
        </w:rPr>
        <w:t>Archives of Public Health</w:t>
      </w:r>
      <w:r w:rsidRPr="00457B47">
        <w:rPr>
          <w:rFonts w:ascii="Times New Roman" w:hAnsi="Times New Roman" w:cs="Times New Roman"/>
        </w:rPr>
        <w:t xml:space="preserve">, 78(1), pp.1–18. Available at: </w:t>
      </w:r>
      <w:hyperlink r:id="rId20" w:history="1">
        <w:r w:rsidR="009B727C" w:rsidRPr="00457B47">
          <w:rPr>
            <w:rStyle w:val="Hyperlink"/>
            <w:rFonts w:ascii="Times New Roman" w:hAnsi="Times New Roman" w:cs="Times New Roman"/>
          </w:rPr>
          <w:t>https://archpublichealth.biomedcentral.com/articles/10.1186/s13690-020-00402-5</w:t>
        </w:r>
      </w:hyperlink>
      <w:r w:rsidR="009B727C">
        <w:rPr>
          <w:rFonts w:ascii="Times New Roman" w:hAnsi="Times New Roman" w:cs="Times New Roman"/>
        </w:rPr>
        <w:t xml:space="preserve"> </w:t>
      </w:r>
      <w:r w:rsidR="009B727C" w:rsidRPr="00457B47">
        <w:rPr>
          <w:rFonts w:ascii="Times New Roman" w:hAnsi="Times New Roman" w:cs="Times New Roman"/>
        </w:rPr>
        <w:t>.</w:t>
      </w:r>
      <w:r w:rsidR="009B727C">
        <w:rPr>
          <w:rFonts w:ascii="Times New Roman" w:hAnsi="Times New Roman" w:cs="Times New Roman"/>
        </w:rPr>
        <w:t xml:space="preserve"> (Accessed on 24 April 2026)</w:t>
      </w:r>
    </w:p>
    <w:p w14:paraId="0A1D3E36" w14:textId="7E3F7F26"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The Health Sciences Academy. (2026). </w:t>
      </w:r>
      <w:r w:rsidRPr="00457B47">
        <w:rPr>
          <w:rFonts w:ascii="Times New Roman" w:hAnsi="Times New Roman" w:cs="Times New Roman"/>
          <w:i/>
          <w:iCs/>
        </w:rPr>
        <w:t>determinants-of-health_dahlgren-whitehead-model_the-health-sciences-academy_alejandra-alex-ruani</w:t>
      </w:r>
      <w:r w:rsidRPr="00457B47">
        <w:rPr>
          <w:rFonts w:ascii="Times New Roman" w:hAnsi="Times New Roman" w:cs="Times New Roman"/>
        </w:rPr>
        <w:t xml:space="preserve">. Available at: </w:t>
      </w:r>
      <w:hyperlink r:id="rId21" w:history="1">
        <w:r w:rsidR="0094581B" w:rsidRPr="00457B47">
          <w:rPr>
            <w:rStyle w:val="Hyperlink"/>
            <w:rFonts w:ascii="Times New Roman" w:hAnsi="Times New Roman" w:cs="Times New Roman"/>
          </w:rPr>
          <w:t>https://thehealthsciencesacademy.org/science-catch-up/science-catch-up-24/attachment/determinants-of-health_dahlgren-whitehead-model_the-health-sciences-academy_alejandra-alex-ruani/</w:t>
        </w:r>
      </w:hyperlink>
      <w:r w:rsidR="0094581B">
        <w:rPr>
          <w:rFonts w:ascii="Times New Roman" w:hAnsi="Times New Roman" w:cs="Times New Roman"/>
        </w:rPr>
        <w:t xml:space="preserve"> </w:t>
      </w:r>
      <w:r w:rsidR="0094581B" w:rsidRPr="00457B47">
        <w:rPr>
          <w:rFonts w:ascii="Times New Roman" w:hAnsi="Times New Roman" w:cs="Times New Roman"/>
        </w:rPr>
        <w:t>.</w:t>
      </w:r>
      <w:r w:rsidR="0094581B">
        <w:rPr>
          <w:rFonts w:ascii="Times New Roman" w:hAnsi="Times New Roman" w:cs="Times New Roman"/>
        </w:rPr>
        <w:t xml:space="preserve"> (Accessed on 24 April 2026)</w:t>
      </w:r>
    </w:p>
    <w:p w14:paraId="1EE84721" w14:textId="034B45B9" w:rsidR="00457B47" w:rsidRPr="00457B47" w:rsidRDefault="00457B47" w:rsidP="00457B47">
      <w:pPr>
        <w:rPr>
          <w:rFonts w:ascii="Times New Roman" w:hAnsi="Times New Roman" w:cs="Times New Roman"/>
        </w:rPr>
      </w:pPr>
      <w:r w:rsidRPr="00457B47">
        <w:rPr>
          <w:rFonts w:ascii="Times New Roman" w:hAnsi="Times New Roman" w:cs="Times New Roman"/>
        </w:rPr>
        <w:lastRenderedPageBreak/>
        <w:t xml:space="preserve">UK Government (2012). </w:t>
      </w:r>
      <w:r w:rsidRPr="00457B47">
        <w:rPr>
          <w:rFonts w:ascii="Times New Roman" w:hAnsi="Times New Roman" w:cs="Times New Roman"/>
          <w:i/>
          <w:iCs/>
        </w:rPr>
        <w:t>Health and Social Care Act 2012</w:t>
      </w:r>
      <w:r w:rsidR="0094581B">
        <w:rPr>
          <w:rFonts w:ascii="Times New Roman" w:hAnsi="Times New Roman" w:cs="Times New Roman"/>
        </w:rPr>
        <w:t xml:space="preserve"> </w:t>
      </w:r>
      <w:r w:rsidRPr="00457B47">
        <w:rPr>
          <w:rFonts w:ascii="Times New Roman" w:hAnsi="Times New Roman" w:cs="Times New Roman"/>
        </w:rPr>
        <w:t xml:space="preserve">legislation.gov.uk. Available at: </w:t>
      </w:r>
      <w:hyperlink r:id="rId22" w:history="1">
        <w:r w:rsidR="0094581B" w:rsidRPr="00457B47">
          <w:rPr>
            <w:rStyle w:val="Hyperlink"/>
            <w:rFonts w:ascii="Times New Roman" w:hAnsi="Times New Roman" w:cs="Times New Roman"/>
          </w:rPr>
          <w:t>https://www.legislation.gov.uk/ukpga/2012/7/contents</w:t>
        </w:r>
      </w:hyperlink>
      <w:r w:rsidR="0094581B">
        <w:rPr>
          <w:rFonts w:ascii="Times New Roman" w:hAnsi="Times New Roman" w:cs="Times New Roman"/>
        </w:rPr>
        <w:t xml:space="preserve"> (Accessed on 24 April 2026)</w:t>
      </w:r>
    </w:p>
    <w:p w14:paraId="4FFD8897" w14:textId="734C010E"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World (2020). </w:t>
      </w:r>
      <w:r w:rsidRPr="00457B47">
        <w:rPr>
          <w:rFonts w:ascii="Times New Roman" w:hAnsi="Times New Roman" w:cs="Times New Roman"/>
          <w:i/>
          <w:iCs/>
        </w:rPr>
        <w:t>Ageing</w:t>
      </w:r>
      <w:r w:rsidRPr="00457B47">
        <w:rPr>
          <w:rFonts w:ascii="Times New Roman" w:hAnsi="Times New Roman" w:cs="Times New Roman"/>
        </w:rPr>
        <w:t xml:space="preserve">. Who.int. Available at: </w:t>
      </w:r>
      <w:hyperlink r:id="rId23" w:history="1">
        <w:r w:rsidR="0094581B" w:rsidRPr="00457B47">
          <w:rPr>
            <w:rStyle w:val="Hyperlink"/>
            <w:rFonts w:ascii="Times New Roman" w:hAnsi="Times New Roman" w:cs="Times New Roman"/>
          </w:rPr>
          <w:t>https://www.who.int/health-topics/ageing/reducing-social-isolation-and-loneliness-among-older-people</w:t>
        </w:r>
      </w:hyperlink>
      <w:r w:rsidR="0094581B">
        <w:rPr>
          <w:rFonts w:ascii="Times New Roman" w:hAnsi="Times New Roman" w:cs="Times New Roman"/>
        </w:rPr>
        <w:t xml:space="preserve"> (Accessed on 24 April 2026)</w:t>
      </w:r>
    </w:p>
    <w:p w14:paraId="4C6DED42" w14:textId="2EC99065"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World Health Organisation (2025). </w:t>
      </w:r>
      <w:r w:rsidRPr="00457B47">
        <w:rPr>
          <w:rFonts w:ascii="Times New Roman" w:hAnsi="Times New Roman" w:cs="Times New Roman"/>
          <w:i/>
          <w:iCs/>
        </w:rPr>
        <w:t>Social determinants of health</w:t>
      </w:r>
      <w:r w:rsidRPr="00457B47">
        <w:rPr>
          <w:rFonts w:ascii="Times New Roman" w:hAnsi="Times New Roman" w:cs="Times New Roman"/>
        </w:rPr>
        <w:t xml:space="preserve">. World Health Organisation. Available at: </w:t>
      </w:r>
      <w:hyperlink r:id="rId24" w:history="1">
        <w:r w:rsidR="0094581B" w:rsidRPr="00457B47">
          <w:rPr>
            <w:rStyle w:val="Hyperlink"/>
            <w:rFonts w:ascii="Times New Roman" w:hAnsi="Times New Roman" w:cs="Times New Roman"/>
          </w:rPr>
          <w:t>https://www.who.int/news-room/fact-sheets/detail/social-determinants-of-health</w:t>
        </w:r>
      </w:hyperlink>
      <w:r w:rsidR="0094581B">
        <w:rPr>
          <w:rFonts w:ascii="Times New Roman" w:hAnsi="Times New Roman" w:cs="Times New Roman"/>
        </w:rPr>
        <w:t xml:space="preserve">  (Accessed on </w:t>
      </w:r>
      <w:r w:rsidR="001B669C">
        <w:rPr>
          <w:rFonts w:ascii="Times New Roman" w:hAnsi="Times New Roman" w:cs="Times New Roman"/>
        </w:rPr>
        <w:t>1</w:t>
      </w:r>
      <w:r w:rsidR="0094581B">
        <w:rPr>
          <w:rFonts w:ascii="Times New Roman" w:hAnsi="Times New Roman" w:cs="Times New Roman"/>
        </w:rPr>
        <w:t>4 April 2026)</w:t>
      </w:r>
    </w:p>
    <w:p w14:paraId="3033E61A" w14:textId="4C0D3328"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World Health Organization (2025a). </w:t>
      </w:r>
      <w:r w:rsidRPr="00457B47">
        <w:rPr>
          <w:rFonts w:ascii="Times New Roman" w:hAnsi="Times New Roman" w:cs="Times New Roman"/>
          <w:i/>
          <w:iCs/>
        </w:rPr>
        <w:t>Social Determinants of Health</w:t>
      </w:r>
      <w:r w:rsidRPr="00457B47">
        <w:rPr>
          <w:rFonts w:ascii="Times New Roman" w:hAnsi="Times New Roman" w:cs="Times New Roman"/>
        </w:rPr>
        <w:t xml:space="preserve">.  World Health Organization. Available at: </w:t>
      </w:r>
      <w:hyperlink r:id="rId25" w:anchor="tab=tab_1" w:history="1">
        <w:r w:rsidR="0094581B" w:rsidRPr="00457B47">
          <w:rPr>
            <w:rStyle w:val="Hyperlink"/>
            <w:rFonts w:ascii="Times New Roman" w:hAnsi="Times New Roman" w:cs="Times New Roman"/>
          </w:rPr>
          <w:t>https://www.who.int/health-topics/social-determinants-of-health#tab=tab_1</w:t>
        </w:r>
      </w:hyperlink>
      <w:r w:rsidR="0094581B">
        <w:rPr>
          <w:rFonts w:ascii="Times New Roman" w:hAnsi="Times New Roman" w:cs="Times New Roman"/>
        </w:rPr>
        <w:t xml:space="preserve"> (Accessed on 22 April 2026)</w:t>
      </w:r>
    </w:p>
    <w:p w14:paraId="520F4737" w14:textId="4C5224CA" w:rsidR="00457B47" w:rsidRPr="00457B47" w:rsidRDefault="00457B47" w:rsidP="00457B47">
      <w:pPr>
        <w:rPr>
          <w:rFonts w:ascii="Times New Roman" w:hAnsi="Times New Roman" w:cs="Times New Roman"/>
        </w:rPr>
      </w:pPr>
      <w:r w:rsidRPr="00457B47">
        <w:rPr>
          <w:rFonts w:ascii="Times New Roman" w:hAnsi="Times New Roman" w:cs="Times New Roman"/>
        </w:rPr>
        <w:t xml:space="preserve">World Health Organization (2025b). </w:t>
      </w:r>
      <w:r w:rsidRPr="00457B47">
        <w:rPr>
          <w:rFonts w:ascii="Times New Roman" w:hAnsi="Times New Roman" w:cs="Times New Roman"/>
          <w:i/>
          <w:iCs/>
        </w:rPr>
        <w:t>Vaccines and immunization</w:t>
      </w:r>
      <w:r w:rsidRPr="00457B47">
        <w:rPr>
          <w:rFonts w:ascii="Times New Roman" w:hAnsi="Times New Roman" w:cs="Times New Roman"/>
        </w:rPr>
        <w:t xml:space="preserve">.  World Health Organization. Available at: </w:t>
      </w:r>
      <w:hyperlink r:id="rId26" w:anchor="tab=tab_1" w:history="1">
        <w:r w:rsidR="0094581B" w:rsidRPr="00457B47">
          <w:rPr>
            <w:rStyle w:val="Hyperlink"/>
            <w:rFonts w:ascii="Times New Roman" w:hAnsi="Times New Roman" w:cs="Times New Roman"/>
          </w:rPr>
          <w:t>https://www.who.int/health-topics/vaccines-and-immunization#tab=tab_1</w:t>
        </w:r>
      </w:hyperlink>
      <w:r w:rsidR="0094581B">
        <w:rPr>
          <w:rFonts w:ascii="Times New Roman" w:hAnsi="Times New Roman" w:cs="Times New Roman"/>
        </w:rPr>
        <w:t xml:space="preserve"> (Accessed on 24 April 2026)</w:t>
      </w:r>
    </w:p>
    <w:p w14:paraId="7E65C312" w14:textId="77777777" w:rsidR="00457B47" w:rsidRPr="004D640D" w:rsidRDefault="00457B47" w:rsidP="00C70D4F">
      <w:pPr>
        <w:rPr>
          <w:rFonts w:ascii="Times New Roman" w:hAnsi="Times New Roman" w:cs="Times New Roman"/>
          <w:u w:val="single"/>
        </w:rPr>
      </w:pPr>
    </w:p>
    <w:sectPr w:rsidR="00457B47" w:rsidRPr="004D640D" w:rsidSect="00AE3F8B">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DEC98" w14:textId="77777777" w:rsidR="00017117" w:rsidRDefault="00017117" w:rsidP="00821E9C">
      <w:pPr>
        <w:spacing w:after="0" w:line="240" w:lineRule="auto"/>
      </w:pPr>
      <w:r>
        <w:separator/>
      </w:r>
    </w:p>
  </w:endnote>
  <w:endnote w:type="continuationSeparator" w:id="0">
    <w:p w14:paraId="1DC6CFDA" w14:textId="77777777" w:rsidR="00017117" w:rsidRDefault="00017117" w:rsidP="00821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BDCAA" w14:textId="663E7EE1" w:rsidR="003E750E" w:rsidRDefault="003E750E">
    <w:pPr>
      <w:pStyle w:val="Footer"/>
    </w:pPr>
    <w:r>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762207"/>
      <w:docPartObj>
        <w:docPartGallery w:val="Page Numbers (Bottom of Page)"/>
        <w:docPartUnique/>
      </w:docPartObj>
    </w:sdtPr>
    <w:sdtContent>
      <w:p w14:paraId="4ADA6C9D" w14:textId="4C1CEB16" w:rsidR="00FB078D" w:rsidRDefault="00FB078D" w:rsidP="009C4097">
        <w:pPr>
          <w:pStyle w:val="Footer"/>
        </w:pPr>
        <w:r>
          <w:fldChar w:fldCharType="begin"/>
        </w:r>
        <w:r>
          <w:instrText>PAGE   \* MERGEFORMAT</w:instrText>
        </w:r>
        <w:r>
          <w:fldChar w:fldCharType="separate"/>
        </w:r>
        <w:r>
          <w:t>2</w:t>
        </w:r>
        <w:r>
          <w:fldChar w:fldCharType="end"/>
        </w:r>
      </w:p>
    </w:sdtContent>
  </w:sdt>
  <w:p w14:paraId="07F635A4" w14:textId="77777777" w:rsidR="00AE3F8B" w:rsidRDefault="00AE3F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4934161"/>
      <w:docPartObj>
        <w:docPartGallery w:val="Page Numbers (Bottom of Page)"/>
        <w:docPartUnique/>
      </w:docPartObj>
    </w:sdtPr>
    <w:sdtContent>
      <w:p w14:paraId="3166D492" w14:textId="77777777" w:rsidR="00A62A9E" w:rsidRDefault="00A62A9E">
        <w:pPr>
          <w:pStyle w:val="Footer"/>
          <w:jc w:val="center"/>
        </w:pPr>
        <w:r>
          <w:fldChar w:fldCharType="begin"/>
        </w:r>
        <w:r>
          <w:instrText>PAGE   \* MERGEFORMAT</w:instrText>
        </w:r>
        <w:r>
          <w:fldChar w:fldCharType="separate"/>
        </w:r>
        <w:r>
          <w:t>2</w:t>
        </w:r>
        <w:r>
          <w:fldChar w:fldCharType="end"/>
        </w:r>
      </w:p>
    </w:sdtContent>
  </w:sdt>
  <w:p w14:paraId="50F5AF38" w14:textId="77777777" w:rsidR="00A62A9E" w:rsidRDefault="00A62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0E209" w14:textId="77777777" w:rsidR="00017117" w:rsidRDefault="00017117" w:rsidP="00821E9C">
      <w:pPr>
        <w:spacing w:after="0" w:line="240" w:lineRule="auto"/>
      </w:pPr>
      <w:r>
        <w:separator/>
      </w:r>
    </w:p>
  </w:footnote>
  <w:footnote w:type="continuationSeparator" w:id="0">
    <w:p w14:paraId="29779E95" w14:textId="77777777" w:rsidR="00017117" w:rsidRDefault="00017117" w:rsidP="00821E9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pSLpNlM" int2:invalidationBookmarkName="" int2:hashCode="051uur3qTsy1Ie" int2:id="MxzZrKHV">
      <int2:state int2:value="Rejected" int2:type="style"/>
    </int2:bookmark>
    <int2:bookmark int2:bookmarkName="_Int_KNoQXuI5" int2:invalidationBookmarkName="" int2:hashCode="Z+iejkHD7EYVSz" int2:id="Wq4vWJwg">
      <int2:state int2:value="Rejected" int2:type="style"/>
    </int2:bookmark>
    <int2:bookmark int2:bookmarkName="_Int_Ny03NZjx" int2:invalidationBookmarkName="" int2:hashCode="qz11WdPi0mWFAZ" int2:id="mKgZ0d6t">
      <int2:state int2:value="Rejected" int2:type="style"/>
    </int2:bookmark>
    <int2:bookmark int2:bookmarkName="_Int_8gNAwjJD" int2:invalidationBookmarkName="" int2:hashCode="QyMHtVzhlTy+I2" int2:id="xjO8NIQ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E39FB"/>
    <w:multiLevelType w:val="multilevel"/>
    <w:tmpl w:val="191A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C60F6C"/>
    <w:multiLevelType w:val="hybridMultilevel"/>
    <w:tmpl w:val="A7342A4A"/>
    <w:lvl w:ilvl="0" w:tplc="9FE6A3A6">
      <w:start w:val="2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CF779D"/>
    <w:multiLevelType w:val="multilevel"/>
    <w:tmpl w:val="291CA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4929395">
    <w:abstractNumId w:val="1"/>
  </w:num>
  <w:num w:numId="2" w16cid:durableId="1435393809">
    <w:abstractNumId w:val="0"/>
  </w:num>
  <w:num w:numId="3" w16cid:durableId="10306493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E0A"/>
    <w:rsid w:val="00004A67"/>
    <w:rsid w:val="00017117"/>
    <w:rsid w:val="00027F23"/>
    <w:rsid w:val="00055ACB"/>
    <w:rsid w:val="00086B5A"/>
    <w:rsid w:val="000A1B94"/>
    <w:rsid w:val="000C6FDC"/>
    <w:rsid w:val="000E70F0"/>
    <w:rsid w:val="00105FEA"/>
    <w:rsid w:val="00117E3E"/>
    <w:rsid w:val="0012002B"/>
    <w:rsid w:val="00121649"/>
    <w:rsid w:val="00123F08"/>
    <w:rsid w:val="0013470E"/>
    <w:rsid w:val="00151AD7"/>
    <w:rsid w:val="00161CFE"/>
    <w:rsid w:val="00170BE7"/>
    <w:rsid w:val="00176A41"/>
    <w:rsid w:val="00197DCC"/>
    <w:rsid w:val="001B669C"/>
    <w:rsid w:val="001C0DED"/>
    <w:rsid w:val="001C467C"/>
    <w:rsid w:val="001C5A33"/>
    <w:rsid w:val="001E16E1"/>
    <w:rsid w:val="002223F1"/>
    <w:rsid w:val="002223F8"/>
    <w:rsid w:val="002239A6"/>
    <w:rsid w:val="00225B9A"/>
    <w:rsid w:val="0025305B"/>
    <w:rsid w:val="00257E4C"/>
    <w:rsid w:val="002627A3"/>
    <w:rsid w:val="00287140"/>
    <w:rsid w:val="002C74A8"/>
    <w:rsid w:val="002F11C7"/>
    <w:rsid w:val="002F1687"/>
    <w:rsid w:val="003254DD"/>
    <w:rsid w:val="0035067F"/>
    <w:rsid w:val="0038511F"/>
    <w:rsid w:val="0039025B"/>
    <w:rsid w:val="003942FE"/>
    <w:rsid w:val="003A1C67"/>
    <w:rsid w:val="003C1EEF"/>
    <w:rsid w:val="003E750E"/>
    <w:rsid w:val="00404CF0"/>
    <w:rsid w:val="00451A23"/>
    <w:rsid w:val="00457B47"/>
    <w:rsid w:val="00465C41"/>
    <w:rsid w:val="00466014"/>
    <w:rsid w:val="0048549C"/>
    <w:rsid w:val="00487B1E"/>
    <w:rsid w:val="004B51A3"/>
    <w:rsid w:val="004C64D5"/>
    <w:rsid w:val="004D640D"/>
    <w:rsid w:val="004F258A"/>
    <w:rsid w:val="00511D04"/>
    <w:rsid w:val="00525BAE"/>
    <w:rsid w:val="00536A13"/>
    <w:rsid w:val="005406AE"/>
    <w:rsid w:val="00563C67"/>
    <w:rsid w:val="00571059"/>
    <w:rsid w:val="005B292A"/>
    <w:rsid w:val="005B3C64"/>
    <w:rsid w:val="005D5625"/>
    <w:rsid w:val="005E29B2"/>
    <w:rsid w:val="005E7AE6"/>
    <w:rsid w:val="00615FCE"/>
    <w:rsid w:val="00634A67"/>
    <w:rsid w:val="006424BD"/>
    <w:rsid w:val="006545F9"/>
    <w:rsid w:val="006A0BF2"/>
    <w:rsid w:val="006A69A4"/>
    <w:rsid w:val="006C28F9"/>
    <w:rsid w:val="006E6E80"/>
    <w:rsid w:val="006F79BC"/>
    <w:rsid w:val="00711788"/>
    <w:rsid w:val="00783AF6"/>
    <w:rsid w:val="007A0B22"/>
    <w:rsid w:val="007B09BB"/>
    <w:rsid w:val="007B6D39"/>
    <w:rsid w:val="007B75C0"/>
    <w:rsid w:val="007C57A8"/>
    <w:rsid w:val="007D10CC"/>
    <w:rsid w:val="007D23E0"/>
    <w:rsid w:val="007D2F78"/>
    <w:rsid w:val="00811048"/>
    <w:rsid w:val="00821E9C"/>
    <w:rsid w:val="00843010"/>
    <w:rsid w:val="00844CF9"/>
    <w:rsid w:val="00871FB3"/>
    <w:rsid w:val="00894C57"/>
    <w:rsid w:val="008A0CFF"/>
    <w:rsid w:val="008B6C63"/>
    <w:rsid w:val="008C6899"/>
    <w:rsid w:val="008D33B9"/>
    <w:rsid w:val="008D7AB9"/>
    <w:rsid w:val="008E139B"/>
    <w:rsid w:val="008E7F1A"/>
    <w:rsid w:val="0090473C"/>
    <w:rsid w:val="00915CAC"/>
    <w:rsid w:val="00926768"/>
    <w:rsid w:val="00930134"/>
    <w:rsid w:val="0094581B"/>
    <w:rsid w:val="00946C48"/>
    <w:rsid w:val="009605A7"/>
    <w:rsid w:val="009A65A2"/>
    <w:rsid w:val="009B5251"/>
    <w:rsid w:val="009B727C"/>
    <w:rsid w:val="009B7D15"/>
    <w:rsid w:val="009C4097"/>
    <w:rsid w:val="009C7267"/>
    <w:rsid w:val="009F4E4D"/>
    <w:rsid w:val="00A10CB8"/>
    <w:rsid w:val="00A62A9E"/>
    <w:rsid w:val="00A62C91"/>
    <w:rsid w:val="00A7650B"/>
    <w:rsid w:val="00A91A89"/>
    <w:rsid w:val="00AB1A74"/>
    <w:rsid w:val="00AB6C07"/>
    <w:rsid w:val="00AD1941"/>
    <w:rsid w:val="00AD25F4"/>
    <w:rsid w:val="00AD4006"/>
    <w:rsid w:val="00AE3F8B"/>
    <w:rsid w:val="00AF28C0"/>
    <w:rsid w:val="00B053F7"/>
    <w:rsid w:val="00B1147C"/>
    <w:rsid w:val="00B16031"/>
    <w:rsid w:val="00B341AE"/>
    <w:rsid w:val="00B5383D"/>
    <w:rsid w:val="00B6261C"/>
    <w:rsid w:val="00B678C3"/>
    <w:rsid w:val="00B706CA"/>
    <w:rsid w:val="00B70DE8"/>
    <w:rsid w:val="00B77D7C"/>
    <w:rsid w:val="00BF03E5"/>
    <w:rsid w:val="00BF5AC3"/>
    <w:rsid w:val="00C44113"/>
    <w:rsid w:val="00C626B8"/>
    <w:rsid w:val="00C70D4F"/>
    <w:rsid w:val="00C80B7A"/>
    <w:rsid w:val="00C8660D"/>
    <w:rsid w:val="00CA343F"/>
    <w:rsid w:val="00CA50EC"/>
    <w:rsid w:val="00CF1167"/>
    <w:rsid w:val="00CF4FC3"/>
    <w:rsid w:val="00D14C3A"/>
    <w:rsid w:val="00D26DD2"/>
    <w:rsid w:val="00D3756D"/>
    <w:rsid w:val="00D4476D"/>
    <w:rsid w:val="00D60906"/>
    <w:rsid w:val="00D67994"/>
    <w:rsid w:val="00D71848"/>
    <w:rsid w:val="00D8039F"/>
    <w:rsid w:val="00D84EB9"/>
    <w:rsid w:val="00DA227C"/>
    <w:rsid w:val="00DE058F"/>
    <w:rsid w:val="00E014FC"/>
    <w:rsid w:val="00E01F56"/>
    <w:rsid w:val="00E05387"/>
    <w:rsid w:val="00E231AE"/>
    <w:rsid w:val="00E309E3"/>
    <w:rsid w:val="00E70E0A"/>
    <w:rsid w:val="00EB10EC"/>
    <w:rsid w:val="00ED302F"/>
    <w:rsid w:val="00F06C5F"/>
    <w:rsid w:val="00F12DE4"/>
    <w:rsid w:val="00F26430"/>
    <w:rsid w:val="00F269FE"/>
    <w:rsid w:val="00F52152"/>
    <w:rsid w:val="00F73C8C"/>
    <w:rsid w:val="00FB078D"/>
    <w:rsid w:val="00FB29B6"/>
    <w:rsid w:val="00FB2AF4"/>
    <w:rsid w:val="00FF4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41347"/>
  <w15:chartTrackingRefBased/>
  <w15:docId w15:val="{FCC6AC42-FD8D-4D6F-B014-38DD58D1D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E0A"/>
    <w:rPr>
      <w:rFonts w:eastAsiaTheme="majorEastAsia" w:cstheme="majorBidi"/>
      <w:color w:val="272727" w:themeColor="text1" w:themeTint="D8"/>
    </w:rPr>
  </w:style>
  <w:style w:type="paragraph" w:styleId="Title">
    <w:name w:val="Title"/>
    <w:basedOn w:val="Normal"/>
    <w:next w:val="Normal"/>
    <w:link w:val="TitleChar"/>
    <w:uiPriority w:val="10"/>
    <w:qFormat/>
    <w:rsid w:val="00E70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E0A"/>
    <w:pPr>
      <w:spacing w:before="160"/>
      <w:jc w:val="center"/>
    </w:pPr>
    <w:rPr>
      <w:i/>
      <w:iCs/>
      <w:color w:val="404040" w:themeColor="text1" w:themeTint="BF"/>
    </w:rPr>
  </w:style>
  <w:style w:type="character" w:customStyle="1" w:styleId="QuoteChar">
    <w:name w:val="Quote Char"/>
    <w:basedOn w:val="DefaultParagraphFont"/>
    <w:link w:val="Quote"/>
    <w:uiPriority w:val="29"/>
    <w:rsid w:val="00E70E0A"/>
    <w:rPr>
      <w:i/>
      <w:iCs/>
      <w:color w:val="404040" w:themeColor="text1" w:themeTint="BF"/>
    </w:rPr>
  </w:style>
  <w:style w:type="paragraph" w:styleId="ListParagraph">
    <w:name w:val="List Paragraph"/>
    <w:basedOn w:val="Normal"/>
    <w:uiPriority w:val="34"/>
    <w:qFormat/>
    <w:rsid w:val="00E70E0A"/>
    <w:pPr>
      <w:ind w:left="720"/>
      <w:contextualSpacing/>
    </w:pPr>
  </w:style>
  <w:style w:type="character" w:styleId="IntenseEmphasis">
    <w:name w:val="Intense Emphasis"/>
    <w:basedOn w:val="DefaultParagraphFont"/>
    <w:uiPriority w:val="21"/>
    <w:qFormat/>
    <w:rsid w:val="00E70E0A"/>
    <w:rPr>
      <w:i/>
      <w:iCs/>
      <w:color w:val="0F4761" w:themeColor="accent1" w:themeShade="BF"/>
    </w:rPr>
  </w:style>
  <w:style w:type="paragraph" w:styleId="IntenseQuote">
    <w:name w:val="Intense Quote"/>
    <w:basedOn w:val="Normal"/>
    <w:next w:val="Normal"/>
    <w:link w:val="IntenseQuoteChar"/>
    <w:uiPriority w:val="30"/>
    <w:qFormat/>
    <w:rsid w:val="00E70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E0A"/>
    <w:rPr>
      <w:i/>
      <w:iCs/>
      <w:color w:val="0F4761" w:themeColor="accent1" w:themeShade="BF"/>
    </w:rPr>
  </w:style>
  <w:style w:type="character" w:styleId="IntenseReference">
    <w:name w:val="Intense Reference"/>
    <w:basedOn w:val="DefaultParagraphFont"/>
    <w:uiPriority w:val="32"/>
    <w:qFormat/>
    <w:rsid w:val="00E70E0A"/>
    <w:rPr>
      <w:b/>
      <w:bCs/>
      <w:smallCaps/>
      <w:color w:val="0F4761" w:themeColor="accent1" w:themeShade="BF"/>
      <w:spacing w:val="5"/>
    </w:rPr>
  </w:style>
  <w:style w:type="paragraph" w:styleId="NormalWeb">
    <w:name w:val="Normal (Web)"/>
    <w:basedOn w:val="Normal"/>
    <w:uiPriority w:val="99"/>
    <w:semiHidden/>
    <w:unhideWhenUsed/>
    <w:rsid w:val="00B77D7C"/>
    <w:rPr>
      <w:rFonts w:ascii="Times New Roman" w:hAnsi="Times New Roman" w:cs="Times New Roman"/>
    </w:rPr>
  </w:style>
  <w:style w:type="character" w:styleId="Hyperlink">
    <w:name w:val="Hyperlink"/>
    <w:basedOn w:val="DefaultParagraphFont"/>
    <w:uiPriority w:val="99"/>
    <w:unhideWhenUsed/>
    <w:rsid w:val="00A62C91"/>
    <w:rPr>
      <w:color w:val="467886" w:themeColor="hyperlink"/>
      <w:u w:val="single"/>
    </w:rPr>
  </w:style>
  <w:style w:type="character" w:styleId="UnresolvedMention">
    <w:name w:val="Unresolved Mention"/>
    <w:basedOn w:val="DefaultParagraphFont"/>
    <w:uiPriority w:val="99"/>
    <w:semiHidden/>
    <w:unhideWhenUsed/>
    <w:rsid w:val="00A62C91"/>
    <w:rPr>
      <w:color w:val="605E5C"/>
      <w:shd w:val="clear" w:color="auto" w:fill="E1DFDD"/>
    </w:rPr>
  </w:style>
  <w:style w:type="paragraph" w:styleId="Header">
    <w:name w:val="header"/>
    <w:basedOn w:val="Normal"/>
    <w:link w:val="HeaderChar"/>
    <w:uiPriority w:val="99"/>
    <w:unhideWhenUsed/>
    <w:rsid w:val="00821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E9C"/>
  </w:style>
  <w:style w:type="paragraph" w:styleId="Footer">
    <w:name w:val="footer"/>
    <w:basedOn w:val="Normal"/>
    <w:link w:val="FooterChar"/>
    <w:uiPriority w:val="99"/>
    <w:unhideWhenUsed/>
    <w:rsid w:val="00821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a.org.uk/what-we-do/population-health/addressing-social-determinants-that-influence-health/health-inequalities-in-england" TargetMode="External"/><Relationship Id="rId18" Type="http://schemas.openxmlformats.org/officeDocument/2006/relationships/hyperlink" Target="https://www.gov.uk/government/publications/health-profile-for-england-2018/chapter-6-wider-determinants-of-health" TargetMode="External"/><Relationship Id="rId26" Type="http://schemas.openxmlformats.org/officeDocument/2006/relationships/hyperlink" Target="https://www.who.int/health-topics/vaccines-and-immunization" TargetMode="External"/><Relationship Id="rId3" Type="http://schemas.openxmlformats.org/officeDocument/2006/relationships/customXml" Target="../customXml/item3.xml"/><Relationship Id="rId21" Type="http://schemas.openxmlformats.org/officeDocument/2006/relationships/hyperlink" Target="https://thehealthsciencesacademy.org/science-catch-up/science-catch-up-24/attachment/determinants-of-health_dahlgren-whitehead-model_the-health-sciences-academy_alejandra-alex-ruani/" TargetMode="Externa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hyperlink" Target="https://www.healthactionresearch.org.uk/tackling-obesity/the-role-of-education/?ut" TargetMode="External"/><Relationship Id="rId25" Type="http://schemas.openxmlformats.org/officeDocument/2006/relationships/hyperlink" Target="https://www.who.int/health-topics/social-determinants-of-health" TargetMode="External"/><Relationship Id="rId2" Type="http://schemas.openxmlformats.org/officeDocument/2006/relationships/customXml" Target="../customXml/item2.xml"/><Relationship Id="rId16" Type="http://schemas.openxmlformats.org/officeDocument/2006/relationships/hyperlink" Target="https://www.gov.uk/government/publications/damp-and-mould-understanding-and-addressing-the-health-risks-for-rented-housing-providers/understanding-and-addressing-the-health-risks-of-damp-and-mould-in-the-home--2" TargetMode="External"/><Relationship Id="rId20" Type="http://schemas.openxmlformats.org/officeDocument/2006/relationships/hyperlink" Target="https://archpublichealth.biomedcentral.com/articles/10.1186/s13690-020-00402-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24" Type="http://schemas.openxmlformats.org/officeDocument/2006/relationships/hyperlink" Target="https://www.who.int/news-room/fact-sheets/detail/social-determinants-of-health" TargetMode="External"/><Relationship Id="rId5" Type="http://schemas.openxmlformats.org/officeDocument/2006/relationships/styles" Target="styles.xml"/><Relationship Id="rId15" Type="http://schemas.openxmlformats.org/officeDocument/2006/relationships/hyperlink" Target="https://www.ons.gov.uk/economy/environmentalaccounts/bulletins/uknaturalcapitalaccounts/2019" TargetMode="External"/><Relationship Id="rId23" Type="http://schemas.openxmlformats.org/officeDocument/2006/relationships/hyperlink" Target="https://www.who.int/health-topics/ageing/reducing-social-isolation-and-loneliness-among-older-people"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gov.uk/government/publications/education-schooling-and-health/education-schooling-and-health-summar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dc.gov/vitalsigns/aces/index.html?utm" TargetMode="External"/><Relationship Id="rId22" Type="http://schemas.openxmlformats.org/officeDocument/2006/relationships/hyperlink" Target="https://www.legislation.gov.uk/ukpga/2012/7/contents" TargetMode="External"/><Relationship Id="rId27" Type="http://schemas.openxmlformats.org/officeDocument/2006/relationships/footer" Target="footer3.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a251e07f0404067545db3f655db0a7f">
  <xsd:schema xmlns:xsd="http://www.w3.org/2001/XMLSchema" xmlns:xs="http://www.w3.org/2001/XMLSchema" xmlns:p="http://schemas.microsoft.com/office/2006/metadata/properties" xmlns:ns3="3ef5847a-e696-4fee-a2c0-6c3f87568321" targetNamespace="http://schemas.microsoft.com/office/2006/metadata/properties" ma:root="true" ma:fieldsID="e1631e6d27141d69eda7463d593acdbd"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195CE2-C095-4C56-A30A-50AD1FE9F1B9}">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AEC8B422-D5EF-4AD9-950C-64EE4C667981}">
  <ds:schemaRefs>
    <ds:schemaRef ds:uri="http://schemas.microsoft.com/sharepoint/v3/contenttype/forms"/>
  </ds:schemaRefs>
</ds:datastoreItem>
</file>

<file path=customXml/itemProps3.xml><?xml version="1.0" encoding="utf-8"?>
<ds:datastoreItem xmlns:ds="http://schemas.openxmlformats.org/officeDocument/2006/customXml" ds:itemID="{4C956F05-6F87-40A5-9231-C15A6E12CF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2659</Words>
  <Characters>15158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Davies (2224913)</dc:creator>
  <cp:keywords/>
  <dc:description/>
  <cp:lastModifiedBy>Menna Davies (2224913)</cp:lastModifiedBy>
  <cp:revision>2</cp:revision>
  <dcterms:created xsi:type="dcterms:W3CDTF">2026-05-01T07:08:00Z</dcterms:created>
  <dcterms:modified xsi:type="dcterms:W3CDTF">2026-05-01T07:08:00Z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