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E3048" w14:textId="77777777" w:rsidR="006A6EA5" w:rsidRDefault="006A6EA5" w:rsidP="00355C0B">
      <w:pPr>
        <w:spacing w:line="360" w:lineRule="auto"/>
        <w:jc w:val="center"/>
        <w:rPr>
          <w:rFonts w:ascii="Arial" w:hAnsi="Arial" w:cs="Arial"/>
          <w:b/>
          <w:bCs/>
          <w:sz w:val="24"/>
          <w:szCs w:val="24"/>
        </w:rPr>
      </w:pPr>
      <w:r w:rsidRPr="00355C0B">
        <w:rPr>
          <w:rFonts w:ascii="Arial" w:hAnsi="Arial" w:cs="Arial"/>
          <w:b/>
          <w:bCs/>
          <w:sz w:val="24"/>
          <w:szCs w:val="24"/>
        </w:rPr>
        <w:t>The Influence of National and International Labour Markets on HRM and IHRM Strategies</w:t>
      </w:r>
    </w:p>
    <w:p w14:paraId="0571E528" w14:textId="77777777" w:rsidR="00104221" w:rsidRDefault="00104221" w:rsidP="00871159">
      <w:pPr>
        <w:jc w:val="center"/>
      </w:pPr>
      <w:r>
        <w:rPr>
          <w:noProof/>
        </w:rPr>
        <w:drawing>
          <wp:inline distT="0" distB="0" distL="0" distR="0" wp14:anchorId="7F5830D8" wp14:editId="7556CD8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D70F5F6" w14:textId="77777777" w:rsidR="00104221" w:rsidRDefault="00104221" w:rsidP="00871159">
      <w:pPr>
        <w:jc w:val="both"/>
      </w:pPr>
    </w:p>
    <w:p w14:paraId="7198D4AD" w14:textId="77777777" w:rsidR="00104221" w:rsidRDefault="00104221" w:rsidP="00871159">
      <w:pPr>
        <w:jc w:val="both"/>
      </w:pPr>
    </w:p>
    <w:p w14:paraId="0F23E9DC" w14:textId="77777777" w:rsidR="00104221" w:rsidRDefault="00104221" w:rsidP="00871159">
      <w:pPr>
        <w:jc w:val="both"/>
      </w:pPr>
    </w:p>
    <w:p w14:paraId="6FCF5DE2" w14:textId="77777777" w:rsidR="00104221" w:rsidRDefault="00104221" w:rsidP="00871159">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01519374" w14:textId="77777777" w:rsidR="00104221" w:rsidRPr="00646406" w:rsidRDefault="00104221" w:rsidP="00871159">
      <w:pPr>
        <w:jc w:val="center"/>
        <w:rPr>
          <w:rFonts w:ascii="Arial" w:hAnsi="Arial" w:cs="Arial"/>
          <w:b/>
          <w:bCs/>
        </w:rPr>
      </w:pPr>
      <w:r w:rsidRPr="00646406">
        <w:rPr>
          <w:rFonts w:ascii="Arial" w:hAnsi="Arial" w:cs="Arial"/>
          <w:b/>
          <w:bCs/>
        </w:rPr>
        <w:t>Term 1</w:t>
      </w:r>
    </w:p>
    <w:p w14:paraId="31926F6E" w14:textId="77777777" w:rsidR="00104221" w:rsidRDefault="00104221" w:rsidP="00871159">
      <w:pPr>
        <w:jc w:val="center"/>
        <w:rPr>
          <w:rFonts w:ascii="Arial" w:hAnsi="Arial" w:cs="Arial"/>
          <w:b/>
          <w:bCs/>
        </w:rPr>
      </w:pPr>
    </w:p>
    <w:p w14:paraId="59C9A1D5" w14:textId="77777777" w:rsidR="00104221" w:rsidRDefault="00104221" w:rsidP="00871159">
      <w:pPr>
        <w:jc w:val="center"/>
        <w:rPr>
          <w:rFonts w:ascii="Arial" w:hAnsi="Arial" w:cs="Arial"/>
          <w:b/>
          <w:bCs/>
        </w:rPr>
      </w:pPr>
    </w:p>
    <w:p w14:paraId="275249AD" w14:textId="77777777" w:rsidR="00104221" w:rsidRDefault="00104221" w:rsidP="00871159">
      <w:pPr>
        <w:jc w:val="center"/>
        <w:rPr>
          <w:rFonts w:ascii="Arial" w:hAnsi="Arial" w:cs="Arial"/>
          <w:b/>
          <w:bCs/>
        </w:rPr>
      </w:pPr>
    </w:p>
    <w:p w14:paraId="1AE13330" w14:textId="50553ECD" w:rsidR="00104221" w:rsidRPr="00646406" w:rsidRDefault="00104221" w:rsidP="00871159">
      <w:pPr>
        <w:jc w:val="center"/>
        <w:rPr>
          <w:rFonts w:ascii="Arial" w:hAnsi="Arial" w:cs="Arial"/>
          <w:b/>
          <w:bCs/>
        </w:rPr>
      </w:pPr>
      <w:r w:rsidRPr="00646406">
        <w:rPr>
          <w:rFonts w:ascii="Arial" w:hAnsi="Arial" w:cs="Arial"/>
          <w:b/>
          <w:bCs/>
        </w:rPr>
        <w:t>Student Name:</w:t>
      </w:r>
      <w:r>
        <w:rPr>
          <w:rFonts w:ascii="Arial" w:hAnsi="Arial" w:cs="Arial"/>
          <w:b/>
          <w:bCs/>
        </w:rPr>
        <w:t xml:space="preserve"> Maruf Usmanbhai Hilali</w:t>
      </w:r>
    </w:p>
    <w:p w14:paraId="4C757AE6" w14:textId="516E9C4F" w:rsidR="00104221" w:rsidRPr="00646406" w:rsidRDefault="00104221" w:rsidP="00871159">
      <w:pPr>
        <w:jc w:val="center"/>
        <w:rPr>
          <w:rFonts w:ascii="Arial" w:hAnsi="Arial" w:cs="Arial"/>
          <w:b/>
          <w:bCs/>
        </w:rPr>
      </w:pPr>
      <w:r w:rsidRPr="00646406">
        <w:rPr>
          <w:rFonts w:ascii="Arial" w:hAnsi="Arial" w:cs="Arial"/>
          <w:b/>
          <w:bCs/>
        </w:rPr>
        <w:t>Student ID:</w:t>
      </w:r>
      <w:r>
        <w:rPr>
          <w:rFonts w:ascii="Arial" w:hAnsi="Arial" w:cs="Arial"/>
          <w:b/>
          <w:bCs/>
        </w:rPr>
        <w:t xml:space="preserve"> 2509582</w:t>
      </w:r>
    </w:p>
    <w:p w14:paraId="51F8A7D0" w14:textId="77777777" w:rsidR="00104221" w:rsidRDefault="00104221" w:rsidP="00871159">
      <w:pPr>
        <w:jc w:val="center"/>
        <w:rPr>
          <w:rFonts w:ascii="Arial" w:hAnsi="Arial" w:cs="Arial"/>
          <w:b/>
          <w:bCs/>
        </w:rPr>
      </w:pPr>
    </w:p>
    <w:p w14:paraId="4B4AC3BC" w14:textId="77777777" w:rsidR="00104221" w:rsidRDefault="00104221" w:rsidP="00871159">
      <w:pPr>
        <w:jc w:val="center"/>
        <w:rPr>
          <w:rFonts w:ascii="Arial" w:hAnsi="Arial" w:cs="Arial"/>
          <w:b/>
          <w:bCs/>
        </w:rPr>
      </w:pPr>
    </w:p>
    <w:p w14:paraId="0E43CFBA" w14:textId="77777777" w:rsidR="00104221" w:rsidRPr="00646406" w:rsidRDefault="00104221" w:rsidP="00871159">
      <w:pPr>
        <w:jc w:val="center"/>
        <w:rPr>
          <w:rFonts w:ascii="Arial" w:hAnsi="Arial" w:cs="Arial"/>
        </w:rPr>
      </w:pPr>
    </w:p>
    <w:p w14:paraId="5A84D089" w14:textId="1DFC7DCC" w:rsidR="00104221" w:rsidRPr="00646406" w:rsidRDefault="00104221" w:rsidP="00871159">
      <w:pPr>
        <w:jc w:val="center"/>
        <w:rPr>
          <w:rFonts w:ascii="Arial" w:hAnsi="Arial" w:cs="Arial"/>
          <w:b/>
          <w:bCs/>
        </w:rPr>
      </w:pPr>
      <w:r w:rsidRPr="00646406">
        <w:rPr>
          <w:rFonts w:ascii="Arial" w:hAnsi="Arial" w:cs="Arial"/>
          <w:b/>
          <w:bCs/>
        </w:rPr>
        <w:t xml:space="preserve">Module Name: </w:t>
      </w:r>
      <w:r>
        <w:rPr>
          <w:rFonts w:ascii="Arial" w:hAnsi="Arial" w:cs="Arial"/>
        </w:rPr>
        <w:t>Human Capital Management</w:t>
      </w:r>
    </w:p>
    <w:p w14:paraId="3440F9ED" w14:textId="39D93420" w:rsidR="00104221" w:rsidRPr="00421088" w:rsidRDefault="00104221" w:rsidP="00871159">
      <w:pPr>
        <w:jc w:val="center"/>
        <w:rPr>
          <w:rFonts w:ascii="Arial" w:hAnsi="Arial" w:cs="Arial"/>
        </w:rPr>
      </w:pPr>
      <w:r w:rsidRPr="00646406">
        <w:rPr>
          <w:rFonts w:ascii="Arial" w:hAnsi="Arial" w:cs="Arial"/>
          <w:b/>
          <w:bCs/>
        </w:rPr>
        <w:t xml:space="preserve">Module Code: </w:t>
      </w:r>
      <w:r w:rsidRPr="000E18FD">
        <w:rPr>
          <w:rFonts w:ascii="Arial" w:hAnsi="Arial" w:cs="Arial"/>
        </w:rPr>
        <w:t>LCMB70</w:t>
      </w:r>
      <w:r>
        <w:rPr>
          <w:rFonts w:ascii="Arial" w:hAnsi="Arial" w:cs="Arial"/>
        </w:rPr>
        <w:t>23</w:t>
      </w:r>
    </w:p>
    <w:p w14:paraId="3BC0D0FD" w14:textId="77777777" w:rsidR="00104221" w:rsidRDefault="00104221" w:rsidP="00871159">
      <w:pPr>
        <w:jc w:val="center"/>
        <w:rPr>
          <w:rFonts w:ascii="Arial" w:hAnsi="Arial" w:cs="Arial"/>
          <w:b/>
          <w:bCs/>
        </w:rPr>
      </w:pPr>
    </w:p>
    <w:p w14:paraId="6F1E5638" w14:textId="77777777" w:rsidR="00104221" w:rsidRDefault="00104221" w:rsidP="00871159">
      <w:pPr>
        <w:jc w:val="center"/>
        <w:rPr>
          <w:rFonts w:ascii="Arial" w:hAnsi="Arial" w:cs="Arial"/>
          <w:b/>
          <w:bCs/>
        </w:rPr>
      </w:pPr>
    </w:p>
    <w:p w14:paraId="79DE9A27" w14:textId="77777777" w:rsidR="00104221" w:rsidRPr="00646406" w:rsidRDefault="00104221" w:rsidP="00871159">
      <w:pPr>
        <w:jc w:val="center"/>
        <w:rPr>
          <w:rFonts w:ascii="Arial" w:hAnsi="Arial" w:cs="Arial"/>
          <w:b/>
          <w:bCs/>
        </w:rPr>
      </w:pPr>
    </w:p>
    <w:p w14:paraId="6BCCB517" w14:textId="49D4AC8F" w:rsidR="00104221" w:rsidRPr="0021135E" w:rsidRDefault="00104221" w:rsidP="00871159">
      <w:pPr>
        <w:jc w:val="center"/>
        <w:rPr>
          <w:rFonts w:ascii="Arial" w:hAnsi="Arial" w:cs="Arial"/>
        </w:rPr>
      </w:pPr>
      <w:r w:rsidRPr="00646406">
        <w:rPr>
          <w:rFonts w:ascii="Arial" w:hAnsi="Arial" w:cs="Arial"/>
          <w:b/>
          <w:bCs/>
        </w:rPr>
        <w:t>Lecturer’s Name:</w:t>
      </w:r>
      <w:r>
        <w:rPr>
          <w:rFonts w:ascii="Arial" w:hAnsi="Arial" w:cs="Arial"/>
          <w:b/>
          <w:bCs/>
        </w:rPr>
        <w:t xml:space="preserve"> </w:t>
      </w:r>
      <w:r>
        <w:rPr>
          <w:rFonts w:ascii="Arial" w:hAnsi="Arial" w:cs="Arial"/>
        </w:rPr>
        <w:t>Gladius Kulothungan</w:t>
      </w:r>
    </w:p>
    <w:p w14:paraId="274C14FD" w14:textId="56A8F991" w:rsidR="00104221" w:rsidRPr="00A77816" w:rsidRDefault="00104221" w:rsidP="00871159">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2719</w:t>
      </w:r>
    </w:p>
    <w:p w14:paraId="2CCDFB76" w14:textId="77777777" w:rsidR="00104221" w:rsidRDefault="00104221" w:rsidP="00871159">
      <w:pPr>
        <w:jc w:val="both"/>
        <w:rPr>
          <w:rFonts w:ascii="Arial" w:hAnsi="Arial" w:cs="Arial"/>
          <w:b/>
          <w:bCs/>
        </w:rPr>
      </w:pPr>
    </w:p>
    <w:p w14:paraId="7534B7A1" w14:textId="77777777" w:rsidR="00104221" w:rsidRDefault="00104221" w:rsidP="00871159">
      <w:pPr>
        <w:jc w:val="both"/>
        <w:rPr>
          <w:rFonts w:ascii="Arial" w:hAnsi="Arial" w:cs="Arial"/>
          <w:b/>
          <w:bCs/>
        </w:rPr>
      </w:pPr>
    </w:p>
    <w:p w14:paraId="02758C8F" w14:textId="77777777" w:rsidR="00104221" w:rsidRDefault="00104221" w:rsidP="00871159">
      <w:pPr>
        <w:jc w:val="both"/>
        <w:rPr>
          <w:rFonts w:ascii="Arial" w:hAnsi="Arial" w:cs="Arial"/>
          <w:b/>
          <w:bCs/>
        </w:rPr>
      </w:pPr>
    </w:p>
    <w:p w14:paraId="729E012B" w14:textId="77777777" w:rsidR="00104221" w:rsidRDefault="00104221" w:rsidP="00871159">
      <w:pPr>
        <w:jc w:val="both"/>
        <w:rPr>
          <w:b/>
          <w:bCs/>
        </w:rPr>
      </w:pPr>
    </w:p>
    <w:p w14:paraId="23D38747" w14:textId="402BA780" w:rsidR="00355C0B" w:rsidRPr="00355C0B" w:rsidRDefault="00355C0B" w:rsidP="00355C0B">
      <w:pPr>
        <w:spacing w:line="360" w:lineRule="auto"/>
        <w:jc w:val="center"/>
        <w:rPr>
          <w:rFonts w:ascii="Arial" w:hAnsi="Arial" w:cs="Arial"/>
          <w:b/>
          <w:bCs/>
          <w:sz w:val="24"/>
          <w:szCs w:val="24"/>
          <w:lang w:val="en-US"/>
        </w:rPr>
      </w:pPr>
    </w:p>
    <w:sdt>
      <w:sdtPr>
        <w:rPr>
          <w:rFonts w:asciiTheme="minorHAnsi" w:eastAsiaTheme="minorHAnsi" w:hAnsiTheme="minorHAnsi" w:cstheme="minorBidi"/>
          <w:color w:val="auto"/>
          <w:kern w:val="2"/>
          <w:sz w:val="22"/>
          <w:szCs w:val="22"/>
          <w:lang w:val="en-IN"/>
          <w14:ligatures w14:val="standardContextual"/>
        </w:rPr>
        <w:id w:val="-71356726"/>
        <w:docPartObj>
          <w:docPartGallery w:val="Table of Contents"/>
          <w:docPartUnique/>
        </w:docPartObj>
      </w:sdtPr>
      <w:sdtEndPr>
        <w:rPr>
          <w:rFonts w:ascii="Arial" w:hAnsi="Arial" w:cs="Arial"/>
          <w:b/>
          <w:bCs/>
          <w:noProof/>
          <w:sz w:val="24"/>
          <w:szCs w:val="24"/>
        </w:rPr>
      </w:sdtEndPr>
      <w:sdtContent>
        <w:p w14:paraId="04F98471" w14:textId="4112F339" w:rsidR="00355C0B" w:rsidRPr="00BB1150" w:rsidRDefault="00355C0B" w:rsidP="00BB1150">
          <w:pPr>
            <w:pStyle w:val="TOCHeading"/>
            <w:rPr>
              <w:rFonts w:ascii="Arial" w:hAnsi="Arial" w:cs="Arial"/>
              <w:b/>
              <w:bCs/>
              <w:color w:val="auto"/>
              <w:sz w:val="24"/>
              <w:szCs w:val="24"/>
            </w:rPr>
          </w:pPr>
          <w:r w:rsidRPr="00BB1150">
            <w:rPr>
              <w:rFonts w:ascii="Arial" w:hAnsi="Arial" w:cs="Arial"/>
              <w:b/>
              <w:bCs/>
              <w:color w:val="auto"/>
              <w:sz w:val="24"/>
              <w:szCs w:val="24"/>
            </w:rPr>
            <w:t>Table of Contents</w:t>
          </w:r>
        </w:p>
        <w:p w14:paraId="42B67663" w14:textId="0F4C2719" w:rsidR="00BB1150" w:rsidRPr="00BB1150" w:rsidRDefault="00355C0B">
          <w:pPr>
            <w:pStyle w:val="TOC1"/>
            <w:tabs>
              <w:tab w:val="right" w:leader="dot" w:pos="9016"/>
            </w:tabs>
            <w:rPr>
              <w:rFonts w:ascii="Arial" w:eastAsiaTheme="minorEastAsia" w:hAnsi="Arial" w:cs="Arial"/>
              <w:noProof/>
              <w:sz w:val="24"/>
              <w:szCs w:val="24"/>
              <w:lang w:eastAsia="en-IN"/>
            </w:rPr>
          </w:pPr>
          <w:r w:rsidRPr="00BB1150">
            <w:rPr>
              <w:rFonts w:ascii="Arial" w:hAnsi="Arial" w:cs="Arial"/>
              <w:sz w:val="24"/>
              <w:szCs w:val="24"/>
            </w:rPr>
            <w:fldChar w:fldCharType="begin"/>
          </w:r>
          <w:r w:rsidRPr="00BB1150">
            <w:rPr>
              <w:rFonts w:ascii="Arial" w:hAnsi="Arial" w:cs="Arial"/>
              <w:sz w:val="24"/>
              <w:szCs w:val="24"/>
            </w:rPr>
            <w:instrText xml:space="preserve"> TOC \o "1-3" \h \z \u </w:instrText>
          </w:r>
          <w:r w:rsidRPr="00BB1150">
            <w:rPr>
              <w:rFonts w:ascii="Arial" w:hAnsi="Arial" w:cs="Arial"/>
              <w:sz w:val="24"/>
              <w:szCs w:val="24"/>
            </w:rPr>
            <w:fldChar w:fldCharType="separate"/>
          </w:r>
          <w:hyperlink w:anchor="_Toc213857743" w:history="1">
            <w:r w:rsidR="00BB1150" w:rsidRPr="00BB1150">
              <w:rPr>
                <w:rStyle w:val="Hyperlink"/>
                <w:rFonts w:ascii="Arial" w:hAnsi="Arial" w:cs="Arial"/>
                <w:noProof/>
                <w:color w:val="auto"/>
                <w:sz w:val="24"/>
                <w:szCs w:val="24"/>
              </w:rPr>
              <w:t>1. Introduction</w:t>
            </w:r>
            <w:r w:rsidR="00BB1150" w:rsidRPr="00BB1150">
              <w:rPr>
                <w:rFonts w:ascii="Arial" w:hAnsi="Arial" w:cs="Arial"/>
                <w:noProof/>
                <w:webHidden/>
                <w:sz w:val="24"/>
                <w:szCs w:val="24"/>
              </w:rPr>
              <w:tab/>
            </w:r>
            <w:r w:rsidR="00BB1150" w:rsidRPr="00BB1150">
              <w:rPr>
                <w:rFonts w:ascii="Arial" w:hAnsi="Arial" w:cs="Arial"/>
                <w:noProof/>
                <w:webHidden/>
                <w:sz w:val="24"/>
                <w:szCs w:val="24"/>
              </w:rPr>
              <w:fldChar w:fldCharType="begin"/>
            </w:r>
            <w:r w:rsidR="00BB1150" w:rsidRPr="00BB1150">
              <w:rPr>
                <w:rFonts w:ascii="Arial" w:hAnsi="Arial" w:cs="Arial"/>
                <w:noProof/>
                <w:webHidden/>
                <w:sz w:val="24"/>
                <w:szCs w:val="24"/>
              </w:rPr>
              <w:instrText xml:space="preserve"> PAGEREF _Toc213857743 \h </w:instrText>
            </w:r>
            <w:r w:rsidR="00BB1150" w:rsidRPr="00BB1150">
              <w:rPr>
                <w:rFonts w:ascii="Arial" w:hAnsi="Arial" w:cs="Arial"/>
                <w:noProof/>
                <w:webHidden/>
                <w:sz w:val="24"/>
                <w:szCs w:val="24"/>
              </w:rPr>
            </w:r>
            <w:r w:rsidR="00BB1150" w:rsidRPr="00BB1150">
              <w:rPr>
                <w:rFonts w:ascii="Arial" w:hAnsi="Arial" w:cs="Arial"/>
                <w:noProof/>
                <w:webHidden/>
                <w:sz w:val="24"/>
                <w:szCs w:val="24"/>
              </w:rPr>
              <w:fldChar w:fldCharType="separate"/>
            </w:r>
            <w:r w:rsidR="00BB1150" w:rsidRPr="00BB1150">
              <w:rPr>
                <w:rFonts w:ascii="Arial" w:hAnsi="Arial" w:cs="Arial"/>
                <w:noProof/>
                <w:webHidden/>
                <w:sz w:val="24"/>
                <w:szCs w:val="24"/>
              </w:rPr>
              <w:t>3</w:t>
            </w:r>
            <w:r w:rsidR="00BB1150" w:rsidRPr="00BB1150">
              <w:rPr>
                <w:rFonts w:ascii="Arial" w:hAnsi="Arial" w:cs="Arial"/>
                <w:noProof/>
                <w:webHidden/>
                <w:sz w:val="24"/>
                <w:szCs w:val="24"/>
              </w:rPr>
              <w:fldChar w:fldCharType="end"/>
            </w:r>
          </w:hyperlink>
        </w:p>
        <w:p w14:paraId="6CE88D6D" w14:textId="38AE0551" w:rsidR="00BB1150" w:rsidRPr="00BB1150" w:rsidRDefault="00BB1150">
          <w:pPr>
            <w:pStyle w:val="TOC1"/>
            <w:tabs>
              <w:tab w:val="right" w:leader="dot" w:pos="9016"/>
            </w:tabs>
            <w:rPr>
              <w:rFonts w:ascii="Arial" w:eastAsiaTheme="minorEastAsia" w:hAnsi="Arial" w:cs="Arial"/>
              <w:noProof/>
              <w:sz w:val="24"/>
              <w:szCs w:val="24"/>
              <w:lang w:eastAsia="en-IN"/>
            </w:rPr>
          </w:pPr>
          <w:hyperlink w:anchor="_Toc213857744" w:history="1">
            <w:r w:rsidRPr="00BB1150">
              <w:rPr>
                <w:rStyle w:val="Hyperlink"/>
                <w:rFonts w:ascii="Arial" w:hAnsi="Arial" w:cs="Arial"/>
                <w:noProof/>
                <w:color w:val="auto"/>
                <w:sz w:val="24"/>
                <w:szCs w:val="24"/>
              </w:rPr>
              <w:t>2. Analysis and Discussion</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_Toc213857744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3</w:t>
            </w:r>
            <w:r w:rsidRPr="00BB1150">
              <w:rPr>
                <w:rFonts w:ascii="Arial" w:hAnsi="Arial" w:cs="Arial"/>
                <w:noProof/>
                <w:webHidden/>
                <w:sz w:val="24"/>
                <w:szCs w:val="24"/>
              </w:rPr>
              <w:fldChar w:fldCharType="end"/>
            </w:r>
          </w:hyperlink>
        </w:p>
        <w:p w14:paraId="30868A28" w14:textId="5C1D6E9E" w:rsidR="00BB1150" w:rsidRPr="00BB1150" w:rsidRDefault="00BB1150">
          <w:pPr>
            <w:pStyle w:val="TOC2"/>
            <w:tabs>
              <w:tab w:val="right" w:leader="dot" w:pos="9016"/>
            </w:tabs>
            <w:rPr>
              <w:rFonts w:ascii="Arial" w:eastAsiaTheme="minorEastAsia" w:hAnsi="Arial" w:cs="Arial"/>
              <w:noProof/>
              <w:sz w:val="24"/>
              <w:szCs w:val="24"/>
              <w:lang w:eastAsia="en-IN"/>
            </w:rPr>
          </w:pPr>
          <w:hyperlink w:anchor="_Toc213857745" w:history="1">
            <w:r w:rsidRPr="00BB1150">
              <w:rPr>
                <w:rStyle w:val="Hyperlink"/>
                <w:rFonts w:ascii="Arial" w:hAnsi="Arial" w:cs="Arial"/>
                <w:noProof/>
                <w:color w:val="auto"/>
                <w:sz w:val="24"/>
                <w:szCs w:val="24"/>
              </w:rPr>
              <w:t>2.1 Technological Advancements and Labour Markets</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_Toc213857745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3</w:t>
            </w:r>
            <w:r w:rsidRPr="00BB1150">
              <w:rPr>
                <w:rFonts w:ascii="Arial" w:hAnsi="Arial" w:cs="Arial"/>
                <w:noProof/>
                <w:webHidden/>
                <w:sz w:val="24"/>
                <w:szCs w:val="24"/>
              </w:rPr>
              <w:fldChar w:fldCharType="end"/>
            </w:r>
          </w:hyperlink>
        </w:p>
        <w:p w14:paraId="346EE83D" w14:textId="0562800E" w:rsidR="00BB1150" w:rsidRPr="00BB1150" w:rsidRDefault="00BB1150">
          <w:pPr>
            <w:pStyle w:val="TOC2"/>
            <w:tabs>
              <w:tab w:val="right" w:leader="dot" w:pos="9016"/>
            </w:tabs>
            <w:rPr>
              <w:rFonts w:ascii="Arial" w:eastAsiaTheme="minorEastAsia" w:hAnsi="Arial" w:cs="Arial"/>
              <w:noProof/>
              <w:sz w:val="24"/>
              <w:szCs w:val="24"/>
              <w:lang w:eastAsia="en-IN"/>
            </w:rPr>
          </w:pPr>
          <w:hyperlink w:anchor="_Toc213857746" w:history="1">
            <w:r w:rsidRPr="00BB1150">
              <w:rPr>
                <w:rStyle w:val="Hyperlink"/>
                <w:rFonts w:ascii="Arial" w:hAnsi="Arial" w:cs="Arial"/>
                <w:noProof/>
                <w:color w:val="auto"/>
                <w:sz w:val="24"/>
                <w:szCs w:val="24"/>
              </w:rPr>
              <w:t>2.2 Demographic and Geopolitical Factors</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_Toc213857746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5</w:t>
            </w:r>
            <w:r w:rsidRPr="00BB1150">
              <w:rPr>
                <w:rFonts w:ascii="Arial" w:hAnsi="Arial" w:cs="Arial"/>
                <w:noProof/>
                <w:webHidden/>
                <w:sz w:val="24"/>
                <w:szCs w:val="24"/>
              </w:rPr>
              <w:fldChar w:fldCharType="end"/>
            </w:r>
          </w:hyperlink>
        </w:p>
        <w:p w14:paraId="1DD03F7C" w14:textId="170DE60E" w:rsidR="00BB1150" w:rsidRPr="00BB1150" w:rsidRDefault="00BB1150">
          <w:pPr>
            <w:pStyle w:val="TOC2"/>
            <w:tabs>
              <w:tab w:val="right" w:leader="dot" w:pos="9016"/>
            </w:tabs>
            <w:rPr>
              <w:rFonts w:ascii="Arial" w:eastAsiaTheme="minorEastAsia" w:hAnsi="Arial" w:cs="Arial"/>
              <w:noProof/>
              <w:sz w:val="24"/>
              <w:szCs w:val="24"/>
              <w:lang w:eastAsia="en-IN"/>
            </w:rPr>
          </w:pPr>
          <w:hyperlink w:anchor="_Toc213857747" w:history="1">
            <w:r w:rsidRPr="00BB1150">
              <w:rPr>
                <w:rStyle w:val="Hyperlink"/>
                <w:rFonts w:ascii="Arial" w:hAnsi="Arial" w:cs="Arial"/>
                <w:noProof/>
                <w:color w:val="auto"/>
                <w:sz w:val="24"/>
                <w:szCs w:val="24"/>
              </w:rPr>
              <w:t>2.3 Addressing Skills Gaps and Talent Shortages</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_Toc213857747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7</w:t>
            </w:r>
            <w:r w:rsidRPr="00BB1150">
              <w:rPr>
                <w:rFonts w:ascii="Arial" w:hAnsi="Arial" w:cs="Arial"/>
                <w:noProof/>
                <w:webHidden/>
                <w:sz w:val="24"/>
                <w:szCs w:val="24"/>
              </w:rPr>
              <w:fldChar w:fldCharType="end"/>
            </w:r>
          </w:hyperlink>
        </w:p>
        <w:p w14:paraId="59202AEC" w14:textId="1745E637" w:rsidR="00BB1150" w:rsidRPr="00BB1150" w:rsidRDefault="00BB1150">
          <w:pPr>
            <w:pStyle w:val="TOC2"/>
            <w:tabs>
              <w:tab w:val="right" w:leader="dot" w:pos="9016"/>
            </w:tabs>
            <w:rPr>
              <w:rFonts w:ascii="Arial" w:eastAsiaTheme="minorEastAsia" w:hAnsi="Arial" w:cs="Arial"/>
              <w:noProof/>
              <w:sz w:val="24"/>
              <w:szCs w:val="24"/>
              <w:lang w:eastAsia="en-IN"/>
            </w:rPr>
          </w:pPr>
          <w:hyperlink w:anchor="_Toc213857748" w:history="1">
            <w:r w:rsidRPr="00BB1150">
              <w:rPr>
                <w:rStyle w:val="Hyperlink"/>
                <w:rFonts w:ascii="Arial" w:hAnsi="Arial" w:cs="Arial"/>
                <w:noProof/>
                <w:color w:val="auto"/>
                <w:sz w:val="24"/>
                <w:szCs w:val="24"/>
              </w:rPr>
              <w:t>2.4 Reflective Analysis of Personal Capabilities</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_Toc213857748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9</w:t>
            </w:r>
            <w:r w:rsidRPr="00BB1150">
              <w:rPr>
                <w:rFonts w:ascii="Arial" w:hAnsi="Arial" w:cs="Arial"/>
                <w:noProof/>
                <w:webHidden/>
                <w:sz w:val="24"/>
                <w:szCs w:val="24"/>
              </w:rPr>
              <w:fldChar w:fldCharType="end"/>
            </w:r>
          </w:hyperlink>
        </w:p>
        <w:p w14:paraId="421B8663" w14:textId="07100A1D" w:rsidR="00BB1150" w:rsidRPr="00BB1150" w:rsidRDefault="00BB1150">
          <w:pPr>
            <w:pStyle w:val="TOC1"/>
            <w:tabs>
              <w:tab w:val="right" w:leader="dot" w:pos="9016"/>
            </w:tabs>
            <w:rPr>
              <w:rFonts w:ascii="Arial" w:eastAsiaTheme="minorEastAsia" w:hAnsi="Arial" w:cs="Arial"/>
              <w:noProof/>
              <w:sz w:val="24"/>
              <w:szCs w:val="24"/>
              <w:lang w:eastAsia="en-IN"/>
            </w:rPr>
          </w:pPr>
          <w:hyperlink w:anchor="_Toc213857749" w:history="1">
            <w:r w:rsidRPr="00BB1150">
              <w:rPr>
                <w:rStyle w:val="Hyperlink"/>
                <w:rFonts w:ascii="Arial" w:hAnsi="Arial" w:cs="Arial"/>
                <w:noProof/>
                <w:color w:val="auto"/>
                <w:sz w:val="24"/>
                <w:szCs w:val="24"/>
              </w:rPr>
              <w:t>3. Conclusion</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_Toc213857749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11</w:t>
            </w:r>
            <w:r w:rsidRPr="00BB1150">
              <w:rPr>
                <w:rFonts w:ascii="Arial" w:hAnsi="Arial" w:cs="Arial"/>
                <w:noProof/>
                <w:webHidden/>
                <w:sz w:val="24"/>
                <w:szCs w:val="24"/>
              </w:rPr>
              <w:fldChar w:fldCharType="end"/>
            </w:r>
          </w:hyperlink>
        </w:p>
        <w:p w14:paraId="34FF57F6" w14:textId="4F798C59" w:rsidR="00BB1150" w:rsidRPr="00BB1150" w:rsidRDefault="00BB1150">
          <w:pPr>
            <w:pStyle w:val="TOC1"/>
            <w:tabs>
              <w:tab w:val="right" w:leader="dot" w:pos="9016"/>
            </w:tabs>
            <w:rPr>
              <w:rFonts w:ascii="Arial" w:eastAsiaTheme="minorEastAsia" w:hAnsi="Arial" w:cs="Arial"/>
              <w:noProof/>
              <w:sz w:val="24"/>
              <w:szCs w:val="24"/>
              <w:lang w:eastAsia="en-IN"/>
            </w:rPr>
          </w:pPr>
          <w:hyperlink w:anchor="_Toc213857750" w:history="1">
            <w:r w:rsidRPr="00BB1150">
              <w:rPr>
                <w:rStyle w:val="Hyperlink"/>
                <w:rFonts w:ascii="Arial" w:hAnsi="Arial" w:cs="Arial"/>
                <w:noProof/>
                <w:color w:val="auto"/>
                <w:sz w:val="24"/>
                <w:szCs w:val="24"/>
              </w:rPr>
              <w:t>References</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_Toc213857750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13</w:t>
            </w:r>
            <w:r w:rsidRPr="00BB1150">
              <w:rPr>
                <w:rFonts w:ascii="Arial" w:hAnsi="Arial" w:cs="Arial"/>
                <w:noProof/>
                <w:webHidden/>
                <w:sz w:val="24"/>
                <w:szCs w:val="24"/>
              </w:rPr>
              <w:fldChar w:fldCharType="end"/>
            </w:r>
          </w:hyperlink>
        </w:p>
        <w:p w14:paraId="42DE4398" w14:textId="70F15E14" w:rsidR="00BB1150" w:rsidRPr="00BB1150" w:rsidRDefault="00BB1150">
          <w:pPr>
            <w:pStyle w:val="TOC1"/>
            <w:tabs>
              <w:tab w:val="right" w:leader="dot" w:pos="9016"/>
            </w:tabs>
            <w:rPr>
              <w:rFonts w:ascii="Arial" w:eastAsiaTheme="minorEastAsia" w:hAnsi="Arial" w:cs="Arial"/>
              <w:noProof/>
              <w:sz w:val="24"/>
              <w:szCs w:val="24"/>
              <w:lang w:eastAsia="en-IN"/>
            </w:rPr>
          </w:pPr>
          <w:hyperlink w:anchor="_Toc213857751" w:history="1">
            <w:r w:rsidRPr="00BB1150">
              <w:rPr>
                <w:rStyle w:val="Hyperlink"/>
                <w:rFonts w:ascii="Arial" w:hAnsi="Arial" w:cs="Arial"/>
                <w:noProof/>
                <w:color w:val="auto"/>
                <w:sz w:val="24"/>
                <w:szCs w:val="24"/>
              </w:rPr>
              <w:t>Appendix</w:t>
            </w:r>
            <w:r w:rsidRPr="00BB1150">
              <w:rPr>
                <w:rFonts w:ascii="Arial" w:hAnsi="Arial" w:cs="Arial"/>
                <w:noProof/>
                <w:webHidden/>
                <w:sz w:val="24"/>
                <w:szCs w:val="24"/>
              </w:rPr>
              <w:tab/>
            </w:r>
            <w:r w:rsidRPr="00BB1150">
              <w:rPr>
                <w:rFonts w:ascii="Arial" w:hAnsi="Arial" w:cs="Arial"/>
                <w:noProof/>
                <w:webHidden/>
                <w:sz w:val="24"/>
                <w:szCs w:val="24"/>
              </w:rPr>
              <w:fldChar w:fldCharType="begin"/>
            </w:r>
            <w:r w:rsidRPr="00BB1150">
              <w:rPr>
                <w:rFonts w:ascii="Arial" w:hAnsi="Arial" w:cs="Arial"/>
                <w:noProof/>
                <w:webHidden/>
                <w:sz w:val="24"/>
                <w:szCs w:val="24"/>
              </w:rPr>
              <w:instrText xml:space="preserve"> PAGEREF _Toc213857751 \h </w:instrText>
            </w:r>
            <w:r w:rsidRPr="00BB1150">
              <w:rPr>
                <w:rFonts w:ascii="Arial" w:hAnsi="Arial" w:cs="Arial"/>
                <w:noProof/>
                <w:webHidden/>
                <w:sz w:val="24"/>
                <w:szCs w:val="24"/>
              </w:rPr>
            </w:r>
            <w:r w:rsidRPr="00BB1150">
              <w:rPr>
                <w:rFonts w:ascii="Arial" w:hAnsi="Arial" w:cs="Arial"/>
                <w:noProof/>
                <w:webHidden/>
                <w:sz w:val="24"/>
                <w:szCs w:val="24"/>
              </w:rPr>
              <w:fldChar w:fldCharType="separate"/>
            </w:r>
            <w:r w:rsidRPr="00BB1150">
              <w:rPr>
                <w:rFonts w:ascii="Arial" w:hAnsi="Arial" w:cs="Arial"/>
                <w:noProof/>
                <w:webHidden/>
                <w:sz w:val="24"/>
                <w:szCs w:val="24"/>
              </w:rPr>
              <w:t>15</w:t>
            </w:r>
            <w:r w:rsidRPr="00BB1150">
              <w:rPr>
                <w:rFonts w:ascii="Arial" w:hAnsi="Arial" w:cs="Arial"/>
                <w:noProof/>
                <w:webHidden/>
                <w:sz w:val="24"/>
                <w:szCs w:val="24"/>
              </w:rPr>
              <w:fldChar w:fldCharType="end"/>
            </w:r>
          </w:hyperlink>
        </w:p>
        <w:p w14:paraId="735A87C3" w14:textId="63D40624" w:rsidR="00355C0B" w:rsidRPr="00355C0B" w:rsidRDefault="00355C0B" w:rsidP="00355C0B">
          <w:pPr>
            <w:spacing w:line="360" w:lineRule="auto"/>
            <w:jc w:val="both"/>
            <w:rPr>
              <w:rFonts w:ascii="Arial" w:hAnsi="Arial" w:cs="Arial"/>
              <w:sz w:val="24"/>
              <w:szCs w:val="24"/>
            </w:rPr>
          </w:pPr>
          <w:r w:rsidRPr="00BB1150">
            <w:rPr>
              <w:rFonts w:ascii="Arial" w:hAnsi="Arial" w:cs="Arial"/>
              <w:b/>
              <w:bCs/>
              <w:noProof/>
              <w:sz w:val="24"/>
              <w:szCs w:val="24"/>
            </w:rPr>
            <w:fldChar w:fldCharType="end"/>
          </w:r>
        </w:p>
      </w:sdtContent>
    </w:sdt>
    <w:p w14:paraId="2A6A4D64" w14:textId="70FC8DA9" w:rsidR="000E1490" w:rsidRPr="00355C0B" w:rsidRDefault="000E1490" w:rsidP="00355C0B">
      <w:pPr>
        <w:spacing w:line="360" w:lineRule="auto"/>
        <w:jc w:val="both"/>
        <w:rPr>
          <w:rFonts w:ascii="Arial" w:hAnsi="Arial" w:cs="Arial"/>
          <w:b/>
          <w:bCs/>
          <w:sz w:val="24"/>
          <w:szCs w:val="24"/>
          <w:lang w:val="en-US"/>
        </w:rPr>
      </w:pPr>
    </w:p>
    <w:p w14:paraId="285BE6B0" w14:textId="77777777" w:rsidR="00355C0B" w:rsidRPr="00355C0B" w:rsidRDefault="00355C0B" w:rsidP="00355C0B">
      <w:pPr>
        <w:spacing w:line="360" w:lineRule="auto"/>
        <w:jc w:val="both"/>
        <w:rPr>
          <w:rFonts w:ascii="Arial" w:eastAsiaTheme="majorEastAsia" w:hAnsi="Arial" w:cs="Arial"/>
          <w:b/>
          <w:sz w:val="24"/>
          <w:szCs w:val="24"/>
          <w:lang w:val="en-US"/>
        </w:rPr>
      </w:pPr>
      <w:r w:rsidRPr="00355C0B">
        <w:rPr>
          <w:rFonts w:ascii="Arial" w:hAnsi="Arial" w:cs="Arial"/>
          <w:sz w:val="24"/>
          <w:szCs w:val="24"/>
          <w:lang w:val="en-US"/>
        </w:rPr>
        <w:br w:type="page"/>
      </w:r>
    </w:p>
    <w:p w14:paraId="097670D3" w14:textId="279C0AED" w:rsidR="001B03BA" w:rsidRPr="00355C0B" w:rsidRDefault="000E1490" w:rsidP="00BB1150">
      <w:pPr>
        <w:pStyle w:val="Heading1"/>
      </w:pPr>
      <w:bookmarkStart w:id="0" w:name="_Toc213857743"/>
      <w:r w:rsidRPr="00355C0B">
        <w:lastRenderedPageBreak/>
        <w:t xml:space="preserve">1. </w:t>
      </w:r>
      <w:r w:rsidR="006A6EA5" w:rsidRPr="00355C0B">
        <w:t>Introduction</w:t>
      </w:r>
      <w:bookmarkEnd w:id="0"/>
    </w:p>
    <w:p w14:paraId="72D5C43F" w14:textId="417BE463" w:rsidR="006A6EA5" w:rsidRPr="00355C0B" w:rsidRDefault="006A6EA5" w:rsidP="00355C0B">
      <w:pPr>
        <w:spacing w:line="360" w:lineRule="auto"/>
        <w:jc w:val="both"/>
        <w:rPr>
          <w:rFonts w:ascii="Arial" w:hAnsi="Arial" w:cs="Arial"/>
          <w:sz w:val="24"/>
          <w:szCs w:val="24"/>
        </w:rPr>
      </w:pPr>
      <w:r w:rsidRPr="00355C0B">
        <w:rPr>
          <w:rFonts w:ascii="Arial" w:hAnsi="Arial" w:cs="Arial"/>
          <w:sz w:val="24"/>
          <w:szCs w:val="24"/>
        </w:rPr>
        <w:t>The national and international labour markets are changing under the pressure of technological, demographic, and geopolitical factors very quickly. Due to the growing globalisation and digitisation of operating environments, Human Resource Management (HRM) and International Human Resource Management (IHRM) should be able to adjust their strategies on an ongoing basis to keep being effective and competitive. Artificial intelligence, automation and digital platforms are changing the structure of work force and the skills and employment patterns that HR leaders are faced with as part of the technological change in the job market, which gives them opportunities and challenges</w:t>
      </w:r>
      <w:r w:rsidR="000E1490" w:rsidRPr="00355C0B">
        <w:rPr>
          <w:rFonts w:ascii="Arial" w:hAnsi="Arial" w:cs="Arial"/>
          <w:sz w:val="24"/>
          <w:szCs w:val="24"/>
        </w:rPr>
        <w:t xml:space="preserve"> (Wilkinson, 2021).</w:t>
      </w:r>
      <w:r w:rsidRPr="00355C0B">
        <w:rPr>
          <w:rFonts w:ascii="Arial" w:hAnsi="Arial" w:cs="Arial"/>
          <w:sz w:val="24"/>
          <w:szCs w:val="24"/>
        </w:rPr>
        <w:t xml:space="preserve"> At the same time, changing demographics, migration patterns and geopolitical unrests are changing global talent market, and workforce management and policy making. This report explores in a critical manner how these forces are reshaping the HRM and IHRM practices and with special reference to the implication of this to the management of skills gaps and talent shortages in different industries. Besides that, the report gives a reflective discussion of personal abilities that apply to the work in an international and technological environment evaluating personal strengths and areas of improvement in communication, teamwork, leadership, and lifelong learning</w:t>
      </w:r>
      <w:r w:rsidR="000E1490" w:rsidRPr="00355C0B">
        <w:rPr>
          <w:rFonts w:ascii="Arial" w:hAnsi="Arial" w:cs="Arial"/>
          <w:sz w:val="24"/>
          <w:szCs w:val="24"/>
        </w:rPr>
        <w:t xml:space="preserve"> (Chung and Sparrow, 2024).</w:t>
      </w:r>
      <w:r w:rsidRPr="00355C0B">
        <w:rPr>
          <w:rFonts w:ascii="Arial" w:hAnsi="Arial" w:cs="Arial"/>
          <w:sz w:val="24"/>
          <w:szCs w:val="24"/>
        </w:rPr>
        <w:t xml:space="preserve"> </w:t>
      </w:r>
      <w:r w:rsidR="00901F07" w:rsidRPr="00901F07">
        <w:rPr>
          <w:rFonts w:ascii="Arial" w:hAnsi="Arial" w:cs="Arial"/>
          <w:sz w:val="24"/>
          <w:szCs w:val="24"/>
        </w:rPr>
        <w:t xml:space="preserve">The report shall endeavour to demonstrate how organisations and individuals can best manoeuvre the problems of the </w:t>
      </w:r>
      <w:proofErr w:type="gramStart"/>
      <w:r w:rsidR="00901F07" w:rsidRPr="00901F07">
        <w:rPr>
          <w:rFonts w:ascii="Arial" w:hAnsi="Arial" w:cs="Arial"/>
          <w:sz w:val="24"/>
          <w:szCs w:val="24"/>
        </w:rPr>
        <w:t>modern day</w:t>
      </w:r>
      <w:proofErr w:type="gramEnd"/>
      <w:r w:rsidR="00901F07" w:rsidRPr="00901F07">
        <w:rPr>
          <w:rFonts w:ascii="Arial" w:hAnsi="Arial" w:cs="Arial"/>
          <w:sz w:val="24"/>
          <w:szCs w:val="24"/>
        </w:rPr>
        <w:t xml:space="preserve"> labour markets through integrating theoretical suggestions and </w:t>
      </w:r>
      <w:proofErr w:type="gramStart"/>
      <w:r w:rsidR="00901F07" w:rsidRPr="00901F07">
        <w:rPr>
          <w:rFonts w:ascii="Arial" w:hAnsi="Arial" w:cs="Arial"/>
          <w:sz w:val="24"/>
          <w:szCs w:val="24"/>
        </w:rPr>
        <w:t>real world</w:t>
      </w:r>
      <w:proofErr w:type="gramEnd"/>
      <w:r w:rsidR="00901F07" w:rsidRPr="00901F07">
        <w:rPr>
          <w:rFonts w:ascii="Arial" w:hAnsi="Arial" w:cs="Arial"/>
          <w:sz w:val="24"/>
          <w:szCs w:val="24"/>
        </w:rPr>
        <w:t xml:space="preserve"> experience so as to align human capital strategies with long term business objectives</w:t>
      </w:r>
      <w:r w:rsidRPr="00355C0B">
        <w:rPr>
          <w:rFonts w:ascii="Arial" w:hAnsi="Arial" w:cs="Arial"/>
          <w:sz w:val="24"/>
          <w:szCs w:val="24"/>
        </w:rPr>
        <w:t>.</w:t>
      </w:r>
    </w:p>
    <w:p w14:paraId="1A63D699" w14:textId="75E21565" w:rsidR="000E1490" w:rsidRPr="00355C0B" w:rsidRDefault="000E1490" w:rsidP="00BB1150">
      <w:pPr>
        <w:pStyle w:val="Heading1"/>
      </w:pPr>
      <w:bookmarkStart w:id="1" w:name="_Toc213857744"/>
      <w:r w:rsidRPr="00355C0B">
        <w:t>2. Analysis and Discussion</w:t>
      </w:r>
      <w:bookmarkEnd w:id="1"/>
      <w:r w:rsidRPr="00355C0B">
        <w:t xml:space="preserve"> </w:t>
      </w:r>
    </w:p>
    <w:p w14:paraId="313D7938" w14:textId="5E4A3B1E" w:rsidR="006A6EA5" w:rsidRPr="00355C0B" w:rsidRDefault="000E1490" w:rsidP="00355C0B">
      <w:pPr>
        <w:pStyle w:val="Heading2"/>
        <w:spacing w:line="360" w:lineRule="auto"/>
        <w:jc w:val="both"/>
        <w:rPr>
          <w:rFonts w:ascii="Arial" w:hAnsi="Arial" w:cs="Arial"/>
          <w:szCs w:val="24"/>
        </w:rPr>
      </w:pPr>
      <w:bookmarkStart w:id="2" w:name="_Toc213857745"/>
      <w:r w:rsidRPr="00355C0B">
        <w:rPr>
          <w:rFonts w:ascii="Arial" w:hAnsi="Arial" w:cs="Arial"/>
          <w:szCs w:val="24"/>
        </w:rPr>
        <w:t>2.1</w:t>
      </w:r>
      <w:r w:rsidR="006A6EA5" w:rsidRPr="00355C0B">
        <w:rPr>
          <w:rFonts w:ascii="Arial" w:hAnsi="Arial" w:cs="Arial"/>
          <w:szCs w:val="24"/>
        </w:rPr>
        <w:t xml:space="preserve"> Technological Advancements and Labour Markets</w:t>
      </w:r>
      <w:bookmarkEnd w:id="2"/>
    </w:p>
    <w:p w14:paraId="1E60271F" w14:textId="77777777" w:rsidR="006A6EA5" w:rsidRP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Transformation of Employment Patterns</w:t>
      </w:r>
    </w:p>
    <w:p w14:paraId="4157AA3F" w14:textId="28FEB250" w:rsidR="006A6EA5" w:rsidRPr="00355C0B" w:rsidRDefault="00901F07" w:rsidP="00355C0B">
      <w:pPr>
        <w:spacing w:line="360" w:lineRule="auto"/>
        <w:jc w:val="both"/>
        <w:rPr>
          <w:rFonts w:ascii="Arial" w:hAnsi="Arial" w:cs="Arial"/>
          <w:sz w:val="24"/>
          <w:szCs w:val="24"/>
        </w:rPr>
      </w:pPr>
      <w:r w:rsidRPr="00901F07">
        <w:rPr>
          <w:rFonts w:ascii="Arial" w:hAnsi="Arial" w:cs="Arial"/>
          <w:sz w:val="24"/>
          <w:szCs w:val="24"/>
        </w:rPr>
        <w:t xml:space="preserve">Technological advances that are changing the world labour market encompass the emergence of such concepts as artificial intelligence (AI), automation, and the use of online platforms that transform the nature of job opportunities, skills, and employment relationships. According to the International Labour Organization, automation has killed much of routine and manual </w:t>
      </w:r>
      <w:proofErr w:type="spellStart"/>
      <w:r w:rsidRPr="00901F07">
        <w:rPr>
          <w:rFonts w:ascii="Arial" w:hAnsi="Arial" w:cs="Arial"/>
          <w:sz w:val="24"/>
          <w:szCs w:val="24"/>
        </w:rPr>
        <w:t>labor</w:t>
      </w:r>
      <w:proofErr w:type="spellEnd"/>
      <w:r w:rsidRPr="00901F07">
        <w:rPr>
          <w:rFonts w:ascii="Arial" w:hAnsi="Arial" w:cs="Arial"/>
          <w:sz w:val="24"/>
          <w:szCs w:val="24"/>
        </w:rPr>
        <w:t>, and has assisted in creating new data analytics, robotics and digital services opportunities (Wilkinson, 2021</w:t>
      </w:r>
      <w:proofErr w:type="gramStart"/>
      <w:r w:rsidRPr="00901F07">
        <w:rPr>
          <w:rFonts w:ascii="Arial" w:hAnsi="Arial" w:cs="Arial"/>
          <w:sz w:val="24"/>
          <w:szCs w:val="24"/>
        </w:rPr>
        <w:t>).</w:t>
      </w:r>
      <w:r w:rsidR="006A6EA5" w:rsidRPr="00355C0B">
        <w:rPr>
          <w:rFonts w:ascii="Arial" w:hAnsi="Arial" w:cs="Arial"/>
          <w:sz w:val="24"/>
          <w:szCs w:val="24"/>
        </w:rPr>
        <w:t>Gig</w:t>
      </w:r>
      <w:proofErr w:type="gramEnd"/>
      <w:r w:rsidR="006A6EA5" w:rsidRPr="00355C0B">
        <w:rPr>
          <w:rFonts w:ascii="Arial" w:hAnsi="Arial" w:cs="Arial"/>
          <w:sz w:val="24"/>
          <w:szCs w:val="24"/>
        </w:rPr>
        <w:t xml:space="preserve"> economy and remote working, made possible by digital services like Upwork and Fiverr, have made the workforce more flexible but caused some issues like job insecurity and </w:t>
      </w:r>
      <w:r w:rsidR="006A6EA5" w:rsidRPr="00355C0B">
        <w:rPr>
          <w:rFonts w:ascii="Arial" w:hAnsi="Arial" w:cs="Arial"/>
          <w:sz w:val="24"/>
          <w:szCs w:val="24"/>
        </w:rPr>
        <w:lastRenderedPageBreak/>
        <w:t xml:space="preserve">addition of benefits. The AI-driven systems are changing the recruitment, performance management, and the engagement with </w:t>
      </w:r>
      <w:proofErr w:type="gramStart"/>
      <w:r w:rsidR="006A6EA5" w:rsidRPr="00355C0B">
        <w:rPr>
          <w:rFonts w:ascii="Arial" w:hAnsi="Arial" w:cs="Arial"/>
          <w:sz w:val="24"/>
          <w:szCs w:val="24"/>
        </w:rPr>
        <w:t>employees</w:t>
      </w:r>
      <w:proofErr w:type="gramEnd"/>
      <w:r w:rsidR="006A6EA5" w:rsidRPr="00355C0B">
        <w:rPr>
          <w:rFonts w:ascii="Arial" w:hAnsi="Arial" w:cs="Arial"/>
          <w:sz w:val="24"/>
          <w:szCs w:val="24"/>
        </w:rPr>
        <w:t xml:space="preserve"> processes, enabling organisations to make data-oriented decisions. Nevertheless, such developments demand the need of an advanced digitally skilled and technologically flexible workforce</w:t>
      </w:r>
      <w:r w:rsidR="000E1490" w:rsidRPr="00355C0B">
        <w:rPr>
          <w:rFonts w:ascii="Arial" w:hAnsi="Arial" w:cs="Arial"/>
          <w:sz w:val="24"/>
          <w:szCs w:val="24"/>
        </w:rPr>
        <w:t xml:space="preserve"> (Chung and Sparrow, 2024).</w:t>
      </w:r>
    </w:p>
    <w:p w14:paraId="75EED760" w14:textId="69677746" w:rsid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Implications for HRM</w:t>
      </w:r>
    </w:p>
    <w:p w14:paraId="4E696537" w14:textId="0CAECF3E" w:rsidR="00BB1150" w:rsidRDefault="00BB1150" w:rsidP="00355C0B">
      <w:pPr>
        <w:spacing w:line="360" w:lineRule="auto"/>
        <w:jc w:val="both"/>
        <w:rPr>
          <w:rFonts w:ascii="Arial" w:hAnsi="Arial" w:cs="Arial"/>
          <w:b/>
          <w:bCs/>
          <w:sz w:val="24"/>
          <w:szCs w:val="24"/>
        </w:rPr>
      </w:pPr>
      <w:r>
        <w:rPr>
          <w:noProof/>
        </w:rPr>
        <w:drawing>
          <wp:inline distT="0" distB="0" distL="0" distR="0" wp14:anchorId="708C903B" wp14:editId="480B71D8">
            <wp:extent cx="5731510" cy="2179955"/>
            <wp:effectExtent l="0" t="0" r="2540" b="0"/>
            <wp:docPr id="388407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79955"/>
                    </a:xfrm>
                    <a:prstGeom prst="rect">
                      <a:avLst/>
                    </a:prstGeom>
                    <a:noFill/>
                    <a:ln>
                      <a:noFill/>
                    </a:ln>
                  </pic:spPr>
                </pic:pic>
              </a:graphicData>
            </a:graphic>
          </wp:inline>
        </w:drawing>
      </w:r>
    </w:p>
    <w:p w14:paraId="431C0F40" w14:textId="63BCAA89" w:rsidR="00BB1150" w:rsidRPr="00BB1150" w:rsidRDefault="00BB1150" w:rsidP="00355C0B">
      <w:pPr>
        <w:spacing w:line="360" w:lineRule="auto"/>
        <w:jc w:val="both"/>
        <w:rPr>
          <w:rFonts w:ascii="Arial" w:hAnsi="Arial" w:cs="Arial"/>
          <w:sz w:val="24"/>
          <w:szCs w:val="24"/>
        </w:rPr>
      </w:pPr>
      <w:r w:rsidRPr="00BB1150">
        <w:rPr>
          <w:rFonts w:ascii="Arial" w:hAnsi="Arial" w:cs="Arial"/>
          <w:sz w:val="24"/>
          <w:szCs w:val="24"/>
        </w:rPr>
        <w:t>Figure: HRM</w:t>
      </w:r>
    </w:p>
    <w:p w14:paraId="5724E606" w14:textId="77777777" w:rsidR="00BB1150" w:rsidRDefault="00BB1150" w:rsidP="00355C0B">
      <w:pPr>
        <w:spacing w:line="360" w:lineRule="auto"/>
        <w:jc w:val="both"/>
        <w:rPr>
          <w:rFonts w:ascii="Arial" w:hAnsi="Arial" w:cs="Arial"/>
          <w:sz w:val="24"/>
          <w:szCs w:val="24"/>
        </w:rPr>
      </w:pPr>
      <w:r w:rsidRPr="00BB1150">
        <w:rPr>
          <w:rFonts w:ascii="Arial" w:hAnsi="Arial" w:cs="Arial"/>
          <w:sz w:val="24"/>
          <w:szCs w:val="24"/>
        </w:rPr>
        <w:t>Source:</w:t>
      </w:r>
      <w:r>
        <w:rPr>
          <w:rFonts w:ascii="Arial" w:hAnsi="Arial" w:cs="Arial"/>
          <w:b/>
          <w:bCs/>
          <w:sz w:val="24"/>
          <w:szCs w:val="24"/>
        </w:rPr>
        <w:t xml:space="preserve"> </w:t>
      </w:r>
      <w:r w:rsidRPr="00355C0B">
        <w:rPr>
          <w:rFonts w:ascii="Arial" w:hAnsi="Arial" w:cs="Arial"/>
          <w:sz w:val="24"/>
          <w:szCs w:val="24"/>
        </w:rPr>
        <w:t>(</w:t>
      </w:r>
      <w:proofErr w:type="spellStart"/>
      <w:r w:rsidRPr="00355C0B">
        <w:rPr>
          <w:rFonts w:ascii="Arial" w:hAnsi="Arial" w:cs="Arial"/>
          <w:sz w:val="24"/>
          <w:szCs w:val="24"/>
        </w:rPr>
        <w:t>Thi</w:t>
      </w:r>
      <w:proofErr w:type="spellEnd"/>
      <w:r w:rsidRPr="00355C0B">
        <w:rPr>
          <w:rFonts w:ascii="Arial" w:hAnsi="Arial" w:cs="Arial"/>
          <w:sz w:val="24"/>
          <w:szCs w:val="24"/>
        </w:rPr>
        <w:t xml:space="preserve"> Tuyet Tran, 2024)</w:t>
      </w:r>
    </w:p>
    <w:p w14:paraId="603DA874" w14:textId="61C82AF5" w:rsidR="006A6EA5" w:rsidRPr="00355C0B" w:rsidRDefault="006A6EA5" w:rsidP="00355C0B">
      <w:pPr>
        <w:spacing w:line="360" w:lineRule="auto"/>
        <w:jc w:val="both"/>
        <w:rPr>
          <w:rFonts w:ascii="Arial" w:hAnsi="Arial" w:cs="Arial"/>
          <w:sz w:val="24"/>
          <w:szCs w:val="24"/>
        </w:rPr>
      </w:pPr>
      <w:r w:rsidRPr="00355C0B">
        <w:rPr>
          <w:rFonts w:ascii="Arial" w:hAnsi="Arial" w:cs="Arial"/>
          <w:sz w:val="24"/>
          <w:szCs w:val="24"/>
        </w:rPr>
        <w:t>In the case of the Human Resource Management, technological disruption requires the strategic planning of workforce and unceasing reskilling efforts. The HR professionals should align the talent strategies to the new emerging digital competencies by adopting learning management systems and continuous professional development programs. Automation has made low-skill labour to be in demand and increased the demand of analytical, creative, and people skills</w:t>
      </w:r>
      <w:r w:rsidR="000E1490" w:rsidRPr="00355C0B">
        <w:rPr>
          <w:rFonts w:ascii="Arial" w:hAnsi="Arial" w:cs="Arial"/>
          <w:sz w:val="24"/>
          <w:szCs w:val="24"/>
        </w:rPr>
        <w:t xml:space="preserve"> (</w:t>
      </w:r>
      <w:proofErr w:type="spellStart"/>
      <w:r w:rsidR="000E1490" w:rsidRPr="00355C0B">
        <w:rPr>
          <w:rFonts w:ascii="Arial" w:hAnsi="Arial" w:cs="Arial"/>
          <w:sz w:val="24"/>
          <w:szCs w:val="24"/>
        </w:rPr>
        <w:t>Thi</w:t>
      </w:r>
      <w:proofErr w:type="spellEnd"/>
      <w:r w:rsidR="000E1490" w:rsidRPr="00355C0B">
        <w:rPr>
          <w:rFonts w:ascii="Arial" w:hAnsi="Arial" w:cs="Arial"/>
          <w:sz w:val="24"/>
          <w:szCs w:val="24"/>
        </w:rPr>
        <w:t xml:space="preserve"> Tuyet Tran, 2024).</w:t>
      </w:r>
      <w:r w:rsidRPr="00355C0B">
        <w:rPr>
          <w:rFonts w:ascii="Arial" w:hAnsi="Arial" w:cs="Arial"/>
          <w:sz w:val="24"/>
          <w:szCs w:val="24"/>
        </w:rPr>
        <w:t xml:space="preserve"> HRM also should redesign work structure to incorporate human-machine collaboration in the work structure to enable employee involvement and productivity. Additionally, digital HR technologies like predictive analytics and AI-recruitment systems make performance more efficient, but they should be ethically regulated to avoid </w:t>
      </w:r>
      <w:proofErr w:type="spellStart"/>
      <w:r w:rsidRPr="00355C0B">
        <w:rPr>
          <w:rFonts w:ascii="Arial" w:hAnsi="Arial" w:cs="Arial"/>
          <w:sz w:val="24"/>
          <w:szCs w:val="24"/>
        </w:rPr>
        <w:t>favoritism</w:t>
      </w:r>
      <w:proofErr w:type="spellEnd"/>
      <w:r w:rsidRPr="00355C0B">
        <w:rPr>
          <w:rFonts w:ascii="Arial" w:hAnsi="Arial" w:cs="Arial"/>
          <w:sz w:val="24"/>
          <w:szCs w:val="24"/>
        </w:rPr>
        <w:t xml:space="preserve"> and bias during decision-making.</w:t>
      </w:r>
    </w:p>
    <w:p w14:paraId="5BAE8EBC" w14:textId="7FEDC8CF" w:rsidR="006A6EA5" w:rsidRP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Implications for IHRM</w:t>
      </w:r>
    </w:p>
    <w:p w14:paraId="4941559E" w14:textId="7A7A904D" w:rsidR="00AE66E0" w:rsidRPr="00355C0B" w:rsidRDefault="00AE66E0" w:rsidP="00355C0B">
      <w:pPr>
        <w:spacing w:line="360" w:lineRule="auto"/>
        <w:jc w:val="both"/>
        <w:rPr>
          <w:rFonts w:ascii="Arial" w:hAnsi="Arial" w:cs="Arial"/>
          <w:sz w:val="24"/>
          <w:szCs w:val="24"/>
        </w:rPr>
      </w:pPr>
      <w:r w:rsidRPr="00AE66E0">
        <w:rPr>
          <w:rFonts w:ascii="Arial" w:hAnsi="Arial" w:cs="Arial"/>
          <w:sz w:val="24"/>
          <w:szCs w:val="24"/>
        </w:rPr>
        <w:t xml:space="preserve">In the international context, technology has revolutionized the way organisations have been thinking and using their international labour force. The tools and platforms are </w:t>
      </w:r>
      <w:r w:rsidRPr="00AE66E0">
        <w:rPr>
          <w:rFonts w:ascii="Arial" w:hAnsi="Arial" w:cs="Arial"/>
          <w:sz w:val="24"/>
          <w:szCs w:val="24"/>
        </w:rPr>
        <w:lastRenderedPageBreak/>
        <w:t>now digital and thus provided the opportunity to achieve a seamless cross-national coordination that has reduced multinational companies to source talent wherever it is globally. The consequent shift in the remote and hybrid conditions of work makes the introduction of the International Human Resource Management (IHRM) change its practices to meet culturally diverse and geographically distributed workforces (</w:t>
      </w:r>
      <w:proofErr w:type="spellStart"/>
      <w:r w:rsidRPr="00AE66E0">
        <w:rPr>
          <w:rFonts w:ascii="Arial" w:hAnsi="Arial" w:cs="Arial"/>
          <w:sz w:val="24"/>
          <w:szCs w:val="24"/>
        </w:rPr>
        <w:t>Thi</w:t>
      </w:r>
      <w:proofErr w:type="spellEnd"/>
      <w:r w:rsidRPr="00AE66E0">
        <w:rPr>
          <w:rFonts w:ascii="Arial" w:hAnsi="Arial" w:cs="Arial"/>
          <w:sz w:val="24"/>
          <w:szCs w:val="24"/>
        </w:rPr>
        <w:t xml:space="preserve"> Tuyet Tran, 2024). The digital leadership, cross-cultural communication and inclusion founded management approach which enables the building of trust and engagement between the international workers, must then rest on the </w:t>
      </w:r>
      <w:proofErr w:type="spellStart"/>
      <w:r w:rsidRPr="00AE66E0">
        <w:rPr>
          <w:rFonts w:ascii="Arial" w:hAnsi="Arial" w:cs="Arial"/>
          <w:sz w:val="24"/>
          <w:szCs w:val="24"/>
        </w:rPr>
        <w:t>center</w:t>
      </w:r>
      <w:proofErr w:type="spellEnd"/>
      <w:r w:rsidRPr="00AE66E0">
        <w:rPr>
          <w:rFonts w:ascii="Arial" w:hAnsi="Arial" w:cs="Arial"/>
          <w:sz w:val="24"/>
          <w:szCs w:val="24"/>
        </w:rPr>
        <w:t xml:space="preserve"> of most effective IHRM strategies. Furthermore, technology has increased opportunities of virtual learning and globally mobility, and also permits without any restriction expansion of the skills and exchange of information across the borders. Nonetheless, with emerging challenges there also are emerging improvements. That the various nations are diverse relative to the digital infrastructure, labour regulations and standards is also a negative influence to the integration of free workforce. Moreover, the development of virtual workplaces has even more threatening effects on cybersecurity, information privacy, and ethical usage of information of employees. It is important to ensure that IHRM practitioners, in addition to complying with the international labour laws, are also responsible and fair, transparent, and equitable in their online practices during work (</w:t>
      </w:r>
      <w:proofErr w:type="spellStart"/>
      <w:r w:rsidRPr="00AE66E0">
        <w:rPr>
          <w:rFonts w:ascii="Arial" w:hAnsi="Arial" w:cs="Arial"/>
          <w:sz w:val="24"/>
          <w:szCs w:val="24"/>
        </w:rPr>
        <w:t>Thi</w:t>
      </w:r>
      <w:proofErr w:type="spellEnd"/>
      <w:r w:rsidRPr="00AE66E0">
        <w:rPr>
          <w:rFonts w:ascii="Arial" w:hAnsi="Arial" w:cs="Arial"/>
          <w:sz w:val="24"/>
          <w:szCs w:val="24"/>
        </w:rPr>
        <w:t xml:space="preserve"> Tuyet Tran, 2024). Overall, technology has made IHRM livelier and hyperlinked and as a result needs increasing agility, cultural sensitivity, and strategic intelligence to cope with ever more digital and global workforce.</w:t>
      </w:r>
    </w:p>
    <w:p w14:paraId="6F4F5C0C" w14:textId="5691110D" w:rsidR="006A6EA5" w:rsidRPr="00355C0B" w:rsidRDefault="000E1490" w:rsidP="00355C0B">
      <w:pPr>
        <w:pStyle w:val="Heading2"/>
        <w:spacing w:line="360" w:lineRule="auto"/>
        <w:jc w:val="both"/>
        <w:rPr>
          <w:rFonts w:ascii="Arial" w:hAnsi="Arial" w:cs="Arial"/>
          <w:szCs w:val="24"/>
        </w:rPr>
      </w:pPr>
      <w:bookmarkStart w:id="3" w:name="_Toc213857746"/>
      <w:r w:rsidRPr="00355C0B">
        <w:rPr>
          <w:rFonts w:ascii="Arial" w:hAnsi="Arial" w:cs="Arial"/>
          <w:szCs w:val="24"/>
        </w:rPr>
        <w:t>2.2</w:t>
      </w:r>
      <w:r w:rsidR="006A6EA5" w:rsidRPr="00355C0B">
        <w:rPr>
          <w:rFonts w:ascii="Arial" w:hAnsi="Arial" w:cs="Arial"/>
          <w:szCs w:val="24"/>
        </w:rPr>
        <w:t xml:space="preserve"> Demographic and Geopolitical Factors</w:t>
      </w:r>
      <w:bookmarkEnd w:id="3"/>
    </w:p>
    <w:p w14:paraId="528B2D3F" w14:textId="77777777" w:rsidR="006A6EA5" w:rsidRP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Demographic Changes in the Workforce</w:t>
      </w:r>
    </w:p>
    <w:p w14:paraId="7B8F311E" w14:textId="54B21F04"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The labour markets of the world are facing a significant challenge due to the drastic changes in demographics, such as the aging population, increased migration, and diversity of the workforce. It is also observed that many developed countries are witnessing increased rates of older workforce resulting in the fear of skills gaps and decreased productivity as the old age workforce retires (</w:t>
      </w:r>
      <w:proofErr w:type="spellStart"/>
      <w:r w:rsidRPr="00355C0B">
        <w:rPr>
          <w:rFonts w:ascii="Arial" w:hAnsi="Arial" w:cs="Arial"/>
          <w:sz w:val="24"/>
          <w:szCs w:val="24"/>
        </w:rPr>
        <w:t>Aldossari</w:t>
      </w:r>
      <w:proofErr w:type="spellEnd"/>
      <w:r w:rsidRPr="00355C0B">
        <w:rPr>
          <w:rFonts w:ascii="Arial" w:hAnsi="Arial" w:cs="Arial"/>
          <w:sz w:val="24"/>
          <w:szCs w:val="24"/>
        </w:rPr>
        <w:t xml:space="preserve"> and Chaudhry, 2024). The organisations are thus advised to implement flexible working plans, lifelong learning programs, and gradual retirement plans in order to maintain desirable experience. Simultaneously, the issue of migration remains crucial in fulfilling the labour market requirements in many industries including healthcare, construction, and technology. Migrant workers assist in creating much needed skill bases but also </w:t>
      </w:r>
      <w:r w:rsidRPr="00355C0B">
        <w:rPr>
          <w:rFonts w:ascii="Arial" w:hAnsi="Arial" w:cs="Arial"/>
          <w:sz w:val="24"/>
          <w:szCs w:val="24"/>
        </w:rPr>
        <w:lastRenderedPageBreak/>
        <w:t>express integration, cultural adaptation, and equitable employment practices challenges. Furthermore, the diversity of workforce including gender, ethnicity and intergenerational differences can now be discussed as a major strength of the organisation (</w:t>
      </w:r>
      <w:proofErr w:type="spellStart"/>
      <w:r w:rsidRPr="00355C0B">
        <w:rPr>
          <w:rFonts w:ascii="Arial" w:hAnsi="Arial" w:cs="Arial"/>
          <w:sz w:val="24"/>
          <w:szCs w:val="24"/>
        </w:rPr>
        <w:t>Aldossari</w:t>
      </w:r>
      <w:proofErr w:type="spellEnd"/>
      <w:r w:rsidRPr="00355C0B">
        <w:rPr>
          <w:rFonts w:ascii="Arial" w:hAnsi="Arial" w:cs="Arial"/>
          <w:sz w:val="24"/>
          <w:szCs w:val="24"/>
        </w:rPr>
        <w:t xml:space="preserve"> and Chaudhry, 2024). To maximize the advantages of diverse workforce, companies should make sure that recruitment and performance management systems enhance inclusiveness and equal opportunities.</w:t>
      </w:r>
    </w:p>
    <w:p w14:paraId="65CDD072" w14:textId="17999FAB" w:rsid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Geopolitical Influences on Labour Markets</w:t>
      </w:r>
    </w:p>
    <w:p w14:paraId="0810EC70" w14:textId="3AB3492B" w:rsidR="00BB1150" w:rsidRDefault="00BB1150" w:rsidP="00355C0B">
      <w:pPr>
        <w:spacing w:line="360" w:lineRule="auto"/>
        <w:jc w:val="both"/>
        <w:rPr>
          <w:rFonts w:ascii="Arial" w:hAnsi="Arial" w:cs="Arial"/>
          <w:b/>
          <w:bCs/>
          <w:sz w:val="24"/>
          <w:szCs w:val="24"/>
        </w:rPr>
      </w:pPr>
      <w:r>
        <w:rPr>
          <w:noProof/>
        </w:rPr>
        <w:drawing>
          <wp:inline distT="0" distB="0" distL="0" distR="0" wp14:anchorId="67B42A37" wp14:editId="75A7F914">
            <wp:extent cx="4261939" cy="1739528"/>
            <wp:effectExtent l="0" t="0" r="5715" b="0"/>
            <wp:docPr id="616274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4409" cy="1740536"/>
                    </a:xfrm>
                    <a:prstGeom prst="rect">
                      <a:avLst/>
                    </a:prstGeom>
                    <a:noFill/>
                    <a:ln>
                      <a:noFill/>
                    </a:ln>
                  </pic:spPr>
                </pic:pic>
              </a:graphicData>
            </a:graphic>
          </wp:inline>
        </w:drawing>
      </w:r>
    </w:p>
    <w:p w14:paraId="2CCD2577" w14:textId="77777777" w:rsidR="00BB1150" w:rsidRDefault="00BB1150" w:rsidP="00355C0B">
      <w:pPr>
        <w:spacing w:line="360" w:lineRule="auto"/>
        <w:jc w:val="both"/>
        <w:rPr>
          <w:rFonts w:ascii="Arial" w:hAnsi="Arial" w:cs="Arial"/>
          <w:b/>
          <w:bCs/>
          <w:sz w:val="24"/>
          <w:szCs w:val="24"/>
        </w:rPr>
      </w:pPr>
    </w:p>
    <w:p w14:paraId="6B909D53" w14:textId="7F863096" w:rsidR="00BB1150" w:rsidRPr="00BB1150" w:rsidRDefault="00BB1150" w:rsidP="00355C0B">
      <w:pPr>
        <w:spacing w:line="360" w:lineRule="auto"/>
        <w:jc w:val="both"/>
        <w:rPr>
          <w:rFonts w:ascii="Arial" w:hAnsi="Arial" w:cs="Arial"/>
          <w:sz w:val="24"/>
          <w:szCs w:val="24"/>
        </w:rPr>
      </w:pPr>
      <w:r w:rsidRPr="00BB1150">
        <w:rPr>
          <w:rFonts w:ascii="Arial" w:hAnsi="Arial" w:cs="Arial"/>
          <w:sz w:val="24"/>
          <w:szCs w:val="24"/>
        </w:rPr>
        <w:t xml:space="preserve">Figure: Geopolitical Influences </w:t>
      </w:r>
    </w:p>
    <w:p w14:paraId="0EDBB4E3" w14:textId="66E11F05" w:rsidR="00BB1150" w:rsidRPr="006A6EA5" w:rsidRDefault="00BB1150" w:rsidP="00355C0B">
      <w:pPr>
        <w:spacing w:line="360" w:lineRule="auto"/>
        <w:jc w:val="both"/>
        <w:rPr>
          <w:rFonts w:ascii="Arial" w:hAnsi="Arial" w:cs="Arial"/>
          <w:b/>
          <w:bCs/>
          <w:sz w:val="24"/>
          <w:szCs w:val="24"/>
        </w:rPr>
      </w:pPr>
      <w:r w:rsidRPr="00BB1150">
        <w:rPr>
          <w:rFonts w:ascii="Arial" w:hAnsi="Arial" w:cs="Arial"/>
          <w:sz w:val="24"/>
          <w:szCs w:val="24"/>
        </w:rPr>
        <w:t>Source:</w:t>
      </w:r>
      <w:r>
        <w:rPr>
          <w:rFonts w:ascii="Arial" w:hAnsi="Arial" w:cs="Arial"/>
          <w:b/>
          <w:bCs/>
          <w:sz w:val="24"/>
          <w:szCs w:val="24"/>
        </w:rPr>
        <w:t xml:space="preserve"> </w:t>
      </w:r>
      <w:r w:rsidRPr="00355C0B">
        <w:rPr>
          <w:rFonts w:ascii="Arial" w:hAnsi="Arial" w:cs="Arial"/>
          <w:sz w:val="24"/>
          <w:szCs w:val="24"/>
        </w:rPr>
        <w:t>(</w:t>
      </w:r>
      <w:proofErr w:type="spellStart"/>
      <w:r w:rsidRPr="00355C0B">
        <w:rPr>
          <w:rFonts w:ascii="Arial" w:hAnsi="Arial" w:cs="Arial"/>
          <w:sz w:val="24"/>
          <w:szCs w:val="24"/>
        </w:rPr>
        <w:t>Nyiawung</w:t>
      </w:r>
      <w:proofErr w:type="spellEnd"/>
      <w:r w:rsidRPr="00355C0B">
        <w:rPr>
          <w:rFonts w:ascii="Arial" w:hAnsi="Arial" w:cs="Arial"/>
          <w:sz w:val="24"/>
          <w:szCs w:val="24"/>
        </w:rPr>
        <w:t xml:space="preserve">, Geary and </w:t>
      </w:r>
      <w:proofErr w:type="spellStart"/>
      <w:r w:rsidRPr="00355C0B">
        <w:rPr>
          <w:rFonts w:ascii="Arial" w:hAnsi="Arial" w:cs="Arial"/>
          <w:sz w:val="24"/>
          <w:szCs w:val="24"/>
        </w:rPr>
        <w:t>Mandiefe</w:t>
      </w:r>
      <w:proofErr w:type="spellEnd"/>
      <w:r w:rsidRPr="00355C0B">
        <w:rPr>
          <w:rFonts w:ascii="Arial" w:hAnsi="Arial" w:cs="Arial"/>
          <w:sz w:val="24"/>
          <w:szCs w:val="24"/>
        </w:rPr>
        <w:t xml:space="preserve"> </w:t>
      </w:r>
      <w:proofErr w:type="spellStart"/>
      <w:r w:rsidRPr="00355C0B">
        <w:rPr>
          <w:rFonts w:ascii="Arial" w:hAnsi="Arial" w:cs="Arial"/>
          <w:sz w:val="24"/>
          <w:szCs w:val="24"/>
        </w:rPr>
        <w:t>Piabuo</w:t>
      </w:r>
      <w:proofErr w:type="spellEnd"/>
      <w:r w:rsidRPr="00355C0B">
        <w:rPr>
          <w:rFonts w:ascii="Arial" w:hAnsi="Arial" w:cs="Arial"/>
          <w:sz w:val="24"/>
          <w:szCs w:val="24"/>
        </w:rPr>
        <w:t>, 2023</w:t>
      </w:r>
      <w:r>
        <w:rPr>
          <w:rFonts w:ascii="Arial" w:hAnsi="Arial" w:cs="Arial"/>
          <w:sz w:val="24"/>
          <w:szCs w:val="24"/>
        </w:rPr>
        <w:t>)</w:t>
      </w:r>
    </w:p>
    <w:p w14:paraId="0436F96A" w14:textId="0AD768B7"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International conflicts, realignment of trade, and changes in economic alliances are some of the geopolitical events that affect the employment trends across the world. Political instability in some areas leads to conflicts and interruption in labour supply chains, displacement of workers and putting pressure on migration to the neighbouring nations. Trade agreements, economic blocs like the European Union, ASEAN and regional trade partnerships impact on the flow of talent and design employment controls (</w:t>
      </w:r>
      <w:proofErr w:type="spellStart"/>
      <w:r w:rsidRPr="00355C0B">
        <w:rPr>
          <w:rFonts w:ascii="Arial" w:hAnsi="Arial" w:cs="Arial"/>
          <w:sz w:val="24"/>
          <w:szCs w:val="24"/>
        </w:rPr>
        <w:t>Nyiawung</w:t>
      </w:r>
      <w:proofErr w:type="spellEnd"/>
      <w:r w:rsidRPr="00355C0B">
        <w:rPr>
          <w:rFonts w:ascii="Arial" w:hAnsi="Arial" w:cs="Arial"/>
          <w:sz w:val="24"/>
          <w:szCs w:val="24"/>
        </w:rPr>
        <w:t xml:space="preserve">, Geary and </w:t>
      </w:r>
      <w:proofErr w:type="spellStart"/>
      <w:r w:rsidRPr="00355C0B">
        <w:rPr>
          <w:rFonts w:ascii="Arial" w:hAnsi="Arial" w:cs="Arial"/>
          <w:sz w:val="24"/>
          <w:szCs w:val="24"/>
        </w:rPr>
        <w:t>Mandiefe</w:t>
      </w:r>
      <w:proofErr w:type="spellEnd"/>
      <w:r w:rsidRPr="00355C0B">
        <w:rPr>
          <w:rFonts w:ascii="Arial" w:hAnsi="Arial" w:cs="Arial"/>
          <w:sz w:val="24"/>
          <w:szCs w:val="24"/>
        </w:rPr>
        <w:t xml:space="preserve"> </w:t>
      </w:r>
      <w:proofErr w:type="spellStart"/>
      <w:r w:rsidRPr="00355C0B">
        <w:rPr>
          <w:rFonts w:ascii="Arial" w:hAnsi="Arial" w:cs="Arial"/>
          <w:sz w:val="24"/>
          <w:szCs w:val="24"/>
        </w:rPr>
        <w:t>Piabuo</w:t>
      </w:r>
      <w:proofErr w:type="spellEnd"/>
      <w:r w:rsidRPr="00355C0B">
        <w:rPr>
          <w:rFonts w:ascii="Arial" w:hAnsi="Arial" w:cs="Arial"/>
          <w:sz w:val="24"/>
          <w:szCs w:val="24"/>
        </w:rPr>
        <w:t xml:space="preserve">, 2023). As a case in point, the policies that are altered after significant geopolitical occurrences may curtail the movement of labour and </w:t>
      </w:r>
      <w:proofErr w:type="spellStart"/>
      <w:r w:rsidRPr="00355C0B">
        <w:rPr>
          <w:rFonts w:ascii="Arial" w:hAnsi="Arial" w:cs="Arial"/>
          <w:sz w:val="24"/>
          <w:szCs w:val="24"/>
        </w:rPr>
        <w:t>instill</w:t>
      </w:r>
      <w:proofErr w:type="spellEnd"/>
      <w:r w:rsidRPr="00355C0B">
        <w:rPr>
          <w:rFonts w:ascii="Arial" w:hAnsi="Arial" w:cs="Arial"/>
          <w:sz w:val="24"/>
          <w:szCs w:val="24"/>
        </w:rPr>
        <w:t xml:space="preserve"> unpredictability in multinationals. Also, interdependence and globalisation </w:t>
      </w:r>
      <w:proofErr w:type="gramStart"/>
      <w:r w:rsidRPr="00355C0B">
        <w:rPr>
          <w:rFonts w:ascii="Arial" w:hAnsi="Arial" w:cs="Arial"/>
          <w:sz w:val="24"/>
          <w:szCs w:val="24"/>
        </w:rPr>
        <w:t>has</w:t>
      </w:r>
      <w:proofErr w:type="gramEnd"/>
      <w:r w:rsidRPr="00355C0B">
        <w:rPr>
          <w:rFonts w:ascii="Arial" w:hAnsi="Arial" w:cs="Arial"/>
          <w:sz w:val="24"/>
          <w:szCs w:val="24"/>
        </w:rPr>
        <w:t xml:space="preserve"> exposed organisations to economic sanctions, scarcity of resources and political strains all of which impact the workforce stability and international business performance.</w:t>
      </w:r>
    </w:p>
    <w:p w14:paraId="78E0638A" w14:textId="74D0AAD7" w:rsid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Challenges for HR Professionals</w:t>
      </w:r>
    </w:p>
    <w:p w14:paraId="1E7EA56F" w14:textId="77777777" w:rsidR="00BB1150" w:rsidRDefault="00BB1150" w:rsidP="00355C0B">
      <w:pPr>
        <w:spacing w:line="360" w:lineRule="auto"/>
        <w:jc w:val="both"/>
        <w:rPr>
          <w:noProof/>
        </w:rPr>
      </w:pPr>
    </w:p>
    <w:p w14:paraId="218E837E" w14:textId="6D48D775" w:rsidR="00BB1150" w:rsidRDefault="00BB1150" w:rsidP="00355C0B">
      <w:pPr>
        <w:spacing w:line="360" w:lineRule="auto"/>
        <w:jc w:val="both"/>
        <w:rPr>
          <w:rFonts w:ascii="Arial" w:hAnsi="Arial" w:cs="Arial"/>
          <w:sz w:val="24"/>
          <w:szCs w:val="24"/>
        </w:rPr>
      </w:pPr>
      <w:r>
        <w:rPr>
          <w:noProof/>
        </w:rPr>
        <w:lastRenderedPageBreak/>
        <w:drawing>
          <wp:inline distT="0" distB="0" distL="0" distR="0" wp14:anchorId="4724FB9E" wp14:editId="793A48E0">
            <wp:extent cx="4272536" cy="2685972"/>
            <wp:effectExtent l="0" t="0" r="0" b="635"/>
            <wp:docPr id="20131083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b="16185"/>
                    <a:stretch>
                      <a:fillRect/>
                    </a:stretch>
                  </pic:blipFill>
                  <pic:spPr bwMode="auto">
                    <a:xfrm>
                      <a:off x="0" y="0"/>
                      <a:ext cx="4279740" cy="2690501"/>
                    </a:xfrm>
                    <a:prstGeom prst="rect">
                      <a:avLst/>
                    </a:prstGeom>
                    <a:noFill/>
                    <a:ln>
                      <a:noFill/>
                    </a:ln>
                    <a:extLst>
                      <a:ext uri="{53640926-AAD7-44D8-BBD7-CCE9431645EC}">
                        <a14:shadowObscured xmlns:a14="http://schemas.microsoft.com/office/drawing/2010/main"/>
                      </a:ext>
                    </a:extLst>
                  </pic:spPr>
                </pic:pic>
              </a:graphicData>
            </a:graphic>
          </wp:inline>
        </w:drawing>
      </w:r>
    </w:p>
    <w:p w14:paraId="512823D4" w14:textId="016ECD56" w:rsidR="00BB1150" w:rsidRDefault="00BB1150" w:rsidP="00355C0B">
      <w:pPr>
        <w:spacing w:line="360" w:lineRule="auto"/>
        <w:jc w:val="both"/>
        <w:rPr>
          <w:rFonts w:ascii="Arial" w:hAnsi="Arial" w:cs="Arial"/>
          <w:sz w:val="24"/>
          <w:szCs w:val="24"/>
        </w:rPr>
      </w:pPr>
      <w:r>
        <w:rPr>
          <w:rFonts w:ascii="Arial" w:hAnsi="Arial" w:cs="Arial"/>
          <w:sz w:val="24"/>
          <w:szCs w:val="24"/>
        </w:rPr>
        <w:t xml:space="preserve">Figure: </w:t>
      </w:r>
      <w:r w:rsidRPr="00BB1150">
        <w:rPr>
          <w:rFonts w:ascii="Arial" w:hAnsi="Arial" w:cs="Arial"/>
          <w:sz w:val="24"/>
          <w:szCs w:val="24"/>
        </w:rPr>
        <w:t>Challenges for HR</w:t>
      </w:r>
      <w:r w:rsidRPr="006A6EA5">
        <w:rPr>
          <w:rFonts w:ascii="Arial" w:hAnsi="Arial" w:cs="Arial"/>
          <w:b/>
          <w:bCs/>
          <w:sz w:val="24"/>
          <w:szCs w:val="24"/>
        </w:rPr>
        <w:t xml:space="preserve"> </w:t>
      </w:r>
    </w:p>
    <w:p w14:paraId="5361BD05" w14:textId="0E18B8BB" w:rsidR="00BB1150" w:rsidRPr="00BB1150" w:rsidRDefault="00BB1150" w:rsidP="00355C0B">
      <w:pPr>
        <w:spacing w:line="360" w:lineRule="auto"/>
        <w:jc w:val="both"/>
        <w:rPr>
          <w:rFonts w:ascii="Arial" w:hAnsi="Arial" w:cs="Arial"/>
          <w:sz w:val="24"/>
          <w:szCs w:val="24"/>
        </w:rPr>
      </w:pPr>
      <w:r>
        <w:rPr>
          <w:rFonts w:ascii="Arial" w:hAnsi="Arial" w:cs="Arial"/>
          <w:sz w:val="24"/>
          <w:szCs w:val="24"/>
        </w:rPr>
        <w:t xml:space="preserve">Source: </w:t>
      </w:r>
      <w:r w:rsidRPr="00AE66E0">
        <w:rPr>
          <w:rFonts w:ascii="Arial" w:hAnsi="Arial" w:cs="Arial"/>
          <w:sz w:val="24"/>
          <w:szCs w:val="24"/>
        </w:rPr>
        <w:t>(</w:t>
      </w:r>
      <w:proofErr w:type="spellStart"/>
      <w:r w:rsidRPr="00AE66E0">
        <w:rPr>
          <w:rFonts w:ascii="Arial" w:hAnsi="Arial" w:cs="Arial"/>
          <w:sz w:val="24"/>
          <w:szCs w:val="24"/>
        </w:rPr>
        <w:t>Nyiawung</w:t>
      </w:r>
      <w:proofErr w:type="spellEnd"/>
      <w:r w:rsidRPr="00AE66E0">
        <w:rPr>
          <w:rFonts w:ascii="Arial" w:hAnsi="Arial" w:cs="Arial"/>
          <w:sz w:val="24"/>
          <w:szCs w:val="24"/>
        </w:rPr>
        <w:t xml:space="preserve">, Geary and </w:t>
      </w:r>
      <w:proofErr w:type="spellStart"/>
      <w:r w:rsidRPr="00AE66E0">
        <w:rPr>
          <w:rFonts w:ascii="Arial" w:hAnsi="Arial" w:cs="Arial"/>
          <w:sz w:val="24"/>
          <w:szCs w:val="24"/>
        </w:rPr>
        <w:t>Mandiefe</w:t>
      </w:r>
      <w:proofErr w:type="spellEnd"/>
      <w:r w:rsidRPr="00AE66E0">
        <w:rPr>
          <w:rFonts w:ascii="Arial" w:hAnsi="Arial" w:cs="Arial"/>
          <w:sz w:val="24"/>
          <w:szCs w:val="24"/>
        </w:rPr>
        <w:t xml:space="preserve"> </w:t>
      </w:r>
      <w:proofErr w:type="spellStart"/>
      <w:r w:rsidRPr="00AE66E0">
        <w:rPr>
          <w:rFonts w:ascii="Arial" w:hAnsi="Arial" w:cs="Arial"/>
          <w:sz w:val="24"/>
          <w:szCs w:val="24"/>
        </w:rPr>
        <w:t>Piabuo</w:t>
      </w:r>
      <w:proofErr w:type="spellEnd"/>
      <w:r w:rsidRPr="00AE66E0">
        <w:rPr>
          <w:rFonts w:ascii="Arial" w:hAnsi="Arial" w:cs="Arial"/>
          <w:sz w:val="24"/>
          <w:szCs w:val="24"/>
        </w:rPr>
        <w:t>, 2023)</w:t>
      </w:r>
    </w:p>
    <w:p w14:paraId="6E6B9ACD" w14:textId="3401FFA6" w:rsidR="00AE66E0" w:rsidRPr="00355C0B" w:rsidRDefault="00AE66E0" w:rsidP="00355C0B">
      <w:pPr>
        <w:spacing w:line="360" w:lineRule="auto"/>
        <w:jc w:val="both"/>
        <w:rPr>
          <w:rFonts w:ascii="Arial" w:hAnsi="Arial" w:cs="Arial"/>
          <w:sz w:val="24"/>
          <w:szCs w:val="24"/>
        </w:rPr>
      </w:pPr>
      <w:r w:rsidRPr="00AE66E0">
        <w:rPr>
          <w:rFonts w:ascii="Arial" w:hAnsi="Arial" w:cs="Arial"/>
          <w:sz w:val="24"/>
          <w:szCs w:val="24"/>
        </w:rPr>
        <w:t>HR professionals are confronted with the mixed dilemmas in the context of living with the effects of the demographic and political transformation. The pleasure of an ageing workforce entails the proactive succession planning, skills re-energization and means of maintaining their motivation and output. Managing multicultural and diverse employees involve using proper communication and cultural intelligence and inclusive leadership actions (</w:t>
      </w:r>
      <w:proofErr w:type="spellStart"/>
      <w:r w:rsidRPr="00AE66E0">
        <w:rPr>
          <w:rFonts w:ascii="Arial" w:hAnsi="Arial" w:cs="Arial"/>
          <w:sz w:val="24"/>
          <w:szCs w:val="24"/>
        </w:rPr>
        <w:t>Nyiawung</w:t>
      </w:r>
      <w:proofErr w:type="spellEnd"/>
      <w:r w:rsidRPr="00AE66E0">
        <w:rPr>
          <w:rFonts w:ascii="Arial" w:hAnsi="Arial" w:cs="Arial"/>
          <w:sz w:val="24"/>
          <w:szCs w:val="24"/>
        </w:rPr>
        <w:t xml:space="preserve">, Geary and </w:t>
      </w:r>
      <w:proofErr w:type="spellStart"/>
      <w:r w:rsidRPr="00AE66E0">
        <w:rPr>
          <w:rFonts w:ascii="Arial" w:hAnsi="Arial" w:cs="Arial"/>
          <w:sz w:val="24"/>
          <w:szCs w:val="24"/>
        </w:rPr>
        <w:t>Mandiefe</w:t>
      </w:r>
      <w:proofErr w:type="spellEnd"/>
      <w:r w:rsidRPr="00AE66E0">
        <w:rPr>
          <w:rFonts w:ascii="Arial" w:hAnsi="Arial" w:cs="Arial"/>
          <w:sz w:val="24"/>
          <w:szCs w:val="24"/>
        </w:rPr>
        <w:t xml:space="preserve"> </w:t>
      </w:r>
      <w:proofErr w:type="spellStart"/>
      <w:r w:rsidRPr="00AE66E0">
        <w:rPr>
          <w:rFonts w:ascii="Arial" w:hAnsi="Arial" w:cs="Arial"/>
          <w:sz w:val="24"/>
          <w:szCs w:val="24"/>
        </w:rPr>
        <w:t>Piabuo</w:t>
      </w:r>
      <w:proofErr w:type="spellEnd"/>
      <w:r w:rsidRPr="00AE66E0">
        <w:rPr>
          <w:rFonts w:ascii="Arial" w:hAnsi="Arial" w:cs="Arial"/>
          <w:sz w:val="24"/>
          <w:szCs w:val="24"/>
        </w:rPr>
        <w:t>, 2023). Geopolitical instability at the international level would require clever mind planning in terms of compliance, safety of employees and crisis management. The HR executives are also required to face the cross-border laws of employment, taxation and immigration restriction without compromising the moral and fair play. The HR departments are strategic in a less predictable environment by developing resilient organisations in the ability to adapt to the demographic changes, in addition to geopolitical changes. Demographic and geopolitical factors are redefining workforce and working conditions on the international level. To be competitive, organisations are supposed to merge in-</w:t>
      </w:r>
      <w:proofErr w:type="spellStart"/>
      <w:r w:rsidRPr="00AE66E0">
        <w:rPr>
          <w:rFonts w:ascii="Arial" w:hAnsi="Arial" w:cs="Arial"/>
          <w:sz w:val="24"/>
          <w:szCs w:val="24"/>
        </w:rPr>
        <w:t>clusive</w:t>
      </w:r>
      <w:proofErr w:type="spellEnd"/>
      <w:r w:rsidRPr="00AE66E0">
        <w:rPr>
          <w:rFonts w:ascii="Arial" w:hAnsi="Arial" w:cs="Arial"/>
          <w:sz w:val="24"/>
          <w:szCs w:val="24"/>
        </w:rPr>
        <w:t xml:space="preserve"> employment strategies, build cross-cultural cognisance, and establish dynamic HR constructs that can predictively and responsively respond to international disruptions in an effective way (Edwards et al., 2021).</w:t>
      </w:r>
    </w:p>
    <w:p w14:paraId="715F02DE" w14:textId="3C131EFA" w:rsidR="006A6EA5" w:rsidRPr="00355C0B" w:rsidRDefault="000E1490" w:rsidP="00355C0B">
      <w:pPr>
        <w:pStyle w:val="Heading2"/>
        <w:spacing w:line="360" w:lineRule="auto"/>
        <w:jc w:val="both"/>
        <w:rPr>
          <w:rFonts w:ascii="Arial" w:hAnsi="Arial" w:cs="Arial"/>
          <w:szCs w:val="24"/>
        </w:rPr>
      </w:pPr>
      <w:bookmarkStart w:id="4" w:name="_Toc213857747"/>
      <w:r w:rsidRPr="00355C0B">
        <w:rPr>
          <w:rFonts w:ascii="Arial" w:hAnsi="Arial" w:cs="Arial"/>
          <w:szCs w:val="24"/>
        </w:rPr>
        <w:t>2</w:t>
      </w:r>
      <w:r w:rsidR="006A6EA5" w:rsidRPr="00355C0B">
        <w:rPr>
          <w:rFonts w:ascii="Arial" w:hAnsi="Arial" w:cs="Arial"/>
          <w:szCs w:val="24"/>
        </w:rPr>
        <w:t>.</w:t>
      </w:r>
      <w:r w:rsidRPr="00355C0B">
        <w:rPr>
          <w:rFonts w:ascii="Arial" w:hAnsi="Arial" w:cs="Arial"/>
          <w:szCs w:val="24"/>
        </w:rPr>
        <w:t>3</w:t>
      </w:r>
      <w:r w:rsidR="006A6EA5" w:rsidRPr="00355C0B">
        <w:rPr>
          <w:rFonts w:ascii="Arial" w:hAnsi="Arial" w:cs="Arial"/>
          <w:szCs w:val="24"/>
        </w:rPr>
        <w:t xml:space="preserve"> Addressing Skills Gaps and Talent Shortages</w:t>
      </w:r>
      <w:bookmarkEnd w:id="4"/>
    </w:p>
    <w:p w14:paraId="64FDE599" w14:textId="77777777" w:rsidR="006A6EA5" w:rsidRP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Understanding the Skills Gap</w:t>
      </w:r>
    </w:p>
    <w:p w14:paraId="47D41AC4" w14:textId="74F74447"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lastRenderedPageBreak/>
        <w:t>The issue of skills and talent shortage has been a significant problem in all industries, especially in areas like technology, healthcare and hospitality. The accelerated digitalisation, population changes and changing business models have provided a gap between the skills that employers need and the skills that are in the labour market. The skills of professionals in the fields of artificial intelligence, cybersecurity, and data analytics are in high demand but the supply is low, whereas health care is facing the challenge of an ageing population, which increased the necessity of medical practitioners and care workers (Edwards et al., 2021). Equally, hospitality industry is faced with a challenge in attracting and retaining talents because of the demanding working conditions and the turnover of employees. These deficits affect productivity, quality of service and innovation and as such, proactive HR approaches are necessary in addressing gaps between workforce competency and demands of the organisation.</w:t>
      </w:r>
    </w:p>
    <w:p w14:paraId="6262F2A0" w14:textId="51C9DA9A" w:rsid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HR Strategies and Theoretical Frameworks</w:t>
      </w:r>
    </w:p>
    <w:p w14:paraId="14CCC5FC" w14:textId="4947E11A" w:rsidR="00BB1150" w:rsidRDefault="00BB1150" w:rsidP="00355C0B">
      <w:pPr>
        <w:spacing w:line="360" w:lineRule="auto"/>
        <w:jc w:val="both"/>
        <w:rPr>
          <w:rFonts w:ascii="Arial" w:hAnsi="Arial" w:cs="Arial"/>
          <w:b/>
          <w:bCs/>
          <w:sz w:val="24"/>
          <w:szCs w:val="24"/>
        </w:rPr>
      </w:pPr>
      <w:r>
        <w:rPr>
          <w:noProof/>
        </w:rPr>
        <w:drawing>
          <wp:inline distT="0" distB="0" distL="0" distR="0" wp14:anchorId="20DE12F4" wp14:editId="276781BE">
            <wp:extent cx="3978910" cy="2872874"/>
            <wp:effectExtent l="0" t="0" r="2540" b="3810"/>
            <wp:docPr id="2116993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4564" cy="2876956"/>
                    </a:xfrm>
                    <a:prstGeom prst="rect">
                      <a:avLst/>
                    </a:prstGeom>
                    <a:noFill/>
                    <a:ln>
                      <a:noFill/>
                    </a:ln>
                  </pic:spPr>
                </pic:pic>
              </a:graphicData>
            </a:graphic>
          </wp:inline>
        </w:drawing>
      </w:r>
    </w:p>
    <w:p w14:paraId="6C078AA8" w14:textId="0F805A6E" w:rsidR="00BB1150" w:rsidRPr="00BB1150" w:rsidRDefault="00BB1150" w:rsidP="00355C0B">
      <w:pPr>
        <w:spacing w:line="360" w:lineRule="auto"/>
        <w:jc w:val="both"/>
        <w:rPr>
          <w:rFonts w:ascii="Arial" w:hAnsi="Arial" w:cs="Arial"/>
          <w:sz w:val="24"/>
          <w:szCs w:val="24"/>
        </w:rPr>
      </w:pPr>
      <w:r w:rsidRPr="00BB1150">
        <w:rPr>
          <w:rFonts w:ascii="Arial" w:hAnsi="Arial" w:cs="Arial"/>
          <w:sz w:val="24"/>
          <w:szCs w:val="24"/>
        </w:rPr>
        <w:t xml:space="preserve">Figure: HR Strategies </w:t>
      </w:r>
    </w:p>
    <w:p w14:paraId="446129BF" w14:textId="4F63DC7A" w:rsidR="00BB1150" w:rsidRPr="006A6EA5" w:rsidRDefault="00BB1150" w:rsidP="00355C0B">
      <w:pPr>
        <w:spacing w:line="360" w:lineRule="auto"/>
        <w:jc w:val="both"/>
        <w:rPr>
          <w:rFonts w:ascii="Arial" w:hAnsi="Arial" w:cs="Arial"/>
          <w:b/>
          <w:bCs/>
          <w:sz w:val="24"/>
          <w:szCs w:val="24"/>
        </w:rPr>
      </w:pPr>
      <w:r w:rsidRPr="00BB1150">
        <w:rPr>
          <w:rFonts w:ascii="Arial" w:hAnsi="Arial" w:cs="Arial"/>
          <w:sz w:val="24"/>
          <w:szCs w:val="24"/>
        </w:rPr>
        <w:t>Source:</w:t>
      </w:r>
      <w:r>
        <w:rPr>
          <w:rFonts w:ascii="Arial" w:hAnsi="Arial" w:cs="Arial"/>
          <w:b/>
          <w:bCs/>
          <w:sz w:val="24"/>
          <w:szCs w:val="24"/>
        </w:rPr>
        <w:t xml:space="preserve"> </w:t>
      </w:r>
      <w:r w:rsidRPr="00355C0B">
        <w:rPr>
          <w:rFonts w:ascii="Arial" w:hAnsi="Arial" w:cs="Arial"/>
          <w:sz w:val="24"/>
          <w:szCs w:val="24"/>
        </w:rPr>
        <w:t>(</w:t>
      </w:r>
      <w:proofErr w:type="spellStart"/>
      <w:r w:rsidRPr="00355C0B">
        <w:rPr>
          <w:rFonts w:ascii="Arial" w:hAnsi="Arial" w:cs="Arial"/>
          <w:sz w:val="24"/>
          <w:szCs w:val="24"/>
        </w:rPr>
        <w:t>Sukanti</w:t>
      </w:r>
      <w:proofErr w:type="spellEnd"/>
      <w:r w:rsidRPr="00355C0B">
        <w:rPr>
          <w:rFonts w:ascii="Arial" w:hAnsi="Arial" w:cs="Arial"/>
          <w:sz w:val="24"/>
          <w:szCs w:val="24"/>
        </w:rPr>
        <w:t>, Harto and Pramuditha, 2021)</w:t>
      </w:r>
    </w:p>
    <w:p w14:paraId="6C6E9197" w14:textId="562D759C"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 xml:space="preserve">Organisations need to hold strategic approaches based on HR and the economic theory to deal with these challenges. The Talent Management Framework is a systematic approach that supports the identification, development, and retention of high-potential employees by the use of succession planning, leadership development and ongoing learning. Such a framework makes sure that key positions are occupied </w:t>
      </w:r>
      <w:r w:rsidRPr="00355C0B">
        <w:rPr>
          <w:rFonts w:ascii="Arial" w:hAnsi="Arial" w:cs="Arial"/>
          <w:sz w:val="24"/>
          <w:szCs w:val="24"/>
        </w:rPr>
        <w:lastRenderedPageBreak/>
        <w:t>by able and committed people who share organisational objectives</w:t>
      </w:r>
      <w:r w:rsidR="00355C0B" w:rsidRPr="00355C0B">
        <w:rPr>
          <w:rFonts w:ascii="Arial" w:hAnsi="Arial" w:cs="Arial"/>
          <w:sz w:val="24"/>
          <w:szCs w:val="24"/>
        </w:rPr>
        <w:t xml:space="preserve"> (</w:t>
      </w:r>
      <w:proofErr w:type="spellStart"/>
      <w:r w:rsidR="00355C0B" w:rsidRPr="00355C0B">
        <w:rPr>
          <w:rFonts w:ascii="Arial" w:hAnsi="Arial" w:cs="Arial"/>
          <w:sz w:val="24"/>
          <w:szCs w:val="24"/>
        </w:rPr>
        <w:t>Sukanti</w:t>
      </w:r>
      <w:proofErr w:type="spellEnd"/>
      <w:r w:rsidR="00355C0B" w:rsidRPr="00355C0B">
        <w:rPr>
          <w:rFonts w:ascii="Arial" w:hAnsi="Arial" w:cs="Arial"/>
          <w:sz w:val="24"/>
          <w:szCs w:val="24"/>
        </w:rPr>
        <w:t>, Harto and Pramuditha, 2021).</w:t>
      </w:r>
      <w:r w:rsidRPr="00355C0B">
        <w:rPr>
          <w:rFonts w:ascii="Arial" w:hAnsi="Arial" w:cs="Arial"/>
          <w:sz w:val="24"/>
          <w:szCs w:val="24"/>
        </w:rPr>
        <w:t xml:space="preserve"> The Human Capital Theory also focuses on employee education and training as an alternative to productivity and </w:t>
      </w:r>
      <w:proofErr w:type="gramStart"/>
      <w:r w:rsidRPr="00355C0B">
        <w:rPr>
          <w:rFonts w:ascii="Arial" w:hAnsi="Arial" w:cs="Arial"/>
          <w:sz w:val="24"/>
          <w:szCs w:val="24"/>
        </w:rPr>
        <w:t>long term</w:t>
      </w:r>
      <w:proofErr w:type="gramEnd"/>
      <w:r w:rsidRPr="00355C0B">
        <w:rPr>
          <w:rFonts w:ascii="Arial" w:hAnsi="Arial" w:cs="Arial"/>
          <w:sz w:val="24"/>
          <w:szCs w:val="24"/>
        </w:rPr>
        <w:t xml:space="preserve"> competitiveness. The organisations are pushed to focus on the learning and development initiatives by looking at employees as assets, rather than costs. Besides, PESTLE analysis assists the HR professionals to recognize the external factors like trends in technology, changes in the economy, and legislation, which are likely to affect the availability of the workforce and skills to make more responsive and informed decisions</w:t>
      </w:r>
      <w:r w:rsidR="00355C0B" w:rsidRPr="00355C0B">
        <w:rPr>
          <w:rFonts w:ascii="Arial" w:hAnsi="Arial" w:cs="Arial"/>
          <w:sz w:val="24"/>
          <w:szCs w:val="24"/>
        </w:rPr>
        <w:t xml:space="preserve"> (</w:t>
      </w:r>
      <w:proofErr w:type="spellStart"/>
      <w:r w:rsidR="00355C0B" w:rsidRPr="00355C0B">
        <w:rPr>
          <w:rFonts w:ascii="Arial" w:hAnsi="Arial" w:cs="Arial"/>
          <w:sz w:val="24"/>
          <w:szCs w:val="24"/>
        </w:rPr>
        <w:t>Sukanti</w:t>
      </w:r>
      <w:proofErr w:type="spellEnd"/>
      <w:r w:rsidR="00355C0B" w:rsidRPr="00355C0B">
        <w:rPr>
          <w:rFonts w:ascii="Arial" w:hAnsi="Arial" w:cs="Arial"/>
          <w:sz w:val="24"/>
          <w:szCs w:val="24"/>
        </w:rPr>
        <w:t>, Harto and Pramuditha, 2021).</w:t>
      </w:r>
    </w:p>
    <w:p w14:paraId="4A5DF178" w14:textId="0D2C02A8" w:rsidR="006A6EA5" w:rsidRPr="006A6EA5" w:rsidRDefault="006A6EA5" w:rsidP="00355C0B">
      <w:pPr>
        <w:spacing w:line="360" w:lineRule="auto"/>
        <w:jc w:val="both"/>
        <w:rPr>
          <w:rFonts w:ascii="Arial" w:hAnsi="Arial" w:cs="Arial"/>
          <w:b/>
          <w:bCs/>
          <w:sz w:val="24"/>
          <w:szCs w:val="24"/>
        </w:rPr>
      </w:pPr>
      <w:r w:rsidRPr="006A6EA5">
        <w:rPr>
          <w:rFonts w:ascii="Arial" w:hAnsi="Arial" w:cs="Arial"/>
          <w:b/>
          <w:bCs/>
          <w:sz w:val="24"/>
          <w:szCs w:val="24"/>
        </w:rPr>
        <w:t>Organisational and Governmental Practices</w:t>
      </w:r>
    </w:p>
    <w:p w14:paraId="7846DB6A" w14:textId="636232B8"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Effective organisations have installed new solutions to overcome skills shortage. Global reskilling programs have been introduced in the technology sector by companies like Microsoft, and IBM to train employees and job seekers to acquire emerging digital skills. Healthcare has also seen the launch of partnerships between several hospitals and universities and vocational institutions as a way to build specific training streams among nurses and other professionals. In an attempt to win the younger generations, the hospitality sector especially in post-pandemic recovery has implemented a flexible working model and employee engagement programs</w:t>
      </w:r>
      <w:r w:rsidR="00355C0B" w:rsidRPr="00355C0B">
        <w:rPr>
          <w:rFonts w:ascii="Arial" w:hAnsi="Arial" w:cs="Arial"/>
          <w:sz w:val="24"/>
          <w:szCs w:val="24"/>
        </w:rPr>
        <w:t xml:space="preserve"> (Aparecido et al., 2023).</w:t>
      </w:r>
      <w:r w:rsidRPr="00355C0B">
        <w:rPr>
          <w:rFonts w:ascii="Arial" w:hAnsi="Arial" w:cs="Arial"/>
          <w:sz w:val="24"/>
          <w:szCs w:val="24"/>
        </w:rPr>
        <w:t xml:space="preserve"> Governments also have a very important part because they provide education reformation, apprenticeship programs and migration policies which promote the movement of skilled labour. To take some examples, a number of countries have developed national reskilling measures to equip </w:t>
      </w:r>
      <w:proofErr w:type="spellStart"/>
      <w:r w:rsidRPr="00355C0B">
        <w:rPr>
          <w:rFonts w:ascii="Arial" w:hAnsi="Arial" w:cs="Arial"/>
          <w:sz w:val="24"/>
          <w:szCs w:val="24"/>
        </w:rPr>
        <w:t>laborers</w:t>
      </w:r>
      <w:proofErr w:type="spellEnd"/>
      <w:r w:rsidRPr="00355C0B">
        <w:rPr>
          <w:rFonts w:ascii="Arial" w:hAnsi="Arial" w:cs="Arial"/>
          <w:sz w:val="24"/>
          <w:szCs w:val="24"/>
        </w:rPr>
        <w:t xml:space="preserve"> with future work, cover the gaps by working together with industry and education providers. The skills gaps can be mitigated by strategic HR planning, investment in human capital, and partnership between the public and the private sectors. Companies that put stronger emphasis on the idea of continuous learning, diversity in recruiting, and flexible employment strategies can better address the problem of talent deficit and ensure long-term growth in the fast-evolving economic conditions</w:t>
      </w:r>
      <w:r w:rsidR="00355C0B" w:rsidRPr="00355C0B">
        <w:rPr>
          <w:rFonts w:ascii="Arial" w:hAnsi="Arial" w:cs="Arial"/>
          <w:sz w:val="24"/>
          <w:szCs w:val="24"/>
        </w:rPr>
        <w:t xml:space="preserve"> (Aparecido et al., 2023).</w:t>
      </w:r>
    </w:p>
    <w:p w14:paraId="3BFEB6D5" w14:textId="7BD99D32" w:rsidR="006A6EA5" w:rsidRPr="00355C0B" w:rsidRDefault="000E1490" w:rsidP="00355C0B">
      <w:pPr>
        <w:pStyle w:val="Heading2"/>
        <w:spacing w:line="360" w:lineRule="auto"/>
        <w:jc w:val="both"/>
        <w:rPr>
          <w:rFonts w:ascii="Arial" w:hAnsi="Arial" w:cs="Arial"/>
          <w:szCs w:val="24"/>
        </w:rPr>
      </w:pPr>
      <w:bookmarkStart w:id="5" w:name="_Toc213857748"/>
      <w:r w:rsidRPr="00355C0B">
        <w:rPr>
          <w:rFonts w:ascii="Arial" w:hAnsi="Arial" w:cs="Arial"/>
          <w:szCs w:val="24"/>
        </w:rPr>
        <w:t>2</w:t>
      </w:r>
      <w:r w:rsidR="006A6EA5" w:rsidRPr="00355C0B">
        <w:rPr>
          <w:rFonts w:ascii="Arial" w:hAnsi="Arial" w:cs="Arial"/>
          <w:szCs w:val="24"/>
        </w:rPr>
        <w:t>.</w:t>
      </w:r>
      <w:r w:rsidRPr="00355C0B">
        <w:rPr>
          <w:rFonts w:ascii="Arial" w:hAnsi="Arial" w:cs="Arial"/>
          <w:szCs w:val="24"/>
        </w:rPr>
        <w:t>4</w:t>
      </w:r>
      <w:r w:rsidR="006A6EA5" w:rsidRPr="00355C0B">
        <w:rPr>
          <w:rFonts w:ascii="Arial" w:hAnsi="Arial" w:cs="Arial"/>
          <w:szCs w:val="24"/>
        </w:rPr>
        <w:t xml:space="preserve"> Reflective Analysis of Personal Capabilities</w:t>
      </w:r>
      <w:bookmarkEnd w:id="5"/>
    </w:p>
    <w:p w14:paraId="1E7A5464" w14:textId="1EB68D10"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 xml:space="preserve">Operating in a more global and digitalised world means one has to be flexible, cross-culturally aware, and capable of using digital tools productively. In both my MBA and </w:t>
      </w:r>
      <w:r w:rsidRPr="00355C0B">
        <w:rPr>
          <w:rFonts w:ascii="Arial" w:hAnsi="Arial" w:cs="Arial"/>
          <w:sz w:val="24"/>
          <w:szCs w:val="24"/>
        </w:rPr>
        <w:lastRenderedPageBreak/>
        <w:t>workplace experiences, I acquired a number of skills in the fields of technology, communication, teamwork, leadership, and self-directed learning, as well as some areas where I need to continue improving. This reflection is a candid evaluation of these abilities and a plan of action on my further growth</w:t>
      </w:r>
      <w:r w:rsidR="00355C0B" w:rsidRPr="00355C0B">
        <w:rPr>
          <w:rFonts w:ascii="Arial" w:hAnsi="Arial" w:cs="Arial"/>
          <w:sz w:val="24"/>
          <w:szCs w:val="24"/>
        </w:rPr>
        <w:t xml:space="preserve"> (Alparslan, 2024).</w:t>
      </w:r>
    </w:p>
    <w:p w14:paraId="56042FE8" w14:textId="77777777" w:rsidR="000E1490" w:rsidRPr="00355C0B" w:rsidRDefault="000E1490" w:rsidP="00355C0B">
      <w:pPr>
        <w:spacing w:line="360" w:lineRule="auto"/>
        <w:jc w:val="both"/>
        <w:rPr>
          <w:rFonts w:ascii="Arial" w:hAnsi="Arial" w:cs="Arial"/>
          <w:b/>
          <w:bCs/>
          <w:sz w:val="24"/>
          <w:szCs w:val="24"/>
        </w:rPr>
      </w:pPr>
      <w:r w:rsidRPr="00355C0B">
        <w:rPr>
          <w:rFonts w:ascii="Arial" w:hAnsi="Arial" w:cs="Arial"/>
          <w:b/>
          <w:bCs/>
          <w:sz w:val="24"/>
          <w:szCs w:val="24"/>
        </w:rPr>
        <w:t>Technology Skills</w:t>
      </w:r>
    </w:p>
    <w:p w14:paraId="79AEBE3B" w14:textId="3F15F035"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In world business environments, technological adequacy has turned out to be the key to efficient metaphorical cooperation and decision making. My MBA coursework has enabled me to have practical experience with the use of digital platforms like Microsoft Teams, Zoom, and collaboration tools like Trello and Google Workspace. I have also been able to communicate effectively with my peers working in various time zones and coordinate group work effectively with these tools</w:t>
      </w:r>
      <w:r w:rsidR="00355C0B" w:rsidRPr="00355C0B">
        <w:rPr>
          <w:rFonts w:ascii="Arial" w:hAnsi="Arial" w:cs="Arial"/>
          <w:sz w:val="24"/>
          <w:szCs w:val="24"/>
        </w:rPr>
        <w:t xml:space="preserve"> (Alparslan, 2024).</w:t>
      </w:r>
      <w:r w:rsidRPr="00355C0B">
        <w:rPr>
          <w:rFonts w:ascii="Arial" w:hAnsi="Arial" w:cs="Arial"/>
          <w:sz w:val="24"/>
          <w:szCs w:val="24"/>
        </w:rPr>
        <w:t xml:space="preserve"> Of course, I believe that I will be able to analyse data with the help of excel and some simple analytics software which helped in making evidence-based decisions. Nevertheless, I understand that I need to be more informed in advanced data analytics and new technologies like artificial intelligence and automation. In order to become better, I will take short professional courses in data visualisation and AI applications in business management, which will also increase my knowledge and understanding of technology and its strategic use</w:t>
      </w:r>
      <w:r w:rsidR="00355C0B" w:rsidRPr="00355C0B">
        <w:rPr>
          <w:rFonts w:ascii="Arial" w:hAnsi="Arial" w:cs="Arial"/>
          <w:sz w:val="24"/>
          <w:szCs w:val="24"/>
        </w:rPr>
        <w:t xml:space="preserve"> (Farndale et al., 2022).</w:t>
      </w:r>
    </w:p>
    <w:p w14:paraId="3FC4CD4D" w14:textId="77777777" w:rsidR="000E1490" w:rsidRPr="00355C0B" w:rsidRDefault="000E1490" w:rsidP="00355C0B">
      <w:pPr>
        <w:spacing w:line="360" w:lineRule="auto"/>
        <w:jc w:val="both"/>
        <w:rPr>
          <w:rFonts w:ascii="Arial" w:hAnsi="Arial" w:cs="Arial"/>
          <w:b/>
          <w:bCs/>
          <w:sz w:val="24"/>
          <w:szCs w:val="24"/>
        </w:rPr>
      </w:pPr>
      <w:r w:rsidRPr="00355C0B">
        <w:rPr>
          <w:rFonts w:ascii="Arial" w:hAnsi="Arial" w:cs="Arial"/>
          <w:b/>
          <w:bCs/>
          <w:sz w:val="24"/>
          <w:szCs w:val="24"/>
        </w:rPr>
        <w:t>Communication and Teamwork</w:t>
      </w:r>
    </w:p>
    <w:p w14:paraId="7C04E427" w14:textId="0DF5C973"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My learning process has been based on effective communication and teamwork. Through group projects, I got to learn how to effectively communicate my ideas, listen to others, and adjust to the various cultural and professional backgrounds by changing my style of communication. My personal strength is the ability to build teamwork and keep the team together when faced with strong deadlines</w:t>
      </w:r>
      <w:r w:rsidR="00355C0B" w:rsidRPr="00355C0B">
        <w:rPr>
          <w:rFonts w:ascii="Arial" w:hAnsi="Arial" w:cs="Arial"/>
          <w:sz w:val="24"/>
          <w:szCs w:val="24"/>
        </w:rPr>
        <w:t xml:space="preserve"> (Farndale et al., 2022).</w:t>
      </w:r>
      <w:r w:rsidRPr="00355C0B">
        <w:rPr>
          <w:rFonts w:ascii="Arial" w:hAnsi="Arial" w:cs="Arial"/>
          <w:sz w:val="24"/>
          <w:szCs w:val="24"/>
        </w:rPr>
        <w:t xml:space="preserve"> But sometimes I struggle to deal with divergent views in multicultural groups especially in cases where there is a variation in working styles. It is in this regard that I will undertake conflict resolution and intercultural communication training to enhance this area. I will also remain engaged in team-based settings to learn to be empathetic and negotiate, which are essential to collaboration in an international team</w:t>
      </w:r>
      <w:r w:rsidR="00355C0B" w:rsidRPr="00355C0B">
        <w:rPr>
          <w:rFonts w:ascii="Arial" w:hAnsi="Arial" w:cs="Arial"/>
          <w:sz w:val="24"/>
          <w:szCs w:val="24"/>
        </w:rPr>
        <w:t xml:space="preserve"> (Farndale et al., 2022).</w:t>
      </w:r>
    </w:p>
    <w:p w14:paraId="62B19C8F" w14:textId="77777777" w:rsidR="000E1490" w:rsidRPr="00355C0B" w:rsidRDefault="000E1490" w:rsidP="00355C0B">
      <w:pPr>
        <w:spacing w:line="360" w:lineRule="auto"/>
        <w:jc w:val="both"/>
        <w:rPr>
          <w:rFonts w:ascii="Arial" w:hAnsi="Arial" w:cs="Arial"/>
          <w:b/>
          <w:bCs/>
          <w:sz w:val="24"/>
          <w:szCs w:val="24"/>
        </w:rPr>
      </w:pPr>
      <w:r w:rsidRPr="00355C0B">
        <w:rPr>
          <w:rFonts w:ascii="Arial" w:hAnsi="Arial" w:cs="Arial"/>
          <w:b/>
          <w:bCs/>
          <w:sz w:val="24"/>
          <w:szCs w:val="24"/>
        </w:rPr>
        <w:t>Leadership</w:t>
      </w:r>
    </w:p>
    <w:p w14:paraId="52D00578" w14:textId="71D23CDF"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lastRenderedPageBreak/>
        <w:t>One of my emerging competencies is leadership. I have also been able to organize work, inspire the colleagues and hold them responsible in group work. I would classify my leadership style as participative-I believe in being inclusive, I believe in soliciting the input of everyone in the team and I would be interested in building a good working environment. However, I realise that I at times have been reluctant to make firm decisions where reaching an agreement becomes a hard task</w:t>
      </w:r>
      <w:r w:rsidR="00355C0B" w:rsidRPr="00355C0B">
        <w:rPr>
          <w:rFonts w:ascii="Arial" w:hAnsi="Arial" w:cs="Arial"/>
          <w:sz w:val="24"/>
          <w:szCs w:val="24"/>
        </w:rPr>
        <w:t xml:space="preserve"> (Balushi and Ranyia Ateeq, 2024).</w:t>
      </w:r>
      <w:r w:rsidRPr="00355C0B">
        <w:rPr>
          <w:rFonts w:ascii="Arial" w:hAnsi="Arial" w:cs="Arial"/>
          <w:sz w:val="24"/>
          <w:szCs w:val="24"/>
        </w:rPr>
        <w:t xml:space="preserve"> In order to develop my leadership potential, I will be participating in leadership development seminars and taking mentorship under the care of the seasoned experts. The role of volunteering leadership positions in professional networks will assist me in gaining more confidence and strategic decision-making skills, as well.</w:t>
      </w:r>
    </w:p>
    <w:p w14:paraId="116EBF89" w14:textId="77777777" w:rsidR="000E1490" w:rsidRPr="00355C0B" w:rsidRDefault="000E1490" w:rsidP="00355C0B">
      <w:pPr>
        <w:spacing w:line="360" w:lineRule="auto"/>
        <w:jc w:val="both"/>
        <w:rPr>
          <w:rFonts w:ascii="Arial" w:hAnsi="Arial" w:cs="Arial"/>
          <w:b/>
          <w:bCs/>
          <w:sz w:val="24"/>
          <w:szCs w:val="24"/>
        </w:rPr>
      </w:pPr>
      <w:r w:rsidRPr="00355C0B">
        <w:rPr>
          <w:rFonts w:ascii="Arial" w:hAnsi="Arial" w:cs="Arial"/>
          <w:b/>
          <w:bCs/>
          <w:sz w:val="24"/>
          <w:szCs w:val="24"/>
        </w:rPr>
        <w:t>Self-Directed Learning</w:t>
      </w:r>
    </w:p>
    <w:p w14:paraId="60B6B6AC" w14:textId="4BF51A85"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 xml:space="preserve">Self-directed learning has played an important role in my academic and professional development. I always strive to fill the knowledge gaps by taking initiatives to find the relevant resources. As a case in point, as </w:t>
      </w:r>
      <w:proofErr w:type="gramStart"/>
      <w:r w:rsidRPr="00355C0B">
        <w:rPr>
          <w:rFonts w:ascii="Arial" w:hAnsi="Arial" w:cs="Arial"/>
          <w:sz w:val="24"/>
          <w:szCs w:val="24"/>
        </w:rPr>
        <w:t>a</w:t>
      </w:r>
      <w:proofErr w:type="gramEnd"/>
      <w:r w:rsidRPr="00355C0B">
        <w:rPr>
          <w:rFonts w:ascii="Arial" w:hAnsi="Arial" w:cs="Arial"/>
          <w:sz w:val="24"/>
          <w:szCs w:val="24"/>
        </w:rPr>
        <w:t xml:space="preserve"> MBA student, I went out of my course readings to research modern HR and management practices, which enhanced my critical and analytical thinking ability</w:t>
      </w:r>
      <w:r w:rsidR="00355C0B" w:rsidRPr="00355C0B">
        <w:rPr>
          <w:rFonts w:ascii="Arial" w:hAnsi="Arial" w:cs="Arial"/>
          <w:sz w:val="24"/>
          <w:szCs w:val="24"/>
        </w:rPr>
        <w:t xml:space="preserve"> (</w:t>
      </w:r>
      <w:proofErr w:type="spellStart"/>
      <w:r w:rsidR="00355C0B" w:rsidRPr="00355C0B">
        <w:rPr>
          <w:rFonts w:ascii="Arial" w:hAnsi="Arial" w:cs="Arial"/>
          <w:sz w:val="24"/>
          <w:szCs w:val="24"/>
        </w:rPr>
        <w:t>Balawi</w:t>
      </w:r>
      <w:proofErr w:type="spellEnd"/>
      <w:r w:rsidR="00355C0B" w:rsidRPr="00355C0B">
        <w:rPr>
          <w:rFonts w:ascii="Arial" w:hAnsi="Arial" w:cs="Arial"/>
          <w:sz w:val="24"/>
          <w:szCs w:val="24"/>
        </w:rPr>
        <w:t xml:space="preserve"> and Wachira, 2021).</w:t>
      </w:r>
      <w:r w:rsidRPr="00355C0B">
        <w:rPr>
          <w:rFonts w:ascii="Arial" w:hAnsi="Arial" w:cs="Arial"/>
          <w:sz w:val="24"/>
          <w:szCs w:val="24"/>
        </w:rPr>
        <w:t xml:space="preserve"> My biggest problem is time management where I struggle to keep up with the time in order to balance between different engagements. To overcome this, I will assume systematic learning programs and establish clear and realistic objectives of professional growth.</w:t>
      </w:r>
    </w:p>
    <w:p w14:paraId="5C8ABE66" w14:textId="77777777" w:rsidR="000E1490" w:rsidRPr="00355C0B" w:rsidRDefault="000E1490" w:rsidP="00355C0B">
      <w:pPr>
        <w:spacing w:line="360" w:lineRule="auto"/>
        <w:jc w:val="both"/>
        <w:rPr>
          <w:rFonts w:ascii="Arial" w:hAnsi="Arial" w:cs="Arial"/>
          <w:b/>
          <w:bCs/>
          <w:sz w:val="24"/>
          <w:szCs w:val="24"/>
        </w:rPr>
      </w:pPr>
      <w:r w:rsidRPr="00355C0B">
        <w:rPr>
          <w:rFonts w:ascii="Arial" w:hAnsi="Arial" w:cs="Arial"/>
          <w:b/>
          <w:bCs/>
          <w:sz w:val="24"/>
          <w:szCs w:val="24"/>
        </w:rPr>
        <w:t>Action Plan</w:t>
      </w:r>
    </w:p>
    <w:p w14:paraId="51B727B2" w14:textId="156F1F20" w:rsidR="000E1490" w:rsidRPr="00355C0B" w:rsidRDefault="000E1490" w:rsidP="00355C0B">
      <w:pPr>
        <w:spacing w:line="360" w:lineRule="auto"/>
        <w:jc w:val="both"/>
        <w:rPr>
          <w:rFonts w:ascii="Arial" w:hAnsi="Arial" w:cs="Arial"/>
          <w:sz w:val="24"/>
          <w:szCs w:val="24"/>
        </w:rPr>
      </w:pPr>
      <w:r w:rsidRPr="00355C0B">
        <w:rPr>
          <w:rFonts w:ascii="Arial" w:hAnsi="Arial" w:cs="Arial"/>
          <w:sz w:val="24"/>
          <w:szCs w:val="24"/>
        </w:rPr>
        <w:t>To make myself better prepared to work in global, technology-driven settings, I will address three areas: first, I will take online courses on digital transformation and analytics; second, I will attend leadership and communication training within the scope of which I will develop decision-making and interpersonal skills; and third, I will broaden my professional network, joining global MBA alumni and LinkedIn groups, acquiring international experience</w:t>
      </w:r>
      <w:r w:rsidR="00355C0B" w:rsidRPr="00355C0B">
        <w:rPr>
          <w:rFonts w:ascii="Arial" w:hAnsi="Arial" w:cs="Arial"/>
          <w:sz w:val="24"/>
          <w:szCs w:val="24"/>
        </w:rPr>
        <w:t xml:space="preserve"> (</w:t>
      </w:r>
      <w:proofErr w:type="spellStart"/>
      <w:r w:rsidR="00355C0B" w:rsidRPr="00355C0B">
        <w:rPr>
          <w:rFonts w:ascii="Arial" w:hAnsi="Arial" w:cs="Arial"/>
          <w:sz w:val="24"/>
          <w:szCs w:val="24"/>
        </w:rPr>
        <w:t>Balawi</w:t>
      </w:r>
      <w:proofErr w:type="spellEnd"/>
      <w:r w:rsidR="00355C0B" w:rsidRPr="00355C0B">
        <w:rPr>
          <w:rFonts w:ascii="Arial" w:hAnsi="Arial" w:cs="Arial"/>
          <w:sz w:val="24"/>
          <w:szCs w:val="24"/>
        </w:rPr>
        <w:t xml:space="preserve"> and Wachira, 2021).</w:t>
      </w:r>
    </w:p>
    <w:p w14:paraId="4F491B6C" w14:textId="2B9B71B3" w:rsidR="000E1490" w:rsidRPr="00355C0B" w:rsidRDefault="000E1490" w:rsidP="00BB1150">
      <w:pPr>
        <w:pStyle w:val="Heading1"/>
      </w:pPr>
      <w:bookmarkStart w:id="6" w:name="_Toc213857749"/>
      <w:r w:rsidRPr="00355C0B">
        <w:t>3. Conclusion</w:t>
      </w:r>
      <w:bookmarkEnd w:id="6"/>
    </w:p>
    <w:p w14:paraId="35F7B615" w14:textId="595C8132" w:rsidR="00AE66E0" w:rsidRDefault="00AE66E0" w:rsidP="00355C0B">
      <w:pPr>
        <w:spacing w:line="360" w:lineRule="auto"/>
        <w:jc w:val="both"/>
        <w:rPr>
          <w:rFonts w:ascii="Arial" w:hAnsi="Arial" w:cs="Arial"/>
          <w:sz w:val="24"/>
          <w:szCs w:val="24"/>
        </w:rPr>
      </w:pPr>
      <w:r w:rsidRPr="00AE66E0">
        <w:rPr>
          <w:rFonts w:ascii="Arial" w:hAnsi="Arial" w:cs="Arial"/>
          <w:sz w:val="24"/>
          <w:szCs w:val="24"/>
        </w:rPr>
        <w:t xml:space="preserve">The fact that the global labour markets are dynamic also provides a justification to the significance of the HRM and IHRM in the light of the technological, demographic, and geopolitical evolution. In order to remain afloat in the world which is increasingly becoming digital and interconnected, organisations are forced to embrace innovation, </w:t>
      </w:r>
      <w:r w:rsidRPr="00AE66E0">
        <w:rPr>
          <w:rFonts w:ascii="Arial" w:hAnsi="Arial" w:cs="Arial"/>
          <w:sz w:val="24"/>
          <w:szCs w:val="24"/>
        </w:rPr>
        <w:lastRenderedPageBreak/>
        <w:t xml:space="preserve">inclusivity and lifelong learning. The obstacles to be surmounted to achieve sustainable growth comprise skills deficiencies, workforce diversity, and b bend talent policies. At the individual level, the professionals have to obtain technological skills, leadership and cross-cultural communication skills in order to obtain the success in the global environments. The strategic self-improvement and the lifelong learning </w:t>
      </w:r>
      <w:proofErr w:type="gramStart"/>
      <w:r w:rsidRPr="00AE66E0">
        <w:rPr>
          <w:rFonts w:ascii="Arial" w:hAnsi="Arial" w:cs="Arial"/>
          <w:sz w:val="24"/>
          <w:szCs w:val="24"/>
        </w:rPr>
        <w:t>becomes</w:t>
      </w:r>
      <w:proofErr w:type="gramEnd"/>
      <w:r w:rsidRPr="00AE66E0">
        <w:rPr>
          <w:rFonts w:ascii="Arial" w:hAnsi="Arial" w:cs="Arial"/>
          <w:sz w:val="24"/>
          <w:szCs w:val="24"/>
        </w:rPr>
        <w:t xml:space="preserve"> more critical due to the analysis of the areas of progress and strengths. Ultimately there should be organisational and individual cooperation to create resilient and future ready human capital that will bring the success in the volatile global economy.</w:t>
      </w:r>
    </w:p>
    <w:p w14:paraId="492E137E" w14:textId="77777777" w:rsidR="00E954E2" w:rsidRDefault="00E954E2" w:rsidP="00355C0B">
      <w:pPr>
        <w:spacing w:line="360" w:lineRule="auto"/>
        <w:jc w:val="both"/>
        <w:rPr>
          <w:rFonts w:ascii="Arial" w:hAnsi="Arial" w:cs="Arial"/>
          <w:sz w:val="24"/>
          <w:szCs w:val="24"/>
        </w:rPr>
      </w:pPr>
    </w:p>
    <w:p w14:paraId="53FFB76B" w14:textId="77777777" w:rsidR="00E954E2" w:rsidRDefault="00E954E2" w:rsidP="00355C0B">
      <w:pPr>
        <w:spacing w:line="360" w:lineRule="auto"/>
        <w:jc w:val="both"/>
        <w:rPr>
          <w:rFonts w:ascii="Arial" w:hAnsi="Arial" w:cs="Arial"/>
          <w:sz w:val="24"/>
          <w:szCs w:val="24"/>
        </w:rPr>
      </w:pPr>
    </w:p>
    <w:p w14:paraId="06EE2B74" w14:textId="77777777" w:rsidR="00E954E2" w:rsidRPr="00355C0B" w:rsidRDefault="00E954E2" w:rsidP="00355C0B">
      <w:pPr>
        <w:spacing w:line="360" w:lineRule="auto"/>
        <w:jc w:val="both"/>
        <w:rPr>
          <w:rFonts w:ascii="Arial" w:hAnsi="Arial" w:cs="Arial"/>
          <w:sz w:val="24"/>
          <w:szCs w:val="24"/>
        </w:rPr>
      </w:pPr>
    </w:p>
    <w:p w14:paraId="3845AE93" w14:textId="77777777" w:rsidR="006A6EA5" w:rsidRPr="00355C0B" w:rsidRDefault="006A6EA5" w:rsidP="00355C0B">
      <w:pPr>
        <w:spacing w:line="360" w:lineRule="auto"/>
        <w:jc w:val="both"/>
        <w:rPr>
          <w:rFonts w:ascii="Arial" w:hAnsi="Arial" w:cs="Arial"/>
          <w:sz w:val="24"/>
          <w:szCs w:val="24"/>
          <w:lang w:val="en-US"/>
        </w:rPr>
      </w:pPr>
    </w:p>
    <w:p w14:paraId="50E5B15C" w14:textId="77777777" w:rsidR="00355C0B" w:rsidRPr="00355C0B" w:rsidRDefault="00355C0B" w:rsidP="00355C0B">
      <w:pPr>
        <w:spacing w:line="360" w:lineRule="auto"/>
        <w:jc w:val="both"/>
        <w:rPr>
          <w:rFonts w:ascii="Arial" w:hAnsi="Arial" w:cs="Arial"/>
          <w:b/>
          <w:bCs/>
          <w:sz w:val="24"/>
          <w:szCs w:val="24"/>
          <w:lang w:val="en-US"/>
        </w:rPr>
      </w:pPr>
      <w:r w:rsidRPr="00355C0B">
        <w:rPr>
          <w:rFonts w:ascii="Arial" w:hAnsi="Arial" w:cs="Arial"/>
          <w:b/>
          <w:bCs/>
          <w:sz w:val="24"/>
          <w:szCs w:val="24"/>
          <w:lang w:val="en-US"/>
        </w:rPr>
        <w:br w:type="page"/>
      </w:r>
    </w:p>
    <w:p w14:paraId="5E7D3865" w14:textId="48005C67" w:rsidR="000E1490" w:rsidRPr="00355C0B" w:rsidRDefault="00355C0B" w:rsidP="00BB1150">
      <w:pPr>
        <w:pStyle w:val="Heading1"/>
      </w:pPr>
      <w:bookmarkStart w:id="7" w:name="_Toc213857750"/>
      <w:r w:rsidRPr="00355C0B">
        <w:lastRenderedPageBreak/>
        <w:t>References</w:t>
      </w:r>
      <w:bookmarkEnd w:id="7"/>
    </w:p>
    <w:p w14:paraId="167FDF91" w14:textId="01A8E907" w:rsidR="00355C0B" w:rsidRPr="00355C0B" w:rsidRDefault="00355C0B" w:rsidP="00355C0B">
      <w:pPr>
        <w:spacing w:line="360" w:lineRule="auto"/>
        <w:jc w:val="both"/>
        <w:rPr>
          <w:rFonts w:ascii="Arial" w:hAnsi="Arial" w:cs="Arial"/>
          <w:sz w:val="24"/>
          <w:szCs w:val="24"/>
        </w:rPr>
      </w:pPr>
      <w:proofErr w:type="spellStart"/>
      <w:r w:rsidRPr="00355C0B">
        <w:rPr>
          <w:rFonts w:ascii="Arial" w:hAnsi="Arial" w:cs="Arial"/>
          <w:sz w:val="24"/>
          <w:szCs w:val="24"/>
        </w:rPr>
        <w:t>Aldossari</w:t>
      </w:r>
      <w:proofErr w:type="spellEnd"/>
      <w:r w:rsidRPr="00355C0B">
        <w:rPr>
          <w:rFonts w:ascii="Arial" w:hAnsi="Arial" w:cs="Arial"/>
          <w:sz w:val="24"/>
          <w:szCs w:val="24"/>
        </w:rPr>
        <w:t xml:space="preserve">, M. and Chaudhry, S. (2024). Gendered precarity in Saudi Arabia: Examining the state policies and patriarchal culture in the </w:t>
      </w:r>
      <w:proofErr w:type="spellStart"/>
      <w:r w:rsidRPr="00355C0B">
        <w:rPr>
          <w:rFonts w:ascii="Arial" w:hAnsi="Arial" w:cs="Arial"/>
          <w:sz w:val="24"/>
          <w:szCs w:val="24"/>
        </w:rPr>
        <w:t>labor</w:t>
      </w:r>
      <w:proofErr w:type="spellEnd"/>
      <w:r w:rsidRPr="00355C0B">
        <w:rPr>
          <w:rFonts w:ascii="Arial" w:hAnsi="Arial" w:cs="Arial"/>
          <w:sz w:val="24"/>
          <w:szCs w:val="24"/>
        </w:rPr>
        <w:t xml:space="preserve"> market. </w:t>
      </w:r>
      <w:r w:rsidRPr="00355C0B">
        <w:rPr>
          <w:rFonts w:ascii="Arial" w:hAnsi="Arial" w:cs="Arial"/>
          <w:i/>
          <w:iCs/>
          <w:sz w:val="24"/>
          <w:szCs w:val="24"/>
        </w:rPr>
        <w:t>Gender, Work &amp; Organization</w:t>
      </w:r>
      <w:r w:rsidRPr="00355C0B">
        <w:rPr>
          <w:rFonts w:ascii="Arial" w:hAnsi="Arial" w:cs="Arial"/>
          <w:sz w:val="24"/>
          <w:szCs w:val="24"/>
        </w:rPr>
        <w:t xml:space="preserve">, 31(6).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2" w:history="1">
        <w:r w:rsidRPr="00355C0B">
          <w:rPr>
            <w:rStyle w:val="Hyperlink"/>
            <w:rFonts w:ascii="Arial" w:hAnsi="Arial" w:cs="Arial"/>
            <w:sz w:val="24"/>
            <w:szCs w:val="24"/>
          </w:rPr>
          <w:t>https://doi.org/10.1111/gwao.13119</w:t>
        </w:r>
      </w:hyperlink>
      <w:r w:rsidRPr="00355C0B">
        <w:rPr>
          <w:rFonts w:ascii="Arial" w:hAnsi="Arial" w:cs="Arial"/>
          <w:sz w:val="24"/>
          <w:szCs w:val="24"/>
        </w:rPr>
        <w:t xml:space="preserve">. </w:t>
      </w:r>
    </w:p>
    <w:p w14:paraId="42B07ABE" w14:textId="76543C66"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Alparslan, F.F. (2024). Adapting strategies and operations: How </w:t>
      </w:r>
      <w:proofErr w:type="spellStart"/>
      <w:r w:rsidRPr="00355C0B">
        <w:rPr>
          <w:rFonts w:ascii="Arial" w:hAnsi="Arial" w:cs="Arial"/>
          <w:sz w:val="24"/>
          <w:szCs w:val="24"/>
        </w:rPr>
        <w:t>mnes</w:t>
      </w:r>
      <w:proofErr w:type="spellEnd"/>
      <w:r w:rsidRPr="00355C0B">
        <w:rPr>
          <w:rFonts w:ascii="Arial" w:hAnsi="Arial" w:cs="Arial"/>
          <w:sz w:val="24"/>
          <w:szCs w:val="24"/>
        </w:rPr>
        <w:t xml:space="preserve"> navigate a volatile international business environment. </w:t>
      </w:r>
      <w:r w:rsidRPr="00355C0B">
        <w:rPr>
          <w:rFonts w:ascii="Arial" w:hAnsi="Arial" w:cs="Arial"/>
          <w:i/>
          <w:iCs/>
          <w:sz w:val="24"/>
          <w:szCs w:val="24"/>
        </w:rPr>
        <w:t>SSRN</w:t>
      </w:r>
      <w:r w:rsidRPr="00355C0B">
        <w:rPr>
          <w:rFonts w:ascii="Arial" w:hAnsi="Arial" w:cs="Arial"/>
          <w:sz w:val="24"/>
          <w:szCs w:val="24"/>
        </w:rPr>
        <w:t xml:space="preserve">. [online]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3" w:history="1">
        <w:r w:rsidRPr="00355C0B">
          <w:rPr>
            <w:rStyle w:val="Hyperlink"/>
            <w:rFonts w:ascii="Arial" w:hAnsi="Arial" w:cs="Arial"/>
            <w:sz w:val="24"/>
            <w:szCs w:val="24"/>
          </w:rPr>
          <w:t>https://doi.org/10.2139/ssrn.4851180</w:t>
        </w:r>
      </w:hyperlink>
      <w:r w:rsidRPr="00355C0B">
        <w:rPr>
          <w:rFonts w:ascii="Arial" w:hAnsi="Arial" w:cs="Arial"/>
          <w:sz w:val="24"/>
          <w:szCs w:val="24"/>
        </w:rPr>
        <w:t xml:space="preserve">. </w:t>
      </w:r>
    </w:p>
    <w:p w14:paraId="0761B1CB" w14:textId="2BC94B0F"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Aparecido, W., Vinicius, M., Amyra </w:t>
      </w:r>
      <w:proofErr w:type="spellStart"/>
      <w:r w:rsidRPr="00355C0B">
        <w:rPr>
          <w:rFonts w:ascii="Arial" w:hAnsi="Arial" w:cs="Arial"/>
          <w:sz w:val="24"/>
          <w:szCs w:val="24"/>
        </w:rPr>
        <w:t>Moyzes</w:t>
      </w:r>
      <w:proofErr w:type="spellEnd"/>
      <w:r w:rsidRPr="00355C0B">
        <w:rPr>
          <w:rFonts w:ascii="Arial" w:hAnsi="Arial" w:cs="Arial"/>
          <w:sz w:val="24"/>
          <w:szCs w:val="24"/>
        </w:rPr>
        <w:t xml:space="preserve"> Sarsur, André Luiz Fischer, Aline Zanini Lima and André </w:t>
      </w:r>
      <w:proofErr w:type="spellStart"/>
      <w:r w:rsidRPr="00355C0B">
        <w:rPr>
          <w:rFonts w:ascii="Arial" w:hAnsi="Arial" w:cs="Arial"/>
          <w:sz w:val="24"/>
          <w:szCs w:val="24"/>
        </w:rPr>
        <w:t>Bafti</w:t>
      </w:r>
      <w:proofErr w:type="spellEnd"/>
      <w:r w:rsidRPr="00355C0B">
        <w:rPr>
          <w:rFonts w:ascii="Arial" w:hAnsi="Arial" w:cs="Arial"/>
          <w:sz w:val="24"/>
          <w:szCs w:val="24"/>
        </w:rPr>
        <w:t xml:space="preserve"> (2023). THE INTRICATE SYSTEMIC RELATIONSHIPS BETWEEN THE LABOR MARKET, LABOR RELATIONS, AND HUMAN RESOURCES MANAGEMENT IN A PANDEMIC CONTEXT. 63(1).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4" w:history="1">
        <w:r w:rsidRPr="00355C0B">
          <w:rPr>
            <w:rStyle w:val="Hyperlink"/>
            <w:rFonts w:ascii="Arial" w:hAnsi="Arial" w:cs="Arial"/>
            <w:sz w:val="24"/>
            <w:szCs w:val="24"/>
          </w:rPr>
          <w:t>https://doi.org/10.1590/s0034-759020230103x</w:t>
        </w:r>
      </w:hyperlink>
      <w:r w:rsidRPr="00355C0B">
        <w:rPr>
          <w:rFonts w:ascii="Arial" w:hAnsi="Arial" w:cs="Arial"/>
          <w:sz w:val="24"/>
          <w:szCs w:val="24"/>
        </w:rPr>
        <w:t xml:space="preserve">. </w:t>
      </w:r>
    </w:p>
    <w:p w14:paraId="49EE5D9C" w14:textId="637AD480" w:rsidR="00355C0B" w:rsidRPr="00355C0B" w:rsidRDefault="00355C0B" w:rsidP="00355C0B">
      <w:pPr>
        <w:spacing w:line="360" w:lineRule="auto"/>
        <w:jc w:val="both"/>
        <w:rPr>
          <w:rFonts w:ascii="Arial" w:hAnsi="Arial" w:cs="Arial"/>
          <w:sz w:val="24"/>
          <w:szCs w:val="24"/>
        </w:rPr>
      </w:pPr>
      <w:proofErr w:type="spellStart"/>
      <w:r w:rsidRPr="00355C0B">
        <w:rPr>
          <w:rFonts w:ascii="Arial" w:hAnsi="Arial" w:cs="Arial"/>
          <w:sz w:val="24"/>
          <w:szCs w:val="24"/>
        </w:rPr>
        <w:t>Balawi</w:t>
      </w:r>
      <w:proofErr w:type="spellEnd"/>
      <w:r w:rsidRPr="00355C0B">
        <w:rPr>
          <w:rFonts w:ascii="Arial" w:hAnsi="Arial" w:cs="Arial"/>
          <w:sz w:val="24"/>
          <w:szCs w:val="24"/>
        </w:rPr>
        <w:t xml:space="preserve">, A. and Wachira, E.W. (2021). HRM PRACTICES ON FOREIGN-OWNED COMPANIES IN HUNGARY. </w:t>
      </w:r>
      <w:r w:rsidRPr="00355C0B">
        <w:rPr>
          <w:rFonts w:ascii="Arial" w:hAnsi="Arial" w:cs="Arial"/>
          <w:i/>
          <w:iCs/>
          <w:sz w:val="24"/>
          <w:szCs w:val="24"/>
        </w:rPr>
        <w:t>Modern Management Review</w:t>
      </w:r>
      <w:r w:rsidRPr="00355C0B">
        <w:rPr>
          <w:rFonts w:ascii="Arial" w:hAnsi="Arial" w:cs="Arial"/>
          <w:sz w:val="24"/>
          <w:szCs w:val="24"/>
        </w:rPr>
        <w:t xml:space="preserve">, 26(4), pp.7–24.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5" w:history="1">
        <w:r w:rsidRPr="00355C0B">
          <w:rPr>
            <w:rStyle w:val="Hyperlink"/>
            <w:rFonts w:ascii="Arial" w:hAnsi="Arial" w:cs="Arial"/>
            <w:sz w:val="24"/>
            <w:szCs w:val="24"/>
          </w:rPr>
          <w:t>https://doi.org/10.7862/rz.2021.mmr.21</w:t>
        </w:r>
      </w:hyperlink>
      <w:r w:rsidRPr="00355C0B">
        <w:rPr>
          <w:rFonts w:ascii="Arial" w:hAnsi="Arial" w:cs="Arial"/>
          <w:sz w:val="24"/>
          <w:szCs w:val="24"/>
        </w:rPr>
        <w:t xml:space="preserve">. </w:t>
      </w:r>
    </w:p>
    <w:p w14:paraId="588A1199" w14:textId="307602CC"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Balushi, A. and Ranyia Ateeq (2024). HRM Evolution in Oman: Navigating the Future of Workforce Management in the Sultanate’s Changing Business Landscape: DOI: 10.46988/ IJIHRM.05.01.2024.002. </w:t>
      </w:r>
      <w:r w:rsidRPr="00355C0B">
        <w:rPr>
          <w:rFonts w:ascii="Arial" w:hAnsi="Arial" w:cs="Arial"/>
          <w:i/>
          <w:iCs/>
          <w:sz w:val="24"/>
          <w:szCs w:val="24"/>
        </w:rPr>
        <w:t>International Journal of Intellectual Human Resource Management (IJIHRM)</w:t>
      </w:r>
      <w:r w:rsidRPr="00355C0B">
        <w:rPr>
          <w:rFonts w:ascii="Arial" w:hAnsi="Arial" w:cs="Arial"/>
          <w:sz w:val="24"/>
          <w:szCs w:val="24"/>
        </w:rPr>
        <w:t xml:space="preserve">, [online] 5(01), pp.8–13. Doi: </w:t>
      </w:r>
      <w:hyperlink r:id="rId16" w:history="1">
        <w:r w:rsidRPr="00355C0B">
          <w:rPr>
            <w:rStyle w:val="Hyperlink"/>
            <w:rFonts w:ascii="Arial" w:hAnsi="Arial" w:cs="Arial"/>
            <w:sz w:val="24"/>
            <w:szCs w:val="24"/>
          </w:rPr>
          <w:t>https://journals.gulfuniversity.org/index.php/ijihrm/article/view/228</w:t>
        </w:r>
      </w:hyperlink>
      <w:r w:rsidRPr="00355C0B">
        <w:rPr>
          <w:rFonts w:ascii="Arial" w:hAnsi="Arial" w:cs="Arial"/>
          <w:sz w:val="24"/>
          <w:szCs w:val="24"/>
        </w:rPr>
        <w:t xml:space="preserve">. </w:t>
      </w:r>
    </w:p>
    <w:p w14:paraId="43D1F1F3" w14:textId="66C51FDA"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Chung, C. and Sparrow, P. (2024). Exploring the Configuration of International HRM Strategies for Global Integration and Local Responsiveness in MNEs. </w:t>
      </w:r>
      <w:r w:rsidRPr="00355C0B">
        <w:rPr>
          <w:rFonts w:ascii="Arial" w:hAnsi="Arial" w:cs="Arial"/>
          <w:i/>
          <w:iCs/>
          <w:sz w:val="24"/>
          <w:szCs w:val="24"/>
        </w:rPr>
        <w:t>International Journal of Human Resource Management</w:t>
      </w:r>
      <w:r w:rsidRPr="00355C0B">
        <w:rPr>
          <w:rFonts w:ascii="Arial" w:hAnsi="Arial" w:cs="Arial"/>
          <w:sz w:val="24"/>
          <w:szCs w:val="24"/>
        </w:rPr>
        <w:t xml:space="preserve">, 35(11), pp.1943–1969.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7" w:history="1">
        <w:r w:rsidRPr="00355C0B">
          <w:rPr>
            <w:rStyle w:val="Hyperlink"/>
            <w:rFonts w:ascii="Arial" w:hAnsi="Arial" w:cs="Arial"/>
            <w:sz w:val="24"/>
            <w:szCs w:val="24"/>
          </w:rPr>
          <w:t>https://doi.org/10.1080/09585192.2024.2320768</w:t>
        </w:r>
      </w:hyperlink>
      <w:r w:rsidRPr="00355C0B">
        <w:rPr>
          <w:rFonts w:ascii="Arial" w:hAnsi="Arial" w:cs="Arial"/>
          <w:sz w:val="24"/>
          <w:szCs w:val="24"/>
        </w:rPr>
        <w:t xml:space="preserve">. </w:t>
      </w:r>
    </w:p>
    <w:p w14:paraId="683BC92C" w14:textId="5AB70F85"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Edwards, T., Almond, P., Murray, G. and Tregaskis, O. (2021). International human resource management in multinational companies: Global norm making within strategic action fields. </w:t>
      </w:r>
      <w:r w:rsidRPr="00355C0B">
        <w:rPr>
          <w:rFonts w:ascii="Arial" w:hAnsi="Arial" w:cs="Arial"/>
          <w:i/>
          <w:iCs/>
          <w:sz w:val="24"/>
          <w:szCs w:val="24"/>
        </w:rPr>
        <w:t>Human Resource Management Journal</w:t>
      </w:r>
      <w:r w:rsidRPr="00355C0B">
        <w:rPr>
          <w:rFonts w:ascii="Arial" w:hAnsi="Arial" w:cs="Arial"/>
          <w:sz w:val="24"/>
          <w:szCs w:val="24"/>
        </w:rPr>
        <w:t xml:space="preserve">, 32(3), pp.683–697.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8" w:history="1">
        <w:r w:rsidRPr="00355C0B">
          <w:rPr>
            <w:rStyle w:val="Hyperlink"/>
            <w:rFonts w:ascii="Arial" w:hAnsi="Arial" w:cs="Arial"/>
            <w:sz w:val="24"/>
            <w:szCs w:val="24"/>
          </w:rPr>
          <w:t>https://doi.org/10.1111/1748-8583.12422</w:t>
        </w:r>
      </w:hyperlink>
      <w:r w:rsidRPr="00355C0B">
        <w:rPr>
          <w:rFonts w:ascii="Arial" w:hAnsi="Arial" w:cs="Arial"/>
          <w:sz w:val="24"/>
          <w:szCs w:val="24"/>
        </w:rPr>
        <w:t xml:space="preserve">. </w:t>
      </w:r>
    </w:p>
    <w:p w14:paraId="58A18B47" w14:textId="4FFEAC56"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Farndale, E., </w:t>
      </w:r>
      <w:proofErr w:type="spellStart"/>
      <w:r w:rsidRPr="00355C0B">
        <w:rPr>
          <w:rFonts w:ascii="Arial" w:hAnsi="Arial" w:cs="Arial"/>
          <w:sz w:val="24"/>
          <w:szCs w:val="24"/>
        </w:rPr>
        <w:t>Bonache</w:t>
      </w:r>
      <w:proofErr w:type="spellEnd"/>
      <w:r w:rsidRPr="00355C0B">
        <w:rPr>
          <w:rFonts w:ascii="Arial" w:hAnsi="Arial" w:cs="Arial"/>
          <w:sz w:val="24"/>
          <w:szCs w:val="24"/>
        </w:rPr>
        <w:t xml:space="preserve">, J., McDonnell, A. and Kwon, B. (2022). Positioning context front and </w:t>
      </w:r>
      <w:proofErr w:type="spellStart"/>
      <w:r w:rsidRPr="00355C0B">
        <w:rPr>
          <w:rFonts w:ascii="Arial" w:hAnsi="Arial" w:cs="Arial"/>
          <w:sz w:val="24"/>
          <w:szCs w:val="24"/>
        </w:rPr>
        <w:t>center</w:t>
      </w:r>
      <w:proofErr w:type="spellEnd"/>
      <w:r w:rsidRPr="00355C0B">
        <w:rPr>
          <w:rFonts w:ascii="Arial" w:hAnsi="Arial" w:cs="Arial"/>
          <w:sz w:val="24"/>
          <w:szCs w:val="24"/>
        </w:rPr>
        <w:t xml:space="preserve"> in international human resource management research. </w:t>
      </w:r>
      <w:r w:rsidRPr="00355C0B">
        <w:rPr>
          <w:rFonts w:ascii="Arial" w:hAnsi="Arial" w:cs="Arial"/>
          <w:i/>
          <w:iCs/>
          <w:sz w:val="24"/>
          <w:szCs w:val="24"/>
        </w:rPr>
        <w:t xml:space="preserve">Human </w:t>
      </w:r>
      <w:r w:rsidRPr="00355C0B">
        <w:rPr>
          <w:rFonts w:ascii="Arial" w:hAnsi="Arial" w:cs="Arial"/>
          <w:i/>
          <w:iCs/>
          <w:sz w:val="24"/>
          <w:szCs w:val="24"/>
        </w:rPr>
        <w:lastRenderedPageBreak/>
        <w:t>Resource Management Journal</w:t>
      </w:r>
      <w:r w:rsidRPr="00355C0B">
        <w:rPr>
          <w:rFonts w:ascii="Arial" w:hAnsi="Arial" w:cs="Arial"/>
          <w:sz w:val="24"/>
          <w:szCs w:val="24"/>
        </w:rPr>
        <w:t xml:space="preserve">, [online] 33(1).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19" w:history="1">
        <w:r w:rsidRPr="00355C0B">
          <w:rPr>
            <w:rStyle w:val="Hyperlink"/>
            <w:rFonts w:ascii="Arial" w:hAnsi="Arial" w:cs="Arial"/>
            <w:sz w:val="24"/>
            <w:szCs w:val="24"/>
          </w:rPr>
          <w:t>https://doi.org/10.1111/1748-8583.12483</w:t>
        </w:r>
      </w:hyperlink>
      <w:r w:rsidRPr="00355C0B">
        <w:rPr>
          <w:rFonts w:ascii="Arial" w:hAnsi="Arial" w:cs="Arial"/>
          <w:sz w:val="24"/>
          <w:szCs w:val="24"/>
        </w:rPr>
        <w:t xml:space="preserve">. </w:t>
      </w:r>
    </w:p>
    <w:p w14:paraId="48690B05" w14:textId="1EE520E3" w:rsidR="00355C0B" w:rsidRPr="00355C0B" w:rsidRDefault="00355C0B" w:rsidP="00355C0B">
      <w:pPr>
        <w:spacing w:line="360" w:lineRule="auto"/>
        <w:jc w:val="both"/>
        <w:rPr>
          <w:rFonts w:ascii="Arial" w:hAnsi="Arial" w:cs="Arial"/>
          <w:sz w:val="24"/>
          <w:szCs w:val="24"/>
        </w:rPr>
      </w:pPr>
      <w:proofErr w:type="spellStart"/>
      <w:r w:rsidRPr="00355C0B">
        <w:rPr>
          <w:rFonts w:ascii="Arial" w:hAnsi="Arial" w:cs="Arial"/>
          <w:sz w:val="24"/>
          <w:szCs w:val="24"/>
        </w:rPr>
        <w:t>Nyiawung</w:t>
      </w:r>
      <w:proofErr w:type="spellEnd"/>
      <w:r w:rsidRPr="00355C0B">
        <w:rPr>
          <w:rFonts w:ascii="Arial" w:hAnsi="Arial" w:cs="Arial"/>
          <w:sz w:val="24"/>
          <w:szCs w:val="24"/>
        </w:rPr>
        <w:t xml:space="preserve">, J., Geary, J. and </w:t>
      </w:r>
      <w:proofErr w:type="spellStart"/>
      <w:r w:rsidRPr="00355C0B">
        <w:rPr>
          <w:rFonts w:ascii="Arial" w:hAnsi="Arial" w:cs="Arial"/>
          <w:sz w:val="24"/>
          <w:szCs w:val="24"/>
        </w:rPr>
        <w:t>Mandiefe</w:t>
      </w:r>
      <w:proofErr w:type="spellEnd"/>
      <w:r w:rsidRPr="00355C0B">
        <w:rPr>
          <w:rFonts w:ascii="Arial" w:hAnsi="Arial" w:cs="Arial"/>
          <w:sz w:val="24"/>
          <w:szCs w:val="24"/>
        </w:rPr>
        <w:t xml:space="preserve"> </w:t>
      </w:r>
      <w:proofErr w:type="spellStart"/>
      <w:r w:rsidRPr="00355C0B">
        <w:rPr>
          <w:rFonts w:ascii="Arial" w:hAnsi="Arial" w:cs="Arial"/>
          <w:sz w:val="24"/>
          <w:szCs w:val="24"/>
        </w:rPr>
        <w:t>Piabuo</w:t>
      </w:r>
      <w:proofErr w:type="spellEnd"/>
      <w:r w:rsidRPr="00355C0B">
        <w:rPr>
          <w:rFonts w:ascii="Arial" w:hAnsi="Arial" w:cs="Arial"/>
          <w:sz w:val="24"/>
          <w:szCs w:val="24"/>
        </w:rPr>
        <w:t xml:space="preserve"> (2023). Exploring the Neo-Colonial Influence of Chinese FDI and Western Power on the Evolution of Labor Market Policies in a Developing Country. </w:t>
      </w:r>
      <w:r w:rsidRPr="00355C0B">
        <w:rPr>
          <w:rFonts w:ascii="Arial" w:hAnsi="Arial" w:cs="Arial"/>
          <w:i/>
          <w:iCs/>
          <w:sz w:val="24"/>
          <w:szCs w:val="24"/>
        </w:rPr>
        <w:t>Management and Organization Review</w:t>
      </w:r>
      <w:r w:rsidRPr="00355C0B">
        <w:rPr>
          <w:rFonts w:ascii="Arial" w:hAnsi="Arial" w:cs="Arial"/>
          <w:sz w:val="24"/>
          <w:szCs w:val="24"/>
        </w:rPr>
        <w:t xml:space="preserve">, pp.1–24.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20" w:history="1">
        <w:r w:rsidRPr="00355C0B">
          <w:rPr>
            <w:rStyle w:val="Hyperlink"/>
            <w:rFonts w:ascii="Arial" w:hAnsi="Arial" w:cs="Arial"/>
            <w:sz w:val="24"/>
            <w:szCs w:val="24"/>
          </w:rPr>
          <w:t>https://doi.org/10.1017/mor.2023.16</w:t>
        </w:r>
      </w:hyperlink>
      <w:r w:rsidRPr="00355C0B">
        <w:rPr>
          <w:rFonts w:ascii="Arial" w:hAnsi="Arial" w:cs="Arial"/>
          <w:sz w:val="24"/>
          <w:szCs w:val="24"/>
        </w:rPr>
        <w:t xml:space="preserve">. </w:t>
      </w:r>
    </w:p>
    <w:p w14:paraId="00D88BB2" w14:textId="1C461B55" w:rsidR="00355C0B" w:rsidRPr="00355C0B" w:rsidRDefault="00355C0B" w:rsidP="00355C0B">
      <w:pPr>
        <w:spacing w:line="360" w:lineRule="auto"/>
        <w:jc w:val="both"/>
        <w:rPr>
          <w:rFonts w:ascii="Arial" w:hAnsi="Arial" w:cs="Arial"/>
          <w:sz w:val="24"/>
          <w:szCs w:val="24"/>
        </w:rPr>
      </w:pPr>
      <w:proofErr w:type="spellStart"/>
      <w:r w:rsidRPr="00355C0B">
        <w:rPr>
          <w:rFonts w:ascii="Arial" w:hAnsi="Arial" w:cs="Arial"/>
          <w:sz w:val="24"/>
          <w:szCs w:val="24"/>
        </w:rPr>
        <w:t>Sukanti</w:t>
      </w:r>
      <w:proofErr w:type="spellEnd"/>
      <w:r w:rsidRPr="00355C0B">
        <w:rPr>
          <w:rFonts w:ascii="Arial" w:hAnsi="Arial" w:cs="Arial"/>
          <w:sz w:val="24"/>
          <w:szCs w:val="24"/>
        </w:rPr>
        <w:t xml:space="preserve">, L., Harto, B. and Pramuditha, P. (2021). Analysis of relevance between international HRM and industry demand: A review of scientific literature. </w:t>
      </w:r>
      <w:r w:rsidRPr="00355C0B">
        <w:rPr>
          <w:rFonts w:ascii="Arial" w:hAnsi="Arial" w:cs="Arial"/>
          <w:i/>
          <w:iCs/>
          <w:sz w:val="24"/>
          <w:szCs w:val="24"/>
        </w:rPr>
        <w:t>International journal of business, economics &amp; management</w:t>
      </w:r>
      <w:r w:rsidRPr="00355C0B">
        <w:rPr>
          <w:rFonts w:ascii="Arial" w:hAnsi="Arial" w:cs="Arial"/>
          <w:sz w:val="24"/>
          <w:szCs w:val="24"/>
        </w:rPr>
        <w:t xml:space="preserve">, 4(1), pp.199–208.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21" w:history="1">
        <w:r w:rsidRPr="00355C0B">
          <w:rPr>
            <w:rStyle w:val="Hyperlink"/>
            <w:rFonts w:ascii="Arial" w:hAnsi="Arial" w:cs="Arial"/>
            <w:sz w:val="24"/>
            <w:szCs w:val="24"/>
          </w:rPr>
          <w:t>https://doi.org/10.31295/ijbem.v4n1.1521</w:t>
        </w:r>
      </w:hyperlink>
      <w:r w:rsidRPr="00355C0B">
        <w:rPr>
          <w:rFonts w:ascii="Arial" w:hAnsi="Arial" w:cs="Arial"/>
          <w:sz w:val="24"/>
          <w:szCs w:val="24"/>
        </w:rPr>
        <w:t xml:space="preserve">. </w:t>
      </w:r>
    </w:p>
    <w:p w14:paraId="0E73ED14" w14:textId="586DBA9A" w:rsidR="00355C0B" w:rsidRPr="00355C0B" w:rsidRDefault="00355C0B" w:rsidP="00355C0B">
      <w:pPr>
        <w:spacing w:line="360" w:lineRule="auto"/>
        <w:jc w:val="both"/>
        <w:rPr>
          <w:rFonts w:ascii="Arial" w:hAnsi="Arial" w:cs="Arial"/>
          <w:sz w:val="24"/>
          <w:szCs w:val="24"/>
        </w:rPr>
      </w:pPr>
      <w:proofErr w:type="spellStart"/>
      <w:r w:rsidRPr="00355C0B">
        <w:rPr>
          <w:rFonts w:ascii="Arial" w:hAnsi="Arial" w:cs="Arial"/>
          <w:sz w:val="24"/>
          <w:szCs w:val="24"/>
        </w:rPr>
        <w:t>Thi</w:t>
      </w:r>
      <w:proofErr w:type="spellEnd"/>
      <w:r w:rsidRPr="00355C0B">
        <w:rPr>
          <w:rFonts w:ascii="Arial" w:hAnsi="Arial" w:cs="Arial"/>
          <w:sz w:val="24"/>
          <w:szCs w:val="24"/>
        </w:rPr>
        <w:t xml:space="preserve"> Tuyet Tran (2024). Negotiating entry to the professional labour market among Vietnamese skilled migrants in Australia: The impact of cultural distance. </w:t>
      </w:r>
      <w:r w:rsidRPr="00355C0B">
        <w:rPr>
          <w:rFonts w:ascii="Arial" w:hAnsi="Arial" w:cs="Arial"/>
          <w:i/>
          <w:iCs/>
          <w:sz w:val="24"/>
          <w:szCs w:val="24"/>
        </w:rPr>
        <w:t>International journal of intercultural relations</w:t>
      </w:r>
      <w:r w:rsidRPr="00355C0B">
        <w:rPr>
          <w:rFonts w:ascii="Arial" w:hAnsi="Arial" w:cs="Arial"/>
          <w:sz w:val="24"/>
          <w:szCs w:val="24"/>
        </w:rPr>
        <w:t xml:space="preserve">, 100, pp.101977–101977.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22" w:history="1">
        <w:r w:rsidRPr="00355C0B">
          <w:rPr>
            <w:rStyle w:val="Hyperlink"/>
            <w:rFonts w:ascii="Arial" w:hAnsi="Arial" w:cs="Arial"/>
            <w:sz w:val="24"/>
            <w:szCs w:val="24"/>
          </w:rPr>
          <w:t>https://doi.org/10.1016/j.ijintrel.2024.101977</w:t>
        </w:r>
      </w:hyperlink>
      <w:r w:rsidRPr="00355C0B">
        <w:rPr>
          <w:rFonts w:ascii="Arial" w:hAnsi="Arial" w:cs="Arial"/>
          <w:sz w:val="24"/>
          <w:szCs w:val="24"/>
        </w:rPr>
        <w:t xml:space="preserve">. </w:t>
      </w:r>
    </w:p>
    <w:p w14:paraId="105AE1B3" w14:textId="74D016FD" w:rsidR="00355C0B" w:rsidRPr="00355C0B" w:rsidRDefault="00355C0B" w:rsidP="00355C0B">
      <w:pPr>
        <w:spacing w:line="360" w:lineRule="auto"/>
        <w:jc w:val="both"/>
        <w:rPr>
          <w:rFonts w:ascii="Arial" w:hAnsi="Arial" w:cs="Arial"/>
          <w:sz w:val="24"/>
          <w:szCs w:val="24"/>
        </w:rPr>
      </w:pPr>
      <w:r w:rsidRPr="00355C0B">
        <w:rPr>
          <w:rFonts w:ascii="Arial" w:hAnsi="Arial" w:cs="Arial"/>
          <w:sz w:val="24"/>
          <w:szCs w:val="24"/>
        </w:rPr>
        <w:t xml:space="preserve">Wilkinson, A. (2021). Contemporary Human Resource </w:t>
      </w:r>
      <w:proofErr w:type="gramStart"/>
      <w:r w:rsidRPr="00355C0B">
        <w:rPr>
          <w:rFonts w:ascii="Arial" w:hAnsi="Arial" w:cs="Arial"/>
          <w:sz w:val="24"/>
          <w:szCs w:val="24"/>
        </w:rPr>
        <w:t>Management :</w:t>
      </w:r>
      <w:proofErr w:type="gramEnd"/>
      <w:r w:rsidRPr="00355C0B">
        <w:rPr>
          <w:rFonts w:ascii="Arial" w:hAnsi="Arial" w:cs="Arial"/>
          <w:sz w:val="24"/>
          <w:szCs w:val="24"/>
        </w:rPr>
        <w:t xml:space="preserve"> Text and Cases. </w:t>
      </w:r>
      <w:r w:rsidRPr="00355C0B">
        <w:rPr>
          <w:rFonts w:ascii="Arial" w:hAnsi="Arial" w:cs="Arial"/>
          <w:i/>
          <w:iCs/>
          <w:sz w:val="24"/>
          <w:szCs w:val="24"/>
        </w:rPr>
        <w:t>Contemporary Human Resource Management</w:t>
      </w:r>
      <w:r w:rsidRPr="00355C0B">
        <w:rPr>
          <w:rFonts w:ascii="Arial" w:hAnsi="Arial" w:cs="Arial"/>
          <w:sz w:val="24"/>
          <w:szCs w:val="24"/>
        </w:rPr>
        <w:t xml:space="preserve">, [online] pp.1–100. </w:t>
      </w:r>
      <w:proofErr w:type="spellStart"/>
      <w:r w:rsidRPr="00355C0B">
        <w:rPr>
          <w:rFonts w:ascii="Arial" w:hAnsi="Arial" w:cs="Arial"/>
          <w:sz w:val="24"/>
          <w:szCs w:val="24"/>
        </w:rPr>
        <w:t>doi</w:t>
      </w:r>
      <w:proofErr w:type="spellEnd"/>
      <w:r w:rsidRPr="00355C0B">
        <w:rPr>
          <w:rFonts w:ascii="Arial" w:hAnsi="Arial" w:cs="Arial"/>
          <w:sz w:val="24"/>
          <w:szCs w:val="24"/>
        </w:rPr>
        <w:t xml:space="preserve">: </w:t>
      </w:r>
      <w:hyperlink r:id="rId23" w:anchor="page=244" w:history="1">
        <w:r w:rsidRPr="00355C0B">
          <w:rPr>
            <w:rStyle w:val="Hyperlink"/>
            <w:rFonts w:ascii="Arial" w:hAnsi="Arial" w:cs="Arial"/>
            <w:sz w:val="24"/>
            <w:szCs w:val="24"/>
          </w:rPr>
          <w:t>https://www.torrossa.com/gs/resourceProxy?an=5017880&amp;publisher=FZ7200#page=244</w:t>
        </w:r>
      </w:hyperlink>
      <w:r w:rsidRPr="00355C0B">
        <w:rPr>
          <w:rFonts w:ascii="Arial" w:hAnsi="Arial" w:cs="Arial"/>
          <w:sz w:val="24"/>
          <w:szCs w:val="24"/>
        </w:rPr>
        <w:t xml:space="preserve">. </w:t>
      </w:r>
    </w:p>
    <w:p w14:paraId="6A3CBBDC" w14:textId="77777777" w:rsidR="00355C0B" w:rsidRDefault="00355C0B" w:rsidP="00355C0B">
      <w:pPr>
        <w:spacing w:line="360" w:lineRule="auto"/>
        <w:jc w:val="both"/>
        <w:rPr>
          <w:rFonts w:ascii="Arial" w:hAnsi="Arial" w:cs="Arial"/>
          <w:sz w:val="24"/>
          <w:szCs w:val="24"/>
          <w:lang w:val="en-US"/>
        </w:rPr>
      </w:pPr>
    </w:p>
    <w:p w14:paraId="62C6D5B2" w14:textId="77777777" w:rsidR="00BB1150" w:rsidRDefault="00BB1150">
      <w:pPr>
        <w:rPr>
          <w:rFonts w:ascii="Times New Roman" w:eastAsiaTheme="majorEastAsia" w:hAnsi="Times New Roman" w:cstheme="majorBidi"/>
          <w:b/>
          <w:sz w:val="24"/>
          <w:szCs w:val="32"/>
          <w:lang w:val="en-US"/>
        </w:rPr>
      </w:pPr>
      <w:r>
        <w:rPr>
          <w:lang w:val="en-US"/>
        </w:rPr>
        <w:br w:type="page"/>
      </w:r>
    </w:p>
    <w:p w14:paraId="4D5F16C1" w14:textId="1398AA38" w:rsidR="00BB1150" w:rsidRPr="00BB1150" w:rsidRDefault="00BB1150" w:rsidP="00BB1150">
      <w:pPr>
        <w:pStyle w:val="Heading1"/>
      </w:pPr>
      <w:bookmarkStart w:id="8" w:name="_Toc213857751"/>
      <w:r w:rsidRPr="00BB1150">
        <w:lastRenderedPageBreak/>
        <w:t>Appendix</w:t>
      </w:r>
      <w:bookmarkEnd w:id="8"/>
    </w:p>
    <w:p w14:paraId="581B59EF" w14:textId="5522FE33" w:rsidR="00BB1150" w:rsidRDefault="00BB1150" w:rsidP="00355C0B">
      <w:pPr>
        <w:spacing w:line="360" w:lineRule="auto"/>
        <w:jc w:val="both"/>
        <w:rPr>
          <w:rFonts w:ascii="Arial" w:hAnsi="Arial" w:cs="Arial"/>
          <w:sz w:val="24"/>
          <w:szCs w:val="24"/>
          <w:lang w:val="en-US"/>
        </w:rPr>
      </w:pPr>
      <w:r>
        <w:rPr>
          <w:noProof/>
        </w:rPr>
        <w:drawing>
          <wp:inline distT="0" distB="0" distL="0" distR="0" wp14:anchorId="7C1B18F5" wp14:editId="11BB507A">
            <wp:extent cx="5731510" cy="2179955"/>
            <wp:effectExtent l="0" t="0" r="2540" b="0"/>
            <wp:docPr id="2024059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79955"/>
                    </a:xfrm>
                    <a:prstGeom prst="rect">
                      <a:avLst/>
                    </a:prstGeom>
                    <a:noFill/>
                    <a:ln>
                      <a:noFill/>
                    </a:ln>
                  </pic:spPr>
                </pic:pic>
              </a:graphicData>
            </a:graphic>
          </wp:inline>
        </w:drawing>
      </w:r>
      <w:r>
        <w:rPr>
          <w:noProof/>
        </w:rPr>
        <w:drawing>
          <wp:inline distT="0" distB="0" distL="0" distR="0" wp14:anchorId="3A7EDEAB" wp14:editId="41E88ECE">
            <wp:extent cx="4261939" cy="1739528"/>
            <wp:effectExtent l="0" t="0" r="5715" b="0"/>
            <wp:docPr id="7773668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4409" cy="1740536"/>
                    </a:xfrm>
                    <a:prstGeom prst="rect">
                      <a:avLst/>
                    </a:prstGeom>
                    <a:noFill/>
                    <a:ln>
                      <a:noFill/>
                    </a:ln>
                  </pic:spPr>
                </pic:pic>
              </a:graphicData>
            </a:graphic>
          </wp:inline>
        </w:drawing>
      </w:r>
    </w:p>
    <w:p w14:paraId="2C53206C" w14:textId="0C0FA2EF" w:rsidR="00BB1150" w:rsidRDefault="00BB1150" w:rsidP="00355C0B">
      <w:pPr>
        <w:spacing w:line="360" w:lineRule="auto"/>
        <w:jc w:val="both"/>
        <w:rPr>
          <w:rFonts w:ascii="Arial" w:hAnsi="Arial" w:cs="Arial"/>
          <w:sz w:val="24"/>
          <w:szCs w:val="24"/>
          <w:lang w:val="en-US"/>
        </w:rPr>
      </w:pPr>
      <w:r>
        <w:rPr>
          <w:noProof/>
        </w:rPr>
        <w:drawing>
          <wp:inline distT="0" distB="0" distL="0" distR="0" wp14:anchorId="4EEA5A2E" wp14:editId="384E1AD0">
            <wp:extent cx="3978910" cy="2872874"/>
            <wp:effectExtent l="0" t="0" r="2540" b="3810"/>
            <wp:docPr id="13724041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4564" cy="2876956"/>
                    </a:xfrm>
                    <a:prstGeom prst="rect">
                      <a:avLst/>
                    </a:prstGeom>
                    <a:noFill/>
                    <a:ln>
                      <a:noFill/>
                    </a:ln>
                  </pic:spPr>
                </pic:pic>
              </a:graphicData>
            </a:graphic>
          </wp:inline>
        </w:drawing>
      </w:r>
    </w:p>
    <w:p w14:paraId="0DC263A2" w14:textId="7574FF56" w:rsidR="00BB1150" w:rsidRPr="00355C0B" w:rsidRDefault="00BB1150" w:rsidP="00355C0B">
      <w:pPr>
        <w:spacing w:line="360" w:lineRule="auto"/>
        <w:jc w:val="both"/>
        <w:rPr>
          <w:rFonts w:ascii="Arial" w:hAnsi="Arial" w:cs="Arial"/>
          <w:sz w:val="24"/>
          <w:szCs w:val="24"/>
          <w:lang w:val="en-US"/>
        </w:rPr>
      </w:pPr>
      <w:r>
        <w:rPr>
          <w:noProof/>
        </w:rPr>
        <w:lastRenderedPageBreak/>
        <w:drawing>
          <wp:inline distT="0" distB="0" distL="0" distR="0" wp14:anchorId="24747D01" wp14:editId="23EC6575">
            <wp:extent cx="4272536" cy="2685972"/>
            <wp:effectExtent l="0" t="0" r="0" b="635"/>
            <wp:docPr id="19735744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b="16185"/>
                    <a:stretch>
                      <a:fillRect/>
                    </a:stretch>
                  </pic:blipFill>
                  <pic:spPr bwMode="auto">
                    <a:xfrm>
                      <a:off x="0" y="0"/>
                      <a:ext cx="4279740" cy="2690501"/>
                    </a:xfrm>
                    <a:prstGeom prst="rect">
                      <a:avLst/>
                    </a:prstGeom>
                    <a:noFill/>
                    <a:ln>
                      <a:noFill/>
                    </a:ln>
                    <a:extLst>
                      <a:ext uri="{53640926-AAD7-44D8-BBD7-CCE9431645EC}">
                        <a14:shadowObscured xmlns:a14="http://schemas.microsoft.com/office/drawing/2010/main"/>
                      </a:ext>
                    </a:extLst>
                  </pic:spPr>
                </pic:pic>
              </a:graphicData>
            </a:graphic>
          </wp:inline>
        </w:drawing>
      </w:r>
    </w:p>
    <w:sectPr w:rsidR="00BB1150" w:rsidRPr="00355C0B" w:rsidSect="00355C0B">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A1D1F" w14:textId="77777777" w:rsidR="00890311" w:rsidRDefault="00890311" w:rsidP="00355C0B">
      <w:pPr>
        <w:spacing w:after="0" w:line="240" w:lineRule="auto"/>
      </w:pPr>
      <w:r>
        <w:separator/>
      </w:r>
    </w:p>
  </w:endnote>
  <w:endnote w:type="continuationSeparator" w:id="0">
    <w:p w14:paraId="1EC6E8E1" w14:textId="77777777" w:rsidR="00890311" w:rsidRDefault="00890311" w:rsidP="00355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338782"/>
      <w:docPartObj>
        <w:docPartGallery w:val="Page Numbers (Bottom of Page)"/>
        <w:docPartUnique/>
      </w:docPartObj>
    </w:sdtPr>
    <w:sdtEndPr>
      <w:rPr>
        <w:noProof/>
      </w:rPr>
    </w:sdtEndPr>
    <w:sdtContent>
      <w:p w14:paraId="76921FEB" w14:textId="3C3AC47F" w:rsidR="00355C0B" w:rsidRDefault="00355C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73EB5" w14:textId="77777777" w:rsidR="00355C0B" w:rsidRDefault="00355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39E10" w14:textId="77777777" w:rsidR="00890311" w:rsidRDefault="00890311" w:rsidP="00355C0B">
      <w:pPr>
        <w:spacing w:after="0" w:line="240" w:lineRule="auto"/>
      </w:pPr>
      <w:r>
        <w:separator/>
      </w:r>
    </w:p>
  </w:footnote>
  <w:footnote w:type="continuationSeparator" w:id="0">
    <w:p w14:paraId="4EBBFE59" w14:textId="77777777" w:rsidR="00890311" w:rsidRDefault="00890311" w:rsidP="00355C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EA5"/>
    <w:rsid w:val="000E1490"/>
    <w:rsid w:val="000F1590"/>
    <w:rsid w:val="00104221"/>
    <w:rsid w:val="00160F15"/>
    <w:rsid w:val="001B03BA"/>
    <w:rsid w:val="0022518E"/>
    <w:rsid w:val="0033179F"/>
    <w:rsid w:val="00355C0B"/>
    <w:rsid w:val="00375D79"/>
    <w:rsid w:val="00450015"/>
    <w:rsid w:val="004E551B"/>
    <w:rsid w:val="00572EFF"/>
    <w:rsid w:val="00691AE0"/>
    <w:rsid w:val="006A6EA5"/>
    <w:rsid w:val="006B1235"/>
    <w:rsid w:val="007677C1"/>
    <w:rsid w:val="007875CA"/>
    <w:rsid w:val="007F1283"/>
    <w:rsid w:val="00890311"/>
    <w:rsid w:val="00901F07"/>
    <w:rsid w:val="009C00DD"/>
    <w:rsid w:val="00AE66E0"/>
    <w:rsid w:val="00B56A23"/>
    <w:rsid w:val="00BA192E"/>
    <w:rsid w:val="00BB1150"/>
    <w:rsid w:val="00BD5A3C"/>
    <w:rsid w:val="00CC2E4F"/>
    <w:rsid w:val="00DA35E5"/>
    <w:rsid w:val="00E5300F"/>
    <w:rsid w:val="00E954E2"/>
    <w:rsid w:val="00EE2955"/>
    <w:rsid w:val="00F12D1F"/>
    <w:rsid w:val="00F367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522277"/>
  <w15:chartTrackingRefBased/>
  <w15:docId w15:val="{D703F130-7B31-4632-BCFF-C7CCA2988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B1150"/>
    <w:pPr>
      <w:keepNext/>
      <w:keepLines/>
      <w:spacing w:before="240" w:after="0"/>
      <w:outlineLvl w:val="0"/>
    </w:pPr>
    <w:rPr>
      <w:rFonts w:eastAsiaTheme="majorEastAsia" w:cstheme="minorHAnsi"/>
      <w:b/>
      <w:sz w:val="24"/>
      <w:szCs w:val="32"/>
      <w:lang w:val="en-US"/>
    </w:rPr>
  </w:style>
  <w:style w:type="paragraph" w:styleId="Heading2">
    <w:name w:val="heading 2"/>
    <w:basedOn w:val="Normal"/>
    <w:next w:val="Normal"/>
    <w:link w:val="Heading2Char"/>
    <w:autoRedefine/>
    <w:uiPriority w:val="9"/>
    <w:unhideWhenUsed/>
    <w:qFormat/>
    <w:rsid w:val="00375D79"/>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91AE0"/>
    <w:pPr>
      <w:keepNext/>
      <w:keepLines/>
      <w:spacing w:before="40" w:after="0" w:line="360" w:lineRule="auto"/>
      <w:outlineLvl w:val="2"/>
    </w:pPr>
    <w:rPr>
      <w:rFonts w:ascii="Times New Roman" w:eastAsiaTheme="majorEastAsia" w:hAnsi="Times New Roman" w:cstheme="majorBidi"/>
      <w:b/>
      <w:kern w:val="0"/>
      <w:sz w:val="24"/>
      <w:szCs w:val="24"/>
      <w:lang w:eastAsia="en-IN"/>
      <w14:ligatures w14:val="none"/>
    </w:rPr>
  </w:style>
  <w:style w:type="paragraph" w:styleId="Heading4">
    <w:name w:val="heading 4"/>
    <w:basedOn w:val="Normal"/>
    <w:next w:val="Normal"/>
    <w:link w:val="Heading4Char"/>
    <w:uiPriority w:val="9"/>
    <w:semiHidden/>
    <w:unhideWhenUsed/>
    <w:qFormat/>
    <w:rsid w:val="006A6E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6E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6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150"/>
    <w:rPr>
      <w:rFonts w:eastAsiaTheme="majorEastAsia" w:cstheme="minorHAnsi"/>
      <w:b/>
      <w:sz w:val="24"/>
      <w:szCs w:val="32"/>
      <w:lang w:val="en-US"/>
    </w:rPr>
  </w:style>
  <w:style w:type="character" w:customStyle="1" w:styleId="Heading2Char">
    <w:name w:val="Heading 2 Char"/>
    <w:basedOn w:val="DefaultParagraphFont"/>
    <w:link w:val="Heading2"/>
    <w:uiPriority w:val="9"/>
    <w:rsid w:val="00375D7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91AE0"/>
    <w:rPr>
      <w:rFonts w:ascii="Times New Roman" w:eastAsiaTheme="majorEastAsia" w:hAnsi="Times New Roman" w:cstheme="majorBidi"/>
      <w:b/>
      <w:kern w:val="0"/>
      <w:sz w:val="24"/>
      <w:szCs w:val="24"/>
      <w:lang w:eastAsia="en-IN"/>
      <w14:ligatures w14:val="none"/>
    </w:rPr>
  </w:style>
  <w:style w:type="character" w:customStyle="1" w:styleId="Heading4Char">
    <w:name w:val="Heading 4 Char"/>
    <w:basedOn w:val="DefaultParagraphFont"/>
    <w:link w:val="Heading4"/>
    <w:uiPriority w:val="9"/>
    <w:semiHidden/>
    <w:rsid w:val="006A6E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6E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6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EA5"/>
    <w:rPr>
      <w:rFonts w:eastAsiaTheme="majorEastAsia" w:cstheme="majorBidi"/>
      <w:color w:val="272727" w:themeColor="text1" w:themeTint="D8"/>
    </w:rPr>
  </w:style>
  <w:style w:type="paragraph" w:styleId="Title">
    <w:name w:val="Title"/>
    <w:basedOn w:val="Normal"/>
    <w:next w:val="Normal"/>
    <w:link w:val="TitleChar"/>
    <w:uiPriority w:val="10"/>
    <w:qFormat/>
    <w:rsid w:val="006A6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EA5"/>
    <w:pPr>
      <w:spacing w:before="160"/>
      <w:jc w:val="center"/>
    </w:pPr>
    <w:rPr>
      <w:i/>
      <w:iCs/>
      <w:color w:val="404040" w:themeColor="text1" w:themeTint="BF"/>
    </w:rPr>
  </w:style>
  <w:style w:type="character" w:customStyle="1" w:styleId="QuoteChar">
    <w:name w:val="Quote Char"/>
    <w:basedOn w:val="DefaultParagraphFont"/>
    <w:link w:val="Quote"/>
    <w:uiPriority w:val="29"/>
    <w:rsid w:val="006A6EA5"/>
    <w:rPr>
      <w:i/>
      <w:iCs/>
      <w:color w:val="404040" w:themeColor="text1" w:themeTint="BF"/>
    </w:rPr>
  </w:style>
  <w:style w:type="paragraph" w:styleId="ListParagraph">
    <w:name w:val="List Paragraph"/>
    <w:basedOn w:val="Normal"/>
    <w:uiPriority w:val="34"/>
    <w:qFormat/>
    <w:rsid w:val="006A6EA5"/>
    <w:pPr>
      <w:ind w:left="720"/>
      <w:contextualSpacing/>
    </w:pPr>
  </w:style>
  <w:style w:type="character" w:styleId="IntenseEmphasis">
    <w:name w:val="Intense Emphasis"/>
    <w:basedOn w:val="DefaultParagraphFont"/>
    <w:uiPriority w:val="21"/>
    <w:qFormat/>
    <w:rsid w:val="006A6EA5"/>
    <w:rPr>
      <w:i/>
      <w:iCs/>
      <w:color w:val="2F5496" w:themeColor="accent1" w:themeShade="BF"/>
    </w:rPr>
  </w:style>
  <w:style w:type="paragraph" w:styleId="IntenseQuote">
    <w:name w:val="Intense Quote"/>
    <w:basedOn w:val="Normal"/>
    <w:next w:val="Normal"/>
    <w:link w:val="IntenseQuoteChar"/>
    <w:uiPriority w:val="30"/>
    <w:qFormat/>
    <w:rsid w:val="006A6E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6EA5"/>
    <w:rPr>
      <w:i/>
      <w:iCs/>
      <w:color w:val="2F5496" w:themeColor="accent1" w:themeShade="BF"/>
    </w:rPr>
  </w:style>
  <w:style w:type="character" w:styleId="IntenseReference">
    <w:name w:val="Intense Reference"/>
    <w:basedOn w:val="DefaultParagraphFont"/>
    <w:uiPriority w:val="32"/>
    <w:qFormat/>
    <w:rsid w:val="006A6EA5"/>
    <w:rPr>
      <w:b/>
      <w:bCs/>
      <w:smallCaps/>
      <w:color w:val="2F5496" w:themeColor="accent1" w:themeShade="BF"/>
      <w:spacing w:val="5"/>
    </w:rPr>
  </w:style>
  <w:style w:type="character" w:styleId="Hyperlink">
    <w:name w:val="Hyperlink"/>
    <w:basedOn w:val="DefaultParagraphFont"/>
    <w:uiPriority w:val="99"/>
    <w:unhideWhenUsed/>
    <w:rsid w:val="00355C0B"/>
    <w:rPr>
      <w:color w:val="0563C1" w:themeColor="hyperlink"/>
      <w:u w:val="single"/>
    </w:rPr>
  </w:style>
  <w:style w:type="character" w:styleId="UnresolvedMention">
    <w:name w:val="Unresolved Mention"/>
    <w:basedOn w:val="DefaultParagraphFont"/>
    <w:uiPriority w:val="99"/>
    <w:semiHidden/>
    <w:unhideWhenUsed/>
    <w:rsid w:val="00355C0B"/>
    <w:rPr>
      <w:color w:val="605E5C"/>
      <w:shd w:val="clear" w:color="auto" w:fill="E1DFDD"/>
    </w:rPr>
  </w:style>
  <w:style w:type="paragraph" w:styleId="TOCHeading">
    <w:name w:val="TOC Heading"/>
    <w:basedOn w:val="Heading1"/>
    <w:next w:val="Normal"/>
    <w:uiPriority w:val="39"/>
    <w:unhideWhenUsed/>
    <w:qFormat/>
    <w:rsid w:val="00355C0B"/>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355C0B"/>
    <w:pPr>
      <w:spacing w:after="100"/>
    </w:pPr>
  </w:style>
  <w:style w:type="paragraph" w:styleId="TOC2">
    <w:name w:val="toc 2"/>
    <w:basedOn w:val="Normal"/>
    <w:next w:val="Normal"/>
    <w:autoRedefine/>
    <w:uiPriority w:val="39"/>
    <w:unhideWhenUsed/>
    <w:rsid w:val="00355C0B"/>
    <w:pPr>
      <w:spacing w:after="100"/>
      <w:ind w:left="220"/>
    </w:pPr>
  </w:style>
  <w:style w:type="paragraph" w:styleId="Header">
    <w:name w:val="header"/>
    <w:basedOn w:val="Normal"/>
    <w:link w:val="HeaderChar"/>
    <w:uiPriority w:val="99"/>
    <w:unhideWhenUsed/>
    <w:rsid w:val="00355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C0B"/>
  </w:style>
  <w:style w:type="paragraph" w:styleId="Footer">
    <w:name w:val="footer"/>
    <w:basedOn w:val="Normal"/>
    <w:link w:val="FooterChar"/>
    <w:uiPriority w:val="99"/>
    <w:unhideWhenUsed/>
    <w:rsid w:val="00355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2139/ssrn.4851180" TargetMode="External"/><Relationship Id="rId18" Type="http://schemas.openxmlformats.org/officeDocument/2006/relationships/hyperlink" Target="https://doi.org/10.1111/1748-8583.1242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1295/ijbem.v4n1.1521" TargetMode="External"/><Relationship Id="rId7" Type="http://schemas.openxmlformats.org/officeDocument/2006/relationships/image" Target="media/image1.png"/><Relationship Id="rId12" Type="http://schemas.openxmlformats.org/officeDocument/2006/relationships/hyperlink" Target="https://doi.org/10.1111/gwao.13119" TargetMode="External"/><Relationship Id="rId17" Type="http://schemas.openxmlformats.org/officeDocument/2006/relationships/hyperlink" Target="https://doi.org/10.1080/09585192.2024.232076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gulfuniversity.org/index.php/ijihrm/article/view/228" TargetMode="External"/><Relationship Id="rId20" Type="http://schemas.openxmlformats.org/officeDocument/2006/relationships/hyperlink" Target="https://doi.org/10.1017/mor.2023.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7862/rz.2021.mmr.21" TargetMode="External"/><Relationship Id="rId23" Type="http://schemas.openxmlformats.org/officeDocument/2006/relationships/hyperlink" Target="https://www.torrossa.com/gs/resourceProxy?an=5017880&amp;publisher=FZ7200" TargetMode="External"/><Relationship Id="rId10" Type="http://schemas.openxmlformats.org/officeDocument/2006/relationships/image" Target="media/image4.png"/><Relationship Id="rId19" Type="http://schemas.openxmlformats.org/officeDocument/2006/relationships/hyperlink" Target="https://doi.org/10.1111/1748-8583.1248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590/s0034-759020230103x" TargetMode="External"/><Relationship Id="rId22" Type="http://schemas.openxmlformats.org/officeDocument/2006/relationships/hyperlink" Target="https://doi.org/10.1016/j.ijintrel.2024.101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C91B4-09FE-4FFB-A1F9-4E2E0B99B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3607</Words>
  <Characters>20562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5</cp:revision>
  <dcterms:created xsi:type="dcterms:W3CDTF">2025-11-12T15:55:00Z</dcterms:created>
  <dcterms:modified xsi:type="dcterms:W3CDTF">2025-11-12T15:57:00Z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c3d7c228-5705-498d-a2ab-f1a42abd36fd</vt:lpwstr>
  </property>
</Properties>
</file>