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DAEC63B" wp14:paraId="0F50B0E6" wp14:textId="2BCDCD9D">
      <w:pPr>
        <w:spacing w:before="0" w:beforeAutospacing="off" w:after="0" w:afterAutospacing="off"/>
      </w:pPr>
      <w:r w:rsidRPr="0DAEC63B" w:rsidR="4D8E484D">
        <w:rPr>
          <w:rFonts w:ascii="Arial" w:hAnsi="Arial" w:eastAsia="Arial" w:cs="Arial"/>
          <w:b w:val="1"/>
          <w:bCs w:val="1"/>
          <w:strike w:val="0"/>
          <w:dstrike w:val="0"/>
          <w:noProof w:val="0"/>
          <w:sz w:val="22"/>
          <w:szCs w:val="22"/>
          <w:u w:val="single"/>
          <w:lang w:val="en-GB"/>
        </w:rPr>
        <w:t>Is there a significant difference in self-esteem levels between masculine and feminine individuals?</w:t>
      </w:r>
    </w:p>
    <w:p xmlns:wp14="http://schemas.microsoft.com/office/word/2010/wordml" wp14:paraId="20E873CC" wp14:textId="5A8FF88A">
      <w:r>
        <w:br/>
      </w:r>
      <w:r>
        <w:br/>
      </w:r>
    </w:p>
    <w:p xmlns:wp14="http://schemas.microsoft.com/office/word/2010/wordml" w:rsidP="0DAEC63B" wp14:paraId="57EF6E0C" wp14:textId="28F3C893">
      <w:pPr>
        <w:spacing w:before="0" w:beforeAutospacing="off" w:after="0" w:afterAutospacing="off"/>
      </w:pPr>
      <w:r w:rsidRPr="0DAEC63B" w:rsidR="4D8E484D">
        <w:rPr>
          <w:rFonts w:ascii="Arial" w:hAnsi="Arial" w:eastAsia="Arial" w:cs="Arial"/>
          <w:noProof w:val="0"/>
          <w:sz w:val="22"/>
          <w:szCs w:val="22"/>
          <w:lang w:val="en-GB"/>
        </w:rPr>
        <w:t>Abstract:</w:t>
      </w:r>
    </w:p>
    <w:p xmlns:wp14="http://schemas.microsoft.com/office/word/2010/wordml" w:rsidP="0DAEC63B" wp14:paraId="070332D7" wp14:textId="39BE57A2">
      <w:pPr>
        <w:spacing w:before="0" w:beforeAutospacing="off" w:after="0" w:afterAutospacing="off"/>
      </w:pPr>
      <w:r w:rsidRPr="0DAEC63B" w:rsidR="4D8E484D">
        <w:rPr>
          <w:rFonts w:ascii="Arial" w:hAnsi="Arial" w:eastAsia="Arial" w:cs="Arial"/>
          <w:noProof w:val="0"/>
          <w:sz w:val="22"/>
          <w:szCs w:val="22"/>
          <w:lang w:val="en-GB"/>
        </w:rPr>
        <w:t xml:space="preserve">Self-esteem, a crucial aspect of psychological well-being, has been the subject of extensive research aiming to understand its determinants and implications for mental health. This essay explores the question of whether there is a difference in self-esteem levels between masculine and feminine individuals. Drawing on </w:t>
      </w:r>
      <w:r w:rsidRPr="0DAEC63B" w:rsidR="4D8E484D">
        <w:rPr>
          <w:rFonts w:ascii="Arial" w:hAnsi="Arial" w:eastAsia="Arial" w:cs="Arial"/>
          <w:noProof w:val="0"/>
          <w:sz w:val="22"/>
          <w:szCs w:val="22"/>
          <w:lang w:val="en-GB"/>
        </w:rPr>
        <w:t>previous</w:t>
      </w:r>
      <w:r w:rsidRPr="0DAEC63B" w:rsidR="4D8E484D">
        <w:rPr>
          <w:rFonts w:ascii="Arial" w:hAnsi="Arial" w:eastAsia="Arial" w:cs="Arial"/>
          <w:noProof w:val="0"/>
          <w:sz w:val="22"/>
          <w:szCs w:val="22"/>
          <w:lang w:val="en-GB"/>
        </w:rPr>
        <w:t xml:space="preserve"> studies and theoretical frameworks, it proposes a hypothesis suggesting higher self-esteem in masculine individuals due to societal norms and gender roles. The study involved 34 participants aged between 18 and 51 years, with 18 identifying as masculine and 16 as feminine based on their scores from Bem's Sex Role Inventory. The design employed a between-subjects approach, with masculinity or femininity scores as the independent variable and self-esteem scores derived from Rosenberg's Self-Esteem Scale as the dependent variable. Participants completed the online questionnaire, which included demographic information, the self-esteem scale, and the sex role inventory. Results from an independent sample t-test </w:t>
      </w:r>
      <w:r w:rsidRPr="0DAEC63B" w:rsidR="4D8E484D">
        <w:rPr>
          <w:rFonts w:ascii="Arial" w:hAnsi="Arial" w:eastAsia="Arial" w:cs="Arial"/>
          <w:noProof w:val="0"/>
          <w:sz w:val="22"/>
          <w:szCs w:val="22"/>
          <w:lang w:val="en-GB"/>
        </w:rPr>
        <w:t>indicated</w:t>
      </w:r>
      <w:r w:rsidRPr="0DAEC63B" w:rsidR="4D8E484D">
        <w:rPr>
          <w:rFonts w:ascii="Arial" w:hAnsi="Arial" w:eastAsia="Arial" w:cs="Arial"/>
          <w:noProof w:val="0"/>
          <w:sz w:val="22"/>
          <w:szCs w:val="22"/>
          <w:lang w:val="en-GB"/>
        </w:rPr>
        <w:t xml:space="preserve"> a significant difference in self-esteem levels between male and female participants. Females displayed lower levels of self-esteem (M = 21.20, SD = 6.71) compared to males (M = 27.50, SD = 6.28): </w:t>
      </w:r>
      <w:bookmarkStart w:name="_Int_hZuRo2v4" w:id="807650141"/>
      <w:r w:rsidRPr="0DAEC63B" w:rsidR="4D8E484D">
        <w:rPr>
          <w:rFonts w:ascii="Arial" w:hAnsi="Arial" w:eastAsia="Arial" w:cs="Arial"/>
          <w:noProof w:val="0"/>
          <w:sz w:val="22"/>
          <w:szCs w:val="22"/>
          <w:lang w:val="en-GB"/>
        </w:rPr>
        <w:t>t(</w:t>
      </w:r>
      <w:bookmarkEnd w:id="807650141"/>
      <w:r w:rsidRPr="0DAEC63B" w:rsidR="4D8E484D">
        <w:rPr>
          <w:rFonts w:ascii="Arial" w:hAnsi="Arial" w:eastAsia="Arial" w:cs="Arial"/>
          <w:noProof w:val="0"/>
          <w:sz w:val="22"/>
          <w:szCs w:val="22"/>
          <w:lang w:val="en-GB"/>
        </w:rPr>
        <w:t xml:space="preserve">18) = 2.17, p &lt; .05. These findings align with </w:t>
      </w:r>
      <w:r w:rsidRPr="0DAEC63B" w:rsidR="4D8E484D">
        <w:rPr>
          <w:rFonts w:ascii="Arial" w:hAnsi="Arial" w:eastAsia="Arial" w:cs="Arial"/>
          <w:noProof w:val="0"/>
          <w:sz w:val="22"/>
          <w:szCs w:val="22"/>
          <w:lang w:val="en-GB"/>
        </w:rPr>
        <w:t>previous</w:t>
      </w:r>
      <w:r w:rsidRPr="0DAEC63B" w:rsidR="4D8E484D">
        <w:rPr>
          <w:rFonts w:ascii="Arial" w:hAnsi="Arial" w:eastAsia="Arial" w:cs="Arial"/>
          <w:noProof w:val="0"/>
          <w:sz w:val="22"/>
          <w:szCs w:val="22"/>
          <w:lang w:val="en-GB"/>
        </w:rPr>
        <w:t xml:space="preserve"> research that found higher self-esteem among individuals endorsing masculine traits and adhering to traditional gender roles. However, it is essential to acknowledge the limitations of this study. The small sample size and reliance on self-report measures may limit the generalizability of the findings and introduce biases. Future research with larger and more diverse samples, as well as the inclusion of </w:t>
      </w:r>
      <w:r w:rsidRPr="0DAEC63B" w:rsidR="4D8E484D">
        <w:rPr>
          <w:rFonts w:ascii="Arial" w:hAnsi="Arial" w:eastAsia="Arial" w:cs="Arial"/>
          <w:noProof w:val="0"/>
          <w:sz w:val="22"/>
          <w:szCs w:val="22"/>
          <w:lang w:val="en-GB"/>
        </w:rPr>
        <w:t>additional</w:t>
      </w:r>
      <w:r w:rsidRPr="0DAEC63B" w:rsidR="4D8E484D">
        <w:rPr>
          <w:rFonts w:ascii="Arial" w:hAnsi="Arial" w:eastAsia="Arial" w:cs="Arial"/>
          <w:noProof w:val="0"/>
          <w:sz w:val="22"/>
          <w:szCs w:val="22"/>
          <w:lang w:val="en-GB"/>
        </w:rPr>
        <w:t xml:space="preserve"> assessment methods, is </w:t>
      </w:r>
      <w:r w:rsidRPr="0DAEC63B" w:rsidR="4D8E484D">
        <w:rPr>
          <w:rFonts w:ascii="Arial" w:hAnsi="Arial" w:eastAsia="Arial" w:cs="Arial"/>
          <w:noProof w:val="0"/>
          <w:sz w:val="22"/>
          <w:szCs w:val="22"/>
          <w:lang w:val="en-GB"/>
        </w:rPr>
        <w:t>warranted</w:t>
      </w:r>
      <w:r w:rsidRPr="0DAEC63B" w:rsidR="4D8E484D">
        <w:rPr>
          <w:rFonts w:ascii="Arial" w:hAnsi="Arial" w:eastAsia="Arial" w:cs="Arial"/>
          <w:noProof w:val="0"/>
          <w:sz w:val="22"/>
          <w:szCs w:val="22"/>
          <w:lang w:val="en-GB"/>
        </w:rPr>
        <w:t xml:space="preserve">. Overall, this study contributes to the existing literature by </w:t>
      </w:r>
      <w:r w:rsidRPr="0DAEC63B" w:rsidR="4D8E484D">
        <w:rPr>
          <w:rFonts w:ascii="Arial" w:hAnsi="Arial" w:eastAsia="Arial" w:cs="Arial"/>
          <w:noProof w:val="0"/>
          <w:sz w:val="22"/>
          <w:szCs w:val="22"/>
          <w:lang w:val="en-GB"/>
        </w:rPr>
        <w:t>providing</w:t>
      </w:r>
      <w:r w:rsidRPr="0DAEC63B" w:rsidR="4D8E484D">
        <w:rPr>
          <w:rFonts w:ascii="Arial" w:hAnsi="Arial" w:eastAsia="Arial" w:cs="Arial"/>
          <w:noProof w:val="0"/>
          <w:sz w:val="22"/>
          <w:szCs w:val="22"/>
          <w:lang w:val="en-GB"/>
        </w:rPr>
        <w:t xml:space="preserve"> empirical evidence supporting the hypothesis of higher self-esteem among masculine individuals. Understanding the complex interplay between self-esteem and gender can inform interventions aimed at promoting positive self-</w:t>
      </w:r>
      <w:r w:rsidRPr="0DAEC63B" w:rsidR="4D8E484D">
        <w:rPr>
          <w:rFonts w:ascii="Arial" w:hAnsi="Arial" w:eastAsia="Arial" w:cs="Arial"/>
          <w:noProof w:val="0"/>
          <w:sz w:val="22"/>
          <w:szCs w:val="22"/>
          <w:lang w:val="en-GB"/>
        </w:rPr>
        <w:t>perceptions</w:t>
      </w:r>
      <w:r w:rsidRPr="0DAEC63B" w:rsidR="4D8E484D">
        <w:rPr>
          <w:rFonts w:ascii="Arial" w:hAnsi="Arial" w:eastAsia="Arial" w:cs="Arial"/>
          <w:noProof w:val="0"/>
          <w:sz w:val="22"/>
          <w:szCs w:val="22"/>
          <w:lang w:val="en-GB"/>
        </w:rPr>
        <w:t xml:space="preserve"> and mental well-being for individuals of all gender identities.</w:t>
      </w:r>
    </w:p>
    <w:p xmlns:wp14="http://schemas.microsoft.com/office/word/2010/wordml" wp14:paraId="3AA6BB82" wp14:textId="18A8E971">
      <w:r>
        <w:br/>
      </w:r>
    </w:p>
    <w:p xmlns:wp14="http://schemas.microsoft.com/office/word/2010/wordml" w:rsidP="0DAEC63B" wp14:paraId="00EE0822" wp14:textId="5DBB72C9">
      <w:pPr>
        <w:spacing w:before="0" w:beforeAutospacing="off" w:after="0" w:afterAutospacing="off"/>
      </w:pPr>
      <w:r w:rsidRPr="0DAEC63B" w:rsidR="4D8E484D">
        <w:rPr>
          <w:rFonts w:ascii="Arial" w:hAnsi="Arial" w:eastAsia="Arial" w:cs="Arial"/>
          <w:noProof w:val="0"/>
          <w:sz w:val="22"/>
          <w:szCs w:val="22"/>
          <w:lang w:val="en-GB"/>
        </w:rPr>
        <w:t>Self-esteem, the evaluation of one's worth and value as a person, plays a pivotal role in shaping individuals' psychological well-being and overall quality of life. Understanding the factors that influence self-esteem is crucial for promoting positive mental health. One area of interest is whether there exists a difference in self-esteem levels between masculine and feminine individuals.</w:t>
      </w:r>
    </w:p>
    <w:p xmlns:wp14="http://schemas.microsoft.com/office/word/2010/wordml" w:rsidP="0DAEC63B" wp14:paraId="39B1DD28" wp14:textId="48D7D02B">
      <w:pPr>
        <w:spacing w:before="0" w:beforeAutospacing="off" w:after="0" w:afterAutospacing="off"/>
      </w:pPr>
      <w:r w:rsidRPr="0DAEC63B" w:rsidR="4D8E484D">
        <w:rPr>
          <w:rFonts w:ascii="Arial" w:hAnsi="Arial" w:eastAsia="Arial" w:cs="Arial"/>
          <w:noProof w:val="0"/>
          <w:sz w:val="22"/>
          <w:szCs w:val="22"/>
          <w:lang w:val="en-GB"/>
        </w:rPr>
        <w:t>A considerable amount of research has been conducted to investigate the potential differences in self-esteem levels between masculine and feminine individuals. Some studies have found evidence supporting the hypothesis of higher self-esteem in masculine individuals. For instance, in a study by  Matud (2019), it was observed that individuals who endorsed more masculine traits reported higher levels of self-esteem compared to those endorsing more feminine traits. Additionally, another study by Exner.D (2021) found that traditional gender role adherence, which aligns with masculine traits, positively correlates with self-esteem among both males and females.</w:t>
      </w:r>
    </w:p>
    <w:p xmlns:wp14="http://schemas.microsoft.com/office/word/2010/wordml" w:rsidP="0DAEC63B" wp14:paraId="23AAB2ED" wp14:textId="1E51B917">
      <w:pPr>
        <w:spacing w:before="0" w:beforeAutospacing="off" w:after="0" w:afterAutospacing="off"/>
      </w:pPr>
      <w:r w:rsidRPr="0DAEC63B" w:rsidR="4D8E484D">
        <w:rPr>
          <w:rFonts w:ascii="Arial" w:hAnsi="Arial" w:eastAsia="Arial" w:cs="Arial"/>
          <w:noProof w:val="0"/>
          <w:sz w:val="22"/>
          <w:szCs w:val="22"/>
          <w:lang w:val="en-GB"/>
        </w:rPr>
        <w:t xml:space="preserve">However, conflicting findings have also </w:t>
      </w:r>
      <w:r w:rsidRPr="0DAEC63B" w:rsidR="4D8E484D">
        <w:rPr>
          <w:rFonts w:ascii="Arial" w:hAnsi="Arial" w:eastAsia="Arial" w:cs="Arial"/>
          <w:noProof w:val="0"/>
          <w:sz w:val="22"/>
          <w:szCs w:val="22"/>
          <w:lang w:val="en-GB"/>
        </w:rPr>
        <w:t>emerged</w:t>
      </w:r>
      <w:r w:rsidRPr="0DAEC63B" w:rsidR="4D8E484D">
        <w:rPr>
          <w:rFonts w:ascii="Arial" w:hAnsi="Arial" w:eastAsia="Arial" w:cs="Arial"/>
          <w:noProof w:val="0"/>
          <w:sz w:val="22"/>
          <w:szCs w:val="22"/>
          <w:lang w:val="en-GB"/>
        </w:rPr>
        <w:t xml:space="preserve"> in the field. In a study conducted by Magee and </w:t>
      </w:r>
      <w:r w:rsidRPr="0DAEC63B" w:rsidR="4D8E484D">
        <w:rPr>
          <w:rFonts w:ascii="Arial" w:hAnsi="Arial" w:eastAsia="Arial" w:cs="Arial"/>
          <w:noProof w:val="0"/>
          <w:sz w:val="22"/>
          <w:szCs w:val="22"/>
          <w:lang w:val="en-GB"/>
        </w:rPr>
        <w:t>Upenieks</w:t>
      </w:r>
      <w:r w:rsidRPr="0DAEC63B" w:rsidR="4D8E484D">
        <w:rPr>
          <w:rFonts w:ascii="Arial" w:hAnsi="Arial" w:eastAsia="Arial" w:cs="Arial"/>
          <w:noProof w:val="0"/>
          <w:sz w:val="22"/>
          <w:szCs w:val="22"/>
          <w:lang w:val="en-GB"/>
        </w:rPr>
        <w:t xml:space="preserve"> (2019), no significant differences in self-esteem levels were found between masculine and feminine individuals. The authors argued that individual differences within gender groups, such as personality traits, upbringing, and </w:t>
      </w:r>
      <w:bookmarkStart w:name="_Int_BaAUaqR3" w:id="1090354008"/>
      <w:r w:rsidRPr="0DAEC63B" w:rsidR="4D8E484D">
        <w:rPr>
          <w:rFonts w:ascii="Arial" w:hAnsi="Arial" w:eastAsia="Arial" w:cs="Arial"/>
          <w:noProof w:val="0"/>
          <w:sz w:val="22"/>
          <w:szCs w:val="22"/>
          <w:lang w:val="en-GB"/>
        </w:rPr>
        <w:t>personal experiences</w:t>
      </w:r>
      <w:bookmarkEnd w:id="1090354008"/>
      <w:r w:rsidRPr="0DAEC63B" w:rsidR="4D8E484D">
        <w:rPr>
          <w:rFonts w:ascii="Arial" w:hAnsi="Arial" w:eastAsia="Arial" w:cs="Arial"/>
          <w:noProof w:val="0"/>
          <w:sz w:val="22"/>
          <w:szCs w:val="22"/>
          <w:lang w:val="en-GB"/>
        </w:rPr>
        <w:t>, may influence self-esteem to a greater extent than gender itself.</w:t>
      </w:r>
    </w:p>
    <w:p xmlns:wp14="http://schemas.microsoft.com/office/word/2010/wordml" w:rsidP="0DAEC63B" wp14:paraId="41078A78" wp14:textId="699A39B2">
      <w:pPr>
        <w:spacing w:before="0" w:beforeAutospacing="off" w:after="0" w:afterAutospacing="off"/>
      </w:pPr>
      <w:r w:rsidRPr="0DAEC63B" w:rsidR="4D8E484D">
        <w:rPr>
          <w:rFonts w:ascii="Arial" w:hAnsi="Arial" w:eastAsia="Arial" w:cs="Arial"/>
          <w:noProof w:val="0"/>
          <w:sz w:val="22"/>
          <w:szCs w:val="22"/>
          <w:lang w:val="en-GB"/>
        </w:rPr>
        <w:t xml:space="preserve">Theoretical Framework. To better understand the potential differences in self-esteem levels, it is essential to consider theoretical frameworks that </w:t>
      </w:r>
      <w:r w:rsidRPr="0DAEC63B" w:rsidR="4D8E484D">
        <w:rPr>
          <w:rFonts w:ascii="Arial" w:hAnsi="Arial" w:eastAsia="Arial" w:cs="Arial"/>
          <w:noProof w:val="0"/>
          <w:sz w:val="22"/>
          <w:szCs w:val="22"/>
          <w:lang w:val="en-GB"/>
        </w:rPr>
        <w:t>provide</w:t>
      </w:r>
      <w:r w:rsidRPr="0DAEC63B" w:rsidR="4D8E484D">
        <w:rPr>
          <w:rFonts w:ascii="Arial" w:hAnsi="Arial" w:eastAsia="Arial" w:cs="Arial"/>
          <w:noProof w:val="0"/>
          <w:sz w:val="22"/>
          <w:szCs w:val="22"/>
          <w:lang w:val="en-GB"/>
        </w:rPr>
        <w:t xml:space="preserve"> insights into the development of gender roles and self-</w:t>
      </w:r>
      <w:r w:rsidRPr="0DAEC63B" w:rsidR="4D8E484D">
        <w:rPr>
          <w:rFonts w:ascii="Arial" w:hAnsi="Arial" w:eastAsia="Arial" w:cs="Arial"/>
          <w:noProof w:val="0"/>
          <w:sz w:val="22"/>
          <w:szCs w:val="22"/>
          <w:lang w:val="en-GB"/>
        </w:rPr>
        <w:t>perceptions</w:t>
      </w:r>
      <w:r w:rsidRPr="0DAEC63B" w:rsidR="4D8E484D">
        <w:rPr>
          <w:rFonts w:ascii="Arial" w:hAnsi="Arial" w:eastAsia="Arial" w:cs="Arial"/>
          <w:noProof w:val="0"/>
          <w:sz w:val="22"/>
          <w:szCs w:val="22"/>
          <w:lang w:val="en-GB"/>
        </w:rPr>
        <w:t xml:space="preserve">. One prominent theory is the socialisation theory, which posits that individuals </w:t>
      </w:r>
      <w:r w:rsidRPr="0DAEC63B" w:rsidR="4D8E484D">
        <w:rPr>
          <w:rFonts w:ascii="Arial" w:hAnsi="Arial" w:eastAsia="Arial" w:cs="Arial"/>
          <w:noProof w:val="0"/>
          <w:sz w:val="22"/>
          <w:szCs w:val="22"/>
          <w:lang w:val="en-GB"/>
        </w:rPr>
        <w:t>acquire</w:t>
      </w:r>
      <w:r w:rsidRPr="0DAEC63B" w:rsidR="4D8E484D">
        <w:rPr>
          <w:rFonts w:ascii="Arial" w:hAnsi="Arial" w:eastAsia="Arial" w:cs="Arial"/>
          <w:noProof w:val="0"/>
          <w:sz w:val="22"/>
          <w:szCs w:val="22"/>
          <w:lang w:val="en-GB"/>
        </w:rPr>
        <w:t xml:space="preserve"> and internalise societal norms and expectations related to gender roles from </w:t>
      </w:r>
      <w:r w:rsidRPr="0DAEC63B" w:rsidR="7E81DBEF">
        <w:rPr>
          <w:rFonts w:ascii="Arial" w:hAnsi="Arial" w:eastAsia="Arial" w:cs="Arial"/>
          <w:noProof w:val="0"/>
          <w:sz w:val="22"/>
          <w:szCs w:val="22"/>
          <w:lang w:val="en-GB"/>
        </w:rPr>
        <w:t>an early age</w:t>
      </w:r>
      <w:r w:rsidRPr="0DAEC63B" w:rsidR="4D8E484D">
        <w:rPr>
          <w:rFonts w:ascii="Arial" w:hAnsi="Arial" w:eastAsia="Arial" w:cs="Arial"/>
          <w:noProof w:val="0"/>
          <w:sz w:val="22"/>
          <w:szCs w:val="22"/>
          <w:lang w:val="en-GB"/>
        </w:rPr>
        <w:t>. According to this theory, traditional masculinity is associated with assertiveness, competitiveness, and independence, which may foster higher levels of self-esteem. In contrast, traditional femininity is associated with nurturance, empathy, and cooperation, which may result in lower self-esteem due to societal devaluation of these traits.</w:t>
      </w:r>
    </w:p>
    <w:p xmlns:wp14="http://schemas.microsoft.com/office/word/2010/wordml" w:rsidP="0DAEC63B" wp14:paraId="42D730B6" wp14:textId="623DA746">
      <w:pPr>
        <w:spacing w:before="0" w:beforeAutospacing="off" w:after="0" w:afterAutospacing="off"/>
      </w:pPr>
      <w:r w:rsidRPr="0DAEC63B" w:rsidR="4D8E484D">
        <w:rPr>
          <w:rFonts w:ascii="Arial" w:hAnsi="Arial" w:eastAsia="Arial" w:cs="Arial"/>
          <w:noProof w:val="0"/>
          <w:sz w:val="22"/>
          <w:szCs w:val="22"/>
          <w:lang w:val="en-GB"/>
        </w:rPr>
        <w:t>Based on existing literature and theoretical frameworks, we propose the following hypothesis: Masculine individuals tend to have higher self-esteem levels than feminine individuals. This hypothesis is informed by the socialisation theory, which suggests that societal norms and gender roles contribute to the development of self-perceptions. Furthermore, it draws on previous empirical studies that have explored gender differences in self-esteem.</w:t>
      </w:r>
    </w:p>
    <w:p xmlns:wp14="http://schemas.microsoft.com/office/word/2010/wordml" wp14:paraId="0DC5F7DA" wp14:textId="1A616210">
      <w:r>
        <w:br/>
      </w:r>
    </w:p>
    <w:p xmlns:wp14="http://schemas.microsoft.com/office/word/2010/wordml" w:rsidP="0DAEC63B" wp14:paraId="7A67333D" wp14:textId="461FB52C">
      <w:pPr>
        <w:spacing w:before="0" w:beforeAutospacing="off" w:after="0" w:afterAutospacing="off"/>
      </w:pPr>
      <w:r w:rsidRPr="0DAEC63B" w:rsidR="4D8E484D">
        <w:rPr>
          <w:rFonts w:ascii="Arial" w:hAnsi="Arial" w:eastAsia="Arial" w:cs="Arial"/>
          <w:noProof w:val="0"/>
          <w:sz w:val="22"/>
          <w:szCs w:val="22"/>
          <w:lang w:val="en-GB"/>
        </w:rPr>
        <w:t>Participants:</w:t>
      </w:r>
    </w:p>
    <w:p xmlns:wp14="http://schemas.microsoft.com/office/word/2010/wordml" w:rsidP="0DAEC63B" wp14:paraId="2B74B0B0" wp14:textId="6F8EEFC3">
      <w:pPr>
        <w:spacing w:before="0" w:beforeAutospacing="off" w:after="0" w:afterAutospacing="off"/>
      </w:pPr>
      <w:r w:rsidRPr="0DAEC63B" w:rsidR="4D8E484D">
        <w:rPr>
          <w:rFonts w:ascii="Arial" w:hAnsi="Arial" w:eastAsia="Arial" w:cs="Arial"/>
          <w:noProof w:val="0"/>
          <w:sz w:val="22"/>
          <w:szCs w:val="22"/>
          <w:lang w:val="en-GB"/>
        </w:rPr>
        <w:t>A total of 34 individuals, aged between 18 and 51 years, participated in the study. The sample consisted of both males and females, with 18 participants identifying as masculine and 16 participants identifying as feminine based on their scores from Bem's Sex Role Inventory (BSRI).</w:t>
      </w:r>
    </w:p>
    <w:p xmlns:wp14="http://schemas.microsoft.com/office/word/2010/wordml" w:rsidP="0DAEC63B" wp14:paraId="21FA5000" wp14:textId="68F6D1B0">
      <w:pPr>
        <w:spacing w:before="0" w:beforeAutospacing="off" w:after="0" w:afterAutospacing="off"/>
      </w:pPr>
      <w:r w:rsidRPr="0DAEC63B" w:rsidR="4D8E484D">
        <w:rPr>
          <w:rFonts w:ascii="Arial" w:hAnsi="Arial" w:eastAsia="Arial" w:cs="Arial"/>
          <w:noProof w:val="0"/>
          <w:sz w:val="22"/>
          <w:szCs w:val="22"/>
          <w:lang w:val="en-GB"/>
        </w:rPr>
        <w:t>Design:</w:t>
      </w:r>
    </w:p>
    <w:p xmlns:wp14="http://schemas.microsoft.com/office/word/2010/wordml" w:rsidP="0DAEC63B" wp14:paraId="1E12FD78" wp14:textId="7EAC479C">
      <w:pPr>
        <w:spacing w:before="0" w:beforeAutospacing="off" w:after="0" w:afterAutospacing="off"/>
      </w:pPr>
      <w:r w:rsidRPr="0DAEC63B" w:rsidR="4D8E484D">
        <w:rPr>
          <w:rFonts w:ascii="Arial" w:hAnsi="Arial" w:eastAsia="Arial" w:cs="Arial"/>
          <w:noProof w:val="0"/>
          <w:sz w:val="22"/>
          <w:szCs w:val="22"/>
          <w:lang w:val="en-GB"/>
        </w:rPr>
        <w:t>The design employed in this study was a between-subjects design. The independent variable was the masculinity or femininity score derived from Bem's Sex Role Inventory. The dependent variable was the self-esteem score obtained from Rosenberg's Self-Esteem Scale.</w:t>
      </w:r>
    </w:p>
    <w:p xmlns:wp14="http://schemas.microsoft.com/office/word/2010/wordml" w:rsidP="0DAEC63B" wp14:paraId="2FF8088D" wp14:textId="2FEA55F2">
      <w:pPr>
        <w:spacing w:before="0" w:beforeAutospacing="off" w:after="0" w:afterAutospacing="off"/>
      </w:pPr>
      <w:r w:rsidRPr="0DAEC63B" w:rsidR="4D8E484D">
        <w:rPr>
          <w:rFonts w:ascii="Arial" w:hAnsi="Arial" w:eastAsia="Arial" w:cs="Arial"/>
          <w:noProof w:val="0"/>
          <w:sz w:val="22"/>
          <w:szCs w:val="22"/>
          <w:lang w:val="en-GB"/>
        </w:rPr>
        <w:t>Procedure:</w:t>
      </w:r>
    </w:p>
    <w:p xmlns:wp14="http://schemas.microsoft.com/office/word/2010/wordml" w:rsidP="0DAEC63B" wp14:paraId="7D618FFC" wp14:textId="39A5227E">
      <w:pPr>
        <w:spacing w:before="0" w:beforeAutospacing="off" w:after="0" w:afterAutospacing="off"/>
      </w:pPr>
      <w:r w:rsidRPr="0DAEC63B" w:rsidR="4D8E484D">
        <w:rPr>
          <w:rFonts w:ascii="Arial" w:hAnsi="Arial" w:eastAsia="Arial" w:cs="Arial"/>
          <w:noProof w:val="0"/>
          <w:sz w:val="22"/>
          <w:szCs w:val="22"/>
          <w:lang w:val="en-GB"/>
        </w:rPr>
        <w:t xml:space="preserve">Participants were provided with a link to an online questionnaire. Upon accessing the questionnaire, participants were first given a consent form that briefly explained the </w:t>
      </w:r>
      <w:r w:rsidRPr="0DAEC63B" w:rsidR="528C87C8">
        <w:rPr>
          <w:rFonts w:ascii="Arial" w:hAnsi="Arial" w:eastAsia="Arial" w:cs="Arial"/>
          <w:noProof w:val="0"/>
          <w:sz w:val="22"/>
          <w:szCs w:val="22"/>
          <w:lang w:val="en-GB"/>
        </w:rPr>
        <w:t>study and</w:t>
      </w:r>
      <w:r w:rsidRPr="0DAEC63B" w:rsidR="4D8E484D">
        <w:rPr>
          <w:rFonts w:ascii="Arial" w:hAnsi="Arial" w:eastAsia="Arial" w:cs="Arial"/>
          <w:noProof w:val="0"/>
          <w:sz w:val="22"/>
          <w:szCs w:val="22"/>
          <w:lang w:val="en-GB"/>
        </w:rPr>
        <w:t xml:space="preserve"> assured them of confidentiality and anonymity that they had to sign before continuing. Participants were asked to </w:t>
      </w:r>
      <w:r w:rsidRPr="0DAEC63B" w:rsidR="4D8E484D">
        <w:rPr>
          <w:rFonts w:ascii="Arial" w:hAnsi="Arial" w:eastAsia="Arial" w:cs="Arial"/>
          <w:noProof w:val="0"/>
          <w:sz w:val="22"/>
          <w:szCs w:val="22"/>
          <w:lang w:val="en-GB"/>
        </w:rPr>
        <w:t>provide</w:t>
      </w:r>
      <w:r w:rsidRPr="0DAEC63B" w:rsidR="4D8E484D">
        <w:rPr>
          <w:rFonts w:ascii="Arial" w:hAnsi="Arial" w:eastAsia="Arial" w:cs="Arial"/>
          <w:noProof w:val="0"/>
          <w:sz w:val="22"/>
          <w:szCs w:val="22"/>
          <w:lang w:val="en-GB"/>
        </w:rPr>
        <w:t xml:space="preserve"> their age and gender for demographic purposes. This information was collected to ensure a diverse sample and for later analysis and interpretation of the results. They then completed the Rosenberg's Self-Esteem Scale (RSES). The RSES is a widely used self-report measure of self-esteem </w:t>
      </w:r>
      <w:r w:rsidRPr="0DAEC63B" w:rsidR="4D8E484D">
        <w:rPr>
          <w:rFonts w:ascii="Arial" w:hAnsi="Arial" w:eastAsia="Arial" w:cs="Arial"/>
          <w:noProof w:val="0"/>
          <w:sz w:val="22"/>
          <w:szCs w:val="22"/>
          <w:lang w:val="en-GB"/>
        </w:rPr>
        <w:t>comprising</w:t>
      </w:r>
      <w:r w:rsidRPr="0DAEC63B" w:rsidR="4D8E484D">
        <w:rPr>
          <w:rFonts w:ascii="Arial" w:hAnsi="Arial" w:eastAsia="Arial" w:cs="Arial"/>
          <w:noProof w:val="0"/>
          <w:sz w:val="22"/>
          <w:szCs w:val="22"/>
          <w:lang w:val="en-GB"/>
        </w:rPr>
        <w:t xml:space="preserve"> 10 items rated on a Likert scale. Example questions from the RSES include: "I feel that I have a number of good qualities" and "I am able to do things as well as most other people" (Rosenberg, 1965). Following the completion of the RSES, participants </w:t>
      </w:r>
      <w:r w:rsidRPr="0DAEC63B" w:rsidR="4D8E484D">
        <w:rPr>
          <w:rFonts w:ascii="Arial" w:hAnsi="Arial" w:eastAsia="Arial" w:cs="Arial"/>
          <w:noProof w:val="0"/>
          <w:sz w:val="22"/>
          <w:szCs w:val="22"/>
          <w:lang w:val="en-GB"/>
        </w:rPr>
        <w:t>proceeded</w:t>
      </w:r>
      <w:r w:rsidRPr="0DAEC63B" w:rsidR="4D8E484D">
        <w:rPr>
          <w:rFonts w:ascii="Arial" w:hAnsi="Arial" w:eastAsia="Arial" w:cs="Arial"/>
          <w:noProof w:val="0"/>
          <w:sz w:val="22"/>
          <w:szCs w:val="22"/>
          <w:lang w:val="en-GB"/>
        </w:rPr>
        <w:t xml:space="preserve"> to complete the Bem's Sex Role Inventory (BSRI). The BSRI is a self-report measure designed to assess an individual's endorsement of masculine and feminine traits (Bem, 1974). Upon finishing the BSRI, participants were shown a debriefing statement, which explained the purpose of the study, its hypotheses, and </w:t>
      </w:r>
      <w:r w:rsidRPr="0DAEC63B" w:rsidR="4D8E484D">
        <w:rPr>
          <w:rFonts w:ascii="Arial" w:hAnsi="Arial" w:eastAsia="Arial" w:cs="Arial"/>
          <w:noProof w:val="0"/>
          <w:sz w:val="22"/>
          <w:szCs w:val="22"/>
          <w:lang w:val="en-GB"/>
        </w:rPr>
        <w:t>provided</w:t>
      </w:r>
      <w:r w:rsidRPr="0DAEC63B" w:rsidR="4D8E484D">
        <w:rPr>
          <w:rFonts w:ascii="Arial" w:hAnsi="Arial" w:eastAsia="Arial" w:cs="Arial"/>
          <w:noProof w:val="0"/>
          <w:sz w:val="22"/>
          <w:szCs w:val="22"/>
          <w:lang w:val="en-GB"/>
        </w:rPr>
        <w:t xml:space="preserve"> information about the research findings in general terms. They were also given the opportunity to contact the researchers if they had any further questions or concerns.</w:t>
      </w:r>
    </w:p>
    <w:p xmlns:wp14="http://schemas.microsoft.com/office/word/2010/wordml" wp14:paraId="3827610A" wp14:textId="721C0BCE">
      <w:r>
        <w:br/>
      </w:r>
    </w:p>
    <w:p xmlns:wp14="http://schemas.microsoft.com/office/word/2010/wordml" w:rsidP="0DAEC63B" wp14:paraId="407069AD" wp14:textId="0B77F825">
      <w:pPr>
        <w:spacing w:before="0" w:beforeAutospacing="off" w:after="0" w:afterAutospacing="off"/>
      </w:pPr>
      <w:r w:rsidRPr="0DAEC63B" w:rsidR="4D8E484D">
        <w:rPr>
          <w:rFonts w:ascii="Arial" w:hAnsi="Arial" w:eastAsia="Arial" w:cs="Arial"/>
          <w:noProof w:val="0"/>
          <w:sz w:val="22"/>
          <w:szCs w:val="22"/>
          <w:lang w:val="en-GB"/>
        </w:rPr>
        <w:t xml:space="preserve">An independent sample t-test was employed to examine the disparities in self-esteem levels between male and female participants. The findings revealed a significant difference in self-esteem scores, with females (M = 21.20, SD = 6.71) displaying significantly lower levels of self-esteem compared to males (M = 27.50, SD = 6.28): </w:t>
      </w:r>
      <w:bookmarkStart w:name="_Int_b4PnY23J" w:id="853442150"/>
      <w:r w:rsidRPr="0DAEC63B" w:rsidR="4D8E484D">
        <w:rPr>
          <w:rFonts w:ascii="Arial" w:hAnsi="Arial" w:eastAsia="Arial" w:cs="Arial"/>
          <w:noProof w:val="0"/>
          <w:sz w:val="22"/>
          <w:szCs w:val="22"/>
          <w:lang w:val="en-GB"/>
        </w:rPr>
        <w:t>t(</w:t>
      </w:r>
      <w:bookmarkEnd w:id="853442150"/>
      <w:r w:rsidRPr="0DAEC63B" w:rsidR="4D8E484D">
        <w:rPr>
          <w:rFonts w:ascii="Arial" w:hAnsi="Arial" w:eastAsia="Arial" w:cs="Arial"/>
          <w:noProof w:val="0"/>
          <w:sz w:val="22"/>
          <w:szCs w:val="22"/>
          <w:lang w:val="en-GB"/>
        </w:rPr>
        <w:t>18) = 2.17, p &lt; .05.</w:t>
      </w:r>
    </w:p>
    <w:p xmlns:wp14="http://schemas.microsoft.com/office/word/2010/wordml" wp14:paraId="2684A458" wp14:textId="0A97A030">
      <w:r>
        <w:br/>
      </w:r>
    </w:p>
    <w:p xmlns:wp14="http://schemas.microsoft.com/office/word/2010/wordml" w:rsidP="0DAEC63B" wp14:paraId="5A0601BC" wp14:textId="21A5C775">
      <w:pPr>
        <w:spacing w:before="0" w:beforeAutospacing="off" w:after="0" w:afterAutospacing="off"/>
      </w:pPr>
      <w:r w:rsidRPr="0DAEC63B" w:rsidR="4D8E484D">
        <w:rPr>
          <w:rFonts w:ascii="Arial" w:hAnsi="Arial" w:eastAsia="Arial" w:cs="Arial"/>
          <w:noProof w:val="0"/>
          <w:sz w:val="22"/>
          <w:szCs w:val="22"/>
          <w:lang w:val="en-GB"/>
        </w:rPr>
        <w:t xml:space="preserve">The present study aimed to investigate the potential difference in self-esteem levels between masculine and feminine individuals. The findings support the hypothesis that masculine individuals tend to have higher self-esteem levels compared to feminine individuals. These results align with </w:t>
      </w:r>
      <w:r w:rsidRPr="0DAEC63B" w:rsidR="4D8E484D">
        <w:rPr>
          <w:rFonts w:ascii="Arial" w:hAnsi="Arial" w:eastAsia="Arial" w:cs="Arial"/>
          <w:noProof w:val="0"/>
          <w:sz w:val="22"/>
          <w:szCs w:val="22"/>
          <w:lang w:val="en-GB"/>
        </w:rPr>
        <w:t>previous</w:t>
      </w:r>
      <w:r w:rsidRPr="0DAEC63B" w:rsidR="4D8E484D">
        <w:rPr>
          <w:rFonts w:ascii="Arial" w:hAnsi="Arial" w:eastAsia="Arial" w:cs="Arial"/>
          <w:noProof w:val="0"/>
          <w:sz w:val="22"/>
          <w:szCs w:val="22"/>
          <w:lang w:val="en-GB"/>
        </w:rPr>
        <w:t xml:space="preserve"> research by </w:t>
      </w:r>
      <w:r w:rsidRPr="0DAEC63B" w:rsidR="4D8E484D">
        <w:rPr>
          <w:rFonts w:ascii="Arial" w:hAnsi="Arial" w:eastAsia="Arial" w:cs="Arial"/>
          <w:noProof w:val="0"/>
          <w:sz w:val="22"/>
          <w:szCs w:val="22"/>
          <w:lang w:val="en-GB"/>
        </w:rPr>
        <w:t>Matud</w:t>
      </w:r>
      <w:r w:rsidRPr="0DAEC63B" w:rsidR="4D8E484D">
        <w:rPr>
          <w:rFonts w:ascii="Arial" w:hAnsi="Arial" w:eastAsia="Arial" w:cs="Arial"/>
          <w:noProof w:val="0"/>
          <w:sz w:val="22"/>
          <w:szCs w:val="22"/>
          <w:lang w:val="en-GB"/>
        </w:rPr>
        <w:t xml:space="preserve"> (2019) and Exner (2021), which found higher self-esteem among individuals endorsing more masculine traits and adhering to traditional gender roles. The socialisation theory </w:t>
      </w:r>
      <w:r w:rsidRPr="0DAEC63B" w:rsidR="4D8E484D">
        <w:rPr>
          <w:rFonts w:ascii="Arial" w:hAnsi="Arial" w:eastAsia="Arial" w:cs="Arial"/>
          <w:noProof w:val="0"/>
          <w:sz w:val="22"/>
          <w:szCs w:val="22"/>
          <w:lang w:val="en-GB"/>
        </w:rPr>
        <w:t>provided</w:t>
      </w:r>
      <w:r w:rsidRPr="0DAEC63B" w:rsidR="4D8E484D">
        <w:rPr>
          <w:rFonts w:ascii="Arial" w:hAnsi="Arial" w:eastAsia="Arial" w:cs="Arial"/>
          <w:noProof w:val="0"/>
          <w:sz w:val="22"/>
          <w:szCs w:val="22"/>
          <w:lang w:val="en-GB"/>
        </w:rPr>
        <w:t xml:space="preserve"> a framework to understand these findings, as it suggests that societal norms and gender roles contribute to the development of self-</w:t>
      </w:r>
      <w:r w:rsidRPr="0DAEC63B" w:rsidR="4D8E484D">
        <w:rPr>
          <w:rFonts w:ascii="Arial" w:hAnsi="Arial" w:eastAsia="Arial" w:cs="Arial"/>
          <w:noProof w:val="0"/>
          <w:sz w:val="22"/>
          <w:szCs w:val="22"/>
          <w:lang w:val="en-GB"/>
        </w:rPr>
        <w:t>perceptions</w:t>
      </w:r>
      <w:r w:rsidRPr="0DAEC63B" w:rsidR="4D8E484D">
        <w:rPr>
          <w:rFonts w:ascii="Arial" w:hAnsi="Arial" w:eastAsia="Arial" w:cs="Arial"/>
          <w:noProof w:val="0"/>
          <w:sz w:val="22"/>
          <w:szCs w:val="22"/>
          <w:lang w:val="en-GB"/>
        </w:rPr>
        <w:t xml:space="preserve">. These results contrast with the findings of Magee and </w:t>
      </w:r>
      <w:r w:rsidRPr="0DAEC63B" w:rsidR="4D8E484D">
        <w:rPr>
          <w:rFonts w:ascii="Arial" w:hAnsi="Arial" w:eastAsia="Arial" w:cs="Arial"/>
          <w:noProof w:val="0"/>
          <w:sz w:val="22"/>
          <w:szCs w:val="22"/>
          <w:lang w:val="en-GB"/>
        </w:rPr>
        <w:t>Upenieks</w:t>
      </w:r>
      <w:r w:rsidRPr="0DAEC63B" w:rsidR="4D8E484D">
        <w:rPr>
          <w:rFonts w:ascii="Arial" w:hAnsi="Arial" w:eastAsia="Arial" w:cs="Arial"/>
          <w:noProof w:val="0"/>
          <w:sz w:val="22"/>
          <w:szCs w:val="22"/>
          <w:lang w:val="en-GB"/>
        </w:rPr>
        <w:t xml:space="preserve"> (2019), who did not find significant differences in self-esteem levels between masculine and feminine individuals. The authors argued that individual differences within gender groups, such as personality traits, upbringing, and </w:t>
      </w:r>
      <w:r w:rsidRPr="0DAEC63B" w:rsidR="2C8D3331">
        <w:rPr>
          <w:rFonts w:ascii="Arial" w:hAnsi="Arial" w:eastAsia="Arial" w:cs="Arial"/>
          <w:noProof w:val="0"/>
          <w:sz w:val="22"/>
          <w:szCs w:val="22"/>
          <w:lang w:val="en-GB"/>
        </w:rPr>
        <w:t>individual experiences</w:t>
      </w:r>
      <w:r w:rsidRPr="0DAEC63B" w:rsidR="4D8E484D">
        <w:rPr>
          <w:rFonts w:ascii="Arial" w:hAnsi="Arial" w:eastAsia="Arial" w:cs="Arial"/>
          <w:noProof w:val="0"/>
          <w:sz w:val="22"/>
          <w:szCs w:val="22"/>
          <w:lang w:val="en-GB"/>
        </w:rPr>
        <w:t>, may have a stronger influence on self-esteem than gender itself. It is important to consider these variations within gender groups to gain a comprehensive understanding of self-esteem levels.</w:t>
      </w:r>
    </w:p>
    <w:p xmlns:wp14="http://schemas.microsoft.com/office/word/2010/wordml" w:rsidP="0DAEC63B" wp14:paraId="0477BBED" wp14:textId="1149AEC0">
      <w:pPr>
        <w:spacing w:before="0" w:beforeAutospacing="off" w:after="0" w:afterAutospacing="off"/>
      </w:pPr>
      <w:r w:rsidRPr="0DAEC63B" w:rsidR="4D8E484D">
        <w:rPr>
          <w:rFonts w:ascii="Arial" w:hAnsi="Arial" w:eastAsia="Arial" w:cs="Arial"/>
          <w:noProof w:val="0"/>
          <w:sz w:val="22"/>
          <w:szCs w:val="22"/>
          <w:lang w:val="en-GB"/>
        </w:rPr>
        <w:t>The current study contributes to the existing literature by providing empirical evidence that supports the notion of higher self-esteem among masculine individuals. However, it is crucial to acknowledge the limitations of this study. One limitation is the sample size, which comprised only 34 participants. A larger sample size would enhance the generalizability of the findings. Additionally, the study relied on self-report measures, which may be susceptible to biases and social desirability effects. Future research could incorporate additional measures, such as objective assessments or interviews, to further validate the findings. Another limitation is the use of an online questionnaire, which may introduce sampling biases and limit the diversity of the sample. Despite these limitations, the current study provides valuable insights into the differences in self-esteem levels between masculine and feminine individuals. The findings contribute to the existing body of literature and support the idea that societal norms and gender roles influence self-perceptions and self-esteem. Understanding these dynamics can have implications for interventions aimed at promoting positive self-esteem and mental well-being among individuals of all gender identities.</w:t>
      </w:r>
    </w:p>
    <w:p xmlns:wp14="http://schemas.microsoft.com/office/word/2010/wordml" wp14:paraId="16C004CB" wp14:textId="145AFBE4">
      <w:r>
        <w:br/>
      </w:r>
    </w:p>
    <w:p xmlns:wp14="http://schemas.microsoft.com/office/word/2010/wordml" w:rsidP="0DAEC63B" wp14:paraId="7916E9EF" wp14:textId="26F2DD36">
      <w:pPr>
        <w:spacing w:before="0" w:beforeAutospacing="off" w:after="0" w:afterAutospacing="off"/>
      </w:pPr>
      <w:r w:rsidRPr="0DAEC63B" w:rsidR="4D8E484D">
        <w:rPr>
          <w:rFonts w:ascii="Arial" w:hAnsi="Arial" w:eastAsia="Arial" w:cs="Arial"/>
          <w:noProof w:val="0"/>
          <w:sz w:val="22"/>
          <w:szCs w:val="22"/>
          <w:lang w:val="en-GB"/>
        </w:rPr>
        <w:t>In conclusion, the present study found that masculine individuals had higher levels of self-esteem compared to feminine individuals. These results are consistent with previous research and align with the socialisation theory. However, it is essential to acknowledge the limitations of the study, such as the small sample size and reliance on self-report measures. Further research with larger and more diverse samples is needed to validate and expand upon these findings. Understanding the complexities of self-esteem and gender can inform interventions and strategies to foster positive self-perceptions and promote mental health for individuals of all gender identities.</w:t>
      </w:r>
    </w:p>
    <w:p xmlns:wp14="http://schemas.microsoft.com/office/word/2010/wordml" wp14:paraId="208D1815" wp14:textId="7F32D503">
      <w:r>
        <w:br/>
      </w:r>
      <w:r>
        <w:br/>
      </w:r>
      <w:r>
        <w:br/>
      </w:r>
    </w:p>
    <w:p xmlns:wp14="http://schemas.microsoft.com/office/word/2010/wordml" w:rsidP="0DAEC63B" wp14:paraId="4FB4DCBF" wp14:textId="52BA5B43">
      <w:pPr>
        <w:spacing w:before="0" w:beforeAutospacing="off" w:after="0" w:afterAutospacing="off"/>
      </w:pPr>
      <w:r w:rsidRPr="0DAEC63B" w:rsidR="4D8E484D">
        <w:rPr>
          <w:rFonts w:ascii="Arial" w:hAnsi="Arial" w:eastAsia="Arial" w:cs="Arial"/>
          <w:noProof w:val="0"/>
          <w:sz w:val="22"/>
          <w:szCs w:val="22"/>
          <w:lang w:val="en-GB"/>
        </w:rPr>
        <w:t>References</w:t>
      </w:r>
    </w:p>
    <w:p xmlns:wp14="http://schemas.microsoft.com/office/word/2010/wordml" wp14:paraId="2CD2CA28" wp14:textId="7B0A45EC">
      <w:r>
        <w:br/>
      </w:r>
    </w:p>
    <w:p xmlns:wp14="http://schemas.microsoft.com/office/word/2010/wordml" w:rsidP="0DAEC63B" wp14:paraId="7407FAE8" wp14:textId="4F63EBB6">
      <w:pPr>
        <w:spacing w:before="0" w:beforeAutospacing="off" w:after="0" w:afterAutospacing="off"/>
      </w:pPr>
      <w:r w:rsidRPr="0DAEC63B" w:rsidR="4D8E484D">
        <w:rPr>
          <w:rFonts w:ascii="Arial" w:hAnsi="Arial" w:eastAsia="Arial" w:cs="Arial"/>
          <w:noProof w:val="0"/>
          <w:sz w:val="22"/>
          <w:szCs w:val="22"/>
          <w:lang w:val="en-GB"/>
        </w:rPr>
        <w:t>- Matud MP. Masculine/Instrumental and Feminine/Expressive Traits and Health, Well-Being, and Psychological Distress in Spanish Men. Am J Mens Health. 2019 Jan-Feb;13(1):1557988319832749. doi: 10.1177/1557988319832749. PMID: 30791811; PMCID: PMC6440036.</w:t>
      </w:r>
    </w:p>
    <w:p xmlns:wp14="http://schemas.microsoft.com/office/word/2010/wordml" w:rsidP="0DAEC63B" wp14:paraId="2B730E91" wp14:textId="40A5FE3F">
      <w:pPr>
        <w:spacing w:before="0" w:beforeAutospacing="off" w:after="0" w:afterAutospacing="off"/>
      </w:pPr>
      <w:r w:rsidRPr="0DAEC63B" w:rsidR="4D8E484D">
        <w:rPr>
          <w:rFonts w:ascii="Arial" w:hAnsi="Arial" w:eastAsia="Arial" w:cs="Arial"/>
          <w:noProof w:val="0"/>
          <w:sz w:val="22"/>
          <w:szCs w:val="22"/>
          <w:lang w:val="en-GB"/>
        </w:rPr>
        <w:t>- Exner-Cortens D, Wright A, Claussen C, Truscott E. A Systematic Review of Adolescent Masculinities and Associations with Internalizing Behavior Problems and Social Support. Am J Community Psychol. 2021 Sep;68(1-2):215-231. doi: 10.1002/ajcp.12492. Epub 2021 Jan 8. PMID: 33417737; PMCID: PMC8518785.</w:t>
      </w:r>
    </w:p>
    <w:p xmlns:wp14="http://schemas.microsoft.com/office/word/2010/wordml" w:rsidP="0DAEC63B" wp14:paraId="1674F2A2" wp14:textId="64D8FE5D">
      <w:pPr>
        <w:spacing w:before="0" w:beforeAutospacing="off" w:after="0" w:afterAutospacing="off"/>
      </w:pPr>
      <w:r w:rsidRPr="0DAEC63B" w:rsidR="4D8E484D">
        <w:rPr>
          <w:rFonts w:ascii="Arial" w:hAnsi="Arial" w:eastAsia="Arial" w:cs="Arial"/>
          <w:noProof w:val="0"/>
          <w:sz w:val="22"/>
          <w:szCs w:val="22"/>
          <w:lang w:val="en-GB"/>
        </w:rPr>
        <w:t xml:space="preserve">- William Magee, Laura Upenieks (2019), Gender differences in self-esteem, unvarnished self-evaluation, future orientation, self-enhancement and self-derogation in a U.S. national sample, Personality and Individual Differences, </w:t>
      </w:r>
      <w:hyperlink r:id="Rc89364c6b62b4587">
        <w:r w:rsidRPr="0DAEC63B" w:rsidR="4D8E484D">
          <w:rPr>
            <w:rStyle w:val="Hyperlink"/>
            <w:rFonts w:ascii="Arial" w:hAnsi="Arial" w:eastAsia="Arial" w:cs="Arial"/>
            <w:strike w:val="0"/>
            <w:dstrike w:val="0"/>
            <w:noProof w:val="0"/>
            <w:sz w:val="22"/>
            <w:szCs w:val="22"/>
            <w:lang w:val="en-GB"/>
          </w:rPr>
          <w:t>https://www.sciencedirect.com/science/article/pii/S019188691930306X</w:t>
        </w:r>
      </w:hyperlink>
      <w:r w:rsidRPr="0DAEC63B" w:rsidR="4D8E484D">
        <w:rPr>
          <w:rFonts w:ascii="Arial" w:hAnsi="Arial" w:eastAsia="Arial" w:cs="Arial"/>
          <w:noProof w:val="0"/>
          <w:sz w:val="22"/>
          <w:szCs w:val="22"/>
          <w:lang w:val="en-GB"/>
        </w:rPr>
        <w:t>)</w:t>
      </w:r>
    </w:p>
    <w:p xmlns:wp14="http://schemas.microsoft.com/office/word/2010/wordml" w:rsidP="0DAEC63B" wp14:paraId="7390891E" wp14:textId="739F48BA">
      <w:pPr>
        <w:spacing w:before="0" w:beforeAutospacing="off" w:after="0" w:afterAutospacing="off"/>
      </w:pPr>
      <w:r w:rsidRPr="0DAEC63B" w:rsidR="4D8E484D">
        <w:rPr>
          <w:rFonts w:ascii="Arial" w:hAnsi="Arial" w:eastAsia="Arial" w:cs="Arial"/>
          <w:noProof w:val="0"/>
          <w:sz w:val="22"/>
          <w:szCs w:val="22"/>
          <w:lang w:val="en-GB"/>
        </w:rPr>
        <w:t>- Bem, S. L. (1974). The measurement of psychological androgyny. Journal of Consulting and Clinical Psychology, 42(2), 155-162.</w:t>
      </w:r>
      <w:hyperlink r:id="R0a04a792a6414c6d">
        <w:r w:rsidRPr="0DAEC63B" w:rsidR="4D8E484D">
          <w:rPr>
            <w:rStyle w:val="Hyperlink"/>
            <w:rFonts w:ascii="Arial" w:hAnsi="Arial" w:eastAsia="Arial" w:cs="Arial"/>
            <w:strike w:val="0"/>
            <w:dstrike w:val="0"/>
            <w:noProof w:val="0"/>
            <w:sz w:val="22"/>
            <w:szCs w:val="22"/>
            <w:lang w:val="en-GB"/>
          </w:rPr>
          <w:t>https://psycnet.apa.org/record/1974-27631-001</w:t>
        </w:r>
      </w:hyperlink>
      <w:r w:rsidRPr="0DAEC63B" w:rsidR="4D8E484D">
        <w:rPr>
          <w:rFonts w:ascii="Arial" w:hAnsi="Arial" w:eastAsia="Arial" w:cs="Arial"/>
          <w:noProof w:val="0"/>
          <w:sz w:val="22"/>
          <w:szCs w:val="22"/>
          <w:lang w:val="en-GB"/>
        </w:rPr>
        <w:t xml:space="preserve"> </w:t>
      </w:r>
    </w:p>
    <w:p xmlns:wp14="http://schemas.microsoft.com/office/word/2010/wordml" w:rsidP="0DAEC63B" wp14:paraId="45B57C05" wp14:textId="6648BE99">
      <w:pPr>
        <w:spacing w:before="0" w:beforeAutospacing="off" w:after="0" w:afterAutospacing="off"/>
      </w:pPr>
      <w:r w:rsidRPr="0DAEC63B" w:rsidR="4D8E484D">
        <w:rPr>
          <w:rFonts w:ascii="Arial" w:hAnsi="Arial" w:eastAsia="Arial" w:cs="Arial"/>
          <w:noProof w:val="0"/>
          <w:sz w:val="22"/>
          <w:szCs w:val="22"/>
          <w:lang w:val="en-GB"/>
        </w:rPr>
        <w:t>- Rosenberg, M. (1965). Society and the adolescent self-image. Princeton University Press.</w:t>
      </w:r>
      <w:hyperlink r:id="Red4e1b472dfc41c3">
        <w:r w:rsidRPr="0DAEC63B" w:rsidR="4D8E484D">
          <w:rPr>
            <w:rStyle w:val="Hyperlink"/>
            <w:rFonts w:ascii="Arial" w:hAnsi="Arial" w:eastAsia="Arial" w:cs="Arial"/>
            <w:strike w:val="0"/>
            <w:dstrike w:val="0"/>
            <w:noProof w:val="0"/>
            <w:sz w:val="22"/>
            <w:szCs w:val="22"/>
            <w:lang w:val="en-GB"/>
          </w:rPr>
          <w:t>https://www.jstor.org/stable/j.ctt183pjjh</w:t>
        </w:r>
      </w:hyperlink>
      <w:r w:rsidRPr="0DAEC63B" w:rsidR="4D8E484D">
        <w:rPr>
          <w:rFonts w:ascii="Arial" w:hAnsi="Arial" w:eastAsia="Arial" w:cs="Arial"/>
          <w:noProof w:val="0"/>
          <w:sz w:val="22"/>
          <w:szCs w:val="22"/>
          <w:lang w:val="en-GB"/>
        </w:rPr>
        <w:t xml:space="preserve"> </w:t>
      </w:r>
    </w:p>
    <w:p xmlns:wp14="http://schemas.microsoft.com/office/word/2010/wordml" wp14:paraId="4B5A3E2C" wp14:textId="61A8F7D0">
      <w:r>
        <w:br/>
      </w:r>
      <w:r>
        <w:br/>
      </w:r>
    </w:p>
    <w:p xmlns:wp14="http://schemas.microsoft.com/office/word/2010/wordml" w:rsidP="0DAEC63B" wp14:paraId="27E5BCA4" wp14:textId="623C1B03">
      <w:pPr>
        <w:spacing w:before="0" w:beforeAutospacing="off" w:after="0" w:afterAutospacing="off"/>
      </w:pPr>
      <w:r w:rsidRPr="0DAEC63B" w:rsidR="4D8E484D">
        <w:rPr>
          <w:rFonts w:ascii="Arial" w:hAnsi="Arial" w:eastAsia="Arial" w:cs="Arial"/>
          <w:noProof w:val="0"/>
          <w:sz w:val="22"/>
          <w:szCs w:val="22"/>
          <w:lang w:val="en-GB"/>
        </w:rPr>
        <w:t>Appendix:</w:t>
      </w:r>
    </w:p>
    <w:p xmlns:wp14="http://schemas.microsoft.com/office/word/2010/wordml" w:rsidP="0DAEC63B" wp14:paraId="5E5787A5" wp14:textId="522F08A1">
      <w:pPr>
        <w:pStyle w:val="Normal"/>
      </w:pPr>
      <w:r w:rsidR="03F57788">
        <w:drawing>
          <wp:inline xmlns:wp14="http://schemas.microsoft.com/office/word/2010/wordprocessingDrawing" wp14:editId="661A31DB" wp14:anchorId="0CBC58DC">
            <wp:extent cx="3409950" cy="4572000"/>
            <wp:effectExtent l="0" t="0" r="0" b="0"/>
            <wp:docPr id="1020093746" name="" title=""/>
            <wp:cNvGraphicFramePr>
              <a:graphicFrameLocks noChangeAspect="1"/>
            </wp:cNvGraphicFramePr>
            <a:graphic>
              <a:graphicData uri="http://schemas.openxmlformats.org/drawingml/2006/picture">
                <pic:pic>
                  <pic:nvPicPr>
                    <pic:cNvPr id="0" name=""/>
                    <pic:cNvPicPr/>
                  </pic:nvPicPr>
                  <pic:blipFill>
                    <a:blip r:embed="Rcb70f8231805402a">
                      <a:extLst>
                        <a:ext xmlns:a="http://schemas.openxmlformats.org/drawingml/2006/main" uri="{28A0092B-C50C-407E-A947-70E740481C1C}">
                          <a14:useLocalDpi val="0"/>
                        </a:ext>
                      </a:extLst>
                    </a:blip>
                    <a:stretch>
                      <a:fillRect/>
                    </a:stretch>
                  </pic:blipFill>
                  <pic:spPr>
                    <a:xfrm>
                      <a:off x="0" y="0"/>
                      <a:ext cx="3409950" cy="4572000"/>
                    </a:xfrm>
                    <a:prstGeom prst="rect">
                      <a:avLst/>
                    </a:prstGeom>
                  </pic:spPr>
                </pic:pic>
              </a:graphicData>
            </a:graphic>
          </wp:inline>
        </w:drawing>
      </w:r>
      <w:r w:rsidR="03F57788">
        <w:drawing>
          <wp:inline xmlns:wp14="http://schemas.microsoft.com/office/word/2010/wordprocessingDrawing" wp14:editId="5147ADF2" wp14:anchorId="1EEBDDF2">
            <wp:extent cx="3781425" cy="4572000"/>
            <wp:effectExtent l="0" t="0" r="0" b="0"/>
            <wp:docPr id="1439537952" name="" title=""/>
            <wp:cNvGraphicFramePr>
              <a:graphicFrameLocks noChangeAspect="1"/>
            </wp:cNvGraphicFramePr>
            <a:graphic>
              <a:graphicData uri="http://schemas.openxmlformats.org/drawingml/2006/picture">
                <pic:pic>
                  <pic:nvPicPr>
                    <pic:cNvPr id="0" name=""/>
                    <pic:cNvPicPr/>
                  </pic:nvPicPr>
                  <pic:blipFill>
                    <a:blip r:embed="R9feff4f23c1241ad">
                      <a:extLst>
                        <a:ext xmlns:a="http://schemas.openxmlformats.org/drawingml/2006/main" uri="{28A0092B-C50C-407E-A947-70E740481C1C}">
                          <a14:useLocalDpi val="0"/>
                        </a:ext>
                      </a:extLst>
                    </a:blip>
                    <a:stretch>
                      <a:fillRect/>
                    </a:stretch>
                  </pic:blipFill>
                  <pic:spPr>
                    <a:xfrm>
                      <a:off x="0" y="0"/>
                      <a:ext cx="3781425" cy="4572000"/>
                    </a:xfrm>
                    <a:prstGeom prst="rect">
                      <a:avLst/>
                    </a:prstGeom>
                  </pic:spPr>
                </pic:pic>
              </a:graphicData>
            </a:graphic>
          </wp:inline>
        </w:drawing>
      </w:r>
      <w:r w:rsidR="03F57788">
        <w:drawing>
          <wp:inline xmlns:wp14="http://schemas.microsoft.com/office/word/2010/wordprocessingDrawing" wp14:editId="47FFF6FA" wp14:anchorId="340F99B9">
            <wp:extent cx="3286125" cy="4572000"/>
            <wp:effectExtent l="0" t="0" r="0" b="0"/>
            <wp:docPr id="1610001253" name="" title=""/>
            <wp:cNvGraphicFramePr>
              <a:graphicFrameLocks noChangeAspect="1"/>
            </wp:cNvGraphicFramePr>
            <a:graphic>
              <a:graphicData uri="http://schemas.openxmlformats.org/drawingml/2006/picture">
                <pic:pic>
                  <pic:nvPicPr>
                    <pic:cNvPr id="0" name=""/>
                    <pic:cNvPicPr/>
                  </pic:nvPicPr>
                  <pic:blipFill>
                    <a:blip r:embed="R8003ba1350214c5e">
                      <a:extLst>
                        <a:ext xmlns:a="http://schemas.openxmlformats.org/drawingml/2006/main" uri="{28A0092B-C50C-407E-A947-70E740481C1C}">
                          <a14:useLocalDpi val="0"/>
                        </a:ext>
                      </a:extLst>
                    </a:blip>
                    <a:stretch>
                      <a:fillRect/>
                    </a:stretch>
                  </pic:blipFill>
                  <pic:spPr>
                    <a:xfrm>
                      <a:off x="0" y="0"/>
                      <a:ext cx="3286125" cy="4572000"/>
                    </a:xfrm>
                    <a:prstGeom prst="rect">
                      <a:avLst/>
                    </a:prstGeom>
                  </pic:spPr>
                </pic:pic>
              </a:graphicData>
            </a:graphic>
          </wp:inline>
        </w:drawing>
      </w:r>
      <w:r w:rsidR="03F57788">
        <w:drawing>
          <wp:inline xmlns:wp14="http://schemas.microsoft.com/office/word/2010/wordprocessingDrawing" wp14:editId="77A9B273" wp14:anchorId="6DC746EB">
            <wp:extent cx="3267075" cy="4572000"/>
            <wp:effectExtent l="0" t="0" r="0" b="0"/>
            <wp:docPr id="1183702320" name="" title=""/>
            <wp:cNvGraphicFramePr>
              <a:graphicFrameLocks noChangeAspect="1"/>
            </wp:cNvGraphicFramePr>
            <a:graphic>
              <a:graphicData uri="http://schemas.openxmlformats.org/drawingml/2006/picture">
                <pic:pic>
                  <pic:nvPicPr>
                    <pic:cNvPr id="0" name=""/>
                    <pic:cNvPicPr/>
                  </pic:nvPicPr>
                  <pic:blipFill>
                    <a:blip r:embed="R73e017972a0a41c9">
                      <a:extLst>
                        <a:ext xmlns:a="http://schemas.openxmlformats.org/drawingml/2006/main" uri="{28A0092B-C50C-407E-A947-70E740481C1C}">
                          <a14:useLocalDpi val="0"/>
                        </a:ext>
                      </a:extLst>
                    </a:blip>
                    <a:stretch>
                      <a:fillRect/>
                    </a:stretch>
                  </pic:blipFill>
                  <pic:spPr>
                    <a:xfrm>
                      <a:off x="0" y="0"/>
                      <a:ext cx="3267075" cy="4572000"/>
                    </a:xfrm>
                    <a:prstGeom prst="rect">
                      <a:avLst/>
                    </a:prstGeom>
                  </pic:spPr>
                </pic:pic>
              </a:graphicData>
            </a:graphic>
          </wp:inline>
        </w:drawing>
      </w:r>
      <w:r w:rsidR="03F57788">
        <w:drawing>
          <wp:inline xmlns:wp14="http://schemas.microsoft.com/office/word/2010/wordprocessingDrawing" wp14:editId="6BE0968D" wp14:anchorId="415E219D">
            <wp:extent cx="2228850" cy="4572000"/>
            <wp:effectExtent l="0" t="0" r="0" b="0"/>
            <wp:docPr id="607720255" name="" title=""/>
            <wp:cNvGraphicFramePr>
              <a:graphicFrameLocks noChangeAspect="1"/>
            </wp:cNvGraphicFramePr>
            <a:graphic>
              <a:graphicData uri="http://schemas.openxmlformats.org/drawingml/2006/picture">
                <pic:pic>
                  <pic:nvPicPr>
                    <pic:cNvPr id="0" name=""/>
                    <pic:cNvPicPr/>
                  </pic:nvPicPr>
                  <pic:blipFill>
                    <a:blip r:embed="R9e95336e62454994">
                      <a:extLst>
                        <a:ext xmlns:a="http://schemas.openxmlformats.org/drawingml/2006/main" uri="{28A0092B-C50C-407E-A947-70E740481C1C}">
                          <a14:useLocalDpi val="0"/>
                        </a:ext>
                      </a:extLst>
                    </a:blip>
                    <a:stretch>
                      <a:fillRect/>
                    </a:stretch>
                  </pic:blipFill>
                  <pic:spPr>
                    <a:xfrm>
                      <a:off x="0" y="0"/>
                      <a:ext cx="2228850" cy="4572000"/>
                    </a:xfrm>
                    <a:prstGeom prst="rect">
                      <a:avLst/>
                    </a:prstGeom>
                  </pic:spPr>
                </pic:pic>
              </a:graphicData>
            </a:graphic>
          </wp:inline>
        </w:drawing>
      </w:r>
      <w:r w:rsidR="03F57788">
        <w:drawing>
          <wp:inline xmlns:wp14="http://schemas.microsoft.com/office/word/2010/wordprocessingDrawing" wp14:editId="5DB583B9" wp14:anchorId="0E4CDFB1">
            <wp:extent cx="2124075" cy="4572000"/>
            <wp:effectExtent l="0" t="0" r="0" b="0"/>
            <wp:docPr id="1200653776" name="" title=""/>
            <wp:cNvGraphicFramePr>
              <a:graphicFrameLocks noChangeAspect="1"/>
            </wp:cNvGraphicFramePr>
            <a:graphic>
              <a:graphicData uri="http://schemas.openxmlformats.org/drawingml/2006/picture">
                <pic:pic>
                  <pic:nvPicPr>
                    <pic:cNvPr id="0" name=""/>
                    <pic:cNvPicPr/>
                  </pic:nvPicPr>
                  <pic:blipFill>
                    <a:blip r:embed="R8d4e500494ab4be5">
                      <a:extLst>
                        <a:ext xmlns:a="http://schemas.openxmlformats.org/drawingml/2006/main" uri="{28A0092B-C50C-407E-A947-70E740481C1C}">
                          <a14:useLocalDpi val="0"/>
                        </a:ext>
                      </a:extLst>
                    </a:blip>
                    <a:stretch>
                      <a:fillRect/>
                    </a:stretch>
                  </pic:blipFill>
                  <pic:spPr>
                    <a:xfrm>
                      <a:off x="0" y="0"/>
                      <a:ext cx="2124075" cy="4572000"/>
                    </a:xfrm>
                    <a:prstGeom prst="rect">
                      <a:avLst/>
                    </a:prstGeom>
                  </pic:spPr>
                </pic:pic>
              </a:graphicData>
            </a:graphic>
          </wp:inline>
        </w:drawing>
      </w:r>
      <w:r w:rsidR="03F57788">
        <w:drawing>
          <wp:inline xmlns:wp14="http://schemas.microsoft.com/office/word/2010/wordprocessingDrawing" wp14:editId="32CA6AD9" wp14:anchorId="2B7DF763">
            <wp:extent cx="4572000" cy="2095500"/>
            <wp:effectExtent l="0" t="0" r="0" b="0"/>
            <wp:docPr id="30309157" name="" title=""/>
            <wp:cNvGraphicFramePr>
              <a:graphicFrameLocks noChangeAspect="1"/>
            </wp:cNvGraphicFramePr>
            <a:graphic>
              <a:graphicData uri="http://schemas.openxmlformats.org/drawingml/2006/picture">
                <pic:pic>
                  <pic:nvPicPr>
                    <pic:cNvPr id="0" name=""/>
                    <pic:cNvPicPr/>
                  </pic:nvPicPr>
                  <pic:blipFill>
                    <a:blip r:embed="R6b571e219e1240bb">
                      <a:extLst>
                        <a:ext xmlns:a="http://schemas.openxmlformats.org/drawingml/2006/main" uri="{28A0092B-C50C-407E-A947-70E740481C1C}">
                          <a14:useLocalDpi val="0"/>
                        </a:ext>
                      </a:extLst>
                    </a:blip>
                    <a:stretch>
                      <a:fillRect/>
                    </a:stretch>
                  </pic:blipFill>
                  <pic:spPr>
                    <a:xfrm>
                      <a:off x="0" y="0"/>
                      <a:ext cx="4572000" cy="20955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pvaRRlzfBYxP" int2:id="5uPx5pOX">
      <int2:state int2:type="AugLoop_Text_Critique" int2:value="Rejected"/>
    </int2:textHash>
    <int2:textHash int2:hashCode="Oo/utlKIsxnvA9" int2:id="ibVdK1HG">
      <int2:state int2:type="AugLoop_Text_Critique" int2:value="Rejected"/>
    </int2:textHash>
    <int2:textHash int2:hashCode="ypnpCXlvsG9C54" int2:id="8BMM7aan">
      <int2:state int2:type="AugLoop_Text_Critique" int2:value="Rejected"/>
    </int2:textHash>
    <int2:textHash int2:hashCode="Cfg4gHao9QnTMX" int2:id="3Cs516xE">
      <int2:state int2:type="AugLoop_Text_Critique" int2:value="Rejected"/>
    </int2:textHash>
    <int2:textHash int2:hashCode="ewnzblLx/mgkkY" int2:id="24yn2BpB">
      <int2:state int2:type="AugLoop_Text_Critique" int2:value="Rejected"/>
    </int2:textHash>
    <int2:textHash int2:hashCode="SOVj8UjcBNizHJ" int2:id="hryZdpd5">
      <int2:state int2:type="AugLoop_Text_Critique" int2:value="Rejected"/>
    </int2:textHash>
    <int2:textHash int2:hashCode="TE5txLvbzo+E8H" int2:id="sqG5bp5O">
      <int2:state int2:type="AugLoop_Text_Critique" int2:value="Rejected"/>
    </int2:textHash>
    <int2:textHash int2:hashCode="A/MbDgfk2Y8oBx" int2:id="GYSIu4W8">
      <int2:state int2:type="AugLoop_Text_Critique" int2:value="Rejected"/>
    </int2:textHash>
    <int2:bookmark int2:bookmarkName="_Int_BaAUaqR3" int2:invalidationBookmarkName="" int2:hashCode="Vf2c0lvQPB1WkD" int2:id="1p5t4gHM">
      <int2:state int2:type="AugLoop_Text_Critique" int2:value="Rejected"/>
    </int2:bookmark>
    <int2:bookmark int2:bookmarkName="_Int_b4PnY23J" int2:invalidationBookmarkName="" int2:hashCode="ur65bLkGMW24YF" int2:id="TmOJyIKW">
      <int2:state int2:type="AugLoop_Text_Critique" int2:value="Rejected"/>
    </int2:bookmark>
    <int2:bookmark int2:bookmarkName="_Int_hZuRo2v4" int2:invalidationBookmarkName="" int2:hashCode="ur65bLkGMW24YF" int2:id="FlEugE3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2820F"/>
    <w:rsid w:val="03F57788"/>
    <w:rsid w:val="0DAEC63B"/>
    <w:rsid w:val="1CBFEC3B"/>
    <w:rsid w:val="2C8D3331"/>
    <w:rsid w:val="3073919C"/>
    <w:rsid w:val="31E2820F"/>
    <w:rsid w:val="4D8E484D"/>
    <w:rsid w:val="528C87C8"/>
    <w:rsid w:val="77217366"/>
    <w:rsid w:val="7E81D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2820F"/>
  <w15:chartTrackingRefBased/>
  <w15:docId w15:val="{3E67DD33-E4B6-485D-A7EF-5EF71F83B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science/article/pii/S019188691930306X" TargetMode="External" Id="Rc89364c6b62b4587" /><Relationship Type="http://schemas.openxmlformats.org/officeDocument/2006/relationships/hyperlink" Target="https://psycnet.apa.org/record/1974-27631-001" TargetMode="External" Id="R0a04a792a6414c6d" /><Relationship Type="http://schemas.openxmlformats.org/officeDocument/2006/relationships/hyperlink" Target="https://www.jstor.org/stable/j.ctt183pjjh" TargetMode="External" Id="Red4e1b472dfc41c3" /><Relationship Type="http://schemas.openxmlformats.org/officeDocument/2006/relationships/image" Target="/media/image.jpg" Id="Rcb70f8231805402a" /><Relationship Type="http://schemas.openxmlformats.org/officeDocument/2006/relationships/image" Target="/media/image2.jpg" Id="R9feff4f23c1241ad" /><Relationship Type="http://schemas.openxmlformats.org/officeDocument/2006/relationships/image" Target="/media/image3.jpg" Id="R8003ba1350214c5e" /><Relationship Type="http://schemas.openxmlformats.org/officeDocument/2006/relationships/image" Target="/media/image4.jpg" Id="R73e017972a0a41c9" /><Relationship Type="http://schemas.openxmlformats.org/officeDocument/2006/relationships/image" Target="/media/image5.jpg" Id="R9e95336e62454994" /><Relationship Type="http://schemas.openxmlformats.org/officeDocument/2006/relationships/image" Target="/media/image6.jpg" Id="R8d4e500494ab4be5" /><Relationship Type="http://schemas.openxmlformats.org/officeDocument/2006/relationships/image" Target="/media/image7.jpg" Id="R6b571e219e1240bb" /><Relationship Type="http://schemas.microsoft.com/office/2020/10/relationships/intelligence" Target="/word/intelligence2.xml" Id="R52bb1c2850db47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2023-07-17T20:00:25.0548167Z</dcterms:created>
  <dcterms:modified xsi:type="dcterms:W3CDTF">2023-07-17T20:04:07.8573907Z</dcterms:modified>
</coreProperties>
</file>