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80" w:right="-334" w:firstLine="0"/>
        <w:jc w:val="left"/>
        <w:rPr>
          <w:rFonts w:ascii="Georgia" w:cs="Georgia" w:eastAsia="Georgia" w:hAnsi="Georgia"/>
          <w:b w:val="0"/>
          <w:i w:val="0"/>
          <w:smallCaps w:val="0"/>
          <w:strike w:val="0"/>
          <w:color w:val="000000"/>
          <w:sz w:val="21"/>
          <w:szCs w:val="21"/>
          <w:u w:val="none"/>
          <w:shd w:fill="auto" w:val="clear"/>
          <w:vertAlign w:val="baseline"/>
        </w:rPr>
      </w:pPr>
      <w:r w:rsidDel="00000000" w:rsidR="00000000" w:rsidRPr="00000000">
        <w:rPr>
          <w:rFonts w:ascii="Georgia" w:cs="Georgia" w:eastAsia="Georgia" w:hAnsi="Georgia"/>
          <w:b w:val="0"/>
          <w:i w:val="0"/>
          <w:smallCaps w:val="0"/>
          <w:strike w:val="0"/>
          <w:color w:val="000000"/>
          <w:sz w:val="21"/>
          <w:szCs w:val="21"/>
          <w:u w:val="none"/>
          <w:shd w:fill="auto" w:val="clear"/>
          <w:vertAlign w:val="baseline"/>
        </w:rPr>
        <w:drawing>
          <wp:inline distB="0" distT="0" distL="114300" distR="114300">
            <wp:extent cx="2058035" cy="856615"/>
            <wp:effectExtent b="0" l="0" r="0" t="0"/>
            <wp:docPr descr="C:\Users\ablettm\AppData\Local\Microsoft\Windows\Temporary Internet Files\Content.Outlook\R41HOZLM\UWTSD Logo.jpg" id="1" name="image1.jpg"/>
            <a:graphic>
              <a:graphicData uri="http://schemas.openxmlformats.org/drawingml/2006/picture">
                <pic:pic>
                  <pic:nvPicPr>
                    <pic:cNvPr descr="C:\Users\ablettm\AppData\Local\Microsoft\Windows\Temporary Internet Files\Content.Outlook\R41HOZLM\UWTSD Logo.jpg" id="0" name="image1.jpg"/>
                    <pic:cNvPicPr preferRelativeResize="0"/>
                  </pic:nvPicPr>
                  <pic:blipFill>
                    <a:blip r:embed="rId7"/>
                    <a:srcRect b="0" l="0" r="0" t="0"/>
                    <a:stretch>
                      <a:fillRect/>
                    </a:stretch>
                  </pic:blipFill>
                  <pic:spPr>
                    <a:xfrm>
                      <a:off x="0" y="0"/>
                      <a:ext cx="2058035" cy="85661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80" w:right="-334" w:firstLine="0"/>
        <w:jc w:val="left"/>
        <w:rPr>
          <w:rFonts w:ascii="Georgia" w:cs="Georgia" w:eastAsia="Georgia" w:hAnsi="Georgi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80" w:right="-334" w:firstLine="0"/>
        <w:jc w:val="left"/>
        <w:rPr>
          <w:rFonts w:ascii="Georgia" w:cs="Georgia" w:eastAsia="Georgia" w:hAnsi="Georgi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80" w:right="-334" w:firstLine="0"/>
        <w:jc w:val="center"/>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Postgraduate/Distance Learning </w:t>
      </w:r>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80" w:right="-334" w:firstLine="0"/>
        <w:jc w:val="center"/>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Assignment coversheet &amp; feedback form</w:t>
      </w:r>
      <w:r w:rsidDel="00000000" w:rsidR="00000000" w:rsidRPr="00000000">
        <w:rPr>
          <w:rtl w:val="0"/>
        </w:rPr>
      </w:r>
    </w:p>
    <w:p w:rsidR="00000000" w:rsidDel="00000000" w:rsidP="00000000" w:rsidRDefault="00000000" w:rsidRPr="00000000" w14:paraId="00000006">
      <w:pPr>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07">
      <w:pPr>
        <w:pStyle w:val="Heading3"/>
        <w:jc w:val="center"/>
        <w:rPr>
          <w:vertAlign w:val="baseline"/>
        </w:rPr>
      </w:pPr>
      <w:r w:rsidDel="00000000" w:rsidR="00000000" w:rsidRPr="00000000">
        <w:rPr>
          <w:b w:val="1"/>
          <w:vertAlign w:val="baseline"/>
          <w:rtl w:val="0"/>
        </w:rPr>
        <w:t xml:space="preserve">THIS SHEET MUST BE THE FIRST PAGE OF THE ASSIGNMENT YOU ARE SUBMITTING  (DO NOT SEND AS A SEPARATE FILE)</w:t>
      </w:r>
      <w:r w:rsidDel="00000000" w:rsidR="00000000" w:rsidRPr="00000000">
        <w:rPr>
          <w:rtl w:val="0"/>
        </w:rPr>
      </w:r>
    </w:p>
    <w:p w:rsidR="00000000" w:rsidDel="00000000" w:rsidP="00000000" w:rsidRDefault="00000000" w:rsidRPr="00000000" w14:paraId="00000008">
      <w:pPr>
        <w:pStyle w:val="Heading3"/>
        <w:jc w:val="center"/>
        <w:rPr>
          <w:rFonts w:ascii="Trebuchet MS" w:cs="Trebuchet MS" w:eastAsia="Trebuchet MS" w:hAnsi="Trebuchet MS"/>
          <w:vertAlign w:val="baseline"/>
        </w:rPr>
      </w:pPr>
      <w:r w:rsidDel="00000000" w:rsidR="00000000" w:rsidRPr="00000000">
        <w:rPr>
          <w:rtl w:val="0"/>
        </w:rPr>
      </w:r>
    </w:p>
    <w:tbl>
      <w:tblPr>
        <w:tblStyle w:val="Table1"/>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788"/>
        <w:gridCol w:w="423"/>
        <w:gridCol w:w="1557"/>
        <w:gridCol w:w="286"/>
        <w:gridCol w:w="1802"/>
        <w:tblGridChange w:id="0">
          <w:tblGrid>
            <w:gridCol w:w="4788"/>
            <w:gridCol w:w="423"/>
            <w:gridCol w:w="1557"/>
            <w:gridCol w:w="286"/>
            <w:gridCol w:w="1802"/>
          </w:tblGrid>
        </w:tblGridChange>
      </w:tblGrid>
      <w:tr>
        <w:trPr>
          <w:trHeight w:val="600" w:hRule="atLeast"/>
        </w:trPr>
        <w:tc>
          <w:tcPr>
            <w:gridSpan w:val="5"/>
            <w:vAlign w:val="top"/>
          </w:tcPr>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For completion by the student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tc>
      </w:tr>
      <w:tr>
        <w:trPr>
          <w:trHeight w:val="700" w:hRule="atLeast"/>
        </w:trPr>
        <w:tc>
          <w:tcPr>
            <w:gridSpan w:val="5"/>
            <w:vAlign w:val="top"/>
          </w:tcPr>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Student Name: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REBECCA ROBERTS</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trHeight w:val="840" w:hRule="atLeast"/>
        </w:trPr>
        <w:tc>
          <w:tcPr>
            <w:vAlign w:val="top"/>
          </w:tcPr>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Module code: CSEN7027</w:t>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Module title: BODIL</w:t>
            </w:r>
            <w:r w:rsidDel="00000000" w:rsidR="00000000" w:rsidRPr="00000000">
              <w:rPr>
                <w:rFonts w:ascii="Arial" w:cs="Arial" w:eastAsia="Arial" w:hAnsi="Arial"/>
                <w:sz w:val="22"/>
                <w:szCs w:val="22"/>
                <w:rtl w:val="0"/>
              </w:rPr>
              <w:t xml:space="preserve">Y DISTEMPERS AND PASSIONS OF THE MIND: SHAKESPEARE AND DONNE</w:t>
            </w: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3"/>
            <w:vAlign w:val="top"/>
          </w:tcPr>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Student ID number:</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1706723</w:t>
            </w:r>
          </w:p>
        </w:tc>
        <w:tc>
          <w:tcPr>
            <w:vAlign w:val="top"/>
          </w:tcPr>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Educational support needs:</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Yes/</w:t>
            </w: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No</w:t>
            </w:r>
          </w:p>
        </w:tc>
      </w:tr>
      <w:tr>
        <w:trPr>
          <w:trHeight w:val="1120" w:hRule="atLeast"/>
        </w:trPr>
        <w:tc>
          <w:tcPr>
            <w:gridSpan w:val="5"/>
            <w:vAlign w:val="top"/>
          </w:tcPr>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Module tutor: DR </w:t>
            </w:r>
            <w:r w:rsidDel="00000000" w:rsidR="00000000" w:rsidRPr="00000000">
              <w:rPr>
                <w:rFonts w:ascii="Arial" w:cs="Arial" w:eastAsia="Arial" w:hAnsi="Arial"/>
                <w:sz w:val="22"/>
                <w:szCs w:val="22"/>
                <w:rtl w:val="0"/>
              </w:rPr>
              <w:t xml:space="preserve">PETER MITCHELL</w:t>
            </w:r>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Assignment due date: </w:t>
            </w:r>
            <w:r w:rsidDel="00000000" w:rsidR="00000000" w:rsidRPr="00000000">
              <w:rPr>
                <w:rFonts w:ascii="Arial" w:cs="Arial" w:eastAsia="Arial" w:hAnsi="Arial"/>
                <w:sz w:val="22"/>
                <w:szCs w:val="22"/>
                <w:rtl w:val="0"/>
              </w:rPr>
              <w:t xml:space="preserve">24</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/05/2019</w:t>
            </w:r>
          </w:p>
        </w:tc>
      </w:tr>
      <w:tr>
        <w:trPr>
          <w:trHeight w:val="960" w:hRule="atLeast"/>
        </w:trPr>
        <w:tc>
          <w:tcPr>
            <w:gridSpan w:val="5"/>
            <w:tcBorders>
              <w:bottom w:color="000000" w:space="0" w:sz="4" w:val="single"/>
            </w:tcBorders>
            <w:vAlign w:val="top"/>
          </w:tcPr>
          <w:p w:rsidR="00000000" w:rsidDel="00000000" w:rsidP="00000000" w:rsidRDefault="00000000" w:rsidRPr="00000000" w14:paraId="00000028">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If your module has multiple submissions please indicate which piece of work this is.</w:t>
            </w:r>
          </w:p>
          <w:p w:rsidR="00000000" w:rsidDel="00000000" w:rsidP="00000000" w:rsidRDefault="00000000" w:rsidRPr="00000000" w14:paraId="00000029">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2A">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1</w:t>
            </w:r>
            <w:r w:rsidDel="00000000" w:rsidR="00000000" w:rsidRPr="00000000">
              <w:rPr>
                <w:rFonts w:ascii="Arial" w:cs="Arial" w:eastAsia="Arial" w:hAnsi="Arial"/>
                <w:sz w:val="22"/>
                <w:szCs w:val="22"/>
                <w:vertAlign w:val="superscript"/>
                <w:rtl w:val="0"/>
              </w:rPr>
              <w:t xml:space="preserve">st </w:t>
            </w:r>
            <w:bookmarkStart w:colFirst="0" w:colLast="0" w:name="gjdgxs" w:id="0"/>
            <w:bookmarkEnd w:id="0"/>
            <w:r w:rsidDel="00000000" w:rsidR="00000000" w:rsidRPr="00000000">
              <w:rPr>
                <w:rFonts w:ascii="Arial" w:cs="Arial" w:eastAsia="Arial" w:hAnsi="Arial"/>
                <w:sz w:val="22"/>
                <w:szCs w:val="22"/>
                <w:vertAlign w:val="baseline"/>
                <w:rtl w:val="0"/>
              </w:rPr>
              <w:t xml:space="preserve">☐    2</w:t>
            </w:r>
            <w:r w:rsidDel="00000000" w:rsidR="00000000" w:rsidRPr="00000000">
              <w:rPr>
                <w:rFonts w:ascii="Arial" w:cs="Arial" w:eastAsia="Arial" w:hAnsi="Arial"/>
                <w:sz w:val="22"/>
                <w:szCs w:val="22"/>
                <w:vertAlign w:val="superscript"/>
                <w:rtl w:val="0"/>
              </w:rPr>
              <w:t xml:space="preserve">nd</w:t>
            </w:r>
            <w:r w:rsidDel="00000000" w:rsidR="00000000" w:rsidRPr="00000000">
              <w:rPr>
                <w:rFonts w:ascii="Arial" w:cs="Arial" w:eastAsia="Arial" w:hAnsi="Arial"/>
                <w:sz w:val="22"/>
                <w:szCs w:val="22"/>
                <w:vertAlign w:val="baseline"/>
                <w:rtl w:val="0"/>
              </w:rPr>
              <w:t xml:space="preserve">  </w:t>
            </w:r>
            <w:bookmarkStart w:colFirst="0" w:colLast="0" w:name="30j0zll" w:id="1"/>
            <w:bookmarkEnd w:id="1"/>
            <w:r w:rsidDel="00000000" w:rsidR="00000000" w:rsidRPr="00000000">
              <w:rPr>
                <w:rFonts w:ascii="Arial" w:cs="Arial" w:eastAsia="Arial" w:hAnsi="Arial"/>
                <w:sz w:val="22"/>
                <w:szCs w:val="22"/>
                <w:vertAlign w:val="baseline"/>
                <w:rtl w:val="0"/>
              </w:rPr>
              <w:t xml:space="preserve">☐     3</w:t>
            </w:r>
            <w:r w:rsidDel="00000000" w:rsidR="00000000" w:rsidRPr="00000000">
              <w:rPr>
                <w:rFonts w:ascii="Arial" w:cs="Arial" w:eastAsia="Arial" w:hAnsi="Arial"/>
                <w:sz w:val="22"/>
                <w:szCs w:val="22"/>
                <w:vertAlign w:val="superscript"/>
                <w:rtl w:val="0"/>
              </w:rPr>
              <w:t xml:space="preserve">rd</w:t>
            </w:r>
            <w:r w:rsidDel="00000000" w:rsidR="00000000" w:rsidRPr="00000000">
              <w:rPr>
                <w:rFonts w:ascii="Arial" w:cs="Arial" w:eastAsia="Arial" w:hAnsi="Arial"/>
                <w:sz w:val="22"/>
                <w:szCs w:val="22"/>
                <w:vertAlign w:val="baseline"/>
                <w:rtl w:val="0"/>
              </w:rPr>
              <w:t xml:space="preserve">  </w:t>
            </w:r>
            <w:bookmarkStart w:colFirst="0" w:colLast="0" w:name="1fob9te" w:id="2"/>
            <w:bookmarkEnd w:id="2"/>
            <w:r w:rsidDel="00000000" w:rsidR="00000000" w:rsidRPr="00000000">
              <w:rPr>
                <w:rFonts w:ascii="Arial" w:cs="Arial" w:eastAsia="Arial" w:hAnsi="Arial"/>
                <w:sz w:val="22"/>
                <w:szCs w:val="22"/>
                <w:vertAlign w:val="baseline"/>
                <w:rtl w:val="0"/>
              </w:rPr>
              <w:t xml:space="preserve">☐      4</w:t>
            </w:r>
            <w:r w:rsidDel="00000000" w:rsidR="00000000" w:rsidRPr="00000000">
              <w:rPr>
                <w:rFonts w:ascii="Arial" w:cs="Arial" w:eastAsia="Arial" w:hAnsi="Arial"/>
                <w:sz w:val="22"/>
                <w:szCs w:val="22"/>
                <w:vertAlign w:val="superscript"/>
                <w:rtl w:val="0"/>
              </w:rPr>
              <w:t xml:space="preserve">th</w:t>
            </w:r>
            <w:r w:rsidDel="00000000" w:rsidR="00000000" w:rsidRPr="00000000">
              <w:rPr>
                <w:rFonts w:ascii="Arial" w:cs="Arial" w:eastAsia="Arial" w:hAnsi="Arial"/>
                <w:sz w:val="22"/>
                <w:szCs w:val="22"/>
                <w:vertAlign w:val="baseline"/>
                <w:rtl w:val="0"/>
              </w:rPr>
              <w:t xml:space="preserve"> </w:t>
            </w:r>
            <w:bookmarkStart w:colFirst="0" w:colLast="0" w:name="3znysh7" w:id="3"/>
            <w:bookmarkEnd w:id="3"/>
            <w:r w:rsidDel="00000000" w:rsidR="00000000" w:rsidRPr="00000000">
              <w:rPr>
                <w:rFonts w:ascii="Arial" w:cs="Arial" w:eastAsia="Arial" w:hAnsi="Arial"/>
                <w:sz w:val="22"/>
                <w:szCs w:val="22"/>
                <w:vertAlign w:val="baseline"/>
                <w:rtl w:val="0"/>
              </w:rPr>
              <w:t xml:space="preserve">☐      5</w:t>
            </w:r>
            <w:r w:rsidDel="00000000" w:rsidR="00000000" w:rsidRPr="00000000">
              <w:rPr>
                <w:rFonts w:ascii="Arial" w:cs="Arial" w:eastAsia="Arial" w:hAnsi="Arial"/>
                <w:sz w:val="22"/>
                <w:szCs w:val="22"/>
                <w:vertAlign w:val="superscript"/>
                <w:rtl w:val="0"/>
              </w:rPr>
              <w:t xml:space="preserve">th</w:t>
            </w:r>
            <w:r w:rsidDel="00000000" w:rsidR="00000000" w:rsidRPr="00000000">
              <w:rPr>
                <w:rFonts w:ascii="Arial" w:cs="Arial" w:eastAsia="Arial" w:hAnsi="Arial"/>
                <w:sz w:val="22"/>
                <w:szCs w:val="22"/>
                <w:vertAlign w:val="baseline"/>
                <w:rtl w:val="0"/>
              </w:rPr>
              <w:t xml:space="preserve"> </w:t>
            </w:r>
            <w:bookmarkStart w:colFirst="0" w:colLast="0" w:name="2et92p0" w:id="4"/>
            <w:bookmarkEnd w:id="4"/>
            <w:r w:rsidDel="00000000" w:rsidR="00000000" w:rsidRPr="00000000">
              <w:rPr>
                <w:rFonts w:ascii="Arial" w:cs="Arial" w:eastAsia="Arial" w:hAnsi="Arial"/>
                <w:sz w:val="22"/>
                <w:szCs w:val="22"/>
                <w:vertAlign w:val="baseline"/>
                <w:rtl w:val="0"/>
              </w:rPr>
              <w:t xml:space="preserve">☐      6</w:t>
            </w:r>
            <w:r w:rsidDel="00000000" w:rsidR="00000000" w:rsidRPr="00000000">
              <w:rPr>
                <w:rFonts w:ascii="Arial" w:cs="Arial" w:eastAsia="Arial" w:hAnsi="Arial"/>
                <w:sz w:val="22"/>
                <w:szCs w:val="22"/>
                <w:vertAlign w:val="superscript"/>
                <w:rtl w:val="0"/>
              </w:rPr>
              <w:t xml:space="preserve">th</w:t>
            </w:r>
            <w:r w:rsidDel="00000000" w:rsidR="00000000" w:rsidRPr="00000000">
              <w:rPr>
                <w:rFonts w:ascii="Arial" w:cs="Arial" w:eastAsia="Arial" w:hAnsi="Arial"/>
                <w:sz w:val="22"/>
                <w:szCs w:val="22"/>
                <w:vertAlign w:val="baseline"/>
                <w:rtl w:val="0"/>
              </w:rPr>
              <w:t xml:space="preserve"> </w:t>
            </w:r>
            <w:bookmarkStart w:colFirst="0" w:colLast="0" w:name="tyjcwt" w:id="5"/>
            <w:bookmarkEnd w:id="5"/>
            <w:r w:rsidDel="00000000" w:rsidR="00000000" w:rsidRPr="00000000">
              <w:rPr>
                <w:rFonts w:ascii="Arial" w:cs="Arial" w:eastAsia="Arial" w:hAnsi="Arial"/>
                <w:sz w:val="22"/>
                <w:szCs w:val="22"/>
                <w:vertAlign w:val="baseline"/>
                <w:rtl w:val="0"/>
              </w:rPr>
              <w:t xml:space="preserve">☐</w:t>
            </w:r>
          </w:p>
        </w:tc>
      </w:tr>
      <w:tr>
        <w:trPr>
          <w:trHeight w:val="960" w:hRule="atLeast"/>
        </w:trPr>
        <w:tc>
          <w:tcPr>
            <w:gridSpan w:val="5"/>
            <w:shd w:fill="d9d9d9" w:val="clear"/>
            <w:vAlign w:val="top"/>
          </w:tcPr>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confirm that this is my original work and that I have adhered to the University policy on plagiarism.</w:t>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Signed REBECCA ROBERTS……………………………………………………………</w:t>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Calibri" w:cs="Calibri" w:eastAsia="Calibri" w:hAnsi="Calibri"/>
                <w:b w:val="0"/>
                <w:i w:val="0"/>
                <w:smallCaps w:val="0"/>
                <w:strike w:val="0"/>
                <w:color w:val="000000"/>
                <w:sz w:val="44"/>
                <w:szCs w:val="4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Email submission: if you are submitting this form via email, please tick this box </w:t>
            </w:r>
            <w:r w:rsidDel="00000000" w:rsidR="00000000" w:rsidRPr="00000000">
              <w:rPr>
                <w:rFonts w:ascii="Calibri" w:cs="Calibri" w:eastAsia="Calibri" w:hAnsi="Calibri"/>
                <w:b w:val="1"/>
                <w:i w:val="0"/>
                <w:smallCaps w:val="0"/>
                <w:strike w:val="0"/>
                <w:color w:val="000000"/>
                <w:sz w:val="44"/>
                <w:szCs w:val="4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(as a substitute for your signature) to confirm that you agree to the above declaration.</w:t>
            </w:r>
            <w:r w:rsidDel="00000000" w:rsidR="00000000" w:rsidRPr="00000000">
              <w:rPr>
                <w:rtl w:val="0"/>
              </w:rPr>
            </w:r>
          </w:p>
        </w:tc>
      </w:tr>
      <w:tr>
        <w:trPr>
          <w:trHeight w:val="3960" w:hRule="atLeast"/>
        </w:trPr>
        <w:tc>
          <w:tcPr>
            <w:gridSpan w:val="5"/>
            <w:vAlign w:val="top"/>
          </w:tcPr>
          <w:p w:rsidR="00000000" w:rsidDel="00000000" w:rsidP="00000000" w:rsidRDefault="00000000" w:rsidRPr="00000000" w14:paraId="00000037">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38">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Assignment Mark</w:t>
            </w:r>
            <w:r w:rsidDel="00000000" w:rsidR="00000000" w:rsidRPr="00000000">
              <w:rPr>
                <w:rtl w:val="0"/>
              </w:rPr>
            </w:r>
          </w:p>
          <w:tbl>
            <w:tblPr>
              <w:tblStyle w:val="Table2"/>
              <w:tblW w:w="86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970"/>
              <w:gridCol w:w="1660"/>
              <w:tblGridChange w:id="0">
                <w:tblGrid>
                  <w:gridCol w:w="6970"/>
                  <w:gridCol w:w="1660"/>
                </w:tblGrid>
              </w:tblGridChange>
            </w:tblGrid>
            <w:tr>
              <w:tc>
                <w:tcPr>
                  <w:vAlign w:val="top"/>
                </w:tcPr>
                <w:p w:rsidR="00000000" w:rsidDel="00000000" w:rsidP="00000000" w:rsidRDefault="00000000" w:rsidRPr="00000000" w14:paraId="00000039">
                  <w:pPr>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3A">
                  <w:pP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1</w:t>
                  </w:r>
                  <w:r w:rsidDel="00000000" w:rsidR="00000000" w:rsidRPr="00000000">
                    <w:rPr>
                      <w:rFonts w:ascii="Arial" w:cs="Arial" w:eastAsia="Arial" w:hAnsi="Arial"/>
                      <w:sz w:val="20"/>
                      <w:szCs w:val="20"/>
                      <w:vertAlign w:val="superscript"/>
                      <w:rtl w:val="0"/>
                    </w:rPr>
                    <w:t xml:space="preserve">st</w:t>
                  </w:r>
                  <w:r w:rsidDel="00000000" w:rsidR="00000000" w:rsidRPr="00000000">
                    <w:rPr>
                      <w:rFonts w:ascii="Arial" w:cs="Arial" w:eastAsia="Arial" w:hAnsi="Arial"/>
                      <w:sz w:val="20"/>
                      <w:szCs w:val="20"/>
                      <w:vertAlign w:val="baseline"/>
                      <w:rtl w:val="0"/>
                    </w:rPr>
                    <w:t xml:space="preserve"> Marker’s Provisional mark</w:t>
                  </w:r>
                </w:p>
              </w:tc>
              <w:tc>
                <w:tcPr>
                  <w:vAlign w:val="top"/>
                </w:tcPr>
                <w:p w:rsidR="00000000" w:rsidDel="00000000" w:rsidP="00000000" w:rsidRDefault="00000000" w:rsidRPr="00000000" w14:paraId="0000003B">
                  <w:pPr>
                    <w:rPr>
                      <w:rFonts w:ascii="Arial" w:cs="Arial" w:eastAsia="Arial" w:hAnsi="Arial"/>
                      <w:sz w:val="20"/>
                      <w:szCs w:val="20"/>
                      <w:vertAlign w:val="baseline"/>
                    </w:rPr>
                  </w:pPr>
                  <w:r w:rsidDel="00000000" w:rsidR="00000000" w:rsidRPr="00000000">
                    <w:rPr>
                      <w:rtl w:val="0"/>
                    </w:rPr>
                  </w:r>
                </w:p>
              </w:tc>
            </w:tr>
            <w:tr>
              <w:tc>
                <w:tcPr>
                  <w:vAlign w:val="top"/>
                </w:tcPr>
                <w:p w:rsidR="00000000" w:rsidDel="00000000" w:rsidP="00000000" w:rsidRDefault="00000000" w:rsidRPr="00000000" w14:paraId="0000003C">
                  <w:pPr>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3D">
                  <w:pP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2</w:t>
                  </w:r>
                  <w:r w:rsidDel="00000000" w:rsidR="00000000" w:rsidRPr="00000000">
                    <w:rPr>
                      <w:rFonts w:ascii="Arial" w:cs="Arial" w:eastAsia="Arial" w:hAnsi="Arial"/>
                      <w:sz w:val="20"/>
                      <w:szCs w:val="20"/>
                      <w:vertAlign w:val="superscript"/>
                      <w:rtl w:val="0"/>
                    </w:rPr>
                    <w:t xml:space="preserve">nd</w:t>
                  </w:r>
                  <w:r w:rsidDel="00000000" w:rsidR="00000000" w:rsidRPr="00000000">
                    <w:rPr>
                      <w:rFonts w:ascii="Arial" w:cs="Arial" w:eastAsia="Arial" w:hAnsi="Arial"/>
                      <w:sz w:val="20"/>
                      <w:szCs w:val="20"/>
                      <w:vertAlign w:val="baseline"/>
                      <w:rtl w:val="0"/>
                    </w:rPr>
                    <w:t xml:space="preserve"> Marker’s/Moderator’s provisional mark</w:t>
                  </w:r>
                </w:p>
              </w:tc>
              <w:tc>
                <w:tcPr>
                  <w:vAlign w:val="top"/>
                </w:tcPr>
                <w:p w:rsidR="00000000" w:rsidDel="00000000" w:rsidP="00000000" w:rsidRDefault="00000000" w:rsidRPr="00000000" w14:paraId="0000003E">
                  <w:pPr>
                    <w:rPr>
                      <w:rFonts w:ascii="Arial" w:cs="Arial" w:eastAsia="Arial" w:hAnsi="Arial"/>
                      <w:sz w:val="20"/>
                      <w:szCs w:val="20"/>
                      <w:vertAlign w:val="baseline"/>
                    </w:rPr>
                  </w:pPr>
                  <w:r w:rsidDel="00000000" w:rsidR="00000000" w:rsidRPr="00000000">
                    <w:rPr>
                      <w:rtl w:val="0"/>
                    </w:rPr>
                  </w:r>
                </w:p>
              </w:tc>
            </w:tr>
            <w:tr>
              <w:tc>
                <w:tcPr>
                  <w:vAlign w:val="top"/>
                </w:tcPr>
                <w:p w:rsidR="00000000" w:rsidDel="00000000" w:rsidP="00000000" w:rsidRDefault="00000000" w:rsidRPr="00000000" w14:paraId="0000003F">
                  <w:pP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Agreed Internal Mark: </w:t>
                  </w:r>
                </w:p>
                <w:p w:rsidR="00000000" w:rsidDel="00000000" w:rsidP="00000000" w:rsidRDefault="00000000" w:rsidRPr="00000000" w14:paraId="00000040">
                  <w:pPr>
                    <w:rPr>
                      <w:rFonts w:ascii="Arial" w:cs="Arial" w:eastAsia="Arial" w:hAnsi="Arial"/>
                      <w:sz w:val="20"/>
                      <w:szCs w:val="20"/>
                      <w:highlight w:val="yellow"/>
                      <w:vertAlign w:val="baseline"/>
                    </w:rPr>
                  </w:pPr>
                  <w:r w:rsidDel="00000000" w:rsidR="00000000" w:rsidRPr="00000000">
                    <w:rPr>
                      <w:rtl w:val="0"/>
                    </w:rPr>
                  </w:r>
                </w:p>
              </w:tc>
              <w:tc>
                <w:tcPr>
                  <w:vAlign w:val="top"/>
                </w:tcPr>
                <w:p w:rsidR="00000000" w:rsidDel="00000000" w:rsidP="00000000" w:rsidRDefault="00000000" w:rsidRPr="00000000" w14:paraId="00000041">
                  <w:pPr>
                    <w:rPr>
                      <w:rFonts w:ascii="Arial" w:cs="Arial" w:eastAsia="Arial" w:hAnsi="Arial"/>
                      <w:sz w:val="20"/>
                      <w:szCs w:val="20"/>
                      <w:highlight w:val="yellow"/>
                      <w:vertAlign w:val="baseline"/>
                    </w:rPr>
                  </w:pPr>
                  <w:r w:rsidDel="00000000" w:rsidR="00000000" w:rsidRPr="00000000">
                    <w:rPr>
                      <w:rtl w:val="0"/>
                    </w:rPr>
                  </w:r>
                </w:p>
              </w:tc>
            </w:tr>
            <w:tr>
              <w:tc>
                <w:tcPr>
                  <w:vAlign w:val="top"/>
                </w:tcPr>
                <w:p w:rsidR="00000000" w:rsidDel="00000000" w:rsidP="00000000" w:rsidRDefault="00000000" w:rsidRPr="00000000" w14:paraId="00000042">
                  <w:pPr>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43">
                  <w:pP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External Examiner’s mark (if relevant)</w:t>
                  </w:r>
                </w:p>
              </w:tc>
              <w:tc>
                <w:tcPr>
                  <w:vAlign w:val="top"/>
                </w:tcPr>
                <w:p w:rsidR="00000000" w:rsidDel="00000000" w:rsidP="00000000" w:rsidRDefault="00000000" w:rsidRPr="00000000" w14:paraId="00000044">
                  <w:pPr>
                    <w:rPr>
                      <w:rFonts w:ascii="Arial" w:cs="Arial" w:eastAsia="Arial" w:hAnsi="Arial"/>
                      <w:sz w:val="20"/>
                      <w:szCs w:val="20"/>
                      <w:vertAlign w:val="baseline"/>
                    </w:rPr>
                  </w:pPr>
                  <w:r w:rsidDel="00000000" w:rsidR="00000000" w:rsidRPr="00000000">
                    <w:rPr>
                      <w:rtl w:val="0"/>
                    </w:rPr>
                  </w:r>
                </w:p>
              </w:tc>
            </w:tr>
            <w:tr>
              <w:tc>
                <w:tcPr>
                  <w:vAlign w:val="top"/>
                </w:tcPr>
                <w:p w:rsidR="00000000" w:rsidDel="00000000" w:rsidP="00000000" w:rsidRDefault="00000000" w:rsidRPr="00000000" w14:paraId="00000045">
                  <w:pPr>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46">
                  <w:pPr>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Final Mark</w:t>
                  </w:r>
                  <w:r w:rsidDel="00000000" w:rsidR="00000000" w:rsidRPr="00000000">
                    <w:rPr>
                      <w:rtl w:val="0"/>
                    </w:rPr>
                  </w:r>
                </w:p>
                <w:p w:rsidR="00000000" w:rsidDel="00000000" w:rsidP="00000000" w:rsidRDefault="00000000" w:rsidRPr="00000000" w14:paraId="00000047">
                  <w:pPr>
                    <w:rPr>
                      <w:rFonts w:ascii="Arial" w:cs="Arial" w:eastAsia="Arial" w:hAnsi="Arial"/>
                      <w:sz w:val="20"/>
                      <w:szCs w:val="20"/>
                      <w:vertAlign w:val="baseline"/>
                    </w:rPr>
                  </w:pPr>
                  <w:r w:rsidDel="00000000" w:rsidR="00000000" w:rsidRPr="00000000">
                    <w:rPr>
                      <w:rtl w:val="0"/>
                    </w:rPr>
                  </w:r>
                </w:p>
              </w:tc>
              <w:tc>
                <w:tcPr>
                  <w:vAlign w:val="top"/>
                </w:tcPr>
                <w:p w:rsidR="00000000" w:rsidDel="00000000" w:rsidP="00000000" w:rsidRDefault="00000000" w:rsidRPr="00000000" w14:paraId="00000048">
                  <w:pPr>
                    <w:rPr>
                      <w:rFonts w:ascii="Arial" w:cs="Arial" w:eastAsia="Arial" w:hAnsi="Arial"/>
                      <w:sz w:val="20"/>
                      <w:szCs w:val="20"/>
                      <w:vertAlign w:val="baseline"/>
                    </w:rPr>
                  </w:pPr>
                  <w:r w:rsidDel="00000000" w:rsidR="00000000" w:rsidRPr="00000000">
                    <w:rPr>
                      <w:rtl w:val="0"/>
                    </w:rPr>
                  </w:r>
                </w:p>
              </w:tc>
            </w:tr>
          </w:tbl>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2"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2"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NB.</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All marks are provisional until confirmed by the Final Examination Board.</w:t>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For completion by Marker 1 :</w:t>
            </w:r>
            <w:r w:rsidDel="00000000" w:rsidR="00000000" w:rsidRPr="00000000">
              <w:rPr>
                <w:rtl w:val="0"/>
              </w:rPr>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Comments:</w:t>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trHeight w:val="480" w:hRule="atLeast"/>
        </w:trPr>
        <w:tc>
          <w:tcPr>
            <w:gridSpan w:val="3"/>
            <w:vAlign w:val="top"/>
          </w:tcPr>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2"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Marker’s signature:</w:t>
            </w:r>
          </w:p>
        </w:tc>
        <w:tc>
          <w:tcPr>
            <w:gridSpan w:val="2"/>
            <w:vAlign w:val="top"/>
          </w:tcPr>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2"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Date:</w:t>
            </w:r>
          </w:p>
        </w:tc>
      </w:tr>
      <w:tr>
        <w:tc>
          <w:tcPr>
            <w:gridSpan w:val="5"/>
            <w:vAlign w:val="top"/>
          </w:tcPr>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For completion by Marker 2/Moderator:</w:t>
            </w:r>
            <w:r w:rsidDel="00000000" w:rsidR="00000000" w:rsidRPr="00000000">
              <w:rPr>
                <w:rtl w:val="0"/>
              </w:rPr>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Comments:</w:t>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trHeight w:val="720" w:hRule="atLeast"/>
        </w:trPr>
        <w:tc>
          <w:tcPr>
            <w:gridSpan w:val="2"/>
            <w:vAlign w:val="top"/>
          </w:tcPr>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Marker’s Signature:</w:t>
            </w:r>
          </w:p>
        </w:tc>
        <w:tc>
          <w:tcPr>
            <w:gridSpan w:val="3"/>
            <w:vAlign w:val="top"/>
          </w:tcPr>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Date:</w:t>
            </w:r>
          </w:p>
        </w:tc>
      </w:tr>
      <w:tr>
        <w:trPr>
          <w:trHeight w:val="720" w:hRule="atLeast"/>
        </w:trPr>
        <w:tc>
          <w:tcPr>
            <w:gridSpan w:val="5"/>
            <w:vAlign w:val="top"/>
          </w:tcPr>
          <w:p w:rsidR="00000000" w:rsidDel="00000000" w:rsidP="00000000" w:rsidRDefault="00000000" w:rsidRPr="00000000" w14:paraId="0000006B">
            <w:pPr>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AGREED INTERNAL MARK (where necessary):</w:t>
            </w:r>
            <w:r w:rsidDel="00000000" w:rsidR="00000000" w:rsidRPr="00000000">
              <w:rPr>
                <w:rtl w:val="0"/>
              </w:rPr>
            </w:r>
          </w:p>
          <w:p w:rsidR="00000000" w:rsidDel="00000000" w:rsidP="00000000" w:rsidRDefault="00000000" w:rsidRPr="00000000" w14:paraId="0000006C">
            <w:pP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6D">
            <w:pPr>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Comment on process on arriving at agreed mark:</w:t>
            </w:r>
            <w:r w:rsidDel="00000000" w:rsidR="00000000" w:rsidRPr="00000000">
              <w:rPr>
                <w:rtl w:val="0"/>
              </w:rPr>
            </w:r>
          </w:p>
          <w:p w:rsidR="00000000" w:rsidDel="00000000" w:rsidP="00000000" w:rsidRDefault="00000000" w:rsidRPr="00000000" w14:paraId="0000006E">
            <w:pP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6F">
            <w:pPr>
              <w:rPr>
                <w:rFonts w:ascii="Arial" w:cs="Arial" w:eastAsia="Arial" w:hAnsi="Arial"/>
                <w:b w:val="0"/>
                <w:sz w:val="22"/>
                <w:szCs w:val="22"/>
                <w:vertAlign w:val="baseline"/>
              </w:rPr>
            </w:pPr>
            <w:r w:rsidDel="00000000" w:rsidR="00000000" w:rsidRPr="00000000">
              <w:rPr>
                <w:rtl w:val="0"/>
              </w:rPr>
            </w:r>
          </w:p>
        </w:tc>
      </w:tr>
      <w:tr>
        <w:trPr>
          <w:trHeight w:val="720" w:hRule="atLeast"/>
        </w:trPr>
        <w:tc>
          <w:tcPr>
            <w:gridSpan w:val="5"/>
            <w:vAlign w:val="top"/>
          </w:tcPr>
          <w:p w:rsidR="00000000" w:rsidDel="00000000" w:rsidP="00000000" w:rsidRDefault="00000000" w:rsidRPr="00000000" w14:paraId="00000074">
            <w:pPr>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External Examiner’s comments (if relevant)</w:t>
            </w:r>
            <w:r w:rsidDel="00000000" w:rsidR="00000000" w:rsidRPr="00000000">
              <w:rPr>
                <w:rtl w:val="0"/>
              </w:rPr>
            </w:r>
          </w:p>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trHeight w:val="720" w:hRule="atLeast"/>
        </w:trPr>
        <w:tc>
          <w:tcPr>
            <w:gridSpan w:val="2"/>
            <w:vAlign w:val="top"/>
          </w:tcPr>
          <w:p w:rsidR="00000000" w:rsidDel="00000000" w:rsidP="00000000" w:rsidRDefault="00000000" w:rsidRPr="00000000" w14:paraId="0000007C">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External Examiner’s Signature:</w:t>
            </w:r>
          </w:p>
        </w:tc>
        <w:tc>
          <w:tcPr>
            <w:gridSpan w:val="3"/>
            <w:vAlign w:val="top"/>
          </w:tcPr>
          <w:p w:rsidR="00000000" w:rsidDel="00000000" w:rsidP="00000000" w:rsidRDefault="00000000" w:rsidRPr="00000000" w14:paraId="0000007E">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Date:</w:t>
            </w:r>
          </w:p>
        </w:tc>
      </w:tr>
    </w:tbl>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1"/>
          <w:u w:val="single"/>
        </w:rPr>
      </w:pPr>
      <w:r w:rsidDel="00000000" w:rsidR="00000000" w:rsidRPr="00000000">
        <w:rPr>
          <w:rFonts w:ascii="Arial" w:cs="Arial" w:eastAsia="Arial" w:hAnsi="Arial"/>
          <w:b w:val="1"/>
          <w:u w:val="single"/>
          <w:rtl w:val="0"/>
        </w:rPr>
        <w:t xml:space="preserve">THE FEMINISATION OF ILLNESS AND MALADY IN KING LEAR: disease as a feminine experience and the notion of sickness as female itself</w:t>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334"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In a period of great change with various discoveries in medicine, the early seventeenth century dispersed key ideals among physicians but also in popular culture regarding ill health; written and performed in the first decade of the 1600s, </w:t>
      </w:r>
      <w:r w:rsidDel="00000000" w:rsidR="00000000" w:rsidRPr="00000000">
        <w:rPr>
          <w:rFonts w:ascii="Arial" w:cs="Arial" w:eastAsia="Arial" w:hAnsi="Arial"/>
          <w:i w:val="1"/>
          <w:sz w:val="22"/>
          <w:szCs w:val="22"/>
          <w:rtl w:val="0"/>
        </w:rPr>
        <w:t xml:space="preserve">King Lear</w:t>
      </w:r>
      <w:r w:rsidDel="00000000" w:rsidR="00000000" w:rsidRPr="00000000">
        <w:rPr>
          <w:rFonts w:ascii="Arial" w:cs="Arial" w:eastAsia="Arial" w:hAnsi="Arial"/>
          <w:sz w:val="22"/>
          <w:szCs w:val="22"/>
          <w:rtl w:val="0"/>
        </w:rPr>
        <w:t xml:space="preserve"> exemplifies this infiltration of medical knowledge into cultural institutions such as the theatre. Shakespeare explores manifestations of both physical and mental illness through character, language and theatre tropes, creating a very interesting perspective on sickness in the Jacobean era. Influenced by the “largely unregulated open-marketplace in which the layperson and the patient had much more choice and power in relation to medical practitioners”</w:t>
      </w:r>
      <w:r w:rsidDel="00000000" w:rsidR="00000000" w:rsidRPr="00000000">
        <w:rPr>
          <w:rFonts w:ascii="Arial" w:cs="Arial" w:eastAsia="Arial" w:hAnsi="Arial"/>
          <w:sz w:val="22"/>
          <w:szCs w:val="22"/>
          <w:vertAlign w:val="superscript"/>
        </w:rPr>
        <w:footnoteReference w:customMarkFollows="0" w:id="0"/>
      </w:r>
      <w:r w:rsidDel="00000000" w:rsidR="00000000" w:rsidRPr="00000000">
        <w:rPr>
          <w:rFonts w:ascii="Arial" w:cs="Arial" w:eastAsia="Arial" w:hAnsi="Arial"/>
          <w:sz w:val="22"/>
          <w:szCs w:val="22"/>
          <w:rtl w:val="0"/>
        </w:rPr>
        <w:t xml:space="preserve">, the Bard relates ideas of illness in </w:t>
      </w:r>
      <w:r w:rsidDel="00000000" w:rsidR="00000000" w:rsidRPr="00000000">
        <w:rPr>
          <w:rFonts w:ascii="Arial" w:cs="Arial" w:eastAsia="Arial" w:hAnsi="Arial"/>
          <w:i w:val="1"/>
          <w:sz w:val="22"/>
          <w:szCs w:val="22"/>
          <w:rtl w:val="0"/>
        </w:rPr>
        <w:t xml:space="preserve">King Lear</w:t>
      </w:r>
      <w:r w:rsidDel="00000000" w:rsidR="00000000" w:rsidRPr="00000000">
        <w:rPr>
          <w:rFonts w:ascii="Arial" w:cs="Arial" w:eastAsia="Arial" w:hAnsi="Arial"/>
          <w:sz w:val="22"/>
          <w:szCs w:val="22"/>
          <w:rtl w:val="0"/>
        </w:rPr>
        <w:t xml:space="preserve"> which were circulated amongst the public, and interestingly, many of these interpretations are clearly gendered. Physiological theories such as the balance of hormones, anatomy versus surgery for diagnosing bodily afflictions, plus various superstitious beliefs contributed to a perception of disease as a feminising experience within the play. Not only does illness subject Lear to physical fragility and a lack of control, which were both often perceived as synonymous with being female, but Shakespeare also portrays a father who views his own children as infectious parasites. As the only female characters in the play, Goneril and Regan are dehumanised by these descriptions and positions they endure, and thus women, as a group, are marginalised in the play. Also, as many critics have pondered in the four centuries since, the naming of Lear’s illness as ‘Suffocation of the Mother’, by the king himself, has raised many unanswered questions concerning the feminised nature of early modern medicine, and whether Lear really did suffer an episode ‘hysterica </w:t>
      </w:r>
      <w:r w:rsidDel="00000000" w:rsidR="00000000" w:rsidRPr="00000000">
        <w:rPr>
          <w:rFonts w:ascii="Arial" w:cs="Arial" w:eastAsia="Arial" w:hAnsi="Arial"/>
          <w:sz w:val="22"/>
          <w:szCs w:val="22"/>
          <w:rtl w:val="0"/>
        </w:rPr>
        <w:t xml:space="preserve">passio</w:t>
      </w:r>
      <w:r w:rsidDel="00000000" w:rsidR="00000000" w:rsidRPr="00000000">
        <w:rPr>
          <w:rFonts w:ascii="Arial" w:cs="Arial" w:eastAsia="Arial" w:hAnsi="Arial"/>
          <w:sz w:val="22"/>
          <w:szCs w:val="22"/>
          <w:rtl w:val="0"/>
        </w:rPr>
        <w:t xml:space="preserve">’. I will argue that it is irrelevant to know the true nature of this illness; rather it is Shakespeare’s usage of this description that is key. His intentional female references emasculate the titular protagonist by declaring his madness in terms of ‘the suffocating Mother’, as does Shakespeare’s presentation of the characters Goneril and Regan, positioning them as perpetrators who cause Lear’s decline. Through descriptions of their “corrupted blood” and the fictional king’s perception of his daughters as a “disease that’s in my flesh”</w:t>
      </w:r>
      <w:r w:rsidDel="00000000" w:rsidR="00000000" w:rsidRPr="00000000">
        <w:rPr>
          <w:rFonts w:ascii="Arial" w:cs="Arial" w:eastAsia="Arial" w:hAnsi="Arial"/>
          <w:sz w:val="22"/>
          <w:szCs w:val="22"/>
          <w:vertAlign w:val="superscript"/>
        </w:rPr>
        <w:footnoteReference w:customMarkFollows="0" w:id="1"/>
      </w:r>
      <w:r w:rsidDel="00000000" w:rsidR="00000000" w:rsidRPr="00000000">
        <w:rPr>
          <w:rFonts w:ascii="Arial" w:cs="Arial" w:eastAsia="Arial" w:hAnsi="Arial"/>
          <w:sz w:val="22"/>
          <w:szCs w:val="22"/>
          <w:rtl w:val="0"/>
        </w:rPr>
        <w:t xml:space="preserve">, the playwright ultimately implies that Lear’s failing health is not only a feminising experience for the king, but also reveals how women themselves, like Goneril and Regan, are so often portrayed as the embodiment of malady itself.</w:t>
      </w:r>
    </w:p>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334"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334"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The declining sanity of King Lear has created many discussions across years of literary theory, from the top tier of established academic critics to the keen university students engaging with a Shakespearean text on a more basic level. Ideas concerning the playwright’s motive, intention and techniques for portraying the king’s sickness have varied, and two key strands of </w:t>
      </w:r>
      <w:r w:rsidDel="00000000" w:rsidR="00000000" w:rsidRPr="00000000">
        <w:rPr>
          <w:rFonts w:ascii="Arial" w:cs="Arial" w:eastAsia="Arial" w:hAnsi="Arial"/>
          <w:i w:val="1"/>
          <w:sz w:val="22"/>
          <w:szCs w:val="22"/>
          <w:rtl w:val="0"/>
        </w:rPr>
        <w:t xml:space="preserve">King Lear </w:t>
      </w:r>
      <w:r w:rsidDel="00000000" w:rsidR="00000000" w:rsidRPr="00000000">
        <w:rPr>
          <w:rFonts w:ascii="Arial" w:cs="Arial" w:eastAsia="Arial" w:hAnsi="Arial"/>
          <w:sz w:val="22"/>
          <w:szCs w:val="22"/>
          <w:rtl w:val="0"/>
        </w:rPr>
        <w:t xml:space="preserve">criticism are the feminist and medical perspectives. Academics have explored the medical diagnosis of Lear’s malady, analysing his physical and emotional cues in the text to find the answer, while feminist criticism examines the treatment of the two daughters and their portrayal on stage, by the script, other characters, and most importantly by Lear himself. However, minimal theories, essays or articles appear to unite these two ideologies, despite an interesting use of gender in the play when referencing disease and ill health</w:t>
      </w:r>
      <w:r w:rsidDel="00000000" w:rsidR="00000000" w:rsidRPr="00000000">
        <w:rPr>
          <w:rFonts w:ascii="Arial" w:cs="Arial" w:eastAsia="Arial" w:hAnsi="Arial"/>
          <w:sz w:val="22"/>
          <w:szCs w:val="22"/>
          <w:rtl w:val="0"/>
        </w:rPr>
        <w:t xml:space="preserve">. The only analysis on the appearance of feminine illness in </w:t>
      </w:r>
      <w:r w:rsidDel="00000000" w:rsidR="00000000" w:rsidRPr="00000000">
        <w:rPr>
          <w:rFonts w:ascii="Arial" w:cs="Arial" w:eastAsia="Arial" w:hAnsi="Arial"/>
          <w:i w:val="1"/>
          <w:sz w:val="22"/>
          <w:szCs w:val="22"/>
          <w:rtl w:val="0"/>
        </w:rPr>
        <w:t xml:space="preserve">King Lear </w:t>
      </w:r>
      <w:r w:rsidDel="00000000" w:rsidR="00000000" w:rsidRPr="00000000">
        <w:rPr>
          <w:rFonts w:ascii="Arial" w:cs="Arial" w:eastAsia="Arial" w:hAnsi="Arial"/>
          <w:sz w:val="22"/>
          <w:szCs w:val="22"/>
          <w:rtl w:val="0"/>
        </w:rPr>
        <w:t xml:space="preserve">that currently exists is the exploration of ‘Hysterico passo’ and its place or relevance in the text; yet these arguments brush over the significance of Shakespeare attributing an illness to a man, and a royal one at that, which was defined in early modern England as one suffered only by women. Critics decide without much thought that the gender connotations surrounding this illness are irrelevant, or that Shakespeare’s feminised language was merely coincidental in highlighting Lear’s madness. F. David Hoeniger even goes as far to assert a more accurate diagnosis for Lear in his book, “acute hypochondriac melancholy developing into mania”</w:t>
      </w:r>
      <w:r w:rsidDel="00000000" w:rsidR="00000000" w:rsidRPr="00000000">
        <w:rPr>
          <w:rFonts w:ascii="Arial" w:cs="Arial" w:eastAsia="Arial" w:hAnsi="Arial"/>
          <w:sz w:val="22"/>
          <w:szCs w:val="22"/>
          <w:vertAlign w:val="superscript"/>
        </w:rPr>
        <w:footnoteReference w:customMarkFollows="0" w:id="2"/>
      </w:r>
      <w:r w:rsidDel="00000000" w:rsidR="00000000" w:rsidRPr="00000000">
        <w:rPr>
          <w:rFonts w:ascii="Arial" w:cs="Arial" w:eastAsia="Arial" w:hAnsi="Arial"/>
          <w:sz w:val="22"/>
          <w:szCs w:val="22"/>
          <w:rtl w:val="0"/>
        </w:rPr>
        <w:t xml:space="preserve">. But this critical dismissal omits the contextual understanding of a seventeenth Century audience, who carry the same cultural understanding that influenced the playwright himself. Hysteria was known under a variety of different names and terms in early modern London, but the majority of medical definitions and explanations for hysterical episodes attributed the sickness to women only. While  certain practitioners like Thomas Willis began to recognise the flawed logic of others’ belief that hysteria was “the evil influence of the Womb”, his understanding of an illness which “depends on the brain and the nervous stock being affected”</w:t>
      </w:r>
      <w:r w:rsidDel="00000000" w:rsidR="00000000" w:rsidRPr="00000000">
        <w:rPr>
          <w:rFonts w:ascii="Arial" w:cs="Arial" w:eastAsia="Arial" w:hAnsi="Arial"/>
          <w:sz w:val="22"/>
          <w:szCs w:val="22"/>
          <w:vertAlign w:val="superscript"/>
        </w:rPr>
        <w:footnoteReference w:customMarkFollows="0" w:id="3"/>
      </w:r>
      <w:r w:rsidDel="00000000" w:rsidR="00000000" w:rsidRPr="00000000">
        <w:rPr>
          <w:rFonts w:ascii="Arial" w:cs="Arial" w:eastAsia="Arial" w:hAnsi="Arial"/>
          <w:sz w:val="22"/>
          <w:szCs w:val="22"/>
          <w:rtl w:val="0"/>
        </w:rPr>
        <w:t xml:space="preserve"> was a minority view in studies on hysteria in the early 1600s. Also, while Willis’ theory gives credit to women’s brain power as key causation for this malady, Robert Martensen asserts in his research on the subject that minimal power is actually granted to women through this revolutionary idea; women are still subjected to a male medical dominance which “naturalized social norms that were valued by a male subculture of scientific and religious leaders preoccupied with hierarchy, control and efficiency.”</w:t>
      </w:r>
      <w:r w:rsidDel="00000000" w:rsidR="00000000" w:rsidRPr="00000000">
        <w:rPr>
          <w:rFonts w:ascii="Arial" w:cs="Arial" w:eastAsia="Arial" w:hAnsi="Arial"/>
          <w:sz w:val="22"/>
          <w:szCs w:val="22"/>
          <w:vertAlign w:val="superscript"/>
        </w:rPr>
        <w:footnoteReference w:customMarkFollows="0" w:id="4"/>
      </w:r>
      <w:r w:rsidDel="00000000" w:rsidR="00000000" w:rsidRPr="00000000">
        <w:rPr>
          <w:rtl w:val="0"/>
        </w:rPr>
      </w:r>
    </w:p>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334"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334"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With this context in mind, Lear’s outburst definitely encourages its audience to consider the role of femininity in both common conceptions of hysteria and the king’s experience of the illness itself. The supposed onset on ‘hysterica </w:t>
      </w:r>
      <w:r w:rsidDel="00000000" w:rsidR="00000000" w:rsidRPr="00000000">
        <w:rPr>
          <w:rFonts w:ascii="Arial" w:cs="Arial" w:eastAsia="Arial" w:hAnsi="Arial"/>
          <w:sz w:val="22"/>
          <w:szCs w:val="22"/>
          <w:rtl w:val="0"/>
        </w:rPr>
        <w:t xml:space="preserve">passio</w:t>
      </w:r>
      <w:r w:rsidDel="00000000" w:rsidR="00000000" w:rsidRPr="00000000">
        <w:rPr>
          <w:rFonts w:ascii="Arial" w:cs="Arial" w:eastAsia="Arial" w:hAnsi="Arial"/>
          <w:sz w:val="22"/>
          <w:szCs w:val="22"/>
          <w:rtl w:val="0"/>
        </w:rPr>
        <w:t xml:space="preserve">’ occurs in the second act of the play, once Lear learns that Goneril and her husband have refused to accept Lear’s written correspondence,  essentially removing the last of Lear’s power, as a monarch and a father. The Fool also drives home a witty point concerning the lacking metaphorical and fiscal fortune of the king, gained by Goneril and Regan, and Lear seemingly can bear no more:</w:t>
      </w:r>
    </w:p>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334"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KENT</w:t>
        <w:tab/>
        <w:tab/>
        <w:t xml:space="preserve">Your son and daughter found this trespass worth</w:t>
      </w:r>
    </w:p>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Fonts w:ascii="Arial" w:cs="Arial" w:eastAsia="Arial" w:hAnsi="Arial"/>
          <w:sz w:val="22"/>
          <w:szCs w:val="22"/>
          <w:rtl w:val="0"/>
        </w:rPr>
        <w:tab/>
        <w:tab/>
        <w:t xml:space="preserve">The shame which it here suffers.</w:t>
      </w:r>
    </w:p>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FOOL</w:t>
        <w:tab/>
        <w:tab/>
        <w:tab/>
        <w:t xml:space="preserve">Fathers that wear rags</w:t>
      </w:r>
    </w:p>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Fonts w:ascii="Arial" w:cs="Arial" w:eastAsia="Arial" w:hAnsi="Arial"/>
          <w:sz w:val="22"/>
          <w:szCs w:val="22"/>
          <w:rtl w:val="0"/>
        </w:rPr>
        <w:tab/>
        <w:tab/>
        <w:tab/>
        <w:t xml:space="preserve">Do make their children blind,</w:t>
      </w:r>
    </w:p>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Fonts w:ascii="Arial" w:cs="Arial" w:eastAsia="Arial" w:hAnsi="Arial"/>
          <w:sz w:val="22"/>
          <w:szCs w:val="22"/>
          <w:rtl w:val="0"/>
        </w:rPr>
        <w:tab/>
        <w:tab/>
        <w:tab/>
        <w:t xml:space="preserve">But fathers that bear bags</w:t>
      </w:r>
    </w:p>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Fonts w:ascii="Arial" w:cs="Arial" w:eastAsia="Arial" w:hAnsi="Arial"/>
          <w:sz w:val="22"/>
          <w:szCs w:val="22"/>
          <w:rtl w:val="0"/>
        </w:rPr>
        <w:tab/>
        <w:tab/>
        <w:tab/>
        <w:t xml:space="preserve">Shall see their children kind:</w:t>
      </w:r>
    </w:p>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Fonts w:ascii="Arial" w:cs="Arial" w:eastAsia="Arial" w:hAnsi="Arial"/>
          <w:sz w:val="22"/>
          <w:szCs w:val="22"/>
          <w:rtl w:val="0"/>
        </w:rPr>
        <w:tab/>
        <w:tab/>
        <w:tab/>
        <w:t xml:space="preserve">Fortune, that arrant whore,</w:t>
      </w:r>
    </w:p>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Fonts w:ascii="Arial" w:cs="Arial" w:eastAsia="Arial" w:hAnsi="Arial"/>
          <w:sz w:val="22"/>
          <w:szCs w:val="22"/>
          <w:rtl w:val="0"/>
        </w:rPr>
        <w:tab/>
        <w:tab/>
        <w:tab/>
        <w:t xml:space="preserve">Ne’er turns the key to the poor.</w:t>
      </w:r>
    </w:p>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Fonts w:ascii="Arial" w:cs="Arial" w:eastAsia="Arial" w:hAnsi="Arial"/>
          <w:sz w:val="22"/>
          <w:szCs w:val="22"/>
          <w:rtl w:val="0"/>
        </w:rPr>
        <w:tab/>
        <w:tab/>
        <w:t xml:space="preserve">But for all this thou shalt have as many dolours for thy</w:t>
      </w:r>
    </w:p>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Fonts w:ascii="Arial" w:cs="Arial" w:eastAsia="Arial" w:hAnsi="Arial"/>
          <w:sz w:val="22"/>
          <w:szCs w:val="22"/>
          <w:rtl w:val="0"/>
        </w:rPr>
        <w:tab/>
        <w:tab/>
        <w:t xml:space="preserve">daughters as thou canst tell in a year.</w:t>
      </w:r>
    </w:p>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LEAR</w:t>
        <w:tab/>
        <w:tab/>
        <w:t xml:space="preserve">O, how this mother swells up toward my heart!</w:t>
      </w:r>
    </w:p>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Fonts w:ascii="Arial" w:cs="Arial" w:eastAsia="Arial" w:hAnsi="Arial"/>
          <w:sz w:val="22"/>
          <w:szCs w:val="22"/>
          <w:rtl w:val="0"/>
        </w:rPr>
        <w:tab/>
        <w:tab/>
      </w:r>
      <w:r w:rsidDel="00000000" w:rsidR="00000000" w:rsidRPr="00000000">
        <w:rPr>
          <w:rFonts w:ascii="Arial" w:cs="Arial" w:eastAsia="Arial" w:hAnsi="Arial"/>
          <w:i w:val="1"/>
          <w:sz w:val="22"/>
          <w:szCs w:val="22"/>
          <w:rtl w:val="0"/>
        </w:rPr>
        <w:t xml:space="preserve">Hysterica </w:t>
      </w:r>
      <w:r w:rsidDel="00000000" w:rsidR="00000000" w:rsidRPr="00000000">
        <w:rPr>
          <w:rFonts w:ascii="Arial" w:cs="Arial" w:eastAsia="Arial" w:hAnsi="Arial"/>
          <w:i w:val="1"/>
          <w:sz w:val="22"/>
          <w:szCs w:val="22"/>
          <w:rtl w:val="0"/>
        </w:rPr>
        <w:t xml:space="preserve">passio</w:t>
      </w:r>
      <w:r w:rsidDel="00000000" w:rsidR="00000000" w:rsidRPr="00000000">
        <w:rPr>
          <w:rFonts w:ascii="Arial" w:cs="Arial" w:eastAsia="Arial" w:hAnsi="Arial"/>
          <w:sz w:val="22"/>
          <w:szCs w:val="22"/>
          <w:rtl w:val="0"/>
        </w:rPr>
        <w:t xml:space="preserve">, down, thou climbing sorrow,</w:t>
      </w:r>
    </w:p>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Fonts w:ascii="Arial" w:cs="Arial" w:eastAsia="Arial" w:hAnsi="Arial"/>
          <w:sz w:val="22"/>
          <w:szCs w:val="22"/>
          <w:rtl w:val="0"/>
        </w:rPr>
        <w:tab/>
        <w:tab/>
        <w:t xml:space="preserve">Thy element’s below.”</w:t>
      </w:r>
      <w:r w:rsidDel="00000000" w:rsidR="00000000" w:rsidRPr="00000000">
        <w:rPr>
          <w:rFonts w:ascii="Arial" w:cs="Arial" w:eastAsia="Arial" w:hAnsi="Arial"/>
          <w:sz w:val="22"/>
          <w:szCs w:val="22"/>
          <w:vertAlign w:val="superscript"/>
        </w:rPr>
        <w:footnoteReference w:customMarkFollows="0" w:id="5"/>
      </w:r>
      <w:r w:rsidDel="00000000" w:rsidR="00000000" w:rsidRPr="00000000">
        <w:rPr>
          <w:rtl w:val="0"/>
        </w:rPr>
      </w:r>
    </w:p>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334"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This interaction is a curious one; it features an emotional protagonist engulfed in the drama of this family, contrasted by the logical observer Kent and the comedic yet poignantly accurate Fool, and such polarity emphasises to an audience the emotional instability of Lear. Yet he himself declares his emotions are caused by physiological issues, and the diagnosis ‘hysterica passio’ is named. The images of sorrow rising within himself, as well as a swelling heart and mention of experiencing ‘the mother’,  are all linguistic signs that an early modern audience would recognise, and signify, within their contextual understanding of medicine, the form of hysteria Lear proclaims he is suffering. However, by insisting this experience is caused by bodily imbalance of humor and anatomy, Lear manages to shift the appearance of such emotions from a personal cause to a physical one, avoiding the potential embarrassment of a monarch and father revealing supposed weakness such as sorrow or emotional turbulence. This manipulation of the situation reveals a lot in itself; Lear cannot be seen by his daughters or subjects as weak, and he perceives that the outburst in this scene will indicate such a flaw. But why is this viewed by Lear as so abhorrent a defect to show his subjects? </w:t>
      </w:r>
    </w:p>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334"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E">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Bodily imbalance was viewed in the early modern era as an inherently female trait; as Patricia Crawford identifies in her essay ‘Sexual Knowledge in England’, early modern practitioners’ concepts “of various distinctive female bodily processes - menstruation, parturition and lactation - made the woman’s body seem unstable and unchanging” and these opinions fundamentally “helped to justify female subordination”</w:t>
      </w:r>
      <w:r w:rsidDel="00000000" w:rsidR="00000000" w:rsidRPr="00000000">
        <w:rPr>
          <w:rFonts w:ascii="Arial" w:cs="Arial" w:eastAsia="Arial" w:hAnsi="Arial"/>
          <w:sz w:val="22"/>
          <w:szCs w:val="22"/>
          <w:vertAlign w:val="superscript"/>
        </w:rPr>
        <w:footnoteReference w:customMarkFollows="0" w:id="6"/>
      </w:r>
      <w:r w:rsidDel="00000000" w:rsidR="00000000" w:rsidRPr="00000000">
        <w:rPr>
          <w:rFonts w:ascii="Arial" w:cs="Arial" w:eastAsia="Arial" w:hAnsi="Arial"/>
          <w:sz w:val="22"/>
          <w:szCs w:val="22"/>
          <w:rtl w:val="0"/>
        </w:rPr>
        <w:t xml:space="preserve"> further in medicine. With the common misogynistic perceptions of emotionally turbulent women in the sixteenth and seventeenth centuries, medicine was just another cultural institution “which functioned as a means of reinforcing social distinctions between men and women.”</w:t>
      </w:r>
      <w:r w:rsidDel="00000000" w:rsidR="00000000" w:rsidRPr="00000000">
        <w:rPr>
          <w:rFonts w:ascii="Arial" w:cs="Arial" w:eastAsia="Arial" w:hAnsi="Arial"/>
          <w:sz w:val="22"/>
          <w:szCs w:val="22"/>
          <w:vertAlign w:val="superscript"/>
        </w:rPr>
        <w:footnoteReference w:customMarkFollows="0" w:id="7"/>
      </w:r>
      <w:r w:rsidDel="00000000" w:rsidR="00000000" w:rsidRPr="00000000">
        <w:rPr>
          <w:rFonts w:ascii="Arial" w:cs="Arial" w:eastAsia="Arial" w:hAnsi="Arial"/>
          <w:sz w:val="22"/>
          <w:szCs w:val="22"/>
          <w:rtl w:val="0"/>
        </w:rPr>
        <w:t xml:space="preserve"> Therefore, it reveals just how remarkable it was for Shakespeare to utilise hysteria as a trope, especially a diagnosis for the king loaded with such feminine connotations and bias. Mental unbalance was believed to have a physiological cause, and popular understanding of medicine determined that only the female body could suffer this, aligning with the notion of women as weak, fragile and inferior to men. Martensen also  touches upon this in ‘The transformation of Eve’, identifying how “any time a sickness happens in a Woman’s body”, late sixteenth century physicians would “accuse the evil influence of the Womb”</w:t>
      </w:r>
      <w:r w:rsidDel="00000000" w:rsidR="00000000" w:rsidRPr="00000000">
        <w:rPr>
          <w:rFonts w:ascii="Arial" w:cs="Arial" w:eastAsia="Arial" w:hAnsi="Arial"/>
          <w:sz w:val="22"/>
          <w:szCs w:val="22"/>
          <w:vertAlign w:val="superscript"/>
        </w:rPr>
        <w:footnoteReference w:customMarkFollows="0" w:id="8"/>
      </w:r>
      <w:r w:rsidDel="00000000" w:rsidR="00000000" w:rsidRPr="00000000">
        <w:rPr>
          <w:rFonts w:ascii="Arial" w:cs="Arial" w:eastAsia="Arial" w:hAnsi="Arial"/>
          <w:sz w:val="22"/>
          <w:szCs w:val="22"/>
          <w:rtl w:val="0"/>
        </w:rPr>
        <w:t xml:space="preserve">; seemingly, the female body is predisposed to become ill, because of its defining organ. The womb is what separates women from men in early modern anatomy, and therefore they correlate the female gender with the weakness, exhaustion and emotional imbalance of ill-heath, rather than understanding symptoms as non-gender specific.Thus Lear’s ‘hysterica </w:t>
      </w:r>
      <w:r w:rsidDel="00000000" w:rsidR="00000000" w:rsidRPr="00000000">
        <w:rPr>
          <w:rFonts w:ascii="Arial" w:cs="Arial" w:eastAsia="Arial" w:hAnsi="Arial"/>
          <w:sz w:val="22"/>
          <w:szCs w:val="22"/>
          <w:rtl w:val="0"/>
        </w:rPr>
        <w:t xml:space="preserve">passio</w:t>
      </w:r>
      <w:r w:rsidDel="00000000" w:rsidR="00000000" w:rsidRPr="00000000">
        <w:rPr>
          <w:rFonts w:ascii="Arial" w:cs="Arial" w:eastAsia="Arial" w:hAnsi="Arial"/>
          <w:sz w:val="22"/>
          <w:szCs w:val="22"/>
          <w:rtl w:val="0"/>
        </w:rPr>
        <w:t xml:space="preserve">’ is a literary enigma to its seventeenth century audience: was Shakespeare intentional in his choice of this ailment, or was he mistaken? The language that Lear’s dialogue contains - ‘heart’, ‘sorrow’, ‘mother’ -  is emotionally charged and therefore feminine in the context of early modern England. Lear suffers what is seen </w:t>
      </w:r>
      <w:r w:rsidDel="00000000" w:rsidR="00000000" w:rsidRPr="00000000">
        <w:rPr>
          <w:rFonts w:ascii="Arial" w:cs="Arial" w:eastAsia="Arial" w:hAnsi="Arial"/>
          <w:sz w:val="22"/>
          <w:szCs w:val="22"/>
          <w:rtl w:val="0"/>
        </w:rPr>
        <w:t xml:space="preserve">by seventeenth</w:t>
      </w:r>
      <w:r w:rsidDel="00000000" w:rsidR="00000000" w:rsidRPr="00000000">
        <w:rPr>
          <w:rFonts w:ascii="Arial" w:cs="Arial" w:eastAsia="Arial" w:hAnsi="Arial"/>
          <w:sz w:val="22"/>
          <w:szCs w:val="22"/>
          <w:rtl w:val="0"/>
        </w:rPr>
        <w:t xml:space="preserve"> century spectators as a female disease, and is hence viewed as being feminised through his experience of it; the emasculation of suffering a woman’s malady leaves Lear wrestling with inferiority of femininity. </w:t>
      </w:r>
    </w:p>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334"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334"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Lear’s illness and the resulting emasculation could be further analysed through the complex relationship between the king and his daughters. Goneril’s confrontation and capture of Kent is the predecessor to this hysterical episode, and it is implied through the fool’s anecdote to be the cause; why would Lear’s daughters obey him when their newfound rights over the kingdom mean he is no longer one of those “fathers who bear bags”?</w:t>
      </w:r>
      <w:r w:rsidDel="00000000" w:rsidR="00000000" w:rsidRPr="00000000">
        <w:rPr>
          <w:rFonts w:ascii="Arial" w:cs="Arial" w:eastAsia="Arial" w:hAnsi="Arial"/>
          <w:sz w:val="22"/>
          <w:szCs w:val="22"/>
          <w:vertAlign w:val="superscript"/>
        </w:rPr>
        <w:footnoteReference w:customMarkFollows="0" w:id="9"/>
      </w:r>
      <w:r w:rsidDel="00000000" w:rsidR="00000000" w:rsidRPr="00000000">
        <w:rPr>
          <w:rFonts w:ascii="Arial" w:cs="Arial" w:eastAsia="Arial" w:hAnsi="Arial"/>
          <w:sz w:val="22"/>
          <w:szCs w:val="22"/>
          <w:rtl w:val="0"/>
        </w:rPr>
        <w:t xml:space="preserve"> Despite struggling with </w:t>
      </w:r>
      <w:r w:rsidDel="00000000" w:rsidR="00000000" w:rsidRPr="00000000">
        <w:rPr>
          <w:rFonts w:ascii="Arial" w:cs="Arial" w:eastAsia="Arial" w:hAnsi="Arial"/>
          <w:i w:val="1"/>
          <w:sz w:val="22"/>
          <w:szCs w:val="22"/>
          <w:rtl w:val="0"/>
        </w:rPr>
        <w:t xml:space="preserve">hysterica </w:t>
      </w:r>
      <w:r w:rsidDel="00000000" w:rsidR="00000000" w:rsidRPr="00000000">
        <w:rPr>
          <w:rFonts w:ascii="Arial" w:cs="Arial" w:eastAsia="Arial" w:hAnsi="Arial"/>
          <w:i w:val="1"/>
          <w:sz w:val="22"/>
          <w:szCs w:val="22"/>
          <w:rtl w:val="0"/>
        </w:rPr>
        <w:t xml:space="preserve">passio</w:t>
      </w:r>
      <w:r w:rsidDel="00000000" w:rsidR="00000000" w:rsidRPr="00000000">
        <w:rPr>
          <w:rFonts w:ascii="Arial" w:cs="Arial" w:eastAsia="Arial" w:hAnsi="Arial"/>
          <w:sz w:val="22"/>
          <w:szCs w:val="22"/>
          <w:rtl w:val="0"/>
        </w:rPr>
        <w:t xml:space="preserve">, Lear attempts to confront his daughter later in the scene, only to be refused entry to Goneril’s house. His threats of “images of revolt”</w:t>
      </w:r>
      <w:r w:rsidDel="00000000" w:rsidR="00000000" w:rsidRPr="00000000">
        <w:rPr>
          <w:rFonts w:ascii="Arial" w:cs="Arial" w:eastAsia="Arial" w:hAnsi="Arial"/>
          <w:sz w:val="22"/>
          <w:szCs w:val="22"/>
          <w:vertAlign w:val="superscript"/>
        </w:rPr>
        <w:footnoteReference w:customMarkFollows="0" w:id="10"/>
      </w:r>
      <w:r w:rsidDel="00000000" w:rsidR="00000000" w:rsidRPr="00000000">
        <w:rPr>
          <w:rFonts w:ascii="Arial" w:cs="Arial" w:eastAsia="Arial" w:hAnsi="Arial"/>
          <w:sz w:val="22"/>
          <w:szCs w:val="22"/>
          <w:rtl w:val="0"/>
        </w:rPr>
        <w:t xml:space="preserve"> abruptly subside when Cornwall and Goneril refuse to submit to their father and, more importantly, king. Lear is left powerless and realising this, the mysterious malady appears to rear its head again, with Lear exclaiming “O me, my heart! My rising heart! But down!”</w:t>
      </w:r>
      <w:r w:rsidDel="00000000" w:rsidR="00000000" w:rsidRPr="00000000">
        <w:rPr>
          <w:rFonts w:ascii="Arial" w:cs="Arial" w:eastAsia="Arial" w:hAnsi="Arial"/>
          <w:sz w:val="22"/>
          <w:szCs w:val="22"/>
          <w:vertAlign w:val="superscript"/>
        </w:rPr>
        <w:footnoteReference w:customMarkFollows="0" w:id="11"/>
      </w:r>
      <w:r w:rsidDel="00000000" w:rsidR="00000000" w:rsidRPr="00000000">
        <w:rPr>
          <w:rFonts w:ascii="Arial" w:cs="Arial" w:eastAsia="Arial" w:hAnsi="Arial"/>
          <w:sz w:val="22"/>
          <w:szCs w:val="22"/>
          <w:rtl w:val="0"/>
        </w:rPr>
        <w:t xml:space="preserve"> Shakespearean scholar Kaara Peterson analyses Lear’s hysteria with great insight in her article ‘Historica Passio’, examining the connection between illness and gender in this trope. She identifies almost immediately that the attribution of </w:t>
      </w:r>
      <w:r w:rsidDel="00000000" w:rsidR="00000000" w:rsidRPr="00000000">
        <w:rPr>
          <w:rFonts w:ascii="Arial" w:cs="Arial" w:eastAsia="Arial" w:hAnsi="Arial"/>
          <w:i w:val="1"/>
          <w:sz w:val="22"/>
          <w:szCs w:val="22"/>
          <w:rtl w:val="0"/>
        </w:rPr>
        <w:t xml:space="preserve">hysterica </w:t>
      </w:r>
      <w:r w:rsidDel="00000000" w:rsidR="00000000" w:rsidRPr="00000000">
        <w:rPr>
          <w:rFonts w:ascii="Arial" w:cs="Arial" w:eastAsia="Arial" w:hAnsi="Arial"/>
          <w:i w:val="1"/>
          <w:sz w:val="22"/>
          <w:szCs w:val="22"/>
          <w:rtl w:val="0"/>
        </w:rPr>
        <w:t xml:space="preserve">passio</w:t>
      </w:r>
      <w:r w:rsidDel="00000000" w:rsidR="00000000" w:rsidRPr="00000000">
        <w:rPr>
          <w:rFonts w:ascii="Arial" w:cs="Arial" w:eastAsia="Arial" w:hAnsi="Arial"/>
          <w:sz w:val="22"/>
          <w:szCs w:val="22"/>
          <w:rtl w:val="0"/>
        </w:rPr>
        <w:t xml:space="preserve"> is most likely “an implicit criticism of the king’s character”,</w:t>
      </w:r>
      <w:r w:rsidDel="00000000" w:rsidR="00000000" w:rsidRPr="00000000">
        <w:rPr>
          <w:rFonts w:ascii="Arial" w:cs="Arial" w:eastAsia="Arial" w:hAnsi="Arial"/>
          <w:sz w:val="22"/>
          <w:szCs w:val="22"/>
          <w:vertAlign w:val="superscript"/>
        </w:rPr>
        <w:footnoteReference w:customMarkFollows="0" w:id="12"/>
      </w:r>
      <w:r w:rsidDel="00000000" w:rsidR="00000000" w:rsidRPr="00000000">
        <w:rPr>
          <w:rFonts w:ascii="Arial" w:cs="Arial" w:eastAsia="Arial" w:hAnsi="Arial"/>
          <w:sz w:val="22"/>
          <w:szCs w:val="22"/>
          <w:rtl w:val="0"/>
        </w:rPr>
        <w:t xml:space="preserve"> in a time when “the vocabulary of etiological explanations for hysterical disease was marshaled in distinctly gendered fashion.”</w:t>
      </w:r>
      <w:r w:rsidDel="00000000" w:rsidR="00000000" w:rsidRPr="00000000">
        <w:rPr>
          <w:rFonts w:ascii="Arial" w:cs="Arial" w:eastAsia="Arial" w:hAnsi="Arial"/>
          <w:sz w:val="22"/>
          <w:szCs w:val="22"/>
          <w:vertAlign w:val="superscript"/>
        </w:rPr>
        <w:footnoteReference w:customMarkFollows="0" w:id="13"/>
      </w:r>
      <w:r w:rsidDel="00000000" w:rsidR="00000000" w:rsidRPr="00000000">
        <w:rPr>
          <w:rFonts w:ascii="Arial" w:cs="Arial" w:eastAsia="Arial" w:hAnsi="Arial"/>
          <w:sz w:val="22"/>
          <w:szCs w:val="22"/>
          <w:rtl w:val="0"/>
        </w:rPr>
        <w:t xml:space="preserve"> However, Peterson also highlights how critics, especially male scholars, seem to be preoccupied with the reality of male hysteria, rather than understanding the illness as figurative: “Editors who explain that </w:t>
      </w:r>
      <w:r w:rsidDel="00000000" w:rsidR="00000000" w:rsidRPr="00000000">
        <w:rPr>
          <w:rFonts w:ascii="Arial" w:cs="Arial" w:eastAsia="Arial" w:hAnsi="Arial"/>
          <w:i w:val="1"/>
          <w:sz w:val="22"/>
          <w:szCs w:val="22"/>
          <w:rtl w:val="0"/>
        </w:rPr>
        <w:t xml:space="preserve">hysterica </w:t>
      </w:r>
      <w:r w:rsidDel="00000000" w:rsidR="00000000" w:rsidRPr="00000000">
        <w:rPr>
          <w:rFonts w:ascii="Arial" w:cs="Arial" w:eastAsia="Arial" w:hAnsi="Arial"/>
          <w:i w:val="1"/>
          <w:sz w:val="22"/>
          <w:szCs w:val="22"/>
          <w:rtl w:val="0"/>
        </w:rPr>
        <w:t xml:space="preserve">passio</w:t>
      </w:r>
      <w:r w:rsidDel="00000000" w:rsidR="00000000" w:rsidRPr="00000000">
        <w:rPr>
          <w:rFonts w:ascii="Arial" w:cs="Arial" w:eastAsia="Arial" w:hAnsi="Arial"/>
          <w:sz w:val="22"/>
          <w:szCs w:val="22"/>
          <w:rtl w:val="0"/>
        </w:rPr>
        <w:t xml:space="preserve"> is in fact associated with women sometimes skilfully open inquiry into how a disease so circumscribed by gender could possibly relate to Lear’s statement, although these editors tend to erase crucial gender distinctions along the way; any period perspective on disease afflicting women… does not register.”</w:t>
      </w:r>
      <w:r w:rsidDel="00000000" w:rsidR="00000000" w:rsidRPr="00000000">
        <w:rPr>
          <w:rFonts w:ascii="Arial" w:cs="Arial" w:eastAsia="Arial" w:hAnsi="Arial"/>
          <w:sz w:val="22"/>
          <w:szCs w:val="22"/>
          <w:vertAlign w:val="superscript"/>
        </w:rPr>
        <w:footnoteReference w:customMarkFollows="0" w:id="14"/>
      </w:r>
      <w:r w:rsidDel="00000000" w:rsidR="00000000" w:rsidRPr="00000000">
        <w:rPr>
          <w:rFonts w:ascii="Arial" w:cs="Arial" w:eastAsia="Arial" w:hAnsi="Arial"/>
          <w:sz w:val="22"/>
          <w:szCs w:val="22"/>
          <w:rtl w:val="0"/>
        </w:rPr>
        <w:t xml:space="preserve"> The inappropriate application of hysteria in an early modern context infers something unbalanced with Lear, and his exclamation of a ‘rising heart’ would be recognised by a Shakespearean audience as a symptom of ‘The Mother’, an inherently female sickness. Therefore, to ignore the gendered nature would be incredibly naive, as it erases the contextual understanding of hysteria as a women’s issue. For seventeenth century audiences, a diagnosis of </w:t>
      </w:r>
      <w:r w:rsidDel="00000000" w:rsidR="00000000" w:rsidRPr="00000000">
        <w:rPr>
          <w:rFonts w:ascii="Arial" w:cs="Arial" w:eastAsia="Arial" w:hAnsi="Arial"/>
          <w:i w:val="1"/>
          <w:sz w:val="22"/>
          <w:szCs w:val="22"/>
          <w:rtl w:val="0"/>
        </w:rPr>
        <w:t xml:space="preserve">hysterica </w:t>
      </w:r>
      <w:r w:rsidDel="00000000" w:rsidR="00000000" w:rsidRPr="00000000">
        <w:rPr>
          <w:rFonts w:ascii="Arial" w:cs="Arial" w:eastAsia="Arial" w:hAnsi="Arial"/>
          <w:i w:val="1"/>
          <w:sz w:val="22"/>
          <w:szCs w:val="22"/>
          <w:rtl w:val="0"/>
        </w:rPr>
        <w:t xml:space="preserve">passio</w:t>
      </w:r>
      <w:r w:rsidDel="00000000" w:rsidR="00000000" w:rsidRPr="00000000">
        <w:rPr>
          <w:rFonts w:ascii="Arial" w:cs="Arial" w:eastAsia="Arial" w:hAnsi="Arial"/>
          <w:i w:val="1"/>
          <w:sz w:val="22"/>
          <w:szCs w:val="22"/>
          <w:rtl w:val="0"/>
        </w:rPr>
        <w:t xml:space="preserve"> </w:t>
      </w:r>
      <w:r w:rsidDel="00000000" w:rsidR="00000000" w:rsidRPr="00000000">
        <w:rPr>
          <w:rFonts w:ascii="Arial" w:cs="Arial" w:eastAsia="Arial" w:hAnsi="Arial"/>
          <w:sz w:val="22"/>
          <w:szCs w:val="22"/>
          <w:rtl w:val="0"/>
        </w:rPr>
        <w:t xml:space="preserve">implies a range of negative, and generally feminine, attributes. </w:t>
      </w:r>
    </w:p>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334"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334"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However, after this bout of madness, Lear has a moment of clarity; when trying to confront the Duke and his daughter, he suddenly calms down from his ill state and anger, leading to this poignant monologue:</w:t>
      </w:r>
    </w:p>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334"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144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“‘Fiery’? The fiery Duke, tell the hot Duke that</w:t>
      </w:r>
    </w:p>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144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Lear -</w:t>
      </w:r>
    </w:p>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144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No, but not yet, maybe he is not well;</w:t>
      </w:r>
    </w:p>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144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Infirmity doth still neglect all office</w:t>
      </w:r>
    </w:p>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144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Whereto our health is bound. We are not ourselves</w:t>
      </w:r>
    </w:p>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144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When nature, being oppressed, commands the mind</w:t>
      </w:r>
    </w:p>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144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To suffer with the body. I’ll forbear, </w:t>
      </w:r>
    </w:p>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144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And  am fallen out with my more headier will</w:t>
      </w:r>
    </w:p>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144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To take the indisposed and sickly fit</w:t>
      </w:r>
    </w:p>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144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For the sound man.”</w:t>
      </w:r>
      <w:r w:rsidDel="00000000" w:rsidR="00000000" w:rsidRPr="00000000">
        <w:rPr>
          <w:rFonts w:ascii="Arial" w:cs="Arial" w:eastAsia="Arial" w:hAnsi="Arial"/>
          <w:sz w:val="22"/>
          <w:szCs w:val="22"/>
          <w:vertAlign w:val="superscript"/>
        </w:rPr>
        <w:footnoteReference w:customMarkFollows="0" w:id="15"/>
      </w:r>
      <w:r w:rsidDel="00000000" w:rsidR="00000000" w:rsidRPr="00000000">
        <w:rPr>
          <w:rtl w:val="0"/>
        </w:rPr>
      </w:r>
    </w:p>
    <w:p w:rsidR="00000000" w:rsidDel="00000000" w:rsidP="00000000" w:rsidRDefault="00000000" w:rsidRPr="00000000" w14:paraId="000000AE">
      <w:pPr>
        <w:spacing w:line="360" w:lineRule="auto"/>
        <w:ind w:right="-33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F">
      <w:pPr>
        <w:spacing w:line="360" w:lineRule="auto"/>
        <w:ind w:right="-334"/>
        <w:rPr>
          <w:rFonts w:ascii="Arial" w:cs="Arial" w:eastAsia="Arial" w:hAnsi="Arial"/>
          <w:sz w:val="22"/>
          <w:szCs w:val="22"/>
        </w:rPr>
      </w:pPr>
      <w:r w:rsidDel="00000000" w:rsidR="00000000" w:rsidRPr="00000000">
        <w:rPr>
          <w:rFonts w:ascii="Arial" w:cs="Arial" w:eastAsia="Arial" w:hAnsi="Arial"/>
          <w:sz w:val="22"/>
          <w:szCs w:val="22"/>
          <w:rtl w:val="0"/>
        </w:rPr>
        <w:t xml:space="preserve">Lear suddenly appears to be concerned with the health of the Duke, wondering if illness is disrupting his faculties and causing the tension between </w:t>
      </w:r>
      <w:r w:rsidDel="00000000" w:rsidR="00000000" w:rsidRPr="00000000">
        <w:rPr>
          <w:rFonts w:ascii="Arial" w:cs="Arial" w:eastAsia="Arial" w:hAnsi="Arial"/>
          <w:sz w:val="22"/>
          <w:szCs w:val="22"/>
          <w:rtl w:val="0"/>
        </w:rPr>
        <w:t xml:space="preserve">father, daughter</w:t>
      </w:r>
      <w:r w:rsidDel="00000000" w:rsidR="00000000" w:rsidRPr="00000000">
        <w:rPr>
          <w:rFonts w:ascii="Arial" w:cs="Arial" w:eastAsia="Arial" w:hAnsi="Arial"/>
          <w:sz w:val="22"/>
          <w:szCs w:val="22"/>
          <w:rtl w:val="0"/>
        </w:rPr>
        <w:t xml:space="preserve"> and son-in-law. Of course, to early modern spectators, this is a moment of dramatic irony; the King talks in depth about the effects of malady with absolutely no self-awareness that he is describing his own situation. Interestingly, this is almost reinforced in the Quarto edition of </w:t>
      </w:r>
      <w:r w:rsidDel="00000000" w:rsidR="00000000" w:rsidRPr="00000000">
        <w:rPr>
          <w:rFonts w:ascii="Arial" w:cs="Arial" w:eastAsia="Arial" w:hAnsi="Arial"/>
          <w:i w:val="1"/>
          <w:sz w:val="22"/>
          <w:szCs w:val="22"/>
          <w:rtl w:val="0"/>
        </w:rPr>
        <w:t xml:space="preserve">King Lear</w:t>
      </w:r>
      <w:r w:rsidDel="00000000" w:rsidR="00000000" w:rsidRPr="00000000">
        <w:rPr>
          <w:rFonts w:ascii="Arial" w:cs="Arial" w:eastAsia="Arial" w:hAnsi="Arial"/>
          <w:sz w:val="22"/>
          <w:szCs w:val="22"/>
          <w:rtl w:val="0"/>
        </w:rPr>
        <w:t xml:space="preserve">, as the </w:t>
      </w:r>
      <w:r w:rsidDel="00000000" w:rsidR="00000000" w:rsidRPr="00000000">
        <w:rPr>
          <w:rFonts w:ascii="Arial" w:cs="Arial" w:eastAsia="Arial" w:hAnsi="Arial"/>
          <w:sz w:val="22"/>
          <w:szCs w:val="22"/>
          <w:rtl w:val="0"/>
        </w:rPr>
        <w:t xml:space="preserve"> insertion of ‘tell the hot Duke that/Lear’ involves the King in his own analysis of the situation, and has been included in many editions for this curious reason. The Quarto appears to show that Lear himself cannot separate himself from the concept of ‘being oppressed’ by malady, even if  it is subconscious connection. Audiences can clearly see how King Lear’s self-proclaimed hysteria ‘commands the mind’, since the opening scene of the play which presents a king who chooses to voluntarily ‘neglect all office’ by surrendering his royal ownership of land. Such obliviousness to his own experience would certainly create unease in spectators’ minds, wondering how mad or hysterical a sovereign would have to become to lose touch with the reality of his state of mind. Indeed, Lear’s character as a ruler and a man would be called into question, especially when complaining of symptoms which were known to be associated with weak, emotionally turbulent and fragile women in early modern culture. Lear’s association with hysteria implies to Jacobean spectators that his other symptoms of delusion, weakness and emotional turmoil are just an extension of this female illness, and therefore implies to them that he is “symbolically feminized”</w:t>
      </w:r>
      <w:r w:rsidDel="00000000" w:rsidR="00000000" w:rsidRPr="00000000">
        <w:rPr>
          <w:rFonts w:ascii="Arial" w:cs="Arial" w:eastAsia="Arial" w:hAnsi="Arial"/>
          <w:sz w:val="22"/>
          <w:szCs w:val="22"/>
          <w:vertAlign w:val="superscript"/>
        </w:rPr>
        <w:footnoteReference w:customMarkFollows="0" w:id="16"/>
      </w:r>
      <w:r w:rsidDel="00000000" w:rsidR="00000000" w:rsidRPr="00000000">
        <w:rPr>
          <w:rFonts w:ascii="Arial" w:cs="Arial" w:eastAsia="Arial" w:hAnsi="Arial"/>
          <w:sz w:val="22"/>
          <w:szCs w:val="22"/>
          <w:rtl w:val="0"/>
        </w:rPr>
        <w:t xml:space="preserve">, a man unable to cope with the strength and prowess excepted of a king. Essentially, ‘hysterica </w:t>
      </w:r>
      <w:r w:rsidDel="00000000" w:rsidR="00000000" w:rsidRPr="00000000">
        <w:rPr>
          <w:rFonts w:ascii="Arial" w:cs="Arial" w:eastAsia="Arial" w:hAnsi="Arial"/>
          <w:sz w:val="22"/>
          <w:szCs w:val="22"/>
          <w:rtl w:val="0"/>
        </w:rPr>
        <w:t xml:space="preserve">passio</w:t>
      </w:r>
      <w:r w:rsidDel="00000000" w:rsidR="00000000" w:rsidRPr="00000000">
        <w:rPr>
          <w:rFonts w:ascii="Arial" w:cs="Arial" w:eastAsia="Arial" w:hAnsi="Arial"/>
          <w:sz w:val="22"/>
          <w:szCs w:val="22"/>
          <w:rtl w:val="0"/>
        </w:rPr>
        <w:t xml:space="preserve">’ compromises Lear’s control as a father, his royal power and even his manhood, highlighting how the disease itself, as well as Lear’s experience of it, is gendered in </w:t>
      </w:r>
      <w:r w:rsidDel="00000000" w:rsidR="00000000" w:rsidRPr="00000000">
        <w:rPr>
          <w:rFonts w:ascii="Arial" w:cs="Arial" w:eastAsia="Arial" w:hAnsi="Arial"/>
          <w:i w:val="1"/>
          <w:sz w:val="22"/>
          <w:szCs w:val="22"/>
          <w:rtl w:val="0"/>
        </w:rPr>
        <w:t xml:space="preserve">King Lear</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B0">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1">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While the illness </w:t>
      </w:r>
      <w:r w:rsidDel="00000000" w:rsidR="00000000" w:rsidRPr="00000000">
        <w:rPr>
          <w:rFonts w:ascii="Arial" w:cs="Arial" w:eastAsia="Arial" w:hAnsi="Arial"/>
          <w:i w:val="1"/>
          <w:sz w:val="22"/>
          <w:szCs w:val="22"/>
          <w:rtl w:val="0"/>
        </w:rPr>
        <w:t xml:space="preserve">hysterica </w:t>
      </w:r>
      <w:r w:rsidDel="00000000" w:rsidR="00000000" w:rsidRPr="00000000">
        <w:rPr>
          <w:rFonts w:ascii="Arial" w:cs="Arial" w:eastAsia="Arial" w:hAnsi="Arial"/>
          <w:i w:val="1"/>
          <w:sz w:val="22"/>
          <w:szCs w:val="22"/>
          <w:rtl w:val="0"/>
        </w:rPr>
        <w:t xml:space="preserve">passio</w:t>
      </w:r>
      <w:r w:rsidDel="00000000" w:rsidR="00000000" w:rsidRPr="00000000">
        <w:rPr>
          <w:rFonts w:ascii="Arial" w:cs="Arial" w:eastAsia="Arial" w:hAnsi="Arial"/>
          <w:sz w:val="22"/>
          <w:szCs w:val="22"/>
          <w:rtl w:val="0"/>
        </w:rPr>
        <w:t xml:space="preserve"> seems to be a key device to emasculate the King and to rob his power as both monarch and father in the play, it is not the only usage of malady in the play which feminises its recipients and their experience of ill health. While Lear’s decline is the crux of the play, his relationship with his daughters, in particular with Goneril, shines light on another element of how sickness is so often perceived as a feminine problem in early modern England. The tension between father and eldest daughter erupts in Act 2 Scene 2; however, resentment had built as Lear’s sickness began to overcome him. Indeed, Goneril had been perceived in Lear’s mind as the culprit for his suffering as early as Act 1 Scene 4. After she and Regan take sovereignty of the kingdom together, with Lear’s blessing, she becomes exasperated with her father’s lack of authority with the “insolent retinue” of knights who are “breaking forth/In rank”</w:t>
      </w:r>
      <w:r w:rsidDel="00000000" w:rsidR="00000000" w:rsidRPr="00000000">
        <w:rPr>
          <w:rFonts w:ascii="Arial" w:cs="Arial" w:eastAsia="Arial" w:hAnsi="Arial"/>
          <w:sz w:val="22"/>
          <w:szCs w:val="22"/>
          <w:vertAlign w:val="superscript"/>
        </w:rPr>
        <w:footnoteReference w:customMarkFollows="0" w:id="17"/>
      </w:r>
      <w:r w:rsidDel="00000000" w:rsidR="00000000" w:rsidRPr="00000000">
        <w:rPr>
          <w:rFonts w:ascii="Arial" w:cs="Arial" w:eastAsia="Arial" w:hAnsi="Arial"/>
          <w:sz w:val="22"/>
          <w:szCs w:val="22"/>
          <w:rtl w:val="0"/>
        </w:rPr>
        <w:t xml:space="preserve"> and attempts to regain control. Lear refuses to minimise his collection of one hundred men, leading Goneril to put her foot down and threaten to demote the knaves. At this point, Lear renounces his daughter, calling her a “Degenerate bastard”</w:t>
      </w:r>
      <w:r w:rsidDel="00000000" w:rsidR="00000000" w:rsidRPr="00000000">
        <w:rPr>
          <w:rFonts w:ascii="Arial" w:cs="Arial" w:eastAsia="Arial" w:hAnsi="Arial"/>
          <w:sz w:val="22"/>
          <w:szCs w:val="22"/>
          <w:vertAlign w:val="superscript"/>
        </w:rPr>
        <w:footnoteReference w:customMarkFollows="0" w:id="18"/>
      </w:r>
      <w:r w:rsidDel="00000000" w:rsidR="00000000" w:rsidRPr="00000000">
        <w:rPr>
          <w:rFonts w:ascii="Arial" w:cs="Arial" w:eastAsia="Arial" w:hAnsi="Arial"/>
          <w:sz w:val="22"/>
          <w:szCs w:val="22"/>
          <w:rtl w:val="0"/>
        </w:rPr>
        <w:t xml:space="preserve">, although he is far from finished:</w:t>
      </w:r>
    </w:p>
    <w:p w:rsidR="00000000" w:rsidDel="00000000" w:rsidP="00000000" w:rsidRDefault="00000000" w:rsidRPr="00000000" w14:paraId="000000B2">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3">
      <w:pPr>
        <w:spacing w:line="240" w:lineRule="auto"/>
        <w:ind w:firstLine="1440"/>
        <w:rPr>
          <w:rFonts w:ascii="Arial" w:cs="Arial" w:eastAsia="Arial" w:hAnsi="Arial"/>
          <w:sz w:val="22"/>
          <w:szCs w:val="22"/>
          <w:highlight w:val="white"/>
        </w:rPr>
      </w:pP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sz w:val="22"/>
          <w:szCs w:val="22"/>
          <w:highlight w:val="white"/>
          <w:rtl w:val="0"/>
        </w:rPr>
        <w:t xml:space="preserve">Hear, nature, hear; dear goddess, hear!</w:t>
      </w:r>
    </w:p>
    <w:p w:rsidR="00000000" w:rsidDel="00000000" w:rsidP="00000000" w:rsidRDefault="00000000" w:rsidRPr="00000000" w14:paraId="000000B4">
      <w:pPr>
        <w:spacing w:line="240" w:lineRule="auto"/>
        <w:ind w:firstLine="1440"/>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Suspend thy purpose, if thou didst intend</w:t>
      </w:r>
    </w:p>
    <w:p w:rsidR="00000000" w:rsidDel="00000000" w:rsidP="00000000" w:rsidRDefault="00000000" w:rsidRPr="00000000" w14:paraId="000000B5">
      <w:pPr>
        <w:spacing w:line="240" w:lineRule="auto"/>
        <w:ind w:firstLine="1440"/>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To make this creature fruitful!</w:t>
      </w:r>
    </w:p>
    <w:p w:rsidR="00000000" w:rsidDel="00000000" w:rsidP="00000000" w:rsidRDefault="00000000" w:rsidRPr="00000000" w14:paraId="000000B6">
      <w:pPr>
        <w:spacing w:line="240" w:lineRule="auto"/>
        <w:ind w:firstLine="1440"/>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Into her womb convey sterility!</w:t>
      </w:r>
    </w:p>
    <w:p w:rsidR="00000000" w:rsidDel="00000000" w:rsidP="00000000" w:rsidRDefault="00000000" w:rsidRPr="00000000" w14:paraId="000000B7">
      <w:pPr>
        <w:spacing w:line="240" w:lineRule="auto"/>
        <w:ind w:firstLine="1440"/>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Dry up in her the organs of increase;</w:t>
      </w:r>
    </w:p>
    <w:p w:rsidR="00000000" w:rsidDel="00000000" w:rsidP="00000000" w:rsidRDefault="00000000" w:rsidRPr="00000000" w14:paraId="000000B8">
      <w:pPr>
        <w:spacing w:line="240" w:lineRule="auto"/>
        <w:ind w:firstLine="1440"/>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And from her derogate body never spring</w:t>
      </w:r>
    </w:p>
    <w:p w:rsidR="00000000" w:rsidDel="00000000" w:rsidP="00000000" w:rsidRDefault="00000000" w:rsidRPr="00000000" w14:paraId="000000B9">
      <w:pPr>
        <w:spacing w:line="240" w:lineRule="auto"/>
        <w:ind w:firstLine="1440"/>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A babe to honour her! If she must teem,</w:t>
      </w:r>
    </w:p>
    <w:p w:rsidR="00000000" w:rsidDel="00000000" w:rsidP="00000000" w:rsidRDefault="00000000" w:rsidRPr="00000000" w14:paraId="000000BA">
      <w:pPr>
        <w:spacing w:line="240" w:lineRule="auto"/>
        <w:ind w:firstLine="1440"/>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Create her child of spleen; that it may live,</w:t>
      </w:r>
    </w:p>
    <w:p w:rsidR="00000000" w:rsidDel="00000000" w:rsidP="00000000" w:rsidRDefault="00000000" w:rsidRPr="00000000" w14:paraId="000000BB">
      <w:pPr>
        <w:spacing w:line="240" w:lineRule="auto"/>
        <w:ind w:firstLine="1440"/>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And be a thwart disnatured torment to her!</w:t>
      </w:r>
    </w:p>
    <w:p w:rsidR="00000000" w:rsidDel="00000000" w:rsidP="00000000" w:rsidRDefault="00000000" w:rsidRPr="00000000" w14:paraId="000000BC">
      <w:pPr>
        <w:spacing w:line="240" w:lineRule="auto"/>
        <w:ind w:firstLine="1440"/>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Let it stamp wrinkles in her brow of youth;</w:t>
      </w:r>
    </w:p>
    <w:p w:rsidR="00000000" w:rsidDel="00000000" w:rsidP="00000000" w:rsidRDefault="00000000" w:rsidRPr="00000000" w14:paraId="000000BD">
      <w:pPr>
        <w:spacing w:line="240" w:lineRule="auto"/>
        <w:ind w:firstLine="1440"/>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With cadent tears fret channels in her cheeks;</w:t>
      </w:r>
    </w:p>
    <w:p w:rsidR="00000000" w:rsidDel="00000000" w:rsidP="00000000" w:rsidRDefault="00000000" w:rsidRPr="00000000" w14:paraId="000000BE">
      <w:pPr>
        <w:spacing w:line="240" w:lineRule="auto"/>
        <w:ind w:firstLine="1440"/>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Turn all her mother's pains and benefits</w:t>
      </w:r>
    </w:p>
    <w:p w:rsidR="00000000" w:rsidDel="00000000" w:rsidP="00000000" w:rsidRDefault="00000000" w:rsidRPr="00000000" w14:paraId="000000BF">
      <w:pPr>
        <w:spacing w:line="240" w:lineRule="auto"/>
        <w:ind w:firstLine="1440"/>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To laughter and contempt; that she may feel</w:t>
      </w:r>
    </w:p>
    <w:p w:rsidR="00000000" w:rsidDel="00000000" w:rsidP="00000000" w:rsidRDefault="00000000" w:rsidRPr="00000000" w14:paraId="000000C0">
      <w:pPr>
        <w:spacing w:line="240" w:lineRule="auto"/>
        <w:ind w:firstLine="1440"/>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How sharper than a serpent's tooth it is</w:t>
      </w:r>
    </w:p>
    <w:p w:rsidR="00000000" w:rsidDel="00000000" w:rsidP="00000000" w:rsidRDefault="00000000" w:rsidRPr="00000000" w14:paraId="000000C1">
      <w:pPr>
        <w:spacing w:line="240" w:lineRule="auto"/>
        <w:ind w:firstLine="1440"/>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To have a thankless child! Away, away!”</w:t>
      </w:r>
      <w:r w:rsidDel="00000000" w:rsidR="00000000" w:rsidRPr="00000000">
        <w:rPr>
          <w:rFonts w:ascii="Arial" w:cs="Arial" w:eastAsia="Arial" w:hAnsi="Arial"/>
          <w:sz w:val="22"/>
          <w:szCs w:val="22"/>
          <w:highlight w:val="white"/>
          <w:vertAlign w:val="superscript"/>
        </w:rPr>
        <w:footnoteReference w:customMarkFollows="0" w:id="19"/>
      </w:r>
      <w:r w:rsidDel="00000000" w:rsidR="00000000" w:rsidRPr="00000000">
        <w:rPr>
          <w:rtl w:val="0"/>
        </w:rPr>
      </w:r>
    </w:p>
    <w:p w:rsidR="00000000" w:rsidDel="00000000" w:rsidP="00000000" w:rsidRDefault="00000000" w:rsidRPr="00000000" w14:paraId="000000C2">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3">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monologue is heavily loaded with insults, visceral descriptions and an interesting curse, with the King wishing infertility on Goneril or failing that, an incredibly painful labour with a devil-like child. Describing images of a sterile womb, shriveling ‘organs of increase’ and a monstrous ‘child of spleen’, Lear appears fixated on the decaying of Goneril’s body as punishment for defiance; the passage uses phrases and metaphors which all utilise language of decomposition, almost creating an image of a woman wasting away. Therefore, Lear’s curse reduces his daughter to submission, as a fragile, weak woman ravaged by the condition of infertility or by her own child, as a consequence of disobeying her father and king. Shakespeare’s portrayal of Goneril’s future as a gaunt, withered weakling reinforces the Jacobean perception of illness; not only is malady a feminising experience for the sufferer, but also it is perhaps something that the people in early modern England women believed women were more susceptible to. </w:t>
      </w:r>
    </w:p>
    <w:p w:rsidR="00000000" w:rsidDel="00000000" w:rsidP="00000000" w:rsidRDefault="00000000" w:rsidRPr="00000000" w14:paraId="000000C4">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5">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But where does this assumption come from? The impression received, from the play’s reliance on this belief, is that the idea of the sickly woman is rooted deeper than popular knowledge, and indeed it is a notion crucial to early modern medicine. Religion was still ingrained in English culture at the time. despite the turmoil between Catholicism and Protestantism the previous century, and this therefore was integral to medical theories and practice. Popular Spanish physician Juan Huarte y Navarro declared in his magnum opus, the female body “was by God created cold and moist, which temperature, is necessarie to make a woman fruitfull and apt for childbirth, but an enemy to knowledge.”</w:t>
      </w:r>
      <w:r w:rsidDel="00000000" w:rsidR="00000000" w:rsidRPr="00000000">
        <w:rPr>
          <w:rFonts w:ascii="Arial" w:cs="Arial" w:eastAsia="Arial" w:hAnsi="Arial"/>
          <w:sz w:val="22"/>
          <w:szCs w:val="22"/>
          <w:vertAlign w:val="superscript"/>
        </w:rPr>
        <w:footnoteReference w:customMarkFollows="0" w:id="20"/>
      </w:r>
      <w:r w:rsidDel="00000000" w:rsidR="00000000" w:rsidRPr="00000000">
        <w:rPr>
          <w:rFonts w:ascii="Arial" w:cs="Arial" w:eastAsia="Arial" w:hAnsi="Arial"/>
          <w:sz w:val="22"/>
          <w:szCs w:val="22"/>
          <w:rtl w:val="0"/>
        </w:rPr>
        <w:t xml:space="preserve"> The religious perspective aligns with the humour system used by physicians, and the latter part of the sentence was also considered to be true. Scholar Katharine EIsaman Maus wittily paraphrases Navarro’s statement: “What makes women fertile - what makes them </w:t>
      </w:r>
      <w:r w:rsidDel="00000000" w:rsidR="00000000" w:rsidRPr="00000000">
        <w:rPr>
          <w:rFonts w:ascii="Arial" w:cs="Arial" w:eastAsia="Arial" w:hAnsi="Arial"/>
          <w:i w:val="1"/>
          <w:sz w:val="22"/>
          <w:szCs w:val="22"/>
          <w:rtl w:val="0"/>
        </w:rPr>
        <w:t xml:space="preserve">women</w:t>
      </w:r>
      <w:r w:rsidDel="00000000" w:rsidR="00000000" w:rsidRPr="00000000">
        <w:rPr>
          <w:rFonts w:ascii="Arial" w:cs="Arial" w:eastAsia="Arial" w:hAnsi="Arial"/>
          <w:sz w:val="22"/>
          <w:szCs w:val="22"/>
          <w:rtl w:val="0"/>
        </w:rPr>
        <w:t xml:space="preserve"> - also makes them stupid.”</w:t>
      </w:r>
      <w:r w:rsidDel="00000000" w:rsidR="00000000" w:rsidRPr="00000000">
        <w:rPr>
          <w:rFonts w:ascii="Arial" w:cs="Arial" w:eastAsia="Arial" w:hAnsi="Arial"/>
          <w:sz w:val="22"/>
          <w:szCs w:val="22"/>
          <w:vertAlign w:val="superscript"/>
        </w:rPr>
        <w:footnoteReference w:customMarkFollows="0" w:id="21"/>
      </w:r>
      <w:r w:rsidDel="00000000" w:rsidR="00000000" w:rsidRPr="00000000">
        <w:rPr>
          <w:rFonts w:ascii="Arial" w:cs="Arial" w:eastAsia="Arial" w:hAnsi="Arial"/>
          <w:sz w:val="22"/>
          <w:szCs w:val="22"/>
          <w:rtl w:val="0"/>
        </w:rPr>
        <w:t xml:space="preserve"> But the issue with female anatomy is that it was truly unknown; in a male only world with the exception of midwives, practitioners held views and believed theories based on perception and outsider logic. In fact, Maus asserts that it is fear which motivates such beliefs, as the inaccessible secret of the female body creates “A notion of women as deceptive or hollow” which leads to “paranoid complaints about female hypocrisy and vacuity.”</w:t>
      </w:r>
      <w:r w:rsidDel="00000000" w:rsidR="00000000" w:rsidRPr="00000000">
        <w:rPr>
          <w:rFonts w:ascii="Arial" w:cs="Arial" w:eastAsia="Arial" w:hAnsi="Arial"/>
          <w:sz w:val="22"/>
          <w:szCs w:val="22"/>
          <w:vertAlign w:val="superscript"/>
        </w:rPr>
        <w:footnoteReference w:customMarkFollows="0" w:id="22"/>
      </w:r>
      <w:r w:rsidDel="00000000" w:rsidR="00000000" w:rsidRPr="00000000">
        <w:rPr>
          <w:rFonts w:ascii="Arial" w:cs="Arial" w:eastAsia="Arial" w:hAnsi="Arial"/>
          <w:sz w:val="22"/>
          <w:szCs w:val="22"/>
          <w:rtl w:val="0"/>
        </w:rPr>
        <w:t xml:space="preserve"> Processes such as menstruation, childbirth and lactation were incredibly ill-explored, and any medical theories, such as Galen’s idea of hysteria being caused “in widows and other women whose accustomed sexual intercourse or menses are suddenly interrupted”,</w:t>
      </w:r>
      <w:r w:rsidDel="00000000" w:rsidR="00000000" w:rsidRPr="00000000">
        <w:rPr>
          <w:rFonts w:ascii="Arial" w:cs="Arial" w:eastAsia="Arial" w:hAnsi="Arial"/>
          <w:sz w:val="22"/>
          <w:szCs w:val="22"/>
          <w:vertAlign w:val="superscript"/>
        </w:rPr>
        <w:footnoteReference w:customMarkFollows="0" w:id="23"/>
      </w:r>
      <w:r w:rsidDel="00000000" w:rsidR="00000000" w:rsidRPr="00000000">
        <w:rPr>
          <w:rFonts w:ascii="Arial" w:cs="Arial" w:eastAsia="Arial" w:hAnsi="Arial"/>
          <w:sz w:val="22"/>
          <w:szCs w:val="22"/>
          <w:rtl w:val="0"/>
        </w:rPr>
        <w:t xml:space="preserve"> are cultural bias shaping ideology like medicine. Between clerical and popular opinion, medical practitioners created a rather damning view of the female body. This explains the treatment of Goneril in Lear’s monologue; the pain and illness the king wishes upon her arises as a consequence of a daughter disobeying her father, and the punishment has a religious feel to it, reminiscent of Eve’s downfall. Combined with the idea of unbalanced humours causing mental and physical sickness, Lear’s curse places Goneril in the position of being ill. Her malady is due to her behaviour, reducing her to the weak, fragile female associated with sickness in the early modern era.</w:t>
      </w:r>
    </w:p>
    <w:p w:rsidR="00000000" w:rsidDel="00000000" w:rsidP="00000000" w:rsidRDefault="00000000" w:rsidRPr="00000000" w14:paraId="000000C6">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7">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 Lear is not content with fighting his ill health by himself; he decides to threaten Goneril with awful sickness as punishment for her disobedience. The two girls’ coup of their father’s kingdom may instigate the events, but Lear forgets his part in allowing the girls to take half the kingdom each. The king, who gave his power away, starts to become unbalanced and emotionally turbulent as he experiences the consequences of relinquishing his sovereignty. As the events overwhelm him, outbursts like the curse of Goneril and his self-diagnosis of </w:t>
      </w:r>
      <w:r w:rsidDel="00000000" w:rsidR="00000000" w:rsidRPr="00000000">
        <w:rPr>
          <w:rFonts w:ascii="Arial" w:cs="Arial" w:eastAsia="Arial" w:hAnsi="Arial"/>
          <w:i w:val="1"/>
          <w:sz w:val="22"/>
          <w:szCs w:val="22"/>
          <w:rtl w:val="0"/>
        </w:rPr>
        <w:t xml:space="preserve">hysterica passio</w:t>
      </w:r>
      <w:r w:rsidDel="00000000" w:rsidR="00000000" w:rsidRPr="00000000">
        <w:rPr>
          <w:rFonts w:ascii="Arial" w:cs="Arial" w:eastAsia="Arial" w:hAnsi="Arial"/>
          <w:sz w:val="22"/>
          <w:szCs w:val="22"/>
          <w:rtl w:val="0"/>
        </w:rPr>
        <w:t xml:space="preserve"> occur and reveal just how unwell the king is; but it shows the nature of the King’s illness and not just the extent. These two scenes highlight how malady seems to feminise its sufferers in </w:t>
      </w:r>
      <w:r w:rsidDel="00000000" w:rsidR="00000000" w:rsidRPr="00000000">
        <w:rPr>
          <w:rFonts w:ascii="Arial" w:cs="Arial" w:eastAsia="Arial" w:hAnsi="Arial"/>
          <w:i w:val="1"/>
          <w:sz w:val="22"/>
          <w:szCs w:val="22"/>
          <w:rtl w:val="0"/>
        </w:rPr>
        <w:t xml:space="preserve">King Lear</w:t>
      </w:r>
      <w:r w:rsidDel="00000000" w:rsidR="00000000" w:rsidRPr="00000000">
        <w:rPr>
          <w:rFonts w:ascii="Arial" w:cs="Arial" w:eastAsia="Arial" w:hAnsi="Arial"/>
          <w:sz w:val="22"/>
          <w:szCs w:val="22"/>
          <w:rtl w:val="0"/>
        </w:rPr>
        <w:t xml:space="preserve">, but also how it is seen as a women’s issue. Sickness of the womb and perceptions in early modern literature shaped this in the 1600s, and Shakespeare’s play re-emphasises this notion; not only is Lear reduced to the feminine experience through his sickness, Shakespeare, through Lear, places Goneril in the same situation, although metaphorical. Woman cannot be separated from health, with the mysterious bodily processes she endures, and </w:t>
      </w:r>
      <w:r w:rsidDel="00000000" w:rsidR="00000000" w:rsidRPr="00000000">
        <w:rPr>
          <w:rFonts w:ascii="Arial" w:cs="Arial" w:eastAsia="Arial" w:hAnsi="Arial"/>
          <w:i w:val="1"/>
          <w:sz w:val="22"/>
          <w:szCs w:val="22"/>
          <w:rtl w:val="0"/>
        </w:rPr>
        <w:t xml:space="preserve">King Lear </w:t>
      </w:r>
      <w:r w:rsidDel="00000000" w:rsidR="00000000" w:rsidRPr="00000000">
        <w:rPr>
          <w:rFonts w:ascii="Arial" w:cs="Arial" w:eastAsia="Arial" w:hAnsi="Arial"/>
          <w:sz w:val="22"/>
          <w:szCs w:val="22"/>
          <w:rtl w:val="0"/>
        </w:rPr>
        <w:t xml:space="preserve">places its protagonist and his daughter in this situation, highlighting the feminisation of illness in seventeenth century Europe.</w:t>
      </w:r>
      <w:r w:rsidDel="00000000" w:rsidR="00000000" w:rsidRPr="00000000">
        <w:rPr>
          <w:rtl w:val="0"/>
        </w:rPr>
      </w:r>
    </w:p>
    <w:p w:rsidR="00000000" w:rsidDel="00000000" w:rsidP="00000000" w:rsidRDefault="00000000" w:rsidRPr="00000000" w14:paraId="000000C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Bibliography</w:t>
      </w:r>
    </w:p>
    <w:p w:rsidR="00000000" w:rsidDel="00000000" w:rsidP="00000000" w:rsidRDefault="00000000" w:rsidRPr="00000000" w14:paraId="000000C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C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Primary Text</w:t>
      </w:r>
    </w:p>
    <w:p w:rsidR="00000000" w:rsidDel="00000000" w:rsidP="00000000" w:rsidRDefault="00000000" w:rsidRPr="00000000" w14:paraId="000000C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Shakespeare, William, </w:t>
      </w:r>
      <w:r w:rsidDel="00000000" w:rsidR="00000000" w:rsidRPr="00000000">
        <w:rPr>
          <w:rFonts w:ascii="Arial" w:cs="Arial" w:eastAsia="Arial" w:hAnsi="Arial"/>
          <w:i w:val="1"/>
          <w:sz w:val="22"/>
          <w:szCs w:val="22"/>
          <w:rtl w:val="0"/>
        </w:rPr>
        <w:t xml:space="preserve">King Lear</w:t>
      </w:r>
      <w:r w:rsidDel="00000000" w:rsidR="00000000" w:rsidRPr="00000000">
        <w:rPr>
          <w:rFonts w:ascii="Arial" w:cs="Arial" w:eastAsia="Arial" w:hAnsi="Arial"/>
          <w:sz w:val="22"/>
          <w:szCs w:val="22"/>
          <w:rtl w:val="0"/>
        </w:rPr>
        <w:t xml:space="preserve"> (1607), ed. R. A. Foakes (London: Arden Shakespeare, 1997).</w:t>
      </w:r>
    </w:p>
    <w:p w:rsidR="00000000" w:rsidDel="00000000" w:rsidP="00000000" w:rsidRDefault="00000000" w:rsidRPr="00000000" w14:paraId="000000C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Secondary Sources</w:t>
      </w:r>
    </w:p>
    <w:p w:rsidR="00000000" w:rsidDel="00000000" w:rsidP="00000000" w:rsidRDefault="00000000" w:rsidRPr="00000000" w14:paraId="000000C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Carew, Richard, The Examination of Men's Wits: Tudor and Stuart Translations 17, ed. Rocío G. Sumillera, (Cambridge: MHRA, 2014).</w:t>
      </w:r>
    </w:p>
    <w:p w:rsidR="00000000" w:rsidDel="00000000" w:rsidP="00000000" w:rsidRDefault="00000000" w:rsidRPr="00000000" w14:paraId="000000D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Crawford, Patricia, ‘Sexual Knowledge in England, 1500-1700’, in </w:t>
      </w:r>
      <w:r w:rsidDel="00000000" w:rsidR="00000000" w:rsidRPr="00000000">
        <w:rPr>
          <w:rFonts w:ascii="Arial" w:cs="Arial" w:eastAsia="Arial" w:hAnsi="Arial"/>
          <w:i w:val="1"/>
          <w:sz w:val="22"/>
          <w:szCs w:val="22"/>
          <w:rtl w:val="0"/>
        </w:rPr>
        <w:t xml:space="preserve">Sexual Knowledge, Sexual Science</w:t>
      </w:r>
      <w:r w:rsidDel="00000000" w:rsidR="00000000" w:rsidRPr="00000000">
        <w:rPr>
          <w:rFonts w:ascii="Arial" w:cs="Arial" w:eastAsia="Arial" w:hAnsi="Arial"/>
          <w:sz w:val="22"/>
          <w:szCs w:val="22"/>
          <w:rtl w:val="0"/>
        </w:rPr>
        <w:t xml:space="preserve">, ed. Roy Porter and Mikuláš Teich (Cambridge: Cambridge University Press, 1994), pp. 82-106.</w:t>
      </w:r>
    </w:p>
    <w:p w:rsidR="00000000" w:rsidDel="00000000" w:rsidP="00000000" w:rsidRDefault="00000000" w:rsidRPr="00000000" w14:paraId="000000D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David Hoeniger, F., </w:t>
      </w:r>
      <w:r w:rsidDel="00000000" w:rsidR="00000000" w:rsidRPr="00000000">
        <w:rPr>
          <w:rFonts w:ascii="Arial" w:cs="Arial" w:eastAsia="Arial" w:hAnsi="Arial"/>
          <w:i w:val="1"/>
          <w:sz w:val="22"/>
          <w:szCs w:val="22"/>
          <w:rtl w:val="0"/>
        </w:rPr>
        <w:t xml:space="preserve">Medicine and Shakespeare in the English Renaissance </w:t>
      </w:r>
      <w:r w:rsidDel="00000000" w:rsidR="00000000" w:rsidRPr="00000000">
        <w:rPr>
          <w:rFonts w:ascii="Arial" w:cs="Arial" w:eastAsia="Arial" w:hAnsi="Arial"/>
          <w:sz w:val="22"/>
          <w:szCs w:val="22"/>
          <w:rtl w:val="0"/>
        </w:rPr>
        <w:t xml:space="preserve">(Newark: University of Delaware Press, 1992).</w:t>
      </w:r>
    </w:p>
    <w:p w:rsidR="00000000" w:rsidDel="00000000" w:rsidP="00000000" w:rsidRDefault="00000000" w:rsidRPr="00000000" w14:paraId="000000D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Evenden, Doreen, ‘Mothers and their midwives in seventeenth-century London’, in </w:t>
      </w:r>
      <w:r w:rsidDel="00000000" w:rsidR="00000000" w:rsidRPr="00000000">
        <w:rPr>
          <w:rFonts w:ascii="Arial" w:cs="Arial" w:eastAsia="Arial" w:hAnsi="Arial"/>
          <w:i w:val="1"/>
          <w:sz w:val="22"/>
          <w:szCs w:val="22"/>
          <w:rtl w:val="0"/>
        </w:rPr>
        <w:t xml:space="preserve">The Art of Midwifery: Early Modern Midwives in Europe</w:t>
      </w:r>
      <w:r w:rsidDel="00000000" w:rsidR="00000000" w:rsidRPr="00000000">
        <w:rPr>
          <w:rFonts w:ascii="Arial" w:cs="Arial" w:eastAsia="Arial" w:hAnsi="Arial"/>
          <w:sz w:val="22"/>
          <w:szCs w:val="22"/>
          <w:rtl w:val="0"/>
        </w:rPr>
        <w:t xml:space="preserve">, ed. Hilary Marland (London: Routledge, 1993), pp. 9-26.</w:t>
      </w:r>
    </w:p>
    <w:p w:rsidR="00000000" w:rsidDel="00000000" w:rsidP="00000000" w:rsidRDefault="00000000" w:rsidRPr="00000000" w14:paraId="000000D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Kuchta, David, ‘The semiotics of masculinity in Renaissance England’, in </w:t>
      </w:r>
      <w:r w:rsidDel="00000000" w:rsidR="00000000" w:rsidRPr="00000000">
        <w:rPr>
          <w:rFonts w:ascii="Arial" w:cs="Arial" w:eastAsia="Arial" w:hAnsi="Arial"/>
          <w:i w:val="1"/>
          <w:sz w:val="22"/>
          <w:szCs w:val="22"/>
          <w:rtl w:val="0"/>
        </w:rPr>
        <w:t xml:space="preserve">Sexuality and Gender in early modern Europe</w:t>
      </w:r>
      <w:r w:rsidDel="00000000" w:rsidR="00000000" w:rsidRPr="00000000">
        <w:rPr>
          <w:rFonts w:ascii="Arial" w:cs="Arial" w:eastAsia="Arial" w:hAnsi="Arial"/>
          <w:sz w:val="22"/>
          <w:szCs w:val="22"/>
          <w:rtl w:val="0"/>
        </w:rPr>
        <w:t xml:space="preserve">, ed. James Grantham Turner (Cambridge: Cambridge Univeristy Press, 1993), pp. 233-46.</w:t>
      </w:r>
    </w:p>
    <w:p w:rsidR="00000000" w:rsidDel="00000000" w:rsidP="00000000" w:rsidRDefault="00000000" w:rsidRPr="00000000" w14:paraId="000000D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Martensen, Robert, ‘The transformation of Eve: women’s bodies, medicine and culture in early modern England’, in </w:t>
      </w:r>
      <w:r w:rsidDel="00000000" w:rsidR="00000000" w:rsidRPr="00000000">
        <w:rPr>
          <w:rFonts w:ascii="Arial" w:cs="Arial" w:eastAsia="Arial" w:hAnsi="Arial"/>
          <w:i w:val="1"/>
          <w:sz w:val="22"/>
          <w:szCs w:val="22"/>
          <w:rtl w:val="0"/>
        </w:rPr>
        <w:t xml:space="preserve">Sexual Knowledge, Sexual Science</w:t>
      </w:r>
      <w:r w:rsidDel="00000000" w:rsidR="00000000" w:rsidRPr="00000000">
        <w:rPr>
          <w:rFonts w:ascii="Arial" w:cs="Arial" w:eastAsia="Arial" w:hAnsi="Arial"/>
          <w:sz w:val="22"/>
          <w:szCs w:val="22"/>
          <w:rtl w:val="0"/>
        </w:rPr>
        <w:t xml:space="preserve">, ed. Roy Porter and Mikuláš Teich (Cambridge: Cambridge University Press, 1994), pp. 107-33.</w:t>
      </w:r>
    </w:p>
    <w:p w:rsidR="00000000" w:rsidDel="00000000" w:rsidP="00000000" w:rsidRDefault="00000000" w:rsidRPr="00000000" w14:paraId="000000D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Maus, Katharine Eisaman, ‘A womb of his own: male Renaissance poets in the female body’, in </w:t>
      </w:r>
      <w:r w:rsidDel="00000000" w:rsidR="00000000" w:rsidRPr="00000000">
        <w:rPr>
          <w:rFonts w:ascii="Arial" w:cs="Arial" w:eastAsia="Arial" w:hAnsi="Arial"/>
          <w:i w:val="1"/>
          <w:sz w:val="22"/>
          <w:szCs w:val="22"/>
          <w:rtl w:val="0"/>
        </w:rPr>
        <w:t xml:space="preserve">Sexuality and Gender in early modern Europe</w:t>
      </w:r>
      <w:r w:rsidDel="00000000" w:rsidR="00000000" w:rsidRPr="00000000">
        <w:rPr>
          <w:rFonts w:ascii="Arial" w:cs="Arial" w:eastAsia="Arial" w:hAnsi="Arial"/>
          <w:sz w:val="22"/>
          <w:szCs w:val="22"/>
          <w:rtl w:val="0"/>
        </w:rPr>
        <w:t xml:space="preserve">, ed. James Grantham Turner (Cambridge: Cambridge University Press, 1993), pp. 266-88.</w:t>
      </w:r>
    </w:p>
    <w:p w:rsidR="00000000" w:rsidDel="00000000" w:rsidP="00000000" w:rsidRDefault="00000000" w:rsidRPr="00000000" w14:paraId="000000D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Micale, Mark S., </w:t>
      </w:r>
      <w:r w:rsidDel="00000000" w:rsidR="00000000" w:rsidRPr="00000000">
        <w:rPr>
          <w:rFonts w:ascii="Arial" w:cs="Arial" w:eastAsia="Arial" w:hAnsi="Arial"/>
          <w:i w:val="1"/>
          <w:sz w:val="22"/>
          <w:szCs w:val="22"/>
          <w:rtl w:val="0"/>
        </w:rPr>
        <w:t xml:space="preserve">Approaching Hysteria: Disease and Its Interpretations</w:t>
      </w:r>
      <w:r w:rsidDel="00000000" w:rsidR="00000000" w:rsidRPr="00000000">
        <w:rPr>
          <w:rFonts w:ascii="Arial" w:cs="Arial" w:eastAsia="Arial" w:hAnsi="Arial"/>
          <w:sz w:val="22"/>
          <w:szCs w:val="22"/>
          <w:rtl w:val="0"/>
        </w:rPr>
        <w:t xml:space="preserve"> (Princeton: Princeton University Press, 1995).</w:t>
      </w:r>
    </w:p>
    <w:p w:rsidR="00000000" w:rsidDel="00000000" w:rsidP="00000000" w:rsidRDefault="00000000" w:rsidRPr="00000000" w14:paraId="000000D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Navarro, Juan de Dios Huarte, </w:t>
      </w:r>
      <w:r w:rsidDel="00000000" w:rsidR="00000000" w:rsidRPr="00000000">
        <w:rPr>
          <w:rFonts w:ascii="Arial" w:cs="Arial" w:eastAsia="Arial" w:hAnsi="Arial"/>
          <w:i w:val="1"/>
          <w:sz w:val="22"/>
          <w:szCs w:val="22"/>
          <w:rtl w:val="0"/>
        </w:rPr>
        <w:t xml:space="preserve">Examen de Ingenios. The Examination of Mens Wits, </w:t>
      </w:r>
      <w:r w:rsidDel="00000000" w:rsidR="00000000" w:rsidRPr="00000000">
        <w:rPr>
          <w:rFonts w:ascii="Arial" w:cs="Arial" w:eastAsia="Arial" w:hAnsi="Arial"/>
          <w:sz w:val="22"/>
          <w:szCs w:val="22"/>
          <w:rtl w:val="0"/>
        </w:rPr>
        <w:t xml:space="preserve">trans. R. Carew (London: 1604).</w:t>
      </w:r>
    </w:p>
    <w:p w:rsidR="00000000" w:rsidDel="00000000" w:rsidP="00000000" w:rsidRDefault="00000000" w:rsidRPr="00000000" w14:paraId="000000E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1">
      <w:pPr>
        <w:rPr>
          <w:rFonts w:ascii="Arial" w:cs="Arial" w:eastAsia="Arial" w:hAnsi="Arial"/>
          <w:sz w:val="22"/>
          <w:szCs w:val="22"/>
        </w:rPr>
      </w:pPr>
      <w:r w:rsidDel="00000000" w:rsidR="00000000" w:rsidRPr="00000000">
        <w:rPr>
          <w:rFonts w:ascii="Arial" w:cs="Arial" w:eastAsia="Arial" w:hAnsi="Arial"/>
          <w:sz w:val="22"/>
          <w:szCs w:val="22"/>
          <w:rtl w:val="0"/>
        </w:rPr>
        <w:t xml:space="preserve">Neely, Carol Thomas, </w:t>
      </w:r>
      <w:r w:rsidDel="00000000" w:rsidR="00000000" w:rsidRPr="00000000">
        <w:rPr>
          <w:rFonts w:ascii="Arial" w:cs="Arial" w:eastAsia="Arial" w:hAnsi="Arial"/>
          <w:i w:val="1"/>
          <w:sz w:val="22"/>
          <w:szCs w:val="22"/>
          <w:rtl w:val="0"/>
        </w:rPr>
        <w:t xml:space="preserve">Distracted Subject: MAdness and Gender in Shakespeare and Early Modern Culture</w:t>
      </w:r>
      <w:r w:rsidDel="00000000" w:rsidR="00000000" w:rsidRPr="00000000">
        <w:rPr>
          <w:rFonts w:ascii="Arial" w:cs="Arial" w:eastAsia="Arial" w:hAnsi="Arial"/>
          <w:sz w:val="22"/>
          <w:szCs w:val="22"/>
          <w:rtl w:val="0"/>
        </w:rPr>
        <w:t xml:space="preserve"> (Ithara: Cornell University Press, 2004).</w:t>
      </w:r>
    </w:p>
    <w:p w:rsidR="00000000" w:rsidDel="00000000" w:rsidP="00000000" w:rsidRDefault="00000000" w:rsidRPr="00000000" w14:paraId="000000E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3">
      <w:pPr>
        <w:rPr>
          <w:rFonts w:ascii="Arial" w:cs="Arial" w:eastAsia="Arial" w:hAnsi="Arial"/>
          <w:sz w:val="22"/>
          <w:szCs w:val="22"/>
        </w:rPr>
      </w:pPr>
      <w:r w:rsidDel="00000000" w:rsidR="00000000" w:rsidRPr="00000000">
        <w:rPr>
          <w:rFonts w:ascii="Arial" w:cs="Arial" w:eastAsia="Arial" w:hAnsi="Arial"/>
          <w:sz w:val="22"/>
          <w:szCs w:val="22"/>
          <w:rtl w:val="0"/>
        </w:rPr>
        <w:t xml:space="preserve">Peterson, Kaara L., ‘Historica Passio: Early Modern Medicine, King Lear, and Editorial Practice’, in </w:t>
      </w:r>
      <w:r w:rsidDel="00000000" w:rsidR="00000000" w:rsidRPr="00000000">
        <w:rPr>
          <w:rFonts w:ascii="Arial" w:cs="Arial" w:eastAsia="Arial" w:hAnsi="Arial"/>
          <w:i w:val="1"/>
          <w:sz w:val="22"/>
          <w:szCs w:val="22"/>
          <w:rtl w:val="0"/>
        </w:rPr>
        <w:t xml:space="preserve">Shakespeare Quarterly</w:t>
      </w:r>
      <w:r w:rsidDel="00000000" w:rsidR="00000000" w:rsidRPr="00000000">
        <w:rPr>
          <w:rFonts w:ascii="Arial" w:cs="Arial" w:eastAsia="Arial" w:hAnsi="Arial"/>
          <w:sz w:val="22"/>
          <w:szCs w:val="22"/>
          <w:rtl w:val="0"/>
        </w:rPr>
        <w:t xml:space="preserve">, 57,1 (Oxford University Press, Spring 2006), pp. 1-22.</w:t>
      </w:r>
    </w:p>
    <w:p w:rsidR="00000000" w:rsidDel="00000000" w:rsidP="00000000" w:rsidRDefault="00000000" w:rsidRPr="00000000" w14:paraId="000000E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5">
      <w:pPr>
        <w:rPr>
          <w:rFonts w:ascii="Arial" w:cs="Arial" w:eastAsia="Arial" w:hAnsi="Arial"/>
          <w:sz w:val="22"/>
          <w:szCs w:val="22"/>
        </w:rPr>
      </w:pPr>
      <w:r w:rsidDel="00000000" w:rsidR="00000000" w:rsidRPr="00000000">
        <w:rPr>
          <w:rFonts w:ascii="Arial" w:cs="Arial" w:eastAsia="Arial" w:hAnsi="Arial"/>
          <w:sz w:val="22"/>
          <w:szCs w:val="22"/>
          <w:rtl w:val="0"/>
        </w:rPr>
        <w:t xml:space="preserve">Slack, Paul, ‘Mirrors of health and treasures of poor men: the uses of the vernacular medical literature of Tudor England’, in </w:t>
      </w:r>
      <w:r w:rsidDel="00000000" w:rsidR="00000000" w:rsidRPr="00000000">
        <w:rPr>
          <w:rFonts w:ascii="Arial" w:cs="Arial" w:eastAsia="Arial" w:hAnsi="Arial"/>
          <w:i w:val="1"/>
          <w:sz w:val="22"/>
          <w:szCs w:val="22"/>
          <w:rtl w:val="0"/>
        </w:rPr>
        <w:t xml:space="preserve">Health, medicine and mortality in the sixteenth century</w:t>
      </w:r>
      <w:r w:rsidDel="00000000" w:rsidR="00000000" w:rsidRPr="00000000">
        <w:rPr>
          <w:rFonts w:ascii="Arial" w:cs="Arial" w:eastAsia="Arial" w:hAnsi="Arial"/>
          <w:sz w:val="22"/>
          <w:szCs w:val="22"/>
          <w:rtl w:val="0"/>
        </w:rPr>
        <w:t xml:space="preserve">, ed. Charles Webster (Cambridge: Cambridge University Press, 1979), pp. 237-74.</w:t>
      </w:r>
    </w:p>
    <w:p w:rsidR="00000000" w:rsidDel="00000000" w:rsidP="00000000" w:rsidRDefault="00000000" w:rsidRPr="00000000" w14:paraId="000000E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7">
      <w:pPr>
        <w:rPr>
          <w:rFonts w:ascii="Arial" w:cs="Arial" w:eastAsia="Arial" w:hAnsi="Arial"/>
          <w:sz w:val="22"/>
          <w:szCs w:val="22"/>
        </w:rPr>
      </w:pPr>
      <w:r w:rsidDel="00000000" w:rsidR="00000000" w:rsidRPr="00000000">
        <w:rPr>
          <w:rFonts w:ascii="Arial" w:cs="Arial" w:eastAsia="Arial" w:hAnsi="Arial"/>
          <w:sz w:val="22"/>
          <w:szCs w:val="22"/>
          <w:rtl w:val="0"/>
        </w:rPr>
        <w:t xml:space="preserve">Wear, Andrew, ‘The popularization of medicine of early modern England’, in </w:t>
      </w:r>
      <w:r w:rsidDel="00000000" w:rsidR="00000000" w:rsidRPr="00000000">
        <w:rPr>
          <w:rFonts w:ascii="Arial" w:cs="Arial" w:eastAsia="Arial" w:hAnsi="Arial"/>
          <w:i w:val="1"/>
          <w:sz w:val="22"/>
          <w:szCs w:val="22"/>
          <w:rtl w:val="0"/>
        </w:rPr>
        <w:t xml:space="preserve">The Popularization of Medicine 1650-1850</w:t>
      </w:r>
      <w:r w:rsidDel="00000000" w:rsidR="00000000" w:rsidRPr="00000000">
        <w:rPr>
          <w:rFonts w:ascii="Arial" w:cs="Arial" w:eastAsia="Arial" w:hAnsi="Arial"/>
          <w:sz w:val="22"/>
          <w:szCs w:val="22"/>
          <w:rtl w:val="0"/>
        </w:rPr>
        <w:t xml:space="preserve">, ed. Roy Porter (London: Routledge, 1992), pp. 17-41.</w:t>
      </w:r>
      <w:r w:rsidDel="00000000" w:rsidR="00000000" w:rsidRPr="00000000">
        <w:rPr>
          <w:rtl w:val="0"/>
        </w:rPr>
      </w:r>
    </w:p>
    <w:sectPr>
      <w:footerReference r:id="rId8" w:type="default"/>
      <w:pgSz w:h="15840" w:w="12240"/>
      <w:pgMar w:bottom="567" w:top="1080" w:left="1797" w:right="179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rebuchet MS"/>
  <w:font w:name="Calibri"/>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8">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rebuchet MS" w:cs="Trebuchet MS" w:eastAsia="Trebuchet MS" w:hAnsi="Trebuchet MS"/>
        <w:b w:val="0"/>
        <w:i w:val="0"/>
        <w:smallCaps w:val="0"/>
        <w:strike w:val="0"/>
        <w:color w:val="000000"/>
        <w:sz w:val="18"/>
        <w:szCs w:val="18"/>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18"/>
        <w:szCs w:val="18"/>
        <w:u w:val="none"/>
        <w:shd w:fill="auto" w:val="clear"/>
        <w:vertAlign w:val="baseline"/>
        <w:rtl w:val="0"/>
      </w:rPr>
      <w:t xml:space="preserve"> </w: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2">
    <w:p w:rsidR="00000000" w:rsidDel="00000000" w:rsidP="00000000" w:rsidRDefault="00000000" w:rsidRPr="00000000" w14:paraId="000000E9">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F. David Hoeniger, </w:t>
      </w:r>
      <w:r w:rsidDel="00000000" w:rsidR="00000000" w:rsidRPr="00000000">
        <w:rPr>
          <w:rFonts w:ascii="Arial" w:cs="Arial" w:eastAsia="Arial" w:hAnsi="Arial"/>
          <w:i w:val="1"/>
          <w:sz w:val="20"/>
          <w:szCs w:val="20"/>
          <w:rtl w:val="0"/>
        </w:rPr>
        <w:t xml:space="preserve">Medicine and Shakespeare in the English Renaissance </w:t>
      </w:r>
      <w:r w:rsidDel="00000000" w:rsidR="00000000" w:rsidRPr="00000000">
        <w:rPr>
          <w:rFonts w:ascii="Arial" w:cs="Arial" w:eastAsia="Arial" w:hAnsi="Arial"/>
          <w:sz w:val="20"/>
          <w:szCs w:val="20"/>
          <w:rtl w:val="0"/>
        </w:rPr>
        <w:t xml:space="preserve">(Newark: University of Delaware Press, 1992), p. 330.</w:t>
      </w:r>
    </w:p>
  </w:footnote>
  <w:footnote w:id="0">
    <w:p w:rsidR="00000000" w:rsidDel="00000000" w:rsidP="00000000" w:rsidRDefault="00000000" w:rsidRPr="00000000" w14:paraId="000000EA">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20"/>
          <w:szCs w:val="20"/>
          <w:rtl w:val="0"/>
        </w:rPr>
        <w:t xml:space="preserve">Andrew Wear, ‘The popularization of medicine of early modern England’, in </w:t>
      </w:r>
      <w:r w:rsidDel="00000000" w:rsidR="00000000" w:rsidRPr="00000000">
        <w:rPr>
          <w:rFonts w:ascii="Arial" w:cs="Arial" w:eastAsia="Arial" w:hAnsi="Arial"/>
          <w:i w:val="1"/>
          <w:sz w:val="20"/>
          <w:szCs w:val="20"/>
          <w:rtl w:val="0"/>
        </w:rPr>
        <w:t xml:space="preserve">The Popularization of Medicine 1650-1850</w:t>
      </w:r>
      <w:r w:rsidDel="00000000" w:rsidR="00000000" w:rsidRPr="00000000">
        <w:rPr>
          <w:rFonts w:ascii="Arial" w:cs="Arial" w:eastAsia="Arial" w:hAnsi="Arial"/>
          <w:sz w:val="20"/>
          <w:szCs w:val="20"/>
          <w:rtl w:val="0"/>
        </w:rPr>
        <w:t xml:space="preserve">, ed. Roy Porter (London: Routledge, 1992), pp. 17-41., p. 17.</w:t>
      </w:r>
      <w:r w:rsidDel="00000000" w:rsidR="00000000" w:rsidRPr="00000000">
        <w:rPr>
          <w:rtl w:val="0"/>
        </w:rPr>
      </w:r>
    </w:p>
  </w:footnote>
  <w:footnote w:id="1">
    <w:p w:rsidR="00000000" w:rsidDel="00000000" w:rsidP="00000000" w:rsidRDefault="00000000" w:rsidRPr="00000000" w14:paraId="000000EB">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20"/>
          <w:szCs w:val="20"/>
          <w:rtl w:val="0"/>
        </w:rPr>
        <w:t xml:space="preserve">William Shakespeare,  </w:t>
      </w:r>
      <w:r w:rsidDel="00000000" w:rsidR="00000000" w:rsidRPr="00000000">
        <w:rPr>
          <w:rFonts w:ascii="Arial" w:cs="Arial" w:eastAsia="Arial" w:hAnsi="Arial"/>
          <w:i w:val="1"/>
          <w:sz w:val="20"/>
          <w:szCs w:val="20"/>
          <w:rtl w:val="0"/>
        </w:rPr>
        <w:t xml:space="preserve">King Lear</w:t>
      </w:r>
      <w:r w:rsidDel="00000000" w:rsidR="00000000" w:rsidRPr="00000000">
        <w:rPr>
          <w:rFonts w:ascii="Arial" w:cs="Arial" w:eastAsia="Arial" w:hAnsi="Arial"/>
          <w:sz w:val="20"/>
          <w:szCs w:val="20"/>
          <w:rtl w:val="0"/>
        </w:rPr>
        <w:t xml:space="preserve"> (1607), ed. R. A. Foakes (London: Arden Shakespeare, 1997), p. 253., 2.2.409-14.</w:t>
      </w:r>
      <w:r w:rsidDel="00000000" w:rsidR="00000000" w:rsidRPr="00000000">
        <w:rPr>
          <w:rtl w:val="0"/>
        </w:rPr>
      </w:r>
    </w:p>
  </w:footnote>
  <w:footnote w:id="3">
    <w:p w:rsidR="00000000" w:rsidDel="00000000" w:rsidP="00000000" w:rsidRDefault="00000000" w:rsidRPr="00000000" w14:paraId="000000EC">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20"/>
          <w:szCs w:val="20"/>
          <w:rtl w:val="0"/>
        </w:rPr>
        <w:t xml:space="preserve">Robert Martensen, ‘The transformation of Eve: women’s bodies, medicine and culture in early modern England’, in </w:t>
      </w:r>
      <w:r w:rsidDel="00000000" w:rsidR="00000000" w:rsidRPr="00000000">
        <w:rPr>
          <w:rFonts w:ascii="Arial" w:cs="Arial" w:eastAsia="Arial" w:hAnsi="Arial"/>
          <w:i w:val="1"/>
          <w:sz w:val="20"/>
          <w:szCs w:val="20"/>
          <w:rtl w:val="0"/>
        </w:rPr>
        <w:t xml:space="preserve">Sexual Knowledge, Sexual Science</w:t>
      </w:r>
      <w:r w:rsidDel="00000000" w:rsidR="00000000" w:rsidRPr="00000000">
        <w:rPr>
          <w:rFonts w:ascii="Arial" w:cs="Arial" w:eastAsia="Arial" w:hAnsi="Arial"/>
          <w:sz w:val="20"/>
          <w:szCs w:val="20"/>
          <w:rtl w:val="0"/>
        </w:rPr>
        <w:t xml:space="preserve">, ed. Roy Porter and Mikuláš Teich (Cambridge: Cambridge University Press, 1994), pp. 107-33., p.107. </w:t>
      </w:r>
    </w:p>
    <w:p w:rsidR="00000000" w:rsidDel="00000000" w:rsidP="00000000" w:rsidRDefault="00000000" w:rsidRPr="00000000" w14:paraId="000000ED">
      <w:pPr>
        <w:rPr>
          <w:sz w:val="20"/>
          <w:szCs w:val="20"/>
        </w:rPr>
      </w:pPr>
      <w:r w:rsidDel="00000000" w:rsidR="00000000" w:rsidRPr="00000000">
        <w:rPr>
          <w:rtl w:val="0"/>
        </w:rPr>
      </w:r>
    </w:p>
  </w:footnote>
  <w:footnote w:id="4">
    <w:p w:rsidR="00000000" w:rsidDel="00000000" w:rsidP="00000000" w:rsidRDefault="00000000" w:rsidRPr="00000000" w14:paraId="000000EE">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Ibid., p. 128.</w:t>
      </w:r>
    </w:p>
  </w:footnote>
  <w:footnote w:id="5">
    <w:p w:rsidR="00000000" w:rsidDel="00000000" w:rsidP="00000000" w:rsidRDefault="00000000" w:rsidRPr="00000000" w14:paraId="000000EF">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Shakespeare, </w:t>
      </w:r>
      <w:r w:rsidDel="00000000" w:rsidR="00000000" w:rsidRPr="00000000">
        <w:rPr>
          <w:rFonts w:ascii="Arial" w:cs="Arial" w:eastAsia="Arial" w:hAnsi="Arial"/>
          <w:i w:val="1"/>
          <w:sz w:val="20"/>
          <w:szCs w:val="20"/>
          <w:rtl w:val="0"/>
        </w:rPr>
        <w:t xml:space="preserve">Lear</w:t>
      </w:r>
      <w:r w:rsidDel="00000000" w:rsidR="00000000" w:rsidRPr="00000000">
        <w:rPr>
          <w:rFonts w:ascii="Arial" w:cs="Arial" w:eastAsia="Arial" w:hAnsi="Arial"/>
          <w:sz w:val="20"/>
          <w:szCs w:val="20"/>
          <w:rtl w:val="0"/>
        </w:rPr>
        <w:t xml:space="preserve">, pp. 241-2., 2.2.234-48.</w:t>
      </w:r>
    </w:p>
  </w:footnote>
  <w:footnote w:id="6">
    <w:p w:rsidR="00000000" w:rsidDel="00000000" w:rsidP="00000000" w:rsidRDefault="00000000" w:rsidRPr="00000000" w14:paraId="000000F0">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20"/>
          <w:szCs w:val="20"/>
          <w:rtl w:val="0"/>
        </w:rPr>
        <w:t xml:space="preserve">Patricia Crawford, ‘Sexual Knowledge in England, 1500-1700’, in </w:t>
      </w:r>
      <w:r w:rsidDel="00000000" w:rsidR="00000000" w:rsidRPr="00000000">
        <w:rPr>
          <w:rFonts w:ascii="Arial" w:cs="Arial" w:eastAsia="Arial" w:hAnsi="Arial"/>
          <w:i w:val="1"/>
          <w:sz w:val="20"/>
          <w:szCs w:val="20"/>
          <w:rtl w:val="0"/>
        </w:rPr>
        <w:t xml:space="preserve">Sexual Knowledge, Sexual Science</w:t>
      </w:r>
      <w:r w:rsidDel="00000000" w:rsidR="00000000" w:rsidRPr="00000000">
        <w:rPr>
          <w:rFonts w:ascii="Arial" w:cs="Arial" w:eastAsia="Arial" w:hAnsi="Arial"/>
          <w:sz w:val="20"/>
          <w:szCs w:val="20"/>
          <w:rtl w:val="0"/>
        </w:rPr>
        <w:t xml:space="preserve">, ed. Roy Porter and Mikuláš Teich (Cambridge: Cambridge University Press, 1994), pp. 82-106., p. 91.</w:t>
      </w:r>
      <w:r w:rsidDel="00000000" w:rsidR="00000000" w:rsidRPr="00000000">
        <w:rPr>
          <w:rtl w:val="0"/>
        </w:rPr>
      </w:r>
    </w:p>
  </w:footnote>
  <w:footnote w:id="7">
    <w:p w:rsidR="00000000" w:rsidDel="00000000" w:rsidP="00000000" w:rsidRDefault="00000000" w:rsidRPr="00000000" w14:paraId="000000F1">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Ibid., p. 82.</w:t>
      </w:r>
    </w:p>
  </w:footnote>
  <w:footnote w:id="9">
    <w:p w:rsidR="00000000" w:rsidDel="00000000" w:rsidP="00000000" w:rsidRDefault="00000000" w:rsidRPr="00000000" w14:paraId="000000F2">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Shakespeare, </w:t>
      </w:r>
      <w:r w:rsidDel="00000000" w:rsidR="00000000" w:rsidRPr="00000000">
        <w:rPr>
          <w:rFonts w:ascii="Arial" w:cs="Arial" w:eastAsia="Arial" w:hAnsi="Arial"/>
          <w:i w:val="1"/>
          <w:sz w:val="20"/>
          <w:szCs w:val="20"/>
          <w:rtl w:val="0"/>
        </w:rPr>
        <w:t xml:space="preserve">Lear</w:t>
      </w:r>
      <w:r w:rsidDel="00000000" w:rsidR="00000000" w:rsidRPr="00000000">
        <w:rPr>
          <w:rFonts w:ascii="Arial" w:cs="Arial" w:eastAsia="Arial" w:hAnsi="Arial"/>
          <w:sz w:val="20"/>
          <w:szCs w:val="20"/>
          <w:rtl w:val="0"/>
        </w:rPr>
        <w:t xml:space="preserve">, p. 241, 2.2.240.</w:t>
      </w:r>
    </w:p>
  </w:footnote>
  <w:footnote w:id="10">
    <w:p w:rsidR="00000000" w:rsidDel="00000000" w:rsidP="00000000" w:rsidRDefault="00000000" w:rsidRPr="00000000" w14:paraId="000000F3">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Ibid, p. 243, 2.2.278.</w:t>
      </w:r>
    </w:p>
  </w:footnote>
  <w:footnote w:id="11">
    <w:p w:rsidR="00000000" w:rsidDel="00000000" w:rsidP="00000000" w:rsidRDefault="00000000" w:rsidRPr="00000000" w14:paraId="000000F4">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Ibid., p. 245, 2.2.310.</w:t>
      </w:r>
    </w:p>
  </w:footnote>
  <w:footnote w:id="15">
    <w:p w:rsidR="00000000" w:rsidDel="00000000" w:rsidP="00000000" w:rsidRDefault="00000000" w:rsidRPr="00000000" w14:paraId="000000F5">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Shakespeare, </w:t>
      </w:r>
      <w:r w:rsidDel="00000000" w:rsidR="00000000" w:rsidRPr="00000000">
        <w:rPr>
          <w:rFonts w:ascii="Arial" w:cs="Arial" w:eastAsia="Arial" w:hAnsi="Arial"/>
          <w:i w:val="1"/>
          <w:sz w:val="20"/>
          <w:szCs w:val="20"/>
          <w:rtl w:val="0"/>
        </w:rPr>
        <w:t xml:space="preserve">Lear</w:t>
      </w:r>
      <w:r w:rsidDel="00000000" w:rsidR="00000000" w:rsidRPr="00000000">
        <w:rPr>
          <w:rFonts w:ascii="Arial" w:cs="Arial" w:eastAsia="Arial" w:hAnsi="Arial"/>
          <w:sz w:val="20"/>
          <w:szCs w:val="20"/>
          <w:rtl w:val="0"/>
        </w:rPr>
        <w:t xml:space="preserve">, p. 244-5, 2.2.293-301.</w:t>
      </w:r>
    </w:p>
  </w:footnote>
  <w:footnote w:id="12">
    <w:p w:rsidR="00000000" w:rsidDel="00000000" w:rsidP="00000000" w:rsidRDefault="00000000" w:rsidRPr="00000000" w14:paraId="000000F6">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Kaara L. Peterson, ‘Historica Passio: Early Modern Medicine, King Lear, and Editorial Practice’, in </w:t>
      </w:r>
      <w:r w:rsidDel="00000000" w:rsidR="00000000" w:rsidRPr="00000000">
        <w:rPr>
          <w:rFonts w:ascii="Arial" w:cs="Arial" w:eastAsia="Arial" w:hAnsi="Arial"/>
          <w:i w:val="1"/>
          <w:sz w:val="20"/>
          <w:szCs w:val="20"/>
          <w:rtl w:val="0"/>
        </w:rPr>
        <w:t xml:space="preserve">Shakespeare Quarterly</w:t>
      </w:r>
      <w:r w:rsidDel="00000000" w:rsidR="00000000" w:rsidRPr="00000000">
        <w:rPr>
          <w:rFonts w:ascii="Arial" w:cs="Arial" w:eastAsia="Arial" w:hAnsi="Arial"/>
          <w:sz w:val="20"/>
          <w:szCs w:val="20"/>
          <w:rtl w:val="0"/>
        </w:rPr>
        <w:t xml:space="preserve">, 57,1 (Oxford University Press, Spring 2006), pp. 1-22, p. 2.</w:t>
      </w:r>
    </w:p>
  </w:footnote>
  <w:footnote w:id="13">
    <w:p w:rsidR="00000000" w:rsidDel="00000000" w:rsidP="00000000" w:rsidRDefault="00000000" w:rsidRPr="00000000" w14:paraId="000000F7">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Ibid., p. 3.</w:t>
      </w:r>
    </w:p>
  </w:footnote>
  <w:footnote w:id="14">
    <w:p w:rsidR="00000000" w:rsidDel="00000000" w:rsidP="00000000" w:rsidRDefault="00000000" w:rsidRPr="00000000" w14:paraId="000000F8">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Ibid., p.7.</w:t>
      </w:r>
    </w:p>
  </w:footnote>
  <w:footnote w:id="8">
    <w:p w:rsidR="00000000" w:rsidDel="00000000" w:rsidP="00000000" w:rsidRDefault="00000000" w:rsidRPr="00000000" w14:paraId="000000F9">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Martensen, ‘Eve’, p. 107.</w:t>
      </w:r>
      <w:r w:rsidDel="00000000" w:rsidR="00000000" w:rsidRPr="00000000">
        <w:rPr>
          <w:rtl w:val="0"/>
        </w:rPr>
      </w:r>
    </w:p>
  </w:footnote>
  <w:footnote w:id="16">
    <w:p w:rsidR="00000000" w:rsidDel="00000000" w:rsidP="00000000" w:rsidRDefault="00000000" w:rsidRPr="00000000" w14:paraId="000000FA">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Ibid., p. 21.</w:t>
      </w:r>
    </w:p>
  </w:footnote>
  <w:footnote w:id="17">
    <w:p w:rsidR="00000000" w:rsidDel="00000000" w:rsidP="00000000" w:rsidRDefault="00000000" w:rsidRPr="00000000" w14:paraId="000000FB">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Shakespeare, </w:t>
      </w:r>
      <w:r w:rsidDel="00000000" w:rsidR="00000000" w:rsidRPr="00000000">
        <w:rPr>
          <w:rFonts w:ascii="Arial" w:cs="Arial" w:eastAsia="Arial" w:hAnsi="Arial"/>
          <w:i w:val="1"/>
          <w:sz w:val="20"/>
          <w:szCs w:val="20"/>
          <w:rtl w:val="0"/>
        </w:rPr>
        <w:t xml:space="preserve">Lear</w:t>
      </w:r>
      <w:r w:rsidDel="00000000" w:rsidR="00000000" w:rsidRPr="00000000">
        <w:rPr>
          <w:rFonts w:ascii="Arial" w:cs="Arial" w:eastAsia="Arial" w:hAnsi="Arial"/>
          <w:sz w:val="20"/>
          <w:szCs w:val="20"/>
          <w:rtl w:val="0"/>
        </w:rPr>
        <w:t xml:space="preserve">, p. 203, 1.4.192-4.</w:t>
      </w:r>
    </w:p>
  </w:footnote>
  <w:footnote w:id="18">
    <w:p w:rsidR="00000000" w:rsidDel="00000000" w:rsidP="00000000" w:rsidRDefault="00000000" w:rsidRPr="00000000" w14:paraId="000000FC">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Ibid., p. 206, 1.4.245.</w:t>
      </w:r>
    </w:p>
  </w:footnote>
  <w:footnote w:id="19">
    <w:p w:rsidR="00000000" w:rsidDel="00000000" w:rsidP="00000000" w:rsidRDefault="00000000" w:rsidRPr="00000000" w14:paraId="000000FD">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Ibid., p. 208, 1.4.268-81.</w:t>
      </w:r>
    </w:p>
  </w:footnote>
  <w:footnote w:id="20">
    <w:p w:rsidR="00000000" w:rsidDel="00000000" w:rsidP="00000000" w:rsidRDefault="00000000" w:rsidRPr="00000000" w14:paraId="000000FE">
      <w:pPr>
        <w:rPr>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Juan de Dios Huarte Navarro, </w:t>
      </w:r>
      <w:r w:rsidDel="00000000" w:rsidR="00000000" w:rsidRPr="00000000">
        <w:rPr>
          <w:rFonts w:ascii="Arial" w:cs="Arial" w:eastAsia="Arial" w:hAnsi="Arial"/>
          <w:i w:val="1"/>
          <w:sz w:val="20"/>
          <w:szCs w:val="20"/>
          <w:rtl w:val="0"/>
        </w:rPr>
        <w:t xml:space="preserve">Examen de Ingenios. The Examination of Mens Wits, </w:t>
      </w:r>
      <w:r w:rsidDel="00000000" w:rsidR="00000000" w:rsidRPr="00000000">
        <w:rPr>
          <w:rFonts w:ascii="Arial" w:cs="Arial" w:eastAsia="Arial" w:hAnsi="Arial"/>
          <w:sz w:val="20"/>
          <w:szCs w:val="20"/>
          <w:rtl w:val="0"/>
        </w:rPr>
        <w:t xml:space="preserve">trans. R. Carew (London: 1604), p. 274.</w:t>
      </w:r>
      <w:r w:rsidDel="00000000" w:rsidR="00000000" w:rsidRPr="00000000">
        <w:rPr>
          <w:rtl w:val="0"/>
        </w:rPr>
      </w:r>
    </w:p>
  </w:footnote>
  <w:footnote w:id="21">
    <w:p w:rsidR="00000000" w:rsidDel="00000000" w:rsidP="00000000" w:rsidRDefault="00000000" w:rsidRPr="00000000" w14:paraId="000000FF">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Katharine Eisaman Maus, ‘A womb of his own: male Renaissance poets in the female body’, in </w:t>
      </w:r>
      <w:r w:rsidDel="00000000" w:rsidR="00000000" w:rsidRPr="00000000">
        <w:rPr>
          <w:rFonts w:ascii="Arial" w:cs="Arial" w:eastAsia="Arial" w:hAnsi="Arial"/>
          <w:i w:val="1"/>
          <w:sz w:val="20"/>
          <w:szCs w:val="20"/>
          <w:rtl w:val="0"/>
        </w:rPr>
        <w:t xml:space="preserve">Sexuality and Gender in Early Modern Europe</w:t>
      </w:r>
      <w:r w:rsidDel="00000000" w:rsidR="00000000" w:rsidRPr="00000000">
        <w:rPr>
          <w:rFonts w:ascii="Arial" w:cs="Arial" w:eastAsia="Arial" w:hAnsi="Arial"/>
          <w:sz w:val="20"/>
          <w:szCs w:val="20"/>
          <w:rtl w:val="0"/>
        </w:rPr>
        <w:t xml:space="preserve">, pp. 266-88, p. 268.</w:t>
      </w:r>
    </w:p>
  </w:footnote>
  <w:footnote w:id="22">
    <w:p w:rsidR="00000000" w:rsidDel="00000000" w:rsidP="00000000" w:rsidRDefault="00000000" w:rsidRPr="00000000" w14:paraId="00000100">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Ibid., p. 272.</w:t>
      </w:r>
    </w:p>
  </w:footnote>
  <w:footnote w:id="23">
    <w:p w:rsidR="00000000" w:rsidDel="00000000" w:rsidP="00000000" w:rsidRDefault="00000000" w:rsidRPr="00000000" w14:paraId="00000101">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Hoeniger, </w:t>
      </w:r>
      <w:r w:rsidDel="00000000" w:rsidR="00000000" w:rsidRPr="00000000">
        <w:rPr>
          <w:rFonts w:ascii="Arial" w:cs="Arial" w:eastAsia="Arial" w:hAnsi="Arial"/>
          <w:i w:val="1"/>
          <w:sz w:val="20"/>
          <w:szCs w:val="20"/>
          <w:rtl w:val="0"/>
        </w:rPr>
        <w:t xml:space="preserve">Medicine and Shakespeare</w:t>
      </w:r>
      <w:r w:rsidDel="00000000" w:rsidR="00000000" w:rsidRPr="00000000">
        <w:rPr>
          <w:rFonts w:ascii="Arial" w:cs="Arial" w:eastAsia="Arial" w:hAnsi="Arial"/>
          <w:sz w:val="20"/>
          <w:szCs w:val="20"/>
          <w:rtl w:val="0"/>
        </w:rPr>
        <w:t xml:space="preserve">, p. 321.</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rFonts w:ascii="Arial" w:cs="Arial" w:eastAsia="Arial" w:hAnsi="Arial"/>
      <w:b w:val="1"/>
      <w:sz w:val="32"/>
      <w:szCs w:val="32"/>
      <w:vertAlign w:val="baseline"/>
    </w:rPr>
  </w:style>
  <w:style w:type="paragraph" w:styleId="Heading2">
    <w:name w:val="heading 2"/>
    <w:basedOn w:val="Normal"/>
    <w:next w:val="Normal"/>
    <w:pPr>
      <w:keepNext w:val="1"/>
      <w:spacing w:after="60" w:before="240" w:lineRule="auto"/>
    </w:pPr>
    <w:rPr>
      <w:rFonts w:ascii="Arial" w:cs="Arial" w:eastAsia="Arial" w:hAnsi="Arial"/>
      <w:b w:val="1"/>
      <w:i w:val="1"/>
      <w:sz w:val="28"/>
      <w:szCs w:val="28"/>
      <w:vertAlign w:val="baseline"/>
    </w:rPr>
  </w:style>
  <w:style w:type="paragraph" w:styleId="Heading3">
    <w:name w:val="heading 3"/>
    <w:basedOn w:val="Normal"/>
    <w:next w:val="Normal"/>
    <w:pPr>
      <w:keepNext w:val="1"/>
      <w:ind w:left="720"/>
      <w:jc w:val="both"/>
    </w:pPr>
    <w:rPr>
      <w:rFonts w:ascii="Tahoma" w:cs="Tahoma" w:eastAsia="Tahoma" w:hAnsi="Tahoma"/>
      <w:b w:val="1"/>
      <w:sz w:val="20"/>
      <w:szCs w:val="20"/>
      <w:vertAlign w:val="baseline"/>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jp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