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19C327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B1381">
              <w:rPr>
                <w:rFonts w:ascii="Times New Roman" w:hAnsi="Times New Roman" w:cs="Times New Roman"/>
                <w:b/>
                <w:color w:val="auto"/>
                <w:sz w:val="48"/>
              </w:rPr>
              <w:t>Ceri Frost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C0345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B1381">
              <w:rPr>
                <w:rFonts w:ascii="Times New Roman" w:hAnsi="Times New Roman" w:cs="Times New Roman"/>
                <w:b/>
                <w:color w:val="auto"/>
                <w:sz w:val="48"/>
              </w:rPr>
              <w:t xml:space="preserve"> </w:t>
            </w:r>
            <w:hyperlink r:id="rId11" w:history="1">
              <w:r w:rsidR="001B1381" w:rsidRPr="007D2970">
                <w:rPr>
                  <w:rStyle w:val="Hyperlink"/>
                  <w:rFonts w:ascii="Times New Roman" w:hAnsi="Times New Roman" w:cs="Times New Roman"/>
                  <w:b/>
                  <w:sz w:val="48"/>
                </w:rPr>
                <w:t>ceri.frost@flintshire.gov.uk</w:t>
              </w:r>
            </w:hyperlink>
            <w:r w:rsidR="001B1381">
              <w:rPr>
                <w:rFonts w:ascii="Times New Roman" w:hAnsi="Times New Roman" w:cs="Times New Roman"/>
                <w:b/>
                <w:color w:val="auto"/>
                <w:sz w:val="48"/>
              </w:rPr>
              <w:t xml:space="preserve">, </w:t>
            </w:r>
            <w:hyperlink r:id="rId12" w:history="1">
              <w:r w:rsidR="001B1381" w:rsidRPr="007D2970">
                <w:rPr>
                  <w:rStyle w:val="Hyperlink"/>
                  <w:rFonts w:ascii="Times New Roman" w:hAnsi="Times New Roman" w:cs="Times New Roman"/>
                  <w:b/>
                  <w:sz w:val="48"/>
                </w:rPr>
                <w:t>ceri010891@hotmail.co.uk</w:t>
              </w:r>
            </w:hyperlink>
            <w:r w:rsidR="001B1381">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167317" w14:textId="77777777" w:rsidR="001B1381" w:rsidRPr="005D3F07" w:rsidRDefault="0085230E" w:rsidP="001B1381">
            <w:pPr>
              <w:ind w:right="-957"/>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B1381">
              <w:rPr>
                <w:rFonts w:ascii="Times New Roman" w:hAnsi="Times New Roman" w:cs="Times New Roman"/>
                <w:b/>
                <w:color w:val="auto"/>
                <w:sz w:val="48"/>
              </w:rPr>
              <w:t xml:space="preserve"> </w:t>
            </w:r>
            <w:r w:rsidR="001B1381">
              <w:rPr>
                <w:rFonts w:ascii="Times New Roman" w:hAnsi="Times New Roman" w:cs="Times New Roman"/>
                <w:b/>
                <w:sz w:val="48"/>
              </w:rPr>
              <w:t>2422138</w:t>
            </w:r>
          </w:p>
          <w:p w14:paraId="0DE696B2" w14:textId="3149EF9B"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D22312">
      <w:pP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76C3FC0" w14:textId="7A9ABF47" w:rsidR="00586FDA" w:rsidRDefault="00586FDA" w:rsidP="00586FDA">
            <w:pPr>
              <w:jc w:val="both"/>
              <w:rPr>
                <w:sz w:val="24"/>
                <w:szCs w:val="24"/>
              </w:rPr>
            </w:pPr>
            <w:r w:rsidRPr="00586FDA">
              <w:rPr>
                <w:sz w:val="24"/>
                <w:szCs w:val="24"/>
              </w:rPr>
              <w:t xml:space="preserve">While my main focus is child protection, safeguarding responsibilities extend to adults, and it is essential that I understand the legal and procedural frameworks in this area. The overarching legislation for Wales is the Social Services and Well-being (Wales) Act </w:t>
            </w:r>
            <w:r>
              <w:rPr>
                <w:sz w:val="24"/>
                <w:szCs w:val="24"/>
              </w:rPr>
              <w:t>(</w:t>
            </w:r>
            <w:r w:rsidRPr="00586FDA">
              <w:rPr>
                <w:sz w:val="24"/>
                <w:szCs w:val="24"/>
              </w:rPr>
              <w:t>2014</w:t>
            </w:r>
            <w:r>
              <w:rPr>
                <w:sz w:val="24"/>
                <w:szCs w:val="24"/>
              </w:rPr>
              <w:t>)</w:t>
            </w:r>
            <w:r w:rsidRPr="00586FDA">
              <w:rPr>
                <w:sz w:val="24"/>
                <w:szCs w:val="24"/>
              </w:rPr>
              <w:t>, which integrates adult safeguarding into a single statutory framework. Under Part 7 of the Act, an “adult at risk” is defined as someone experiencing, or at risk of, abuse or neglect, and who cannot protect themselves. Local authorities are placed under a clear duty to make enquiries where there is reasonable cause to suspect that an adult is at risk. This parallels child protection duties under Section 47 of the Children Act 1989, but with an emphasis on adult choice, control, and empowerment (Social Services and Well-being (Wales) Act 2014).</w:t>
            </w:r>
          </w:p>
          <w:p w14:paraId="59FB7E36" w14:textId="77777777" w:rsidR="0088041E" w:rsidRPr="00586FDA" w:rsidRDefault="0088041E" w:rsidP="00586FDA">
            <w:pPr>
              <w:jc w:val="both"/>
              <w:rPr>
                <w:sz w:val="24"/>
                <w:szCs w:val="24"/>
              </w:rPr>
            </w:pPr>
          </w:p>
          <w:p w14:paraId="1ED68909" w14:textId="77777777" w:rsidR="00586FDA" w:rsidRDefault="00586FDA" w:rsidP="00586FDA">
            <w:pPr>
              <w:jc w:val="both"/>
              <w:rPr>
                <w:sz w:val="24"/>
                <w:szCs w:val="24"/>
              </w:rPr>
            </w:pPr>
            <w:r w:rsidRPr="00586FDA">
              <w:rPr>
                <w:sz w:val="24"/>
                <w:szCs w:val="24"/>
              </w:rPr>
              <w:t>In practice, safeguarding work in Wales is guided by the Wales Safeguarding Procedures (2019). These procedures ensure consistency across agencies by providing a shared framework for identifying, reporting, and responding to safeguarding concerns. They stress the importance of a multi-agency approach, recognising that risks to adults at risk are often complex and require coordinated responses. Prevention, early intervention, and respect for the adult’s wishes and feelings are key principles. This approach reflects broader social work values, including co-production and promoting individual well-being (Social Care Wales, 2017).</w:t>
            </w:r>
          </w:p>
          <w:p w14:paraId="6229D31B" w14:textId="77777777" w:rsidR="0088041E" w:rsidRPr="00586FDA" w:rsidRDefault="0088041E" w:rsidP="00586FDA">
            <w:pPr>
              <w:jc w:val="both"/>
              <w:rPr>
                <w:sz w:val="24"/>
                <w:szCs w:val="24"/>
              </w:rPr>
            </w:pPr>
          </w:p>
          <w:p w14:paraId="2753E168" w14:textId="77777777" w:rsidR="00586FDA" w:rsidRDefault="00586FDA" w:rsidP="00586FDA">
            <w:pPr>
              <w:jc w:val="both"/>
              <w:rPr>
                <w:sz w:val="24"/>
                <w:szCs w:val="24"/>
              </w:rPr>
            </w:pPr>
            <w:r w:rsidRPr="00586FDA">
              <w:rPr>
                <w:sz w:val="24"/>
                <w:szCs w:val="24"/>
              </w:rPr>
              <w:t>Alongside the national framework, Regional Safeguarding Boards are responsible for leading adult safeguarding work locally. These Boards set priorities, deliver training, and undertake Safeguarding Adult Reviews where lessons can be learned from cases of serious harm or death. They ensure that statutory agencies — including local authorities, health boards, police, housing, and the third sector — work together effectively to protect adults at risk. Within my own local authority, organisational safeguarding policies outline clear procedures for escalating concerns, completing safeguarding referrals, and recording information. These policies also highlight the expectation that all practitioners take responsibility for recognising and reporting safeguarding issues.</w:t>
            </w:r>
          </w:p>
          <w:p w14:paraId="54713C21" w14:textId="77777777" w:rsidR="0088041E" w:rsidRPr="00586FDA" w:rsidRDefault="0088041E" w:rsidP="00586FDA">
            <w:pPr>
              <w:jc w:val="both"/>
              <w:rPr>
                <w:sz w:val="24"/>
                <w:szCs w:val="24"/>
              </w:rPr>
            </w:pPr>
          </w:p>
          <w:p w14:paraId="57FB2307" w14:textId="77777777" w:rsidR="00586FDA" w:rsidRDefault="00586FDA" w:rsidP="00586FDA">
            <w:pPr>
              <w:jc w:val="both"/>
              <w:rPr>
                <w:sz w:val="24"/>
                <w:szCs w:val="24"/>
              </w:rPr>
            </w:pPr>
            <w:r w:rsidRPr="00586FDA">
              <w:rPr>
                <w:sz w:val="24"/>
                <w:szCs w:val="24"/>
              </w:rPr>
              <w:t>Adult safeguarding cannot be considered in isolation from other legislation. The Mental Capacity Act 2005 is particularly significant, as it underpins decision-making where adults may lack capacity, ensuring that any intervention is lawful, proportionate, and in their best interests. Equally, the Human Rights Act 1998 provides an essential framework by safeguarding individuals’ rights to life, liberty, and protection from degrading treatment. Cases involving potential deprivation of liberty or restrictions on autonomy must always be considered in this context.</w:t>
            </w:r>
          </w:p>
          <w:p w14:paraId="3FEAE6D3" w14:textId="77777777" w:rsidR="0088041E" w:rsidRPr="00586FDA" w:rsidRDefault="0088041E" w:rsidP="00586FDA">
            <w:pPr>
              <w:jc w:val="both"/>
              <w:rPr>
                <w:sz w:val="24"/>
                <w:szCs w:val="24"/>
              </w:rPr>
            </w:pPr>
          </w:p>
          <w:p w14:paraId="587BB1FC" w14:textId="77777777" w:rsidR="00586FDA" w:rsidRDefault="00586FDA" w:rsidP="00586FDA">
            <w:pPr>
              <w:jc w:val="both"/>
              <w:rPr>
                <w:sz w:val="24"/>
                <w:szCs w:val="24"/>
              </w:rPr>
            </w:pPr>
            <w:r w:rsidRPr="00586FDA">
              <w:rPr>
                <w:sz w:val="24"/>
                <w:szCs w:val="24"/>
              </w:rPr>
              <w:t xml:space="preserve">Research highlights the challenges of adult safeguarding practice. </w:t>
            </w:r>
            <w:proofErr w:type="spellStart"/>
            <w:r w:rsidRPr="00586FDA">
              <w:rPr>
                <w:sz w:val="24"/>
                <w:szCs w:val="24"/>
              </w:rPr>
              <w:t>Maiter</w:t>
            </w:r>
            <w:proofErr w:type="spellEnd"/>
            <w:r w:rsidRPr="00586FDA">
              <w:rPr>
                <w:sz w:val="24"/>
                <w:szCs w:val="24"/>
              </w:rPr>
              <w:t xml:space="preserve">, Palmer and Manji (2006) emphasise the importance of addressing power imbalances in safeguarding relationships, warning that professional authority can sometimes undermine trust. Applying models such as the SHARE approach (Maclean, Finch &amp; </w:t>
            </w:r>
            <w:proofErr w:type="spellStart"/>
            <w:r w:rsidRPr="00586FDA">
              <w:rPr>
                <w:sz w:val="24"/>
                <w:szCs w:val="24"/>
              </w:rPr>
              <w:t>Tedam</w:t>
            </w:r>
            <w:proofErr w:type="spellEnd"/>
            <w:r w:rsidRPr="00586FDA">
              <w:rPr>
                <w:sz w:val="24"/>
                <w:szCs w:val="24"/>
              </w:rPr>
              <w:t>, 2018) can help practitioners maintain empathy and respect, ensuring that safeguarding interventions remain person-centred. McClean (2020) further stresses the importance of reflective practice in building trust and maintaining dignity in safeguarding relationships.</w:t>
            </w:r>
          </w:p>
          <w:p w14:paraId="492023C6" w14:textId="77777777" w:rsidR="0088041E" w:rsidRPr="00586FDA" w:rsidRDefault="0088041E" w:rsidP="00586FDA">
            <w:pPr>
              <w:jc w:val="both"/>
              <w:rPr>
                <w:sz w:val="24"/>
                <w:szCs w:val="24"/>
              </w:rPr>
            </w:pPr>
          </w:p>
          <w:p w14:paraId="1C6806B6" w14:textId="256E4623" w:rsidR="00586FDA" w:rsidRPr="00586FDA" w:rsidRDefault="00586FDA" w:rsidP="00586FDA">
            <w:pPr>
              <w:jc w:val="both"/>
              <w:rPr>
                <w:sz w:val="24"/>
                <w:szCs w:val="24"/>
              </w:rPr>
            </w:pPr>
            <w:r w:rsidRPr="00586FDA">
              <w:rPr>
                <w:sz w:val="24"/>
                <w:szCs w:val="24"/>
              </w:rPr>
              <w:t>Although adult safeguarding is not my current area of practice, I recognise that children often live in households with adults who may themselves be at risk. Developing a stronger knowledge base in this area enhances my holistic understanding of safeguarding and supports me to consider risk across the whole family system. Going forward, I aim to consolidate this knowledge through further training and reflective supervision, ensuring I am able to apply safeguarding principles confidently across both adult and child contexts.</w:t>
            </w:r>
            <w:r w:rsidR="00525689">
              <w:rPr>
                <w:sz w:val="24"/>
                <w:szCs w:val="24"/>
              </w:rPr>
              <w:t xml:space="preserve"> (536 words)</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Pr="00BC2064" w:rsidRDefault="00FC0334" w:rsidP="00FC0334">
            <w:pPr>
              <w:jc w:val="both"/>
              <w:rPr>
                <w:sz w:val="24"/>
                <w:szCs w:val="24"/>
              </w:rPr>
            </w:pPr>
          </w:p>
          <w:p w14:paraId="261944C2" w14:textId="77777777" w:rsidR="00BC2064" w:rsidRDefault="00BC2064" w:rsidP="00BC2064">
            <w:pPr>
              <w:jc w:val="both"/>
              <w:rPr>
                <w:sz w:val="24"/>
                <w:szCs w:val="24"/>
              </w:rPr>
            </w:pPr>
            <w:r w:rsidRPr="00BC2064">
              <w:rPr>
                <w:sz w:val="24"/>
                <w:szCs w:val="24"/>
              </w:rPr>
              <w:t>Safeguarding is central across social work practice, but the way it is approached differs when working with adults compared to children. The legislative frameworks in Wales reflect these differences. In children’s services, safeguarding responsibilities are underpinned by the Children Act 1989 and the Social Services and Well-being (Wales) Act 2014. Local authorities hold a statutory duty to intervene where there is reasonable cause to suspect significant harm, with Section 47 enquiries being the key mechanism for child protection. The emphasis is on ensuring safety and welfare, sometimes requiring compulsory intervention, even against parental wishes (Social Services and Well-being (Wales) Act 2014).</w:t>
            </w:r>
          </w:p>
          <w:p w14:paraId="64612190" w14:textId="77777777" w:rsidR="00BC2064" w:rsidRPr="00BC2064" w:rsidRDefault="00BC2064" w:rsidP="00BC2064">
            <w:pPr>
              <w:jc w:val="both"/>
              <w:rPr>
                <w:sz w:val="24"/>
                <w:szCs w:val="24"/>
              </w:rPr>
            </w:pPr>
          </w:p>
          <w:p w14:paraId="326F80D9" w14:textId="77777777" w:rsidR="00BC2064" w:rsidRDefault="00BC2064" w:rsidP="00BC2064">
            <w:pPr>
              <w:jc w:val="both"/>
              <w:rPr>
                <w:sz w:val="24"/>
                <w:szCs w:val="24"/>
              </w:rPr>
            </w:pPr>
            <w:r w:rsidRPr="00BC2064">
              <w:rPr>
                <w:sz w:val="24"/>
                <w:szCs w:val="24"/>
              </w:rPr>
              <w:t xml:space="preserve">In contrast, adult safeguarding under Part 7 of the Social Services and Well-being (Wales) Act 2014 defines an “adult at risk” as someone experiencing or at risk of abuse or neglect who is </w:t>
            </w:r>
            <w:r w:rsidRPr="00BC2064">
              <w:rPr>
                <w:sz w:val="24"/>
                <w:szCs w:val="24"/>
              </w:rPr>
              <w:lastRenderedPageBreak/>
              <w:t>unable to protect themselves. While local authorities must make enquiries, intervention is balanced with principles of autonomy and empowerment. Adults, even when identified as at risk, retain the right to make decisions that may appear unwise, unless they lack capacity as defined by the Mental Capacity Act 2005. This distinction highlights a fundamental difference: safeguarding children is primarily protection-driven, while safeguarding adults is underpinned by empowerment and self-determination (Social Care Wales, 2017).</w:t>
            </w:r>
          </w:p>
          <w:p w14:paraId="38577F87" w14:textId="77777777" w:rsidR="00BC2064" w:rsidRPr="00BC2064" w:rsidRDefault="00BC2064" w:rsidP="00BC2064">
            <w:pPr>
              <w:jc w:val="both"/>
              <w:rPr>
                <w:sz w:val="24"/>
                <w:szCs w:val="24"/>
              </w:rPr>
            </w:pPr>
          </w:p>
          <w:p w14:paraId="7AAECB69" w14:textId="77777777" w:rsidR="00BC2064" w:rsidRDefault="00BC2064" w:rsidP="00BC2064">
            <w:pPr>
              <w:jc w:val="both"/>
              <w:rPr>
                <w:sz w:val="24"/>
                <w:szCs w:val="24"/>
              </w:rPr>
            </w:pPr>
            <w:r w:rsidRPr="00BC2064">
              <w:rPr>
                <w:sz w:val="24"/>
                <w:szCs w:val="24"/>
              </w:rPr>
              <w:t xml:space="preserve">Practice literature also illustrates differences in relational approaches. </w:t>
            </w:r>
            <w:proofErr w:type="spellStart"/>
            <w:r w:rsidRPr="00BC2064">
              <w:rPr>
                <w:sz w:val="24"/>
                <w:szCs w:val="24"/>
              </w:rPr>
              <w:t>Maiter</w:t>
            </w:r>
            <w:proofErr w:type="spellEnd"/>
            <w:r w:rsidRPr="00BC2064">
              <w:rPr>
                <w:sz w:val="24"/>
                <w:szCs w:val="24"/>
              </w:rPr>
              <w:t xml:space="preserve">, Palmer and Manji (2006) argue that in child protection, professionals often occupy a position of authority that can create power imbalances, requiring sensitive practice to maintain trust with families. In adult safeguarding, models such as the SHARE approach (Maclean, Finch &amp; </w:t>
            </w:r>
            <w:proofErr w:type="spellStart"/>
            <w:r w:rsidRPr="00BC2064">
              <w:rPr>
                <w:sz w:val="24"/>
                <w:szCs w:val="24"/>
              </w:rPr>
              <w:t>Tedam</w:t>
            </w:r>
            <w:proofErr w:type="spellEnd"/>
            <w:r w:rsidRPr="00BC2064">
              <w:rPr>
                <w:sz w:val="24"/>
                <w:szCs w:val="24"/>
              </w:rPr>
              <w:t>, 2018) emphasise collaboration, empathy and respect, ensuring that interventions remain person-centred (McClean, 2020). These frameworks reflect the ethical tension in adult work between protecting individuals from harm and respecting their autonomy.</w:t>
            </w:r>
          </w:p>
          <w:p w14:paraId="771C19B3" w14:textId="77777777" w:rsidR="00BC2064" w:rsidRPr="00BC2064" w:rsidRDefault="00BC2064" w:rsidP="00BC2064">
            <w:pPr>
              <w:jc w:val="both"/>
              <w:rPr>
                <w:sz w:val="24"/>
                <w:szCs w:val="24"/>
              </w:rPr>
            </w:pPr>
          </w:p>
          <w:p w14:paraId="1EBE7F65" w14:textId="0C374164" w:rsidR="00BC2064" w:rsidRPr="00BC2064" w:rsidRDefault="00BC2064" w:rsidP="00BC2064">
            <w:pPr>
              <w:jc w:val="both"/>
              <w:rPr>
                <w:sz w:val="24"/>
                <w:szCs w:val="24"/>
              </w:rPr>
            </w:pPr>
            <w:r w:rsidRPr="00BC2064">
              <w:rPr>
                <w:sz w:val="24"/>
                <w:szCs w:val="24"/>
              </w:rPr>
              <w:t>From my own perspective as a practitioner in child protection, I have experienced how safeguarding children often requires decisive and sometimes adversarial interventions, such as initiating legal proceedings to ensure a child’s safety. In adult safeguarding, however, practice is less about overriding decisions and more about supporting individuals to manage risks in a way that promotes dignity and independence. Reflecting on these differences has broadened my understanding of safeguarding across the life course. It also reminds me that while the principles of partnership, respect, and promoting wellbeing are shared, the balance between protection and empowerment is applied differently depending on whether the individual at risk is a child or an adult.</w:t>
            </w:r>
            <w:r>
              <w:rPr>
                <w:sz w:val="24"/>
                <w:szCs w:val="24"/>
              </w:rPr>
              <w:t xml:space="preserve"> </w:t>
            </w:r>
            <w:r w:rsidR="00EF5BCD">
              <w:rPr>
                <w:sz w:val="24"/>
                <w:szCs w:val="24"/>
              </w:rPr>
              <w:t>(412 words)</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62CDA" w14:textId="77777777" w:rsidR="009849A0" w:rsidRDefault="009849A0">
      <w:r>
        <w:separator/>
      </w:r>
    </w:p>
  </w:endnote>
  <w:endnote w:type="continuationSeparator" w:id="0">
    <w:p w14:paraId="7DB3E6C6" w14:textId="77777777" w:rsidR="009849A0" w:rsidRDefault="00984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D1E3B" w14:textId="77777777" w:rsidR="009849A0" w:rsidRDefault="009849A0">
      <w:r>
        <w:separator/>
      </w:r>
    </w:p>
  </w:footnote>
  <w:footnote w:type="continuationSeparator" w:id="0">
    <w:p w14:paraId="0D09B4E9" w14:textId="77777777" w:rsidR="009849A0" w:rsidRDefault="00984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381"/>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5689"/>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6FDA"/>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3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41E"/>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49A0"/>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0DA"/>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064"/>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312"/>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BCD"/>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1B1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ri010891@hotmail.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ri.frost@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Frost</cp:lastModifiedBy>
  <cp:revision>4</cp:revision>
  <cp:lastPrinted>2020-02-11T19:20:00Z</cp:lastPrinted>
  <dcterms:created xsi:type="dcterms:W3CDTF">2025-09-22T21:26:00Z</dcterms:created>
  <dcterms:modified xsi:type="dcterms:W3CDTF">2025-09-22T21:27:00Z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