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76244" w14:textId="5BCAA222" w:rsidR="008C0A64" w:rsidRDefault="008C0A64" w:rsidP="008C0A64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79D70352" wp14:editId="0E7FE6EC">
            <wp:extent cx="1905000" cy="638175"/>
            <wp:effectExtent l="19050" t="19050" r="19050" b="2857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8719FBF" w14:textId="77777777" w:rsidR="008C0A64" w:rsidRDefault="008C0A64" w:rsidP="008C0A64">
      <w:pPr>
        <w:pStyle w:val="NormalWeb"/>
        <w:spacing w:before="0" w:beforeAutospacing="0" w:after="0" w:afterAutospacing="0"/>
        <w:ind w:left="-180" w:right="-334"/>
      </w:pPr>
    </w:p>
    <w:p w14:paraId="16A3E403" w14:textId="77777777" w:rsidR="008C0A64" w:rsidRDefault="008C0A64" w:rsidP="008C0A64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286EFD57" w14:textId="77777777" w:rsidR="008C0A64" w:rsidRPr="00230F35" w:rsidRDefault="008C0A64" w:rsidP="008C0A64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44F9B990" w14:textId="77777777" w:rsidR="008C0A64" w:rsidRPr="00230F35" w:rsidRDefault="008C0A64" w:rsidP="008C0A64">
      <w:pPr>
        <w:rPr>
          <w:rFonts w:ascii="Arial" w:hAnsi="Arial" w:cs="Arial"/>
          <w:sz w:val="28"/>
          <w:szCs w:val="28"/>
          <w:lang w:val="cy-GB"/>
        </w:rPr>
      </w:pPr>
    </w:p>
    <w:p w14:paraId="3B50A3AD" w14:textId="77777777" w:rsidR="008C0A64" w:rsidRDefault="008C0A64" w:rsidP="008C0A64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1FA3FFF0" w14:textId="77777777" w:rsidR="008C0A64" w:rsidRDefault="008C0A64" w:rsidP="008C0A64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8C0A64" w:rsidRPr="00230F35" w14:paraId="627214C8" w14:textId="77777777" w:rsidTr="006F0DE2">
        <w:trPr>
          <w:trHeight w:val="614"/>
        </w:trPr>
        <w:tc>
          <w:tcPr>
            <w:tcW w:w="8856" w:type="dxa"/>
            <w:gridSpan w:val="5"/>
          </w:tcPr>
          <w:p w14:paraId="719E56BA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 w:rsidRPr="0014278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8C0A64" w:rsidRPr="00230F35" w14:paraId="7D20A344" w14:textId="77777777" w:rsidTr="006F0DE2">
        <w:trPr>
          <w:trHeight w:val="972"/>
        </w:trPr>
        <w:tc>
          <w:tcPr>
            <w:tcW w:w="8856" w:type="dxa"/>
            <w:gridSpan w:val="5"/>
          </w:tcPr>
          <w:p w14:paraId="4D941632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Student Name: Holly Brenna Gonzalez McNiven</w:t>
            </w:r>
          </w:p>
          <w:p w14:paraId="45245853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E5D5207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14278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14278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14278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Pr="0063315D">
              <w:rPr>
                <w:rFonts w:ascii="Arial" w:hAnsi="Arial" w:cs="Arial"/>
                <w:color w:val="auto"/>
                <w:sz w:val="22"/>
                <w:szCs w:val="22"/>
                <w:shd w:val="clear" w:color="auto" w:fill="FFFFFF"/>
              </w:rPr>
              <w:t>2022651@student.uwtsd.ac.uk</w:t>
            </w:r>
          </w:p>
        </w:tc>
      </w:tr>
      <w:tr w:rsidR="008C0A64" w:rsidRPr="00230F35" w14:paraId="297AB975" w14:textId="77777777" w:rsidTr="006F0DE2">
        <w:trPr>
          <w:trHeight w:val="849"/>
        </w:trPr>
        <w:tc>
          <w:tcPr>
            <w:tcW w:w="4788" w:type="dxa"/>
          </w:tcPr>
          <w:p w14:paraId="682467E7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Module code: HPCA7016</w:t>
            </w:r>
          </w:p>
          <w:p w14:paraId="57B30107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93B49E8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Module title: Researching Contemporary Cosmologies</w:t>
            </w:r>
          </w:p>
          <w:p w14:paraId="428EED06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0027CB50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11AF5E28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2022651</w:t>
            </w:r>
          </w:p>
        </w:tc>
        <w:tc>
          <w:tcPr>
            <w:tcW w:w="1802" w:type="dxa"/>
          </w:tcPr>
          <w:p w14:paraId="0FBBF0D0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381219F6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Yes/</w:t>
            </w:r>
            <w:r w:rsidRPr="00142785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8C0A64" w:rsidRPr="00230F35" w14:paraId="6EB93C93" w14:textId="77777777" w:rsidTr="006F0DE2">
        <w:trPr>
          <w:trHeight w:val="1139"/>
        </w:trPr>
        <w:tc>
          <w:tcPr>
            <w:tcW w:w="8856" w:type="dxa"/>
            <w:gridSpan w:val="5"/>
          </w:tcPr>
          <w:p w14:paraId="6429874E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 xml:space="preserve">Assignment title: </w:t>
            </w:r>
            <w:r w:rsidRPr="00142785">
              <w:rPr>
                <w:rFonts w:ascii="Arial" w:hAnsi="Arial" w:cs="Arial"/>
              </w:rPr>
              <w:t>A Critical Comparison of Two Secondary Sources</w:t>
            </w:r>
          </w:p>
          <w:p w14:paraId="2838B851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303D45E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4F6E4ED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Assignment due date: 21 March 2022</w:t>
            </w:r>
          </w:p>
        </w:tc>
      </w:tr>
      <w:tr w:rsidR="008C0A64" w:rsidRPr="00230F35" w14:paraId="1C39AECA" w14:textId="77777777" w:rsidTr="006F0DE2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5355C37F" w14:textId="77777777" w:rsidR="008C0A64" w:rsidRPr="00142785" w:rsidRDefault="008C0A64" w:rsidP="006F0DE2">
            <w:pPr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14278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3"/>
            <w:r w:rsidRPr="0014278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229C">
              <w:rPr>
                <w:rFonts w:ascii="Arial" w:hAnsi="Arial" w:cs="Arial"/>
                <w:sz w:val="22"/>
                <w:szCs w:val="22"/>
              </w:rPr>
            </w:r>
            <w:r w:rsidR="000022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14278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14278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14278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14278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229C">
              <w:rPr>
                <w:rFonts w:ascii="Arial" w:hAnsi="Arial" w:cs="Arial"/>
                <w:sz w:val="22"/>
                <w:szCs w:val="22"/>
              </w:rPr>
            </w:r>
            <w:r w:rsidR="000022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14278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14278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14278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14278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229C">
              <w:rPr>
                <w:rFonts w:ascii="Arial" w:hAnsi="Arial" w:cs="Arial"/>
                <w:sz w:val="22"/>
                <w:szCs w:val="22"/>
              </w:rPr>
            </w:r>
            <w:r w:rsidR="000022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14278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14278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1427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14278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229C">
              <w:rPr>
                <w:rFonts w:ascii="Arial" w:hAnsi="Arial" w:cs="Arial"/>
                <w:sz w:val="22"/>
                <w:szCs w:val="22"/>
              </w:rPr>
            </w:r>
            <w:r w:rsidR="000022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14278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14278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1427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14278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229C">
              <w:rPr>
                <w:rFonts w:ascii="Arial" w:hAnsi="Arial" w:cs="Arial"/>
                <w:sz w:val="22"/>
                <w:szCs w:val="22"/>
              </w:rPr>
            </w:r>
            <w:r w:rsidR="000022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14278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14278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1427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14278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229C">
              <w:rPr>
                <w:rFonts w:ascii="Arial" w:hAnsi="Arial" w:cs="Arial"/>
                <w:sz w:val="22"/>
                <w:szCs w:val="22"/>
              </w:rPr>
            </w:r>
            <w:r w:rsidR="000022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4278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14278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142785">
              <w:rPr>
                <w:rFonts w:ascii="Arial" w:hAnsi="Arial" w:cs="Arial"/>
                <w:sz w:val="22"/>
                <w:szCs w:val="22"/>
              </w:rPr>
              <w:t>module of the degree</w:t>
            </w:r>
          </w:p>
        </w:tc>
      </w:tr>
      <w:tr w:rsidR="008C0A64" w:rsidRPr="00230F35" w14:paraId="0E858AF0" w14:textId="77777777" w:rsidTr="006F0DE2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BF33214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6BD51A08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Signed …………</w:t>
            </w:r>
            <w:r w:rsidRPr="00142785">
              <w:rPr>
                <w:rFonts w:ascii="Arial" w:hAnsi="Arial" w:cs="Arial"/>
                <w:i/>
                <w:iCs/>
                <w:sz w:val="22"/>
                <w:szCs w:val="22"/>
              </w:rPr>
              <w:t>Holly McNiven</w:t>
            </w:r>
            <w:r w:rsidRPr="00142785">
              <w:rPr>
                <w:rFonts w:ascii="Arial" w:hAnsi="Arial" w:cs="Arial"/>
                <w:sz w:val="22"/>
                <w:szCs w:val="22"/>
              </w:rPr>
              <w:t>…………………………………………………</w:t>
            </w:r>
          </w:p>
          <w:p w14:paraId="69548CFB" w14:textId="2FB7F2F9" w:rsidR="008C0A64" w:rsidRPr="008C0A64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40"/>
                <w:szCs w:val="40"/>
              </w:rPr>
            </w:pPr>
            <w:r w:rsidRPr="008C0A64">
              <w:rPr>
                <w:rFonts w:ascii="Arial" w:hAnsi="Arial" w:cs="Arial"/>
                <w:b/>
                <w:sz w:val="22"/>
                <w:szCs w:val="22"/>
              </w:rPr>
              <w:t>Email submission: if you are submitting this form via email, please tick this box</w:t>
            </w:r>
            <w:r w:rsidRPr="008C0A64">
              <w:rPr>
                <w:rFonts w:ascii="Arial" w:hAnsi="Arial" w:cs="Arial"/>
                <w:b/>
                <w:sz w:val="40"/>
                <w:szCs w:val="40"/>
              </w:rPr>
              <w:t>□</w:t>
            </w:r>
          </w:p>
          <w:p w14:paraId="6BB15E8F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C0A64">
              <w:rPr>
                <w:rFonts w:ascii="Arial" w:hAnsi="Arial" w:cs="Arial"/>
                <w:b/>
                <w:sz w:val="22"/>
                <w:szCs w:val="22"/>
              </w:rPr>
              <w:t>(as a substitute for your signature) to confirm that you agree to the above declaration.</w:t>
            </w:r>
          </w:p>
        </w:tc>
      </w:tr>
      <w:tr w:rsidR="008C0A64" w:rsidRPr="00230F35" w14:paraId="3AE7E688" w14:textId="77777777" w:rsidTr="006F0DE2">
        <w:trPr>
          <w:trHeight w:val="3972"/>
        </w:trPr>
        <w:tc>
          <w:tcPr>
            <w:tcW w:w="8856" w:type="dxa"/>
            <w:gridSpan w:val="5"/>
          </w:tcPr>
          <w:p w14:paraId="342FDDBF" w14:textId="77777777" w:rsidR="008C0A64" w:rsidRPr="00142785" w:rsidRDefault="008C0A64" w:rsidP="006F0DE2">
            <w:pPr>
              <w:rPr>
                <w:rFonts w:ascii="Arial" w:hAnsi="Arial" w:cs="Arial"/>
                <w:b/>
              </w:rPr>
            </w:pPr>
          </w:p>
          <w:p w14:paraId="2B5AC9F2" w14:textId="77777777" w:rsidR="008C0A64" w:rsidRPr="00142785" w:rsidRDefault="008C0A64" w:rsidP="006F0DE2">
            <w:pPr>
              <w:rPr>
                <w:rFonts w:ascii="Arial" w:hAnsi="Arial" w:cs="Arial"/>
              </w:rPr>
            </w:pPr>
            <w:r w:rsidRPr="00142785">
              <w:rPr>
                <w:rFonts w:ascii="Arial" w:hAnsi="Arial" w:cs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8C0A64" w:rsidRPr="00142785" w14:paraId="0888DD0F" w14:textId="77777777" w:rsidTr="006F0DE2">
              <w:tc>
                <w:tcPr>
                  <w:tcW w:w="6970" w:type="dxa"/>
                </w:tcPr>
                <w:p w14:paraId="55020F6C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B167927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2785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 w:rsidRPr="00142785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st</w:t>
                  </w:r>
                  <w:r w:rsidRPr="00142785">
                    <w:rPr>
                      <w:rFonts w:ascii="Arial" w:hAnsi="Arial" w:cs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38329B9E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C0A64" w:rsidRPr="00142785" w14:paraId="1F8A5014" w14:textId="77777777" w:rsidTr="006F0DE2">
              <w:tc>
                <w:tcPr>
                  <w:tcW w:w="6970" w:type="dxa"/>
                </w:tcPr>
                <w:p w14:paraId="05954811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AFA6FD2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2785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  <w:r w:rsidRPr="00142785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nd</w:t>
                  </w:r>
                  <w:r w:rsidRPr="00142785">
                    <w:rPr>
                      <w:rFonts w:ascii="Arial" w:hAnsi="Arial" w:cs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04A0953F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C0A64" w:rsidRPr="00142785" w14:paraId="4817A864" w14:textId="77777777" w:rsidTr="006F0DE2">
              <w:tc>
                <w:tcPr>
                  <w:tcW w:w="6970" w:type="dxa"/>
                </w:tcPr>
                <w:p w14:paraId="182EDFF7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5952D242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2785">
                    <w:rPr>
                      <w:rFonts w:ascii="Arial" w:hAnsi="Arial" w:cs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59590B69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C0A64" w:rsidRPr="00142785" w14:paraId="6B5A82F0" w14:textId="77777777" w:rsidTr="006F0DE2">
              <w:tc>
                <w:tcPr>
                  <w:tcW w:w="6970" w:type="dxa"/>
                </w:tcPr>
                <w:p w14:paraId="4EA3D7B9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7E97B469" w14:textId="77777777" w:rsidR="008C0A64" w:rsidRPr="00142785" w:rsidRDefault="008C0A64" w:rsidP="006F0DE2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42785">
                    <w:rPr>
                      <w:rFonts w:ascii="Arial" w:hAnsi="Arial" w:cs="Arial"/>
                      <w:b/>
                      <w:sz w:val="20"/>
                      <w:szCs w:val="20"/>
                    </w:rPr>
                    <w:t>Final Mark</w:t>
                  </w:r>
                </w:p>
                <w:p w14:paraId="1CF1290A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6AC03913" w14:textId="77777777" w:rsidR="008C0A64" w:rsidRPr="00142785" w:rsidRDefault="008C0A64" w:rsidP="006F0DE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A5E26C1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016D70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14278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14:paraId="26D04BCA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F83FA7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1AEB726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128DEB" w14:textId="77777777" w:rsidR="008C0A64" w:rsidRDefault="008C0A64" w:rsidP="006F0DE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34AEBAF" w14:textId="65D79348" w:rsidR="008C0A64" w:rsidRPr="00142785" w:rsidRDefault="008C0A64" w:rsidP="006F0DE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142785">
              <w:rPr>
                <w:rFonts w:ascii="Arial" w:hAnsi="Arial" w:cs="Arial"/>
                <w:b/>
                <w:sz w:val="22"/>
                <w:szCs w:val="22"/>
              </w:rPr>
              <w:t>For completion by Marker 1:</w:t>
            </w:r>
          </w:p>
          <w:p w14:paraId="7C4069F1" w14:textId="77777777" w:rsidR="008C0A64" w:rsidRPr="00142785" w:rsidRDefault="008C0A64" w:rsidP="006F0DE2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Comments:</w:t>
            </w:r>
          </w:p>
          <w:p w14:paraId="4E2D4CCB" w14:textId="77777777" w:rsidR="008C0A64" w:rsidRPr="00142785" w:rsidRDefault="008C0A64" w:rsidP="006F0DE2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0A64" w:rsidRPr="00230F35" w14:paraId="754080FC" w14:textId="77777777" w:rsidTr="006F0DE2">
        <w:trPr>
          <w:trHeight w:val="492"/>
        </w:trPr>
        <w:tc>
          <w:tcPr>
            <w:tcW w:w="6768" w:type="dxa"/>
            <w:gridSpan w:val="3"/>
          </w:tcPr>
          <w:p w14:paraId="6D83C0A0" w14:textId="77777777" w:rsidR="008C0A64" w:rsidRPr="00142785" w:rsidRDefault="008C0A64" w:rsidP="006F0DE2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lastRenderedPageBreak/>
              <w:t>Marker’s signature:</w:t>
            </w:r>
          </w:p>
        </w:tc>
        <w:tc>
          <w:tcPr>
            <w:tcW w:w="2088" w:type="dxa"/>
            <w:gridSpan w:val="2"/>
          </w:tcPr>
          <w:p w14:paraId="7281B66E" w14:textId="77777777" w:rsidR="008C0A64" w:rsidRPr="00142785" w:rsidRDefault="008C0A64" w:rsidP="006F0DE2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8C0A64" w:rsidRPr="002F467C" w14:paraId="2AA74CD9" w14:textId="77777777" w:rsidTr="006F0DE2">
        <w:tc>
          <w:tcPr>
            <w:tcW w:w="8856" w:type="dxa"/>
            <w:gridSpan w:val="5"/>
          </w:tcPr>
          <w:p w14:paraId="46A13A75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324C7E89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42785"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 w14:paraId="3B9F140E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0D11F19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14278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51A2DCE5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011CB9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B7D5BF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8FF9FF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767DFC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ACBF7EC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F30E98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83D2C7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C3A1C59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5E4625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B5BBAE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EDCB91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C0A64" w:rsidRPr="002F467C" w14:paraId="44F51B22" w14:textId="77777777" w:rsidTr="006F0DE2">
        <w:trPr>
          <w:trHeight w:val="720"/>
        </w:trPr>
        <w:tc>
          <w:tcPr>
            <w:tcW w:w="5211" w:type="dxa"/>
            <w:gridSpan w:val="2"/>
          </w:tcPr>
          <w:p w14:paraId="6F3BEC22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142785"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68DEC33E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14278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8C0A64" w:rsidRPr="002F467C" w14:paraId="46A5A47E" w14:textId="77777777" w:rsidTr="008C0671">
        <w:trPr>
          <w:trHeight w:val="3765"/>
        </w:trPr>
        <w:tc>
          <w:tcPr>
            <w:tcW w:w="8856" w:type="dxa"/>
            <w:gridSpan w:val="5"/>
          </w:tcPr>
          <w:p w14:paraId="0A1EB9A0" w14:textId="77777777" w:rsidR="008C0A64" w:rsidRPr="00142785" w:rsidRDefault="008C0A64" w:rsidP="006F0D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42785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57C3F389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362A264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FCA514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C55C66E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AA65D2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10E682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067CC12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0C738D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DB9A498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5EC4F35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A784FC" w14:textId="77777777" w:rsidR="008C0A64" w:rsidRPr="00142785" w:rsidRDefault="008C0A64" w:rsidP="006F0DE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C0A64" w:rsidRPr="002F467C" w14:paraId="529B4E3D" w14:textId="77777777" w:rsidTr="006F0DE2">
        <w:trPr>
          <w:trHeight w:val="720"/>
        </w:trPr>
        <w:tc>
          <w:tcPr>
            <w:tcW w:w="5211" w:type="dxa"/>
            <w:gridSpan w:val="2"/>
          </w:tcPr>
          <w:p w14:paraId="5BA453A8" w14:textId="77777777" w:rsidR="008C0A64" w:rsidRPr="00142785" w:rsidRDefault="008C0A64" w:rsidP="006F0DE2">
            <w:pPr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A2A44B9" w14:textId="77777777" w:rsidR="008C0A64" w:rsidRPr="00142785" w:rsidRDefault="008C0A64" w:rsidP="006F0DE2">
            <w:pPr>
              <w:rPr>
                <w:rFonts w:ascii="Arial" w:hAnsi="Arial" w:cs="Arial"/>
                <w:sz w:val="22"/>
                <w:szCs w:val="22"/>
              </w:rPr>
            </w:pPr>
            <w:r w:rsidRPr="0014278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1C78D7A4" w14:textId="77777777" w:rsidR="00AA030D" w:rsidRDefault="00AA030D">
      <w:pPr>
        <w:sectPr w:rsidR="00AA030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25C61EE" w14:textId="4864BAF5" w:rsidR="00355E41" w:rsidRPr="00B55D9C" w:rsidRDefault="00AA030D" w:rsidP="00A00831">
      <w:pPr>
        <w:jc w:val="center"/>
        <w:rPr>
          <w:b/>
          <w:bCs/>
          <w:sz w:val="30"/>
          <w:szCs w:val="30"/>
          <w:u w:val="single"/>
        </w:rPr>
      </w:pPr>
      <w:r w:rsidRPr="00B55D9C">
        <w:rPr>
          <w:b/>
          <w:bCs/>
          <w:sz w:val="30"/>
          <w:szCs w:val="30"/>
          <w:u w:val="single"/>
        </w:rPr>
        <w:lastRenderedPageBreak/>
        <w:t xml:space="preserve">A Critical Comparison </w:t>
      </w:r>
      <w:r w:rsidR="00303B93" w:rsidRPr="00B55D9C">
        <w:rPr>
          <w:b/>
          <w:bCs/>
          <w:sz w:val="30"/>
          <w:szCs w:val="30"/>
          <w:u w:val="single"/>
        </w:rPr>
        <w:t>of Two Secondary Sources</w:t>
      </w:r>
    </w:p>
    <w:p w14:paraId="51303310" w14:textId="77777777" w:rsidR="00303B93" w:rsidRPr="008B6A7F" w:rsidRDefault="00303B93" w:rsidP="00303B93">
      <w:pPr>
        <w:rPr>
          <w:b/>
          <w:bCs/>
          <w:sz w:val="2"/>
          <w:szCs w:val="2"/>
        </w:rPr>
      </w:pPr>
    </w:p>
    <w:p w14:paraId="78561459" w14:textId="77777777" w:rsidR="00B55D9C" w:rsidRDefault="00B55D9C" w:rsidP="00303B93">
      <w:pPr>
        <w:rPr>
          <w:b/>
          <w:bCs/>
          <w:sz w:val="12"/>
          <w:szCs w:val="12"/>
        </w:rPr>
      </w:pPr>
    </w:p>
    <w:p w14:paraId="50604790" w14:textId="77777777" w:rsidR="00B55D9C" w:rsidRPr="00BC33D6" w:rsidRDefault="00B55D9C" w:rsidP="00303B93">
      <w:pPr>
        <w:rPr>
          <w:b/>
          <w:bCs/>
          <w:sz w:val="12"/>
          <w:szCs w:val="12"/>
        </w:rPr>
      </w:pPr>
    </w:p>
    <w:p w14:paraId="16D60BD5" w14:textId="4430D184" w:rsidR="00303B93" w:rsidRPr="00A00831" w:rsidRDefault="00303B93" w:rsidP="00A00831">
      <w:pPr>
        <w:rPr>
          <w:b/>
          <w:bCs/>
          <w:sz w:val="28"/>
          <w:szCs w:val="28"/>
        </w:rPr>
      </w:pPr>
      <w:r w:rsidRPr="00A00831">
        <w:rPr>
          <w:b/>
          <w:bCs/>
          <w:sz w:val="28"/>
          <w:szCs w:val="28"/>
        </w:rPr>
        <w:t>Introduction</w:t>
      </w:r>
    </w:p>
    <w:p w14:paraId="51F44EC3" w14:textId="77777777" w:rsidR="00303B93" w:rsidRPr="000C0961" w:rsidRDefault="00303B93" w:rsidP="00303B93">
      <w:pPr>
        <w:rPr>
          <w:sz w:val="6"/>
          <w:szCs w:val="6"/>
        </w:rPr>
      </w:pPr>
    </w:p>
    <w:p w14:paraId="7F03666D" w14:textId="36C80917" w:rsidR="00C66C4A" w:rsidRPr="00BC33D6" w:rsidRDefault="00C66C4A" w:rsidP="00303B93">
      <w:r w:rsidRPr="00BC33D6">
        <w:t>This essay critically compares and contrasts two papers,</w:t>
      </w:r>
      <w:r w:rsidR="00D9028E" w:rsidRPr="00BC33D6">
        <w:t xml:space="preserve"> Gillian Bennett</w:t>
      </w:r>
      <w:r w:rsidR="006D75C7">
        <w:t>’s</w:t>
      </w:r>
      <w:r w:rsidR="00DF7BD4">
        <w:t xml:space="preserve"> </w:t>
      </w:r>
      <w:r w:rsidR="005F7352" w:rsidRPr="00BC33D6">
        <w:t>‘</w:t>
      </w:r>
      <w:r w:rsidR="00C0411E" w:rsidRPr="00BC33D6">
        <w:t>“</w:t>
      </w:r>
      <w:r w:rsidR="005F7352" w:rsidRPr="00BC33D6">
        <w:t>If I Knew You Were Coming</w:t>
      </w:r>
      <w:r w:rsidR="00C0411E" w:rsidRPr="00BC33D6">
        <w:t>,</w:t>
      </w:r>
      <w:r w:rsidR="005F7352" w:rsidRPr="00BC33D6">
        <w:t xml:space="preserve"> I’d Have Baked </w:t>
      </w:r>
      <w:r w:rsidR="001E6CAB" w:rsidRPr="00BC33D6">
        <w:t>a Cake”</w:t>
      </w:r>
      <w:r w:rsidR="005355EE" w:rsidRPr="00BC33D6">
        <w:t xml:space="preserve"> and </w:t>
      </w:r>
      <w:r w:rsidR="00B062FD" w:rsidRPr="00BC33D6">
        <w:t>T</w:t>
      </w:r>
      <w:r w:rsidR="00BB64C9">
        <w:t>erry</w:t>
      </w:r>
      <w:r w:rsidR="004567F5" w:rsidRPr="00BC33D6">
        <w:t xml:space="preserve"> </w:t>
      </w:r>
      <w:r w:rsidR="00B062FD" w:rsidRPr="00BC33D6">
        <w:t>L.</w:t>
      </w:r>
      <w:r w:rsidR="004567F5" w:rsidRPr="00BC33D6">
        <w:t xml:space="preserve"> Brink</w:t>
      </w:r>
      <w:r w:rsidR="00C1689C">
        <w:t>’s</w:t>
      </w:r>
      <w:r w:rsidR="00AD2782">
        <w:t xml:space="preserve"> </w:t>
      </w:r>
      <w:r w:rsidR="004B31DE" w:rsidRPr="00BC33D6">
        <w:t>‘Inconsistency of Belief among Roman</w:t>
      </w:r>
      <w:r w:rsidR="00F10872" w:rsidRPr="00BC33D6">
        <w:t xml:space="preserve"> Catholic Girls: Concerning Religion, Astrology, Reincarnation</w:t>
      </w:r>
      <w:r w:rsidR="00F56A52" w:rsidRPr="00BC33D6">
        <w:t>’</w:t>
      </w:r>
      <w:r w:rsidR="00747972" w:rsidRPr="00BC33D6">
        <w:t>.</w:t>
      </w:r>
      <w:r w:rsidR="00DF7BD4">
        <w:rPr>
          <w:rStyle w:val="FootnoteReference"/>
        </w:rPr>
        <w:footnoteReference w:id="1"/>
      </w:r>
      <w:r w:rsidR="00D545A7" w:rsidRPr="00BC33D6">
        <w:t xml:space="preserve"> </w:t>
      </w:r>
      <w:r w:rsidR="0087076C">
        <w:t xml:space="preserve">Both </w:t>
      </w:r>
      <w:r w:rsidR="00B1739C">
        <w:t>essays</w:t>
      </w:r>
      <w:r w:rsidR="000F5F30">
        <w:t xml:space="preserve"> explore</w:t>
      </w:r>
      <w:r w:rsidR="002D373C">
        <w:t>d</w:t>
      </w:r>
      <w:r w:rsidR="000F5F30">
        <w:t xml:space="preserve"> similar themes relat</w:t>
      </w:r>
      <w:r w:rsidR="002D4259">
        <w:t>ing</w:t>
      </w:r>
      <w:r w:rsidR="000F5F30">
        <w:t xml:space="preserve"> to divinatory </w:t>
      </w:r>
      <w:r w:rsidR="00370469">
        <w:t xml:space="preserve">and supernatural </w:t>
      </w:r>
      <w:r w:rsidR="000F5F30">
        <w:t xml:space="preserve">beliefs and </w:t>
      </w:r>
      <w:r w:rsidR="00C8352E">
        <w:t>religio</w:t>
      </w:r>
      <w:r w:rsidR="002D373C">
        <w:t>n</w:t>
      </w:r>
      <w:r w:rsidR="00062648">
        <w:t xml:space="preserve">, yet each author approached their chosen topic using different </w:t>
      </w:r>
      <w:r w:rsidR="00FB4C8D">
        <w:t>structures and methodologies</w:t>
      </w:r>
      <w:r w:rsidR="00C8352E">
        <w:t>.</w:t>
      </w:r>
      <w:r w:rsidR="00FB4C8D">
        <w:t xml:space="preserve"> </w:t>
      </w:r>
      <w:r w:rsidR="001C64F8">
        <w:t>This essay will critically compare the</w:t>
      </w:r>
      <w:r w:rsidR="00CF7FAB">
        <w:t xml:space="preserve"> key</w:t>
      </w:r>
      <w:r w:rsidR="001C64F8">
        <w:t xml:space="preserve"> similarities and differences </w:t>
      </w:r>
      <w:r w:rsidR="00F60297">
        <w:t xml:space="preserve">between </w:t>
      </w:r>
      <w:r w:rsidR="000F5AEC">
        <w:t>Bennett and Brink’s papers</w:t>
      </w:r>
      <w:r w:rsidR="00FC591C">
        <w:t xml:space="preserve">: </w:t>
      </w:r>
      <w:r w:rsidR="004E2C89">
        <w:t>first</w:t>
      </w:r>
      <w:r w:rsidR="00FC591C">
        <w:t>,</w:t>
      </w:r>
      <w:r w:rsidR="004E2C89">
        <w:t xml:space="preserve"> discussing the context</w:t>
      </w:r>
      <w:r w:rsidR="00C8352E">
        <w:t xml:space="preserve"> </w:t>
      </w:r>
      <w:r w:rsidR="00CF7FAB">
        <w:t>behind</w:t>
      </w:r>
      <w:r w:rsidR="00FC591C">
        <w:t xml:space="preserve"> each piece</w:t>
      </w:r>
      <w:r w:rsidR="003F40C3">
        <w:t xml:space="preserve">; then moving onto an analysis of how each author </w:t>
      </w:r>
      <w:r w:rsidR="006012D5">
        <w:t xml:space="preserve">respectively </w:t>
      </w:r>
      <w:r w:rsidR="00891D38">
        <w:t>structured and approached their research</w:t>
      </w:r>
      <w:r w:rsidR="00CF7FAB">
        <w:t xml:space="preserve"> </w:t>
      </w:r>
      <w:r w:rsidR="00891D38">
        <w:t>methodologies</w:t>
      </w:r>
      <w:r w:rsidR="000B2C45">
        <w:t xml:space="preserve"> and sourcing. </w:t>
      </w:r>
    </w:p>
    <w:p w14:paraId="6909F5D6" w14:textId="77777777" w:rsidR="005563DE" w:rsidRDefault="005563DE" w:rsidP="00303B93"/>
    <w:p w14:paraId="48B1A09F" w14:textId="77777777" w:rsidR="005563DE" w:rsidRPr="001773FF" w:rsidRDefault="005563DE" w:rsidP="00303B93">
      <w:pPr>
        <w:rPr>
          <w:b/>
          <w:bCs/>
          <w:sz w:val="28"/>
          <w:szCs w:val="28"/>
        </w:rPr>
      </w:pPr>
    </w:p>
    <w:p w14:paraId="367B9E1C" w14:textId="281A2201" w:rsidR="002D2847" w:rsidRDefault="00A43D67" w:rsidP="00617A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Context</w:t>
      </w:r>
    </w:p>
    <w:p w14:paraId="7F3353AD" w14:textId="77777777" w:rsidR="002D2847" w:rsidRPr="000C0961" w:rsidRDefault="002D2847" w:rsidP="00617A52">
      <w:pPr>
        <w:rPr>
          <w:sz w:val="6"/>
          <w:szCs w:val="6"/>
        </w:rPr>
      </w:pPr>
    </w:p>
    <w:p w14:paraId="0082A808" w14:textId="0C42D0F3" w:rsidR="00600873" w:rsidRDefault="002D2847" w:rsidP="001E4FE5">
      <w:pPr>
        <w:rPr>
          <w:color w:val="000000" w:themeColor="text1"/>
        </w:rPr>
      </w:pPr>
      <w:r w:rsidRPr="00E91AD7">
        <w:t xml:space="preserve">Before a </w:t>
      </w:r>
      <w:r w:rsidR="00B00F13" w:rsidRPr="00E91AD7">
        <w:t>comprehensive</w:t>
      </w:r>
      <w:r w:rsidRPr="00E91AD7">
        <w:t xml:space="preserve"> analysis of both papers can be realised, </w:t>
      </w:r>
      <w:r w:rsidR="00A7488E" w:rsidRPr="00E91AD7">
        <w:t xml:space="preserve">it is important to first </w:t>
      </w:r>
      <w:r w:rsidR="00F00AD0" w:rsidRPr="00E91AD7">
        <w:t>look into</w:t>
      </w:r>
      <w:r w:rsidR="00A7488E" w:rsidRPr="00E91AD7">
        <w:t xml:space="preserve"> the context behind each text</w:t>
      </w:r>
      <w:r w:rsidR="00F908BB" w:rsidRPr="00E91AD7">
        <w:t xml:space="preserve"> and the authors who wrote them</w:t>
      </w:r>
      <w:r w:rsidR="00A7488E" w:rsidRPr="00E91AD7">
        <w:t>.</w:t>
      </w:r>
      <w:r w:rsidR="00BA6558" w:rsidRPr="00E91AD7">
        <w:t xml:space="preserve"> Gillian Bennett </w:t>
      </w:r>
      <w:r w:rsidR="0048049F" w:rsidRPr="00E91AD7">
        <w:t>is a</w:t>
      </w:r>
      <w:r w:rsidR="0097259C">
        <w:t xml:space="preserve">n </w:t>
      </w:r>
      <w:r w:rsidR="007F1073" w:rsidRPr="00E91AD7">
        <w:t xml:space="preserve">independent </w:t>
      </w:r>
      <w:r w:rsidR="0048049F" w:rsidRPr="00E91AD7">
        <w:t>scholar</w:t>
      </w:r>
      <w:r w:rsidR="00ED5D72" w:rsidRPr="00E91AD7">
        <w:t xml:space="preserve"> with over </w:t>
      </w:r>
      <w:r w:rsidR="00BE331B" w:rsidRPr="00E91AD7">
        <w:t xml:space="preserve">forty years of experience in </w:t>
      </w:r>
      <w:r w:rsidR="00AA297B">
        <w:t xml:space="preserve">her </w:t>
      </w:r>
      <w:r w:rsidR="00BE331B" w:rsidRPr="00E91AD7">
        <w:t xml:space="preserve">field, having recently </w:t>
      </w:r>
      <w:r w:rsidR="00A760DA" w:rsidRPr="00E91AD7">
        <w:t xml:space="preserve">won the Coote Lake Medal </w:t>
      </w:r>
      <w:r w:rsidR="00D53335" w:rsidRPr="00E91AD7">
        <w:t xml:space="preserve">in 2018 </w:t>
      </w:r>
      <w:r w:rsidR="00A760DA" w:rsidRPr="00E91AD7">
        <w:t>for outstanding</w:t>
      </w:r>
      <w:r w:rsidR="00AD60E7" w:rsidRPr="00E91AD7">
        <w:t xml:space="preserve"> scholarship </w:t>
      </w:r>
      <w:r w:rsidR="00A760DA" w:rsidRPr="00E91AD7">
        <w:t>in the study of folklore</w:t>
      </w:r>
      <w:r w:rsidR="00BE331B" w:rsidRPr="00E91AD7">
        <w:t>.</w:t>
      </w:r>
      <w:r w:rsidR="008D398E" w:rsidRPr="00E91AD7">
        <w:rPr>
          <w:rStyle w:val="FootnoteReference"/>
        </w:rPr>
        <w:footnoteReference w:id="2"/>
      </w:r>
      <w:r w:rsidR="008B38B2" w:rsidRPr="00E91AD7">
        <w:t xml:space="preserve"> </w:t>
      </w:r>
      <w:r w:rsidR="006C4869" w:rsidRPr="00E91AD7">
        <w:t xml:space="preserve">Her </w:t>
      </w:r>
      <w:r w:rsidR="004315E4">
        <w:t>paper</w:t>
      </w:r>
      <w:r w:rsidR="001E4FE5" w:rsidRPr="00E91AD7">
        <w:t xml:space="preserve"> </w:t>
      </w:r>
      <w:r w:rsidR="001E4FE5" w:rsidRPr="00E91AD7">
        <w:rPr>
          <w:color w:val="000000" w:themeColor="text1"/>
        </w:rPr>
        <w:t xml:space="preserve">was written as a chapter in the 1995 book </w:t>
      </w:r>
      <w:r w:rsidR="001E4FE5" w:rsidRPr="00E91AD7">
        <w:rPr>
          <w:i/>
          <w:iCs/>
        </w:rPr>
        <w:t>Out of the Ordinary: Folklore and the Supernatural</w:t>
      </w:r>
      <w:r w:rsidR="001E4FE5" w:rsidRPr="00E91AD7">
        <w:rPr>
          <w:color w:val="000000" w:themeColor="text1"/>
        </w:rPr>
        <w:t xml:space="preserve">, where she explored </w:t>
      </w:r>
      <w:r w:rsidR="008836EC">
        <w:rPr>
          <w:color w:val="000000" w:themeColor="text1"/>
        </w:rPr>
        <w:t xml:space="preserve">supernatural beliefs </w:t>
      </w:r>
      <w:r w:rsidR="0033308E">
        <w:rPr>
          <w:color w:val="000000" w:themeColor="text1"/>
        </w:rPr>
        <w:t>of</w:t>
      </w:r>
      <w:r w:rsidR="001E4FE5" w:rsidRPr="00E91AD7">
        <w:rPr>
          <w:color w:val="000000" w:themeColor="text1"/>
        </w:rPr>
        <w:t xml:space="preserve"> </w:t>
      </w:r>
      <w:r w:rsidR="00F56CFE">
        <w:rPr>
          <w:color w:val="000000" w:themeColor="text1"/>
        </w:rPr>
        <w:t>older</w:t>
      </w:r>
      <w:r w:rsidR="001E4FE5" w:rsidRPr="00E91AD7">
        <w:rPr>
          <w:color w:val="000000" w:themeColor="text1"/>
        </w:rPr>
        <w:t xml:space="preserve"> women </w:t>
      </w:r>
      <w:r w:rsidR="0033308E">
        <w:rPr>
          <w:color w:val="000000" w:themeColor="text1"/>
        </w:rPr>
        <w:t xml:space="preserve">in </w:t>
      </w:r>
      <w:r w:rsidR="008147C9">
        <w:rPr>
          <w:color w:val="000000" w:themeColor="text1"/>
        </w:rPr>
        <w:t>her</w:t>
      </w:r>
      <w:r w:rsidR="001E4FE5" w:rsidRPr="00E91AD7">
        <w:rPr>
          <w:color w:val="000000" w:themeColor="text1"/>
        </w:rPr>
        <w:t xml:space="preserve"> hometown.</w:t>
      </w:r>
      <w:r w:rsidR="00F65F8A" w:rsidRPr="00E91AD7">
        <w:rPr>
          <w:rStyle w:val="FootnoteReference"/>
          <w:color w:val="000000" w:themeColor="text1"/>
        </w:rPr>
        <w:footnoteReference w:id="3"/>
      </w:r>
      <w:r w:rsidR="001E4FE5" w:rsidRPr="00E91AD7">
        <w:rPr>
          <w:color w:val="000000" w:themeColor="text1"/>
        </w:rPr>
        <w:t xml:space="preserve"> It was written accessibly in clear </w:t>
      </w:r>
      <w:r w:rsidR="002463B0" w:rsidRPr="00E91AD7">
        <w:rPr>
          <w:color w:val="000000" w:themeColor="text1"/>
        </w:rPr>
        <w:t xml:space="preserve">and </w:t>
      </w:r>
      <w:r w:rsidR="00A50472">
        <w:rPr>
          <w:color w:val="000000" w:themeColor="text1"/>
        </w:rPr>
        <w:t>concise</w:t>
      </w:r>
      <w:r w:rsidR="001E4FE5" w:rsidRPr="00E91AD7">
        <w:rPr>
          <w:color w:val="000000" w:themeColor="text1"/>
        </w:rPr>
        <w:t xml:space="preserve"> language, leaving the piece </w:t>
      </w:r>
      <w:r w:rsidR="00793A34">
        <w:rPr>
          <w:color w:val="000000" w:themeColor="text1"/>
        </w:rPr>
        <w:t xml:space="preserve">open </w:t>
      </w:r>
      <w:r w:rsidR="001E4FE5" w:rsidRPr="00E91AD7">
        <w:rPr>
          <w:color w:val="000000" w:themeColor="text1"/>
        </w:rPr>
        <w:t xml:space="preserve">for a </w:t>
      </w:r>
      <w:r w:rsidR="00895320">
        <w:rPr>
          <w:color w:val="000000" w:themeColor="text1"/>
        </w:rPr>
        <w:t xml:space="preserve">more </w:t>
      </w:r>
      <w:r w:rsidR="001E4FE5" w:rsidRPr="00E91AD7">
        <w:rPr>
          <w:color w:val="000000" w:themeColor="text1"/>
        </w:rPr>
        <w:t>general readership to enjoy</w:t>
      </w:r>
      <w:r w:rsidR="00C70907">
        <w:rPr>
          <w:color w:val="000000" w:themeColor="text1"/>
        </w:rPr>
        <w:t>.</w:t>
      </w:r>
      <w:r w:rsidR="001E4FE5" w:rsidRPr="00E91AD7">
        <w:rPr>
          <w:color w:val="000000" w:themeColor="text1"/>
        </w:rPr>
        <w:t xml:space="preserve"> </w:t>
      </w:r>
      <w:r w:rsidR="00553B96">
        <w:rPr>
          <w:color w:val="000000" w:themeColor="text1"/>
        </w:rPr>
        <w:t>The paper</w:t>
      </w:r>
      <w:r w:rsidR="0002625F">
        <w:rPr>
          <w:color w:val="000000" w:themeColor="text1"/>
        </w:rPr>
        <w:t xml:space="preserve"> </w:t>
      </w:r>
      <w:r w:rsidR="001E4FE5" w:rsidRPr="00E91AD7">
        <w:rPr>
          <w:color w:val="000000" w:themeColor="text1"/>
        </w:rPr>
        <w:t>was published in the mid-nineties, but</w:t>
      </w:r>
      <w:r w:rsidR="00E03BD4">
        <w:rPr>
          <w:color w:val="000000" w:themeColor="text1"/>
        </w:rPr>
        <w:t xml:space="preserve"> </w:t>
      </w:r>
      <w:r w:rsidR="00517DDB">
        <w:rPr>
          <w:color w:val="000000" w:themeColor="text1"/>
        </w:rPr>
        <w:t>Bennett’s</w:t>
      </w:r>
      <w:r w:rsidR="005724A4">
        <w:rPr>
          <w:color w:val="000000" w:themeColor="text1"/>
        </w:rPr>
        <w:t xml:space="preserve"> </w:t>
      </w:r>
      <w:r w:rsidR="00B865BB">
        <w:rPr>
          <w:color w:val="000000" w:themeColor="text1"/>
        </w:rPr>
        <w:t>research</w:t>
      </w:r>
      <w:r w:rsidR="001E4FE5" w:rsidRPr="00E91AD7">
        <w:rPr>
          <w:color w:val="000000" w:themeColor="text1"/>
        </w:rPr>
        <w:t xml:space="preserve"> had </w:t>
      </w:r>
      <w:r w:rsidR="00B865BB">
        <w:rPr>
          <w:color w:val="000000" w:themeColor="text1"/>
        </w:rPr>
        <w:t xml:space="preserve">been </w:t>
      </w:r>
      <w:r w:rsidR="001E4FE5" w:rsidRPr="00E91AD7">
        <w:rPr>
          <w:color w:val="000000" w:themeColor="text1"/>
        </w:rPr>
        <w:t xml:space="preserve">conducted </w:t>
      </w:r>
      <w:r w:rsidR="00B865BB">
        <w:rPr>
          <w:color w:val="000000" w:themeColor="text1"/>
        </w:rPr>
        <w:t>in 1981</w:t>
      </w:r>
      <w:r w:rsidR="001E4FE5" w:rsidRPr="00E91AD7">
        <w:rPr>
          <w:color w:val="000000" w:themeColor="text1"/>
        </w:rPr>
        <w:t>.</w:t>
      </w:r>
      <w:r w:rsidR="00F65F8A" w:rsidRPr="00E91AD7">
        <w:rPr>
          <w:rStyle w:val="FootnoteReference"/>
          <w:color w:val="000000" w:themeColor="text1"/>
        </w:rPr>
        <w:footnoteReference w:id="4"/>
      </w:r>
      <w:r w:rsidR="001E4FE5" w:rsidRPr="00E91AD7">
        <w:rPr>
          <w:color w:val="000000" w:themeColor="text1"/>
        </w:rPr>
        <w:t xml:space="preserve"> </w:t>
      </w:r>
      <w:r w:rsidR="007B14C6" w:rsidRPr="00E91AD7">
        <w:rPr>
          <w:color w:val="000000" w:themeColor="text1"/>
        </w:rPr>
        <w:t>Contextually</w:t>
      </w:r>
      <w:r w:rsidR="00572452" w:rsidRPr="00E91AD7">
        <w:rPr>
          <w:color w:val="000000" w:themeColor="text1"/>
        </w:rPr>
        <w:t>, t</w:t>
      </w:r>
      <w:r w:rsidR="001E4FE5" w:rsidRPr="00E91AD7">
        <w:rPr>
          <w:color w:val="000000" w:themeColor="text1"/>
        </w:rPr>
        <w:t xml:space="preserve">his is notable to highlight as </w:t>
      </w:r>
      <w:r w:rsidR="007B14C6" w:rsidRPr="00E91AD7">
        <w:rPr>
          <w:color w:val="000000" w:themeColor="text1"/>
        </w:rPr>
        <w:t xml:space="preserve">during this </w:t>
      </w:r>
      <w:r w:rsidR="00E379C0" w:rsidRPr="00E91AD7">
        <w:rPr>
          <w:color w:val="000000" w:themeColor="text1"/>
        </w:rPr>
        <w:t xml:space="preserve">time women were often </w:t>
      </w:r>
      <w:r w:rsidR="00CF52D9">
        <w:rPr>
          <w:color w:val="000000" w:themeColor="text1"/>
        </w:rPr>
        <w:t>overlooked</w:t>
      </w:r>
      <w:r w:rsidR="00105CD5" w:rsidRPr="00E91AD7">
        <w:rPr>
          <w:color w:val="000000" w:themeColor="text1"/>
        </w:rPr>
        <w:t xml:space="preserve"> </w:t>
      </w:r>
      <w:r w:rsidR="00190FFE">
        <w:rPr>
          <w:color w:val="000000" w:themeColor="text1"/>
        </w:rPr>
        <w:t>by</w:t>
      </w:r>
      <w:r w:rsidR="003A1BDE" w:rsidRPr="00E91AD7">
        <w:rPr>
          <w:color w:val="000000" w:themeColor="text1"/>
        </w:rPr>
        <w:t xml:space="preserve"> academic</w:t>
      </w:r>
      <w:r w:rsidR="0083585F" w:rsidRPr="00E91AD7">
        <w:rPr>
          <w:color w:val="000000" w:themeColor="text1"/>
        </w:rPr>
        <w:t xml:space="preserve"> </w:t>
      </w:r>
      <w:r w:rsidR="00105CD5" w:rsidRPr="00E91AD7">
        <w:rPr>
          <w:color w:val="000000" w:themeColor="text1"/>
        </w:rPr>
        <w:t>research</w:t>
      </w:r>
      <w:r w:rsidR="00DB01CD" w:rsidRPr="00E91AD7">
        <w:rPr>
          <w:color w:val="000000" w:themeColor="text1"/>
        </w:rPr>
        <w:t>.</w:t>
      </w:r>
      <w:r w:rsidR="00E379C0" w:rsidRPr="00E91AD7">
        <w:rPr>
          <w:color w:val="000000" w:themeColor="text1"/>
        </w:rPr>
        <w:t xml:space="preserve"> </w:t>
      </w:r>
      <w:r w:rsidR="00507523" w:rsidRPr="00E91AD7">
        <w:rPr>
          <w:color w:val="000000" w:themeColor="text1"/>
        </w:rPr>
        <w:t xml:space="preserve">As </w:t>
      </w:r>
      <w:r w:rsidR="001E4FE5" w:rsidRPr="00E91AD7">
        <w:rPr>
          <w:color w:val="000000" w:themeColor="text1"/>
        </w:rPr>
        <w:t>Rosan Jordan and F</w:t>
      </w:r>
      <w:r w:rsidR="002F3F64">
        <w:rPr>
          <w:color w:val="000000" w:themeColor="text1"/>
        </w:rPr>
        <w:t>rancis</w:t>
      </w:r>
      <w:r w:rsidR="001E4FE5" w:rsidRPr="00E91AD7">
        <w:rPr>
          <w:color w:val="000000" w:themeColor="text1"/>
        </w:rPr>
        <w:t xml:space="preserve"> de Caro mentioned in their 1986 paper, ‘there has been a dearth of interest in women and their lives’.</w:t>
      </w:r>
      <w:r w:rsidR="00DE1083">
        <w:rPr>
          <w:rStyle w:val="FootnoteReference"/>
          <w:color w:val="000000" w:themeColor="text1"/>
        </w:rPr>
        <w:footnoteReference w:id="5"/>
      </w:r>
      <w:r w:rsidR="001E4FE5" w:rsidRPr="00E91AD7">
        <w:rPr>
          <w:color w:val="000000" w:themeColor="text1"/>
        </w:rPr>
        <w:t xml:space="preserve"> </w:t>
      </w:r>
      <w:r w:rsidR="00FF434D">
        <w:rPr>
          <w:color w:val="000000" w:themeColor="text1"/>
        </w:rPr>
        <w:t xml:space="preserve">Both </w:t>
      </w:r>
      <w:r w:rsidR="001E4FE5" w:rsidRPr="00E91AD7">
        <w:rPr>
          <w:color w:val="000000" w:themeColor="text1"/>
        </w:rPr>
        <w:t>Marta Weigle and Claire Farrer</w:t>
      </w:r>
      <w:r w:rsidR="00932348">
        <w:rPr>
          <w:color w:val="000000" w:themeColor="text1"/>
        </w:rPr>
        <w:t xml:space="preserve"> respectively</w:t>
      </w:r>
      <w:r w:rsidR="00572452" w:rsidRPr="00E91AD7">
        <w:rPr>
          <w:color w:val="000000" w:themeColor="text1"/>
        </w:rPr>
        <w:t xml:space="preserve"> add</w:t>
      </w:r>
      <w:r w:rsidR="001E4FE5" w:rsidRPr="00E91AD7">
        <w:rPr>
          <w:color w:val="000000" w:themeColor="text1"/>
        </w:rPr>
        <w:t xml:space="preserve"> that women’s voices have been historically ignored by researchers, </w:t>
      </w:r>
      <w:r w:rsidR="00FF1B18">
        <w:rPr>
          <w:color w:val="000000" w:themeColor="text1"/>
        </w:rPr>
        <w:t xml:space="preserve">with </w:t>
      </w:r>
      <w:r w:rsidR="001E3CFD">
        <w:rPr>
          <w:color w:val="000000" w:themeColor="text1"/>
        </w:rPr>
        <w:t>Farrer</w:t>
      </w:r>
      <w:r w:rsidR="00FF1B18">
        <w:rPr>
          <w:color w:val="000000" w:themeColor="text1"/>
        </w:rPr>
        <w:t xml:space="preserve"> </w:t>
      </w:r>
      <w:r w:rsidR="001E4FE5" w:rsidRPr="00E91AD7">
        <w:rPr>
          <w:color w:val="000000" w:themeColor="text1"/>
        </w:rPr>
        <w:t xml:space="preserve">stating that ‘when a collector had a choice between a story </w:t>
      </w:r>
      <w:r w:rsidR="00F402B4">
        <w:rPr>
          <w:color w:val="000000" w:themeColor="text1"/>
        </w:rPr>
        <w:t xml:space="preserve">as </w:t>
      </w:r>
      <w:r w:rsidR="001E4FE5" w:rsidRPr="00E91AD7">
        <w:rPr>
          <w:color w:val="000000" w:themeColor="text1"/>
        </w:rPr>
        <w:t>told by a man or as told by a woman, the man’s version was chosen’.</w:t>
      </w:r>
      <w:r w:rsidR="00572452" w:rsidRPr="00E91AD7">
        <w:rPr>
          <w:rStyle w:val="FootnoteReference"/>
          <w:color w:val="000000" w:themeColor="text1"/>
        </w:rPr>
        <w:footnoteReference w:id="6"/>
      </w:r>
      <w:r w:rsidR="001E4FE5" w:rsidRPr="00E91AD7">
        <w:rPr>
          <w:color w:val="000000" w:themeColor="text1"/>
        </w:rPr>
        <w:t xml:space="preserve"> Bennett attempted to address the social and moral factors that influence the personal folklore of her participants as she analysed the ways in which the women</w:t>
      </w:r>
      <w:r w:rsidR="00572452" w:rsidRPr="00E91AD7">
        <w:rPr>
          <w:color w:val="000000" w:themeColor="text1"/>
        </w:rPr>
        <w:t xml:space="preserve"> of her study</w:t>
      </w:r>
      <w:r w:rsidR="001E4FE5" w:rsidRPr="00E91AD7">
        <w:rPr>
          <w:color w:val="000000" w:themeColor="text1"/>
        </w:rPr>
        <w:t xml:space="preserve"> interpreted phenomena such as premonitions and divinatory practices like astrology.</w:t>
      </w:r>
      <w:r w:rsidR="00E91AD7" w:rsidRPr="00E91AD7">
        <w:rPr>
          <w:rStyle w:val="FootnoteReference"/>
          <w:color w:val="000000" w:themeColor="text1"/>
        </w:rPr>
        <w:footnoteReference w:id="7"/>
      </w:r>
      <w:r w:rsidR="001E4FE5" w:rsidRPr="00E91AD7">
        <w:rPr>
          <w:color w:val="000000" w:themeColor="text1"/>
        </w:rPr>
        <w:t xml:space="preserve"> As a renowned folklorist, Bennett was well</w:t>
      </w:r>
      <w:r w:rsidR="00B67A69">
        <w:rPr>
          <w:color w:val="000000" w:themeColor="text1"/>
        </w:rPr>
        <w:t>-</w:t>
      </w:r>
      <w:r w:rsidR="001E4FE5" w:rsidRPr="00E91AD7">
        <w:rPr>
          <w:color w:val="000000" w:themeColor="text1"/>
        </w:rPr>
        <w:t xml:space="preserve">positioned to approach this topic, having written other </w:t>
      </w:r>
      <w:r w:rsidR="00365D93">
        <w:rPr>
          <w:color w:val="000000" w:themeColor="text1"/>
        </w:rPr>
        <w:t xml:space="preserve">popular </w:t>
      </w:r>
      <w:r w:rsidR="001E4FE5" w:rsidRPr="00E91AD7">
        <w:rPr>
          <w:color w:val="000000" w:themeColor="text1"/>
        </w:rPr>
        <w:t>works on contemporary beliefs.</w:t>
      </w:r>
      <w:r w:rsidR="009839CE" w:rsidRPr="00E91AD7">
        <w:rPr>
          <w:rStyle w:val="FootnoteReference"/>
          <w:color w:val="000000" w:themeColor="text1"/>
        </w:rPr>
        <w:footnoteReference w:id="8"/>
      </w:r>
      <w:r w:rsidR="001E4FE5" w:rsidRPr="00E91AD7">
        <w:rPr>
          <w:color w:val="000000" w:themeColor="text1"/>
        </w:rPr>
        <w:t xml:space="preserve"> </w:t>
      </w:r>
    </w:p>
    <w:p w14:paraId="33931860" w14:textId="77777777" w:rsidR="004E11A0" w:rsidRDefault="004E11A0" w:rsidP="001E4FE5">
      <w:pPr>
        <w:rPr>
          <w:color w:val="000000" w:themeColor="text1"/>
        </w:rPr>
      </w:pPr>
    </w:p>
    <w:p w14:paraId="4CC2D621" w14:textId="77777777" w:rsidR="002E4AC0" w:rsidRDefault="002E4AC0" w:rsidP="001E4FE5">
      <w:pPr>
        <w:rPr>
          <w:color w:val="000000" w:themeColor="text1"/>
        </w:rPr>
      </w:pPr>
    </w:p>
    <w:p w14:paraId="2A8F21D5" w14:textId="608CD719" w:rsidR="00DC5D9E" w:rsidRPr="00874D25" w:rsidRDefault="00AB1583" w:rsidP="00874D25">
      <w:pPr>
        <w:rPr>
          <w:color w:val="000000" w:themeColor="text1"/>
        </w:rPr>
      </w:pPr>
      <w:r>
        <w:rPr>
          <w:color w:val="000000" w:themeColor="text1"/>
        </w:rPr>
        <w:t>Alternatively</w:t>
      </w:r>
      <w:r w:rsidR="00281F47" w:rsidRPr="00AB1583">
        <w:rPr>
          <w:color w:val="000000" w:themeColor="text1"/>
        </w:rPr>
        <w:t>,</w:t>
      </w:r>
      <w:r w:rsidR="005A06A5" w:rsidRPr="00AB1583">
        <w:rPr>
          <w:color w:val="000000" w:themeColor="text1"/>
        </w:rPr>
        <w:t xml:space="preserve"> T</w:t>
      </w:r>
      <w:r w:rsidR="00804795">
        <w:rPr>
          <w:color w:val="000000" w:themeColor="text1"/>
        </w:rPr>
        <w:t>erry</w:t>
      </w:r>
      <w:r w:rsidR="00B6362E">
        <w:rPr>
          <w:color w:val="000000" w:themeColor="text1"/>
        </w:rPr>
        <w:t xml:space="preserve"> </w:t>
      </w:r>
      <w:r w:rsidR="005A06A5" w:rsidRPr="00AB1583">
        <w:rPr>
          <w:color w:val="000000" w:themeColor="text1"/>
        </w:rPr>
        <w:t>L. Brink</w:t>
      </w:r>
      <w:r w:rsidR="00C61DAD">
        <w:rPr>
          <w:color w:val="000000" w:themeColor="text1"/>
        </w:rPr>
        <w:t xml:space="preserve"> </w:t>
      </w:r>
      <w:r w:rsidR="005A06A5" w:rsidRPr="00AB1583">
        <w:rPr>
          <w:color w:val="000000" w:themeColor="text1"/>
        </w:rPr>
        <w:t xml:space="preserve">is a </w:t>
      </w:r>
      <w:r w:rsidR="00C6766F" w:rsidRPr="00AB1583">
        <w:rPr>
          <w:color w:val="000000" w:themeColor="text1"/>
        </w:rPr>
        <w:t xml:space="preserve">well-respected </w:t>
      </w:r>
      <w:r w:rsidR="005A06A5" w:rsidRPr="00AB1583">
        <w:rPr>
          <w:color w:val="000000" w:themeColor="text1"/>
        </w:rPr>
        <w:t xml:space="preserve">social </w:t>
      </w:r>
      <w:r w:rsidR="00B528C6" w:rsidRPr="00AB1583">
        <w:rPr>
          <w:color w:val="000000" w:themeColor="text1"/>
        </w:rPr>
        <w:t>scient</w:t>
      </w:r>
      <w:r w:rsidR="00B528C6">
        <w:rPr>
          <w:color w:val="000000" w:themeColor="text1"/>
        </w:rPr>
        <w:t>ist</w:t>
      </w:r>
      <w:r w:rsidR="00C6766F" w:rsidRPr="00AB1583">
        <w:rPr>
          <w:color w:val="000000" w:themeColor="text1"/>
        </w:rPr>
        <w:t xml:space="preserve"> currently teaching </w:t>
      </w:r>
      <w:r w:rsidR="007914F6" w:rsidRPr="00AB1583">
        <w:rPr>
          <w:color w:val="000000" w:themeColor="text1"/>
        </w:rPr>
        <w:t xml:space="preserve">psychology at Crafton Hills College in </w:t>
      </w:r>
      <w:r w:rsidRPr="00AB1583">
        <w:rPr>
          <w:color w:val="000000" w:themeColor="text1"/>
        </w:rPr>
        <w:t>California</w:t>
      </w:r>
      <w:r w:rsidR="00362A7E">
        <w:rPr>
          <w:color w:val="000000" w:themeColor="text1"/>
        </w:rPr>
        <w:t>.</w:t>
      </w:r>
      <w:r w:rsidR="00616036">
        <w:rPr>
          <w:rStyle w:val="FootnoteReference"/>
          <w:color w:val="000000" w:themeColor="text1"/>
        </w:rPr>
        <w:footnoteReference w:id="9"/>
      </w:r>
      <w:r w:rsidR="007E604A">
        <w:rPr>
          <w:color w:val="000000" w:themeColor="text1"/>
        </w:rPr>
        <w:t xml:space="preserve"> H</w:t>
      </w:r>
      <w:r w:rsidR="00725BAA">
        <w:rPr>
          <w:color w:val="000000" w:themeColor="text1"/>
        </w:rPr>
        <w:t xml:space="preserve">is research has been published </w:t>
      </w:r>
      <w:r w:rsidR="00D8640D">
        <w:rPr>
          <w:color w:val="000000" w:themeColor="text1"/>
        </w:rPr>
        <w:t xml:space="preserve">consistently </w:t>
      </w:r>
      <w:r w:rsidR="0096099D">
        <w:rPr>
          <w:color w:val="000000" w:themeColor="text1"/>
        </w:rPr>
        <w:t>since</w:t>
      </w:r>
      <w:r w:rsidR="00D8640D">
        <w:rPr>
          <w:color w:val="000000" w:themeColor="text1"/>
        </w:rPr>
        <w:t xml:space="preserve"> the seventies</w:t>
      </w:r>
      <w:r w:rsidR="00222F48">
        <w:rPr>
          <w:color w:val="000000" w:themeColor="text1"/>
        </w:rPr>
        <w:t xml:space="preserve">, ranging </w:t>
      </w:r>
      <w:r w:rsidR="00C13A8C">
        <w:rPr>
          <w:color w:val="000000" w:themeColor="text1"/>
        </w:rPr>
        <w:t>in</w:t>
      </w:r>
      <w:r w:rsidR="00222F48">
        <w:rPr>
          <w:color w:val="000000" w:themeColor="text1"/>
        </w:rPr>
        <w:t xml:space="preserve"> topics </w:t>
      </w:r>
      <w:r w:rsidR="0000192A">
        <w:rPr>
          <w:color w:val="000000" w:themeColor="text1"/>
        </w:rPr>
        <w:t>from</w:t>
      </w:r>
      <w:r w:rsidR="00222F48">
        <w:rPr>
          <w:color w:val="000000" w:themeColor="text1"/>
        </w:rPr>
        <w:t xml:space="preserve"> </w:t>
      </w:r>
      <w:r w:rsidR="007861C3">
        <w:rPr>
          <w:color w:val="000000" w:themeColor="text1"/>
        </w:rPr>
        <w:t xml:space="preserve">mental health, </w:t>
      </w:r>
      <w:r w:rsidR="00475F36">
        <w:rPr>
          <w:color w:val="000000" w:themeColor="text1"/>
        </w:rPr>
        <w:t>psychohistory</w:t>
      </w:r>
      <w:r w:rsidR="00C75191">
        <w:rPr>
          <w:color w:val="000000" w:themeColor="text1"/>
        </w:rPr>
        <w:t xml:space="preserve"> </w:t>
      </w:r>
      <w:r w:rsidR="00C74554">
        <w:rPr>
          <w:color w:val="000000" w:themeColor="text1"/>
        </w:rPr>
        <w:t>to</w:t>
      </w:r>
      <w:r w:rsidR="00C75191">
        <w:rPr>
          <w:color w:val="000000" w:themeColor="text1"/>
        </w:rPr>
        <w:t xml:space="preserve"> religio</w:t>
      </w:r>
      <w:r w:rsidR="009531A1">
        <w:rPr>
          <w:color w:val="000000" w:themeColor="text1"/>
        </w:rPr>
        <w:t>n</w:t>
      </w:r>
      <w:r w:rsidR="00C75191">
        <w:rPr>
          <w:color w:val="000000" w:themeColor="text1"/>
        </w:rPr>
        <w:t>.</w:t>
      </w:r>
      <w:r w:rsidR="009A5C9F">
        <w:rPr>
          <w:rStyle w:val="FootnoteReference"/>
          <w:color w:val="000000" w:themeColor="text1"/>
        </w:rPr>
        <w:footnoteReference w:id="10"/>
      </w:r>
      <w:r w:rsidR="005E732C">
        <w:rPr>
          <w:color w:val="000000" w:themeColor="text1"/>
        </w:rPr>
        <w:t xml:space="preserve"> </w:t>
      </w:r>
      <w:r w:rsidR="00C9359D">
        <w:rPr>
          <w:color w:val="000000" w:themeColor="text1"/>
        </w:rPr>
        <w:t xml:space="preserve">His 1978 </w:t>
      </w:r>
      <w:r w:rsidR="00D54618">
        <w:rPr>
          <w:color w:val="000000" w:themeColor="text1"/>
        </w:rPr>
        <w:t xml:space="preserve">paper ‘Inconsistency of Belief among Roman Catholic Girls’ was published </w:t>
      </w:r>
      <w:r w:rsidR="00EA1DC4">
        <w:rPr>
          <w:color w:val="000000" w:themeColor="text1"/>
        </w:rPr>
        <w:t xml:space="preserve">in the journal </w:t>
      </w:r>
      <w:r w:rsidR="00EA1DC4">
        <w:rPr>
          <w:i/>
          <w:iCs/>
          <w:color w:val="000000" w:themeColor="text1"/>
        </w:rPr>
        <w:t>Review of Religious Research</w:t>
      </w:r>
      <w:r w:rsidR="008B1AEF">
        <w:rPr>
          <w:i/>
          <w:iCs/>
          <w:color w:val="000000" w:themeColor="text1"/>
        </w:rPr>
        <w:t xml:space="preserve">, </w:t>
      </w:r>
      <w:r w:rsidR="008B1AEF">
        <w:rPr>
          <w:color w:val="000000" w:themeColor="text1"/>
        </w:rPr>
        <w:t xml:space="preserve">during a period </w:t>
      </w:r>
      <w:r w:rsidR="00D92392">
        <w:rPr>
          <w:color w:val="000000" w:themeColor="text1"/>
        </w:rPr>
        <w:t xml:space="preserve">where </w:t>
      </w:r>
      <w:r w:rsidR="000F00F4">
        <w:rPr>
          <w:color w:val="000000" w:themeColor="text1"/>
        </w:rPr>
        <w:lastRenderedPageBreak/>
        <w:t>academia</w:t>
      </w:r>
      <w:r w:rsidR="00D92392">
        <w:rPr>
          <w:color w:val="000000" w:themeColor="text1"/>
        </w:rPr>
        <w:t xml:space="preserve"> was</w:t>
      </w:r>
      <w:r w:rsidR="006E77FA">
        <w:rPr>
          <w:color w:val="000000" w:themeColor="text1"/>
        </w:rPr>
        <w:t xml:space="preserve"> </w:t>
      </w:r>
      <w:r w:rsidR="00CD6012">
        <w:rPr>
          <w:color w:val="000000" w:themeColor="text1"/>
        </w:rPr>
        <w:t>slowly</w:t>
      </w:r>
      <w:r w:rsidR="00FA58D4">
        <w:rPr>
          <w:color w:val="000000" w:themeColor="text1"/>
        </w:rPr>
        <w:t xml:space="preserve"> </w:t>
      </w:r>
      <w:r w:rsidR="00D92392">
        <w:rPr>
          <w:color w:val="000000" w:themeColor="text1"/>
        </w:rPr>
        <w:t xml:space="preserve">beginning to recognise the value </w:t>
      </w:r>
      <w:r w:rsidR="003F5151">
        <w:rPr>
          <w:color w:val="000000" w:themeColor="text1"/>
        </w:rPr>
        <w:t>of</w:t>
      </w:r>
      <w:r w:rsidR="00FA58D4">
        <w:rPr>
          <w:color w:val="000000" w:themeColor="text1"/>
        </w:rPr>
        <w:t xml:space="preserve"> </w:t>
      </w:r>
      <w:r w:rsidR="006051D3">
        <w:rPr>
          <w:color w:val="000000" w:themeColor="text1"/>
        </w:rPr>
        <w:t>the female</w:t>
      </w:r>
      <w:r w:rsidR="00364E18">
        <w:rPr>
          <w:color w:val="000000" w:themeColor="text1"/>
        </w:rPr>
        <w:t xml:space="preserve"> perspective.</w:t>
      </w:r>
      <w:r w:rsidR="00142C22">
        <w:rPr>
          <w:rStyle w:val="FootnoteReference"/>
          <w:color w:val="000000" w:themeColor="text1"/>
        </w:rPr>
        <w:footnoteReference w:id="11"/>
      </w:r>
      <w:r w:rsidR="000225B1">
        <w:rPr>
          <w:color w:val="000000" w:themeColor="text1"/>
        </w:rPr>
        <w:t xml:space="preserve"> </w:t>
      </w:r>
      <w:r w:rsidR="000B3765">
        <w:rPr>
          <w:color w:val="000000" w:themeColor="text1"/>
        </w:rPr>
        <w:t>Considering</w:t>
      </w:r>
      <w:r w:rsidR="00433515">
        <w:rPr>
          <w:color w:val="000000" w:themeColor="text1"/>
        </w:rPr>
        <w:t xml:space="preserve"> Brink</w:t>
      </w:r>
      <w:r w:rsidR="00D30F28">
        <w:rPr>
          <w:color w:val="000000" w:themeColor="text1"/>
        </w:rPr>
        <w:t>’s confident use of technical</w:t>
      </w:r>
      <w:r w:rsidR="005014A4">
        <w:rPr>
          <w:color w:val="000000" w:themeColor="text1"/>
        </w:rPr>
        <w:t>ly-termed</w:t>
      </w:r>
      <w:r w:rsidR="00D30F28">
        <w:rPr>
          <w:color w:val="000000" w:themeColor="text1"/>
        </w:rPr>
        <w:t xml:space="preserve"> </w:t>
      </w:r>
      <w:r w:rsidR="002E7983">
        <w:rPr>
          <w:color w:val="000000" w:themeColor="text1"/>
        </w:rPr>
        <w:t xml:space="preserve">socio-psychological </w:t>
      </w:r>
      <w:r w:rsidR="003F2F2E">
        <w:rPr>
          <w:color w:val="000000" w:themeColor="text1"/>
        </w:rPr>
        <w:t>theories in his introduction</w:t>
      </w:r>
      <w:r w:rsidR="00895D0C">
        <w:rPr>
          <w:color w:val="000000" w:themeColor="text1"/>
        </w:rPr>
        <w:t>, t</w:t>
      </w:r>
      <w:r w:rsidR="000225B1">
        <w:rPr>
          <w:color w:val="000000" w:themeColor="text1"/>
        </w:rPr>
        <w:t>h</w:t>
      </w:r>
      <w:r w:rsidR="00D54CB4">
        <w:rPr>
          <w:color w:val="000000" w:themeColor="text1"/>
        </w:rPr>
        <w:t xml:space="preserve">is </w:t>
      </w:r>
      <w:r w:rsidR="006149AF">
        <w:rPr>
          <w:color w:val="000000" w:themeColor="text1"/>
        </w:rPr>
        <w:t>article</w:t>
      </w:r>
      <w:r w:rsidR="00D54CB4">
        <w:rPr>
          <w:color w:val="000000" w:themeColor="text1"/>
        </w:rPr>
        <w:t xml:space="preserve"> seem</w:t>
      </w:r>
      <w:r w:rsidR="00870EEF">
        <w:rPr>
          <w:color w:val="000000" w:themeColor="text1"/>
        </w:rPr>
        <w:t>ed</w:t>
      </w:r>
      <w:r w:rsidR="00D54CB4">
        <w:rPr>
          <w:color w:val="000000" w:themeColor="text1"/>
        </w:rPr>
        <w:t xml:space="preserve"> to be aimed at a</w:t>
      </w:r>
      <w:r w:rsidR="00D8650C">
        <w:rPr>
          <w:color w:val="000000" w:themeColor="text1"/>
        </w:rPr>
        <w:t xml:space="preserve">n </w:t>
      </w:r>
      <w:r w:rsidR="00670CC4">
        <w:rPr>
          <w:color w:val="000000" w:themeColor="text1"/>
        </w:rPr>
        <w:t>academic</w:t>
      </w:r>
      <w:r w:rsidR="00D54CB4">
        <w:rPr>
          <w:color w:val="000000" w:themeColor="text1"/>
        </w:rPr>
        <w:t xml:space="preserve"> audience</w:t>
      </w:r>
      <w:r w:rsidR="00895D0C">
        <w:rPr>
          <w:color w:val="000000" w:themeColor="text1"/>
        </w:rPr>
        <w:t>.</w:t>
      </w:r>
      <w:r w:rsidR="00670CC4">
        <w:rPr>
          <w:rStyle w:val="FootnoteReference"/>
          <w:color w:val="000000" w:themeColor="text1"/>
        </w:rPr>
        <w:footnoteReference w:id="12"/>
      </w:r>
      <w:r w:rsidR="00122F75">
        <w:rPr>
          <w:color w:val="000000" w:themeColor="text1"/>
        </w:rPr>
        <w:t xml:space="preserve"> </w:t>
      </w:r>
      <w:r w:rsidR="00142C22">
        <w:rPr>
          <w:color w:val="000000" w:themeColor="text1"/>
        </w:rPr>
        <w:t xml:space="preserve">Much like Bennett, he focused his research </w:t>
      </w:r>
      <w:r w:rsidR="001D1C4A">
        <w:rPr>
          <w:color w:val="000000" w:themeColor="text1"/>
        </w:rPr>
        <w:t xml:space="preserve">on analysing the </w:t>
      </w:r>
      <w:r w:rsidR="003C2858">
        <w:rPr>
          <w:color w:val="000000" w:themeColor="text1"/>
        </w:rPr>
        <w:t xml:space="preserve">personal </w:t>
      </w:r>
      <w:r w:rsidR="001D1C4A">
        <w:rPr>
          <w:color w:val="000000" w:themeColor="text1"/>
        </w:rPr>
        <w:t>belief</w:t>
      </w:r>
      <w:r w:rsidR="00DB320E">
        <w:rPr>
          <w:color w:val="000000" w:themeColor="text1"/>
        </w:rPr>
        <w:t xml:space="preserve">s of female participants; however, his </w:t>
      </w:r>
      <w:r w:rsidR="005C080D">
        <w:rPr>
          <w:color w:val="000000" w:themeColor="text1"/>
        </w:rPr>
        <w:t xml:space="preserve">work </w:t>
      </w:r>
      <w:r w:rsidR="00456DA8">
        <w:rPr>
          <w:color w:val="000000" w:themeColor="text1"/>
        </w:rPr>
        <w:t xml:space="preserve">targeted adolescent </w:t>
      </w:r>
      <w:r w:rsidR="006A64D3">
        <w:rPr>
          <w:color w:val="000000" w:themeColor="text1"/>
        </w:rPr>
        <w:t>girl</w:t>
      </w:r>
      <w:r w:rsidR="002A3B59">
        <w:rPr>
          <w:color w:val="000000" w:themeColor="text1"/>
        </w:rPr>
        <w:t>s</w:t>
      </w:r>
      <w:r w:rsidR="00D626BF">
        <w:rPr>
          <w:color w:val="000000" w:themeColor="text1"/>
        </w:rPr>
        <w:t xml:space="preserve"> rather than </w:t>
      </w:r>
      <w:r w:rsidR="00F43320">
        <w:rPr>
          <w:color w:val="000000" w:themeColor="text1"/>
        </w:rPr>
        <w:t>older women</w:t>
      </w:r>
      <w:r w:rsidR="002A3B59">
        <w:rPr>
          <w:color w:val="000000" w:themeColor="text1"/>
        </w:rPr>
        <w:t>.</w:t>
      </w:r>
      <w:r w:rsidR="002A3B59">
        <w:rPr>
          <w:rStyle w:val="FootnoteReference"/>
          <w:color w:val="000000" w:themeColor="text1"/>
        </w:rPr>
        <w:footnoteReference w:id="13"/>
      </w:r>
      <w:r w:rsidR="00364E18">
        <w:rPr>
          <w:color w:val="000000" w:themeColor="text1"/>
        </w:rPr>
        <w:t xml:space="preserve"> </w:t>
      </w:r>
      <w:r w:rsidR="00213880">
        <w:rPr>
          <w:color w:val="000000" w:themeColor="text1"/>
        </w:rPr>
        <w:t>His</w:t>
      </w:r>
      <w:r w:rsidR="00720D38">
        <w:rPr>
          <w:color w:val="000000" w:themeColor="text1"/>
        </w:rPr>
        <w:t xml:space="preserve"> research</w:t>
      </w:r>
      <w:r w:rsidR="00801A13">
        <w:rPr>
          <w:color w:val="000000" w:themeColor="text1"/>
        </w:rPr>
        <w:t xml:space="preserve"> </w:t>
      </w:r>
      <w:r w:rsidR="009E456A">
        <w:rPr>
          <w:color w:val="000000" w:themeColor="text1"/>
        </w:rPr>
        <w:t>hypothesised that</w:t>
      </w:r>
      <w:r w:rsidR="00B04DB2">
        <w:rPr>
          <w:color w:val="000000" w:themeColor="text1"/>
        </w:rPr>
        <w:t xml:space="preserve"> Catholicism</w:t>
      </w:r>
      <w:r w:rsidR="00763C2E">
        <w:rPr>
          <w:color w:val="000000" w:themeColor="text1"/>
        </w:rPr>
        <w:t>,</w:t>
      </w:r>
      <w:r w:rsidR="00B04DB2">
        <w:rPr>
          <w:color w:val="000000" w:themeColor="text1"/>
        </w:rPr>
        <w:t xml:space="preserve"> with it</w:t>
      </w:r>
      <w:r w:rsidR="00763C2E">
        <w:rPr>
          <w:color w:val="000000" w:themeColor="text1"/>
        </w:rPr>
        <w:t>s emphasis on the free</w:t>
      </w:r>
      <w:r w:rsidR="00E9287C">
        <w:rPr>
          <w:color w:val="000000" w:themeColor="text1"/>
        </w:rPr>
        <w:t xml:space="preserve"> </w:t>
      </w:r>
      <w:r w:rsidR="00763C2E">
        <w:rPr>
          <w:color w:val="000000" w:themeColor="text1"/>
        </w:rPr>
        <w:t>will of man</w:t>
      </w:r>
      <w:r w:rsidR="00EF72BA">
        <w:rPr>
          <w:color w:val="000000" w:themeColor="text1"/>
        </w:rPr>
        <w:t>kind</w:t>
      </w:r>
      <w:r w:rsidR="00763C2E">
        <w:rPr>
          <w:color w:val="000000" w:themeColor="text1"/>
        </w:rPr>
        <w:t xml:space="preserve">, should </w:t>
      </w:r>
      <w:r w:rsidR="003B4BD5">
        <w:rPr>
          <w:color w:val="000000" w:themeColor="text1"/>
        </w:rPr>
        <w:t xml:space="preserve">theoretically </w:t>
      </w:r>
      <w:r w:rsidR="00A92FFB">
        <w:rPr>
          <w:color w:val="000000" w:themeColor="text1"/>
        </w:rPr>
        <w:t>not be compatible with</w:t>
      </w:r>
      <w:r w:rsidR="00B63E91">
        <w:rPr>
          <w:color w:val="000000" w:themeColor="text1"/>
        </w:rPr>
        <w:t xml:space="preserve"> the ‘fatalism’ of astrology and reincarnation.</w:t>
      </w:r>
      <w:r w:rsidR="00B63E91">
        <w:rPr>
          <w:rStyle w:val="FootnoteReference"/>
          <w:color w:val="000000" w:themeColor="text1"/>
        </w:rPr>
        <w:footnoteReference w:id="14"/>
      </w:r>
      <w:r w:rsidR="00874D25">
        <w:rPr>
          <w:color w:val="000000" w:themeColor="text1"/>
        </w:rPr>
        <w:t xml:space="preserve"> </w:t>
      </w:r>
      <w:r w:rsidR="00DC5D9E" w:rsidRPr="00874D25">
        <w:rPr>
          <w:color w:val="000000" w:themeColor="text1"/>
        </w:rPr>
        <w:t xml:space="preserve">The article </w:t>
      </w:r>
      <w:r w:rsidR="0078004F">
        <w:rPr>
          <w:color w:val="000000" w:themeColor="text1"/>
        </w:rPr>
        <w:t>was</w:t>
      </w:r>
      <w:r w:rsidR="00DC5D9E" w:rsidRPr="00874D25">
        <w:rPr>
          <w:color w:val="000000" w:themeColor="text1"/>
        </w:rPr>
        <w:t xml:space="preserve"> short at only four pages long, </w:t>
      </w:r>
      <w:r w:rsidR="00397E2C">
        <w:rPr>
          <w:color w:val="000000" w:themeColor="text1"/>
        </w:rPr>
        <w:t>resulting</w:t>
      </w:r>
      <w:r w:rsidR="008E3309">
        <w:rPr>
          <w:color w:val="000000" w:themeColor="text1"/>
        </w:rPr>
        <w:t xml:space="preserve"> in a </w:t>
      </w:r>
      <w:r w:rsidR="001566C4">
        <w:rPr>
          <w:color w:val="000000" w:themeColor="text1"/>
        </w:rPr>
        <w:t>text</w:t>
      </w:r>
      <w:r w:rsidR="008E3309">
        <w:rPr>
          <w:color w:val="000000" w:themeColor="text1"/>
        </w:rPr>
        <w:t xml:space="preserve"> that fe</w:t>
      </w:r>
      <w:r w:rsidR="00657967">
        <w:rPr>
          <w:color w:val="000000" w:themeColor="text1"/>
        </w:rPr>
        <w:t>lt</w:t>
      </w:r>
      <w:r w:rsidR="008E3309">
        <w:rPr>
          <w:color w:val="000000" w:themeColor="text1"/>
        </w:rPr>
        <w:t xml:space="preserve"> rather rushed</w:t>
      </w:r>
      <w:r w:rsidR="00E105E9">
        <w:rPr>
          <w:color w:val="000000" w:themeColor="text1"/>
        </w:rPr>
        <w:t xml:space="preserve"> and uncertain of its own </w:t>
      </w:r>
      <w:r w:rsidR="001C1C4F">
        <w:rPr>
          <w:color w:val="000000" w:themeColor="text1"/>
        </w:rPr>
        <w:t xml:space="preserve">line of </w:t>
      </w:r>
      <w:r w:rsidR="00F85F19">
        <w:rPr>
          <w:color w:val="000000" w:themeColor="text1"/>
        </w:rPr>
        <w:t>argument</w:t>
      </w:r>
      <w:r w:rsidR="001C1C4F">
        <w:rPr>
          <w:color w:val="000000" w:themeColor="text1"/>
        </w:rPr>
        <w:t>.</w:t>
      </w:r>
      <w:r w:rsidR="00BF51D2">
        <w:rPr>
          <w:color w:val="000000" w:themeColor="text1"/>
        </w:rPr>
        <w:t xml:space="preserve"> The</w:t>
      </w:r>
      <w:r w:rsidR="00714692">
        <w:rPr>
          <w:color w:val="000000" w:themeColor="text1"/>
        </w:rPr>
        <w:t xml:space="preserve"> </w:t>
      </w:r>
      <w:r w:rsidR="00BF51D2">
        <w:rPr>
          <w:color w:val="000000" w:themeColor="text1"/>
        </w:rPr>
        <w:t>contrast in structure</w:t>
      </w:r>
      <w:r w:rsidR="00714692">
        <w:rPr>
          <w:color w:val="000000" w:themeColor="text1"/>
        </w:rPr>
        <w:t xml:space="preserve"> between the two papers</w:t>
      </w:r>
      <w:r w:rsidR="00DD6E0E">
        <w:rPr>
          <w:color w:val="000000" w:themeColor="text1"/>
        </w:rPr>
        <w:t xml:space="preserve"> is the first major difference between these </w:t>
      </w:r>
      <w:r w:rsidR="00D132DA">
        <w:rPr>
          <w:color w:val="000000" w:themeColor="text1"/>
        </w:rPr>
        <w:t>pieces.</w:t>
      </w:r>
      <w:r w:rsidR="001C1C4F">
        <w:rPr>
          <w:color w:val="000000" w:themeColor="text1"/>
        </w:rPr>
        <w:t xml:space="preserve"> </w:t>
      </w:r>
    </w:p>
    <w:p w14:paraId="5053BA88" w14:textId="080E8599" w:rsidR="009C216B" w:rsidRDefault="009C216B" w:rsidP="009C216B">
      <w:pPr>
        <w:rPr>
          <w:rFonts w:ascii="Book Antiqua" w:hAnsi="Book Antiqua"/>
          <w:b/>
          <w:bCs/>
          <w:color w:val="00B0F0"/>
        </w:rPr>
      </w:pPr>
    </w:p>
    <w:p w14:paraId="09BA0164" w14:textId="77777777" w:rsidR="00891074" w:rsidRPr="00891074" w:rsidRDefault="00891074" w:rsidP="009C216B">
      <w:pPr>
        <w:rPr>
          <w:rFonts w:ascii="Book Antiqua" w:hAnsi="Book Antiqua"/>
          <w:b/>
          <w:bCs/>
          <w:color w:val="00B0F0"/>
        </w:rPr>
      </w:pPr>
    </w:p>
    <w:p w14:paraId="44DA8DCD" w14:textId="54D7E2AD" w:rsidR="00A43D67" w:rsidRDefault="00F55B58" w:rsidP="00303B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Analysis</w:t>
      </w:r>
    </w:p>
    <w:p w14:paraId="078BF5B0" w14:textId="77777777" w:rsidR="002B0F80" w:rsidRPr="007F2486" w:rsidRDefault="002B0F80" w:rsidP="00303B93">
      <w:pPr>
        <w:rPr>
          <w:b/>
          <w:bCs/>
          <w:sz w:val="6"/>
          <w:szCs w:val="6"/>
        </w:rPr>
      </w:pPr>
    </w:p>
    <w:p w14:paraId="72202B70" w14:textId="77777777" w:rsidR="007367A4" w:rsidRPr="002B0F80" w:rsidRDefault="007367A4" w:rsidP="00303B93">
      <w:pPr>
        <w:rPr>
          <w:b/>
          <w:bCs/>
          <w:sz w:val="2"/>
          <w:szCs w:val="2"/>
        </w:rPr>
      </w:pPr>
    </w:p>
    <w:p w14:paraId="2ADDA9AB" w14:textId="1597ECD9" w:rsidR="00AE4964" w:rsidRDefault="00F55B58" w:rsidP="00303B93">
      <w:pPr>
        <w:rPr>
          <w:u w:val="single"/>
        </w:rPr>
      </w:pPr>
      <w:r w:rsidRPr="0073297A">
        <w:rPr>
          <w:u w:val="single"/>
        </w:rPr>
        <w:t>Structure</w:t>
      </w:r>
      <w:r w:rsidR="009B12E7">
        <w:rPr>
          <w:u w:val="single"/>
        </w:rPr>
        <w:t xml:space="preserve"> and Sources</w:t>
      </w:r>
    </w:p>
    <w:p w14:paraId="3309CC78" w14:textId="77777777" w:rsidR="00891074" w:rsidRPr="002B0F80" w:rsidRDefault="00891074" w:rsidP="00303B93">
      <w:pPr>
        <w:rPr>
          <w:sz w:val="2"/>
          <w:szCs w:val="2"/>
          <w:u w:val="single"/>
        </w:rPr>
      </w:pPr>
    </w:p>
    <w:p w14:paraId="0A678C0B" w14:textId="77777777" w:rsidR="009A59BC" w:rsidRPr="002B0F80" w:rsidRDefault="009A59BC" w:rsidP="00303B93">
      <w:pPr>
        <w:rPr>
          <w:rFonts w:ascii="Open Sans" w:hAnsi="Open Sans" w:cs="Open Sans"/>
          <w:color w:val="333333"/>
          <w:sz w:val="6"/>
          <w:szCs w:val="6"/>
          <w:shd w:val="clear" w:color="auto" w:fill="FFFFFF"/>
        </w:rPr>
      </w:pPr>
    </w:p>
    <w:p w14:paraId="3DA66D75" w14:textId="43292F85" w:rsidR="004B58EC" w:rsidRDefault="00FE2C31" w:rsidP="00303B93">
      <w:pPr>
        <w:rPr>
          <w:color w:val="333333"/>
          <w:shd w:val="clear" w:color="auto" w:fill="FFFFFF"/>
        </w:rPr>
      </w:pPr>
      <w:r w:rsidRPr="00FE2C31">
        <w:rPr>
          <w:color w:val="333333"/>
          <w:shd w:val="clear" w:color="auto" w:fill="FFFFFF"/>
        </w:rPr>
        <w:t xml:space="preserve">Structurally, </w:t>
      </w:r>
      <w:r w:rsidR="009A59BC" w:rsidRPr="00FE2C31">
        <w:rPr>
          <w:color w:val="333333"/>
          <w:shd w:val="clear" w:color="auto" w:fill="FFFFFF"/>
        </w:rPr>
        <w:t>Bennett</w:t>
      </w:r>
      <w:r w:rsidRPr="00FE2C31">
        <w:rPr>
          <w:color w:val="333333"/>
          <w:shd w:val="clear" w:color="auto" w:fill="FFFFFF"/>
        </w:rPr>
        <w:t xml:space="preserve"> differs from Brink in a number of important ways.</w:t>
      </w:r>
      <w:r w:rsidR="00ED5661">
        <w:rPr>
          <w:color w:val="333333"/>
          <w:shd w:val="clear" w:color="auto" w:fill="FFFFFF"/>
        </w:rPr>
        <w:t xml:space="preserve"> Firstly, Bennett </w:t>
      </w:r>
      <w:r w:rsidR="00D02EA7">
        <w:rPr>
          <w:color w:val="333333"/>
          <w:shd w:val="clear" w:color="auto" w:fill="FFFFFF"/>
        </w:rPr>
        <w:t xml:space="preserve">structured her paper to flow in </w:t>
      </w:r>
      <w:r w:rsidR="002B4020">
        <w:rPr>
          <w:color w:val="333333"/>
          <w:shd w:val="clear" w:color="auto" w:fill="FFFFFF"/>
        </w:rPr>
        <w:t>a</w:t>
      </w:r>
      <w:r w:rsidR="0015468B">
        <w:rPr>
          <w:color w:val="333333"/>
          <w:shd w:val="clear" w:color="auto" w:fill="FFFFFF"/>
        </w:rPr>
        <w:t xml:space="preserve"> clear and</w:t>
      </w:r>
      <w:r w:rsidR="002B4020">
        <w:rPr>
          <w:color w:val="333333"/>
          <w:shd w:val="clear" w:color="auto" w:fill="FFFFFF"/>
        </w:rPr>
        <w:t xml:space="preserve"> </w:t>
      </w:r>
      <w:r w:rsidR="00F51C2D">
        <w:rPr>
          <w:color w:val="333333"/>
          <w:shd w:val="clear" w:color="auto" w:fill="FFFFFF"/>
        </w:rPr>
        <w:t xml:space="preserve">logical </w:t>
      </w:r>
      <w:r w:rsidR="00D41F5D">
        <w:rPr>
          <w:color w:val="333333"/>
          <w:shd w:val="clear" w:color="auto" w:fill="FFFFFF"/>
        </w:rPr>
        <w:t>way</w:t>
      </w:r>
      <w:r w:rsidR="0015468B">
        <w:rPr>
          <w:color w:val="333333"/>
          <w:shd w:val="clear" w:color="auto" w:fill="FFFFFF"/>
        </w:rPr>
        <w:t>.</w:t>
      </w:r>
      <w:r w:rsidR="004B528E">
        <w:rPr>
          <w:color w:val="333333"/>
          <w:shd w:val="clear" w:color="auto" w:fill="FFFFFF"/>
        </w:rPr>
        <w:t xml:space="preserve"> </w:t>
      </w:r>
      <w:r w:rsidR="000C55F6">
        <w:rPr>
          <w:color w:val="333333"/>
          <w:shd w:val="clear" w:color="auto" w:fill="FFFFFF"/>
        </w:rPr>
        <w:t xml:space="preserve">She identified </w:t>
      </w:r>
      <w:r w:rsidR="006A7D1A">
        <w:rPr>
          <w:color w:val="333333"/>
          <w:shd w:val="clear" w:color="auto" w:fill="FFFFFF"/>
        </w:rPr>
        <w:t xml:space="preserve">that </w:t>
      </w:r>
      <w:r w:rsidR="00DF2D12">
        <w:rPr>
          <w:color w:val="333333"/>
          <w:shd w:val="clear" w:color="auto" w:fill="FFFFFF"/>
        </w:rPr>
        <w:t xml:space="preserve">her participants </w:t>
      </w:r>
      <w:r w:rsidR="00486F8F">
        <w:rPr>
          <w:color w:val="333333"/>
          <w:shd w:val="clear" w:color="auto" w:fill="FFFFFF"/>
        </w:rPr>
        <w:t>showed a distinction in attitude towards</w:t>
      </w:r>
      <w:r w:rsidR="00C01821">
        <w:rPr>
          <w:color w:val="333333"/>
          <w:shd w:val="clear" w:color="auto" w:fill="FFFFFF"/>
        </w:rPr>
        <w:t xml:space="preserve"> </w:t>
      </w:r>
      <w:r w:rsidR="001C3470">
        <w:rPr>
          <w:color w:val="333333"/>
          <w:shd w:val="clear" w:color="auto" w:fill="FFFFFF"/>
        </w:rPr>
        <w:t>‘visionary</w:t>
      </w:r>
      <w:r w:rsidR="00D65D13">
        <w:rPr>
          <w:color w:val="333333"/>
          <w:shd w:val="clear" w:color="auto" w:fill="FFFFFF"/>
        </w:rPr>
        <w:t>’ (</w:t>
      </w:r>
      <w:r w:rsidR="00A617BC">
        <w:rPr>
          <w:color w:val="333333"/>
          <w:shd w:val="clear" w:color="auto" w:fill="FFFFFF"/>
        </w:rPr>
        <w:t>such as</w:t>
      </w:r>
      <w:r w:rsidR="00D65D13">
        <w:rPr>
          <w:color w:val="333333"/>
          <w:shd w:val="clear" w:color="auto" w:fill="FFFFFF"/>
        </w:rPr>
        <w:t xml:space="preserve"> </w:t>
      </w:r>
      <w:r w:rsidR="00323A1E">
        <w:rPr>
          <w:color w:val="333333"/>
          <w:shd w:val="clear" w:color="auto" w:fill="FFFFFF"/>
        </w:rPr>
        <w:t>telepathy</w:t>
      </w:r>
      <w:r w:rsidR="00D65D13">
        <w:rPr>
          <w:color w:val="333333"/>
          <w:shd w:val="clear" w:color="auto" w:fill="FFFFFF"/>
        </w:rPr>
        <w:t>)</w:t>
      </w:r>
      <w:r w:rsidR="00DE4692">
        <w:rPr>
          <w:color w:val="333333"/>
          <w:shd w:val="clear" w:color="auto" w:fill="FFFFFF"/>
        </w:rPr>
        <w:t xml:space="preserve"> and ‘divinatory’ (</w:t>
      </w:r>
      <w:r w:rsidR="00A617BC">
        <w:rPr>
          <w:color w:val="333333"/>
          <w:shd w:val="clear" w:color="auto" w:fill="FFFFFF"/>
        </w:rPr>
        <w:t>such as</w:t>
      </w:r>
      <w:r w:rsidR="00DE4692">
        <w:rPr>
          <w:color w:val="333333"/>
          <w:shd w:val="clear" w:color="auto" w:fill="FFFFFF"/>
        </w:rPr>
        <w:t xml:space="preserve"> astrology</w:t>
      </w:r>
      <w:r w:rsidR="00740128">
        <w:rPr>
          <w:color w:val="333333"/>
          <w:shd w:val="clear" w:color="auto" w:fill="FFFFFF"/>
        </w:rPr>
        <w:t xml:space="preserve"> and</w:t>
      </w:r>
      <w:r w:rsidR="003F4512">
        <w:rPr>
          <w:color w:val="333333"/>
          <w:shd w:val="clear" w:color="auto" w:fill="FFFFFF"/>
        </w:rPr>
        <w:t xml:space="preserve"> tarot reading) </w:t>
      </w:r>
      <w:r w:rsidR="00DE4692">
        <w:rPr>
          <w:color w:val="333333"/>
          <w:shd w:val="clear" w:color="auto" w:fill="FFFFFF"/>
        </w:rPr>
        <w:t>traditions</w:t>
      </w:r>
      <w:r w:rsidR="003F4512">
        <w:rPr>
          <w:color w:val="333333"/>
          <w:shd w:val="clear" w:color="auto" w:fill="FFFFFF"/>
        </w:rPr>
        <w:t>.</w:t>
      </w:r>
      <w:r w:rsidR="004A593E">
        <w:rPr>
          <w:rStyle w:val="FootnoteReference"/>
          <w:color w:val="333333"/>
          <w:shd w:val="clear" w:color="auto" w:fill="FFFFFF"/>
        </w:rPr>
        <w:footnoteReference w:id="15"/>
      </w:r>
      <w:r w:rsidR="003F4512">
        <w:rPr>
          <w:color w:val="333333"/>
          <w:shd w:val="clear" w:color="auto" w:fill="FFFFFF"/>
        </w:rPr>
        <w:t xml:space="preserve"> </w:t>
      </w:r>
      <w:r w:rsidR="00CC6FF9">
        <w:rPr>
          <w:color w:val="333333"/>
          <w:shd w:val="clear" w:color="auto" w:fill="FFFFFF"/>
        </w:rPr>
        <w:t>These themes were carried throughout the paper</w:t>
      </w:r>
      <w:r w:rsidR="00DA3DD6">
        <w:rPr>
          <w:color w:val="333333"/>
          <w:shd w:val="clear" w:color="auto" w:fill="FFFFFF"/>
        </w:rPr>
        <w:t>, avoiding</w:t>
      </w:r>
      <w:r w:rsidR="00340FF7">
        <w:rPr>
          <w:color w:val="333333"/>
          <w:shd w:val="clear" w:color="auto" w:fill="FFFFFF"/>
        </w:rPr>
        <w:t xml:space="preserve"> any overly</w:t>
      </w:r>
      <w:r w:rsidR="00DA3DD6">
        <w:rPr>
          <w:color w:val="333333"/>
          <w:shd w:val="clear" w:color="auto" w:fill="FFFFFF"/>
        </w:rPr>
        <w:t xml:space="preserve"> technical jargon</w:t>
      </w:r>
      <w:r w:rsidR="00A024AF">
        <w:rPr>
          <w:color w:val="333333"/>
          <w:shd w:val="clear" w:color="auto" w:fill="FFFFFF"/>
        </w:rPr>
        <w:t xml:space="preserve"> that might </w:t>
      </w:r>
      <w:r w:rsidR="00337083">
        <w:rPr>
          <w:color w:val="333333"/>
          <w:shd w:val="clear" w:color="auto" w:fill="FFFFFF"/>
        </w:rPr>
        <w:t xml:space="preserve">have </w:t>
      </w:r>
      <w:r w:rsidR="00A024AF">
        <w:rPr>
          <w:color w:val="333333"/>
          <w:shd w:val="clear" w:color="auto" w:fill="FFFFFF"/>
        </w:rPr>
        <w:t>confuse</w:t>
      </w:r>
      <w:r w:rsidR="00337083">
        <w:rPr>
          <w:color w:val="333333"/>
          <w:shd w:val="clear" w:color="auto" w:fill="FFFFFF"/>
        </w:rPr>
        <w:t>d</w:t>
      </w:r>
      <w:r w:rsidR="00A024AF">
        <w:rPr>
          <w:color w:val="333333"/>
          <w:shd w:val="clear" w:color="auto" w:fill="FFFFFF"/>
        </w:rPr>
        <w:t xml:space="preserve"> the reader.</w:t>
      </w:r>
      <w:r w:rsidR="00582E57">
        <w:rPr>
          <w:color w:val="333333"/>
          <w:shd w:val="clear" w:color="auto" w:fill="FFFFFF"/>
        </w:rPr>
        <w:t xml:space="preserve"> She utilised headings </w:t>
      </w:r>
      <w:r w:rsidR="00F0213F">
        <w:rPr>
          <w:color w:val="333333"/>
          <w:shd w:val="clear" w:color="auto" w:fill="FFFFFF"/>
        </w:rPr>
        <w:t>to logically separate the main points of the text</w:t>
      </w:r>
      <w:r w:rsidR="00AF4EA8">
        <w:rPr>
          <w:color w:val="333333"/>
          <w:shd w:val="clear" w:color="auto" w:fill="FFFFFF"/>
        </w:rPr>
        <w:t xml:space="preserve">, even using a table to </w:t>
      </w:r>
      <w:r w:rsidR="007249DB">
        <w:rPr>
          <w:color w:val="333333"/>
          <w:shd w:val="clear" w:color="auto" w:fill="FFFFFF"/>
        </w:rPr>
        <w:t>illustrate</w:t>
      </w:r>
      <w:r w:rsidR="0084559D">
        <w:rPr>
          <w:color w:val="333333"/>
          <w:shd w:val="clear" w:color="auto" w:fill="FFFFFF"/>
        </w:rPr>
        <w:t xml:space="preserve"> </w:t>
      </w:r>
      <w:r w:rsidR="00967273">
        <w:rPr>
          <w:color w:val="333333"/>
          <w:shd w:val="clear" w:color="auto" w:fill="FFFFFF"/>
        </w:rPr>
        <w:t>participant</w:t>
      </w:r>
      <w:r w:rsidR="000646A9">
        <w:rPr>
          <w:color w:val="333333"/>
          <w:shd w:val="clear" w:color="auto" w:fill="FFFFFF"/>
        </w:rPr>
        <w:t>s’</w:t>
      </w:r>
      <w:r w:rsidR="0084559D">
        <w:rPr>
          <w:color w:val="333333"/>
          <w:shd w:val="clear" w:color="auto" w:fill="FFFFFF"/>
        </w:rPr>
        <w:t xml:space="preserve"> characteristics</w:t>
      </w:r>
      <w:r w:rsidR="006A33A9">
        <w:rPr>
          <w:color w:val="333333"/>
          <w:shd w:val="clear" w:color="auto" w:fill="FFFFFF"/>
        </w:rPr>
        <w:t>.</w:t>
      </w:r>
      <w:r w:rsidR="00B60ED5">
        <w:rPr>
          <w:rStyle w:val="FootnoteReference"/>
          <w:color w:val="333333"/>
          <w:shd w:val="clear" w:color="auto" w:fill="FFFFFF"/>
        </w:rPr>
        <w:footnoteReference w:id="16"/>
      </w:r>
      <w:r w:rsidR="00A024AF">
        <w:rPr>
          <w:color w:val="333333"/>
          <w:shd w:val="clear" w:color="auto" w:fill="FFFFFF"/>
        </w:rPr>
        <w:t xml:space="preserve"> This in turn made he</w:t>
      </w:r>
      <w:r w:rsidR="009D227E">
        <w:rPr>
          <w:color w:val="333333"/>
          <w:shd w:val="clear" w:color="auto" w:fill="FFFFFF"/>
        </w:rPr>
        <w:t xml:space="preserve">r argument easy to follow </w:t>
      </w:r>
      <w:r w:rsidR="00B537D5">
        <w:rPr>
          <w:color w:val="333333"/>
          <w:shd w:val="clear" w:color="auto" w:fill="FFFFFF"/>
        </w:rPr>
        <w:t xml:space="preserve">and enjoyable to read. </w:t>
      </w:r>
    </w:p>
    <w:p w14:paraId="0D8436CC" w14:textId="77777777" w:rsidR="004B58EC" w:rsidRDefault="004B58EC" w:rsidP="00303B93">
      <w:pPr>
        <w:rPr>
          <w:color w:val="333333"/>
          <w:shd w:val="clear" w:color="auto" w:fill="FFFFFF"/>
        </w:rPr>
      </w:pPr>
    </w:p>
    <w:p w14:paraId="4033E70E" w14:textId="77777777" w:rsidR="004A320F" w:rsidRDefault="004A320F" w:rsidP="00303B93">
      <w:pPr>
        <w:rPr>
          <w:color w:val="333333"/>
          <w:shd w:val="clear" w:color="auto" w:fill="FFFFFF"/>
        </w:rPr>
      </w:pPr>
    </w:p>
    <w:p w14:paraId="76AD0DFC" w14:textId="513DAF0A" w:rsidR="00A80EF8" w:rsidRDefault="004B58EC" w:rsidP="00303B93">
      <w:p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Brink’s</w:t>
      </w:r>
      <w:r w:rsidR="007D38B7">
        <w:rPr>
          <w:color w:val="333333"/>
          <w:shd w:val="clear" w:color="auto" w:fill="FFFFFF"/>
        </w:rPr>
        <w:t xml:space="preserve"> much shorter</w:t>
      </w:r>
      <w:r>
        <w:rPr>
          <w:color w:val="333333"/>
          <w:shd w:val="clear" w:color="auto" w:fill="FFFFFF"/>
        </w:rPr>
        <w:t xml:space="preserve"> article</w:t>
      </w:r>
      <w:r w:rsidR="007D38B7">
        <w:rPr>
          <w:color w:val="333333"/>
          <w:shd w:val="clear" w:color="auto" w:fill="FFFFFF"/>
        </w:rPr>
        <w:t xml:space="preserve"> </w:t>
      </w:r>
      <w:r w:rsidR="00953EBF">
        <w:rPr>
          <w:color w:val="333333"/>
          <w:shd w:val="clear" w:color="auto" w:fill="FFFFFF"/>
        </w:rPr>
        <w:t xml:space="preserve">was structured </w:t>
      </w:r>
      <w:r w:rsidR="00A15049">
        <w:rPr>
          <w:color w:val="333333"/>
          <w:shd w:val="clear" w:color="auto" w:fill="FFFFFF"/>
        </w:rPr>
        <w:t xml:space="preserve">using </w:t>
      </w:r>
      <w:r w:rsidR="00957B52">
        <w:rPr>
          <w:color w:val="333333"/>
          <w:shd w:val="clear" w:color="auto" w:fill="FFFFFF"/>
        </w:rPr>
        <w:t xml:space="preserve">headings </w:t>
      </w:r>
      <w:r w:rsidR="00A15049">
        <w:rPr>
          <w:color w:val="333333"/>
          <w:shd w:val="clear" w:color="auto" w:fill="FFFFFF"/>
        </w:rPr>
        <w:t xml:space="preserve">and </w:t>
      </w:r>
      <w:r w:rsidR="00D7349B">
        <w:rPr>
          <w:color w:val="333333"/>
          <w:shd w:val="clear" w:color="auto" w:fill="FFFFFF"/>
        </w:rPr>
        <w:t>a</w:t>
      </w:r>
      <w:r w:rsidR="00A15049">
        <w:rPr>
          <w:color w:val="333333"/>
          <w:shd w:val="clear" w:color="auto" w:fill="FFFFFF"/>
        </w:rPr>
        <w:t xml:space="preserve"> table</w:t>
      </w:r>
      <w:r w:rsidR="00053DFB">
        <w:rPr>
          <w:color w:val="333333"/>
          <w:shd w:val="clear" w:color="auto" w:fill="FFFFFF"/>
        </w:rPr>
        <w:t xml:space="preserve"> that </w:t>
      </w:r>
      <w:r w:rsidR="00BB49E4">
        <w:rPr>
          <w:color w:val="333333"/>
          <w:shd w:val="clear" w:color="auto" w:fill="FFFFFF"/>
        </w:rPr>
        <w:t>presented the participants</w:t>
      </w:r>
      <w:r w:rsidR="003C3E68">
        <w:rPr>
          <w:color w:val="333333"/>
          <w:shd w:val="clear" w:color="auto" w:fill="FFFFFF"/>
        </w:rPr>
        <w:t>’</w:t>
      </w:r>
      <w:r w:rsidR="00BB49E4">
        <w:rPr>
          <w:color w:val="333333"/>
          <w:shd w:val="clear" w:color="auto" w:fill="FFFFFF"/>
        </w:rPr>
        <w:t xml:space="preserve"> percentage agreement to statements, such as ‘</w:t>
      </w:r>
      <w:r w:rsidR="009D0AC9">
        <w:rPr>
          <w:color w:val="333333"/>
          <w:shd w:val="clear" w:color="auto" w:fill="FFFFFF"/>
        </w:rPr>
        <w:t>I believe in astrology’.</w:t>
      </w:r>
      <w:r w:rsidR="009D0AC9">
        <w:rPr>
          <w:rStyle w:val="FootnoteReference"/>
          <w:color w:val="333333"/>
          <w:shd w:val="clear" w:color="auto" w:fill="FFFFFF"/>
        </w:rPr>
        <w:footnoteReference w:id="17"/>
      </w:r>
      <w:r w:rsidR="00053DFB">
        <w:rPr>
          <w:color w:val="333333"/>
          <w:shd w:val="clear" w:color="auto" w:fill="FFFFFF"/>
        </w:rPr>
        <w:t xml:space="preserve"> </w:t>
      </w:r>
      <w:r w:rsidR="00087E4A">
        <w:rPr>
          <w:color w:val="333333"/>
          <w:shd w:val="clear" w:color="auto" w:fill="FFFFFF"/>
        </w:rPr>
        <w:t>For a non-academic reader, the table</w:t>
      </w:r>
      <w:r w:rsidR="00392049">
        <w:rPr>
          <w:color w:val="333333"/>
          <w:shd w:val="clear" w:color="auto" w:fill="FFFFFF"/>
        </w:rPr>
        <w:t xml:space="preserve"> </w:t>
      </w:r>
      <w:r w:rsidR="001967F9">
        <w:rPr>
          <w:color w:val="333333"/>
          <w:shd w:val="clear" w:color="auto" w:fill="FFFFFF"/>
        </w:rPr>
        <w:t>was</w:t>
      </w:r>
      <w:r w:rsidR="00087E4A">
        <w:rPr>
          <w:color w:val="333333"/>
          <w:shd w:val="clear" w:color="auto" w:fill="FFFFFF"/>
        </w:rPr>
        <w:t xml:space="preserve"> </w:t>
      </w:r>
      <w:r w:rsidR="00FC28C2">
        <w:rPr>
          <w:color w:val="333333"/>
          <w:shd w:val="clear" w:color="auto" w:fill="FFFFFF"/>
        </w:rPr>
        <w:t>difficult</w:t>
      </w:r>
      <w:r w:rsidR="00087E4A">
        <w:rPr>
          <w:color w:val="333333"/>
          <w:shd w:val="clear" w:color="auto" w:fill="FFFFFF"/>
        </w:rPr>
        <w:t xml:space="preserve"> to understand</w:t>
      </w:r>
      <w:r w:rsidR="00392049">
        <w:rPr>
          <w:color w:val="333333"/>
          <w:shd w:val="clear" w:color="auto" w:fill="FFFFFF"/>
        </w:rPr>
        <w:t xml:space="preserve"> and Brink</w:t>
      </w:r>
      <w:r w:rsidR="005472B0">
        <w:rPr>
          <w:color w:val="333333"/>
          <w:shd w:val="clear" w:color="auto" w:fill="FFFFFF"/>
        </w:rPr>
        <w:t xml:space="preserve"> </w:t>
      </w:r>
      <w:r w:rsidR="00BD3E47">
        <w:rPr>
          <w:color w:val="333333"/>
          <w:shd w:val="clear" w:color="auto" w:fill="FFFFFF"/>
        </w:rPr>
        <w:t xml:space="preserve">did not </w:t>
      </w:r>
      <w:r w:rsidR="00757588">
        <w:rPr>
          <w:color w:val="333333"/>
          <w:shd w:val="clear" w:color="auto" w:fill="FFFFFF"/>
        </w:rPr>
        <w:t>avoid using technical terminology</w:t>
      </w:r>
      <w:r w:rsidR="00585F98">
        <w:rPr>
          <w:color w:val="333333"/>
          <w:shd w:val="clear" w:color="auto" w:fill="FFFFFF"/>
        </w:rPr>
        <w:t xml:space="preserve">, </w:t>
      </w:r>
      <w:r w:rsidR="00EC4639">
        <w:rPr>
          <w:color w:val="333333"/>
          <w:shd w:val="clear" w:color="auto" w:fill="FFFFFF"/>
        </w:rPr>
        <w:t>such as</w:t>
      </w:r>
      <w:r w:rsidR="00BF4CF6">
        <w:rPr>
          <w:color w:val="333333"/>
          <w:shd w:val="clear" w:color="auto" w:fill="FFFFFF"/>
        </w:rPr>
        <w:t xml:space="preserve"> ‘logical-affective consistency’</w:t>
      </w:r>
      <w:r w:rsidR="00B5025D">
        <w:rPr>
          <w:color w:val="333333"/>
          <w:shd w:val="clear" w:color="auto" w:fill="FFFFFF"/>
        </w:rPr>
        <w:t>.</w:t>
      </w:r>
      <w:r w:rsidR="005D008F">
        <w:rPr>
          <w:rStyle w:val="FootnoteReference"/>
          <w:color w:val="333333"/>
          <w:shd w:val="clear" w:color="auto" w:fill="FFFFFF"/>
        </w:rPr>
        <w:footnoteReference w:id="18"/>
      </w:r>
      <w:r w:rsidR="00B5025D">
        <w:rPr>
          <w:color w:val="333333"/>
          <w:shd w:val="clear" w:color="auto" w:fill="FFFFFF"/>
        </w:rPr>
        <w:t xml:space="preserve"> </w:t>
      </w:r>
      <w:r w:rsidR="001758E3">
        <w:rPr>
          <w:color w:val="333333"/>
          <w:shd w:val="clear" w:color="auto" w:fill="FFFFFF"/>
        </w:rPr>
        <w:t>H</w:t>
      </w:r>
      <w:r w:rsidR="005D008F">
        <w:rPr>
          <w:color w:val="333333"/>
          <w:shd w:val="clear" w:color="auto" w:fill="FFFFFF"/>
        </w:rPr>
        <w:t xml:space="preserve">is initial hypothesis </w:t>
      </w:r>
      <w:r w:rsidR="00466208">
        <w:rPr>
          <w:color w:val="333333"/>
          <w:shd w:val="clear" w:color="auto" w:fill="FFFFFF"/>
        </w:rPr>
        <w:t>was</w:t>
      </w:r>
      <w:r w:rsidR="005D008F">
        <w:rPr>
          <w:color w:val="333333"/>
          <w:shd w:val="clear" w:color="auto" w:fill="FFFFFF"/>
        </w:rPr>
        <w:t xml:space="preserve"> clearly stated at the beginning of the paper, but </w:t>
      </w:r>
      <w:r w:rsidR="00585F98">
        <w:rPr>
          <w:color w:val="333333"/>
          <w:shd w:val="clear" w:color="auto" w:fill="FFFFFF"/>
        </w:rPr>
        <w:t>his</w:t>
      </w:r>
      <w:r w:rsidR="0035768C">
        <w:rPr>
          <w:color w:val="333333"/>
          <w:shd w:val="clear" w:color="auto" w:fill="FFFFFF"/>
        </w:rPr>
        <w:t xml:space="preserve"> argument </w:t>
      </w:r>
      <w:r w:rsidR="00F604BC">
        <w:rPr>
          <w:color w:val="333333"/>
          <w:shd w:val="clear" w:color="auto" w:fill="FFFFFF"/>
        </w:rPr>
        <w:t xml:space="preserve">seemed to be </w:t>
      </w:r>
      <w:r w:rsidR="00C35160">
        <w:rPr>
          <w:color w:val="333333"/>
          <w:shd w:val="clear" w:color="auto" w:fill="FFFFFF"/>
        </w:rPr>
        <w:t>structured in a strange order</w:t>
      </w:r>
      <w:r w:rsidR="00783E68">
        <w:rPr>
          <w:color w:val="333333"/>
          <w:shd w:val="clear" w:color="auto" w:fill="FFFFFF"/>
        </w:rPr>
        <w:t>, giving his literature review in his final section.</w:t>
      </w:r>
      <w:r w:rsidR="00783E68">
        <w:rPr>
          <w:rStyle w:val="FootnoteReference"/>
          <w:color w:val="333333"/>
          <w:shd w:val="clear" w:color="auto" w:fill="FFFFFF"/>
        </w:rPr>
        <w:footnoteReference w:id="19"/>
      </w:r>
      <w:r w:rsidR="00995D9B">
        <w:rPr>
          <w:color w:val="333333"/>
          <w:shd w:val="clear" w:color="auto" w:fill="FFFFFF"/>
        </w:rPr>
        <w:t xml:space="preserve"> He referenced social scientists</w:t>
      </w:r>
      <w:r w:rsidR="005232C6">
        <w:rPr>
          <w:color w:val="333333"/>
          <w:shd w:val="clear" w:color="auto" w:fill="FFFFFF"/>
        </w:rPr>
        <w:t xml:space="preserve"> and psychologists</w:t>
      </w:r>
      <w:r w:rsidR="00A2772B">
        <w:rPr>
          <w:color w:val="333333"/>
          <w:shd w:val="clear" w:color="auto" w:fill="FFFFFF"/>
        </w:rPr>
        <w:t xml:space="preserve"> to support his research findings</w:t>
      </w:r>
      <w:r w:rsidR="000B6322">
        <w:rPr>
          <w:color w:val="333333"/>
          <w:shd w:val="clear" w:color="auto" w:fill="FFFFFF"/>
        </w:rPr>
        <w:t xml:space="preserve">, drawing from </w:t>
      </w:r>
      <w:r w:rsidR="00280F3F">
        <w:rPr>
          <w:color w:val="333333"/>
          <w:shd w:val="clear" w:color="auto" w:fill="FFFFFF"/>
        </w:rPr>
        <w:t>Sigmund Freud</w:t>
      </w:r>
      <w:r w:rsidR="00E326B3">
        <w:rPr>
          <w:color w:val="333333"/>
          <w:shd w:val="clear" w:color="auto" w:fill="FFFFFF"/>
        </w:rPr>
        <w:t xml:space="preserve"> to </w:t>
      </w:r>
      <w:r w:rsidR="00C27625">
        <w:rPr>
          <w:color w:val="333333"/>
          <w:shd w:val="clear" w:color="auto" w:fill="FFFFFF"/>
        </w:rPr>
        <w:t xml:space="preserve">Robert Wuthnow’s </w:t>
      </w:r>
      <w:r w:rsidR="009E0BA4">
        <w:rPr>
          <w:color w:val="333333"/>
          <w:shd w:val="clear" w:color="auto" w:fill="FFFFFF"/>
        </w:rPr>
        <w:t>research</w:t>
      </w:r>
      <w:r w:rsidR="00C27625">
        <w:rPr>
          <w:color w:val="333333"/>
          <w:shd w:val="clear" w:color="auto" w:fill="FFFFFF"/>
        </w:rPr>
        <w:t xml:space="preserve"> </w:t>
      </w:r>
      <w:r w:rsidR="00321E34">
        <w:rPr>
          <w:color w:val="333333"/>
          <w:shd w:val="clear" w:color="auto" w:fill="FFFFFF"/>
        </w:rPr>
        <w:t>on astrology and marginality</w:t>
      </w:r>
      <w:r w:rsidR="00102CF1">
        <w:rPr>
          <w:color w:val="333333"/>
          <w:shd w:val="clear" w:color="auto" w:fill="FFFFFF"/>
        </w:rPr>
        <w:t>.</w:t>
      </w:r>
      <w:r w:rsidR="009C44E0">
        <w:rPr>
          <w:rStyle w:val="FootnoteReference"/>
          <w:color w:val="333333"/>
          <w:shd w:val="clear" w:color="auto" w:fill="FFFFFF"/>
        </w:rPr>
        <w:footnoteReference w:id="20"/>
      </w:r>
      <w:r w:rsidR="00CB390D">
        <w:rPr>
          <w:color w:val="333333"/>
          <w:shd w:val="clear" w:color="auto" w:fill="FFFFFF"/>
        </w:rPr>
        <w:t xml:space="preserve"> Brink used these </w:t>
      </w:r>
      <w:r w:rsidR="00433A96">
        <w:rPr>
          <w:color w:val="333333"/>
          <w:shd w:val="clear" w:color="auto" w:fill="FFFFFF"/>
        </w:rPr>
        <w:t xml:space="preserve">primary and secondary </w:t>
      </w:r>
      <w:r w:rsidR="00CB390D">
        <w:rPr>
          <w:color w:val="333333"/>
          <w:shd w:val="clear" w:color="auto" w:fill="FFFFFF"/>
        </w:rPr>
        <w:t>sources to</w:t>
      </w:r>
      <w:r w:rsidR="002C363F">
        <w:rPr>
          <w:color w:val="333333"/>
          <w:shd w:val="clear" w:color="auto" w:fill="FFFFFF"/>
        </w:rPr>
        <w:t xml:space="preserve"> explain </w:t>
      </w:r>
      <w:r w:rsidR="001864CA">
        <w:rPr>
          <w:color w:val="333333"/>
          <w:shd w:val="clear" w:color="auto" w:fill="FFFFFF"/>
        </w:rPr>
        <w:t xml:space="preserve">why </w:t>
      </w:r>
      <w:r w:rsidR="005A0233">
        <w:rPr>
          <w:color w:val="333333"/>
          <w:shd w:val="clear" w:color="auto" w:fill="FFFFFF"/>
        </w:rPr>
        <w:t>he failed to prove his</w:t>
      </w:r>
      <w:r w:rsidR="001864CA">
        <w:rPr>
          <w:color w:val="333333"/>
          <w:shd w:val="clear" w:color="auto" w:fill="FFFFFF"/>
        </w:rPr>
        <w:t xml:space="preserve"> hypothesis</w:t>
      </w:r>
      <w:r w:rsidR="008D339D">
        <w:rPr>
          <w:color w:val="333333"/>
          <w:shd w:val="clear" w:color="auto" w:fill="FFFFFF"/>
        </w:rPr>
        <w:t>, stating that h</w:t>
      </w:r>
      <w:r w:rsidR="00A119FB">
        <w:rPr>
          <w:color w:val="333333"/>
          <w:shd w:val="clear" w:color="auto" w:fill="FFFFFF"/>
        </w:rPr>
        <w:t>is survey ‘raises more questions than it answers’</w:t>
      </w:r>
      <w:r w:rsidR="00820E9A">
        <w:rPr>
          <w:color w:val="333333"/>
          <w:shd w:val="clear" w:color="auto" w:fill="FFFFFF"/>
        </w:rPr>
        <w:t>.</w:t>
      </w:r>
      <w:r w:rsidR="00411F74">
        <w:rPr>
          <w:rStyle w:val="FootnoteReference"/>
          <w:color w:val="333333"/>
          <w:shd w:val="clear" w:color="auto" w:fill="FFFFFF"/>
        </w:rPr>
        <w:footnoteReference w:id="21"/>
      </w:r>
    </w:p>
    <w:p w14:paraId="2804CF15" w14:textId="77777777" w:rsidR="00A80EF8" w:rsidRDefault="00A80EF8" w:rsidP="00303B93">
      <w:pPr>
        <w:rPr>
          <w:color w:val="333333"/>
          <w:shd w:val="clear" w:color="auto" w:fill="FFFFFF"/>
        </w:rPr>
      </w:pPr>
    </w:p>
    <w:p w14:paraId="15A610F0" w14:textId="77777777" w:rsidR="004A320F" w:rsidRDefault="004A320F" w:rsidP="00303B93">
      <w:pPr>
        <w:rPr>
          <w:color w:val="333333"/>
          <w:shd w:val="clear" w:color="auto" w:fill="FFFFFF"/>
        </w:rPr>
      </w:pPr>
    </w:p>
    <w:p w14:paraId="2461DB8B" w14:textId="27284154" w:rsidR="009A59BC" w:rsidRDefault="00F673C5" w:rsidP="00303B93">
      <w:p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In contrast, Bennett presented a thorough literature review at the start of her paper, explaining the historical background</w:t>
      </w:r>
      <w:r w:rsidR="00F5032D">
        <w:rPr>
          <w:color w:val="333333"/>
          <w:shd w:val="clear" w:color="auto" w:fill="FFFFFF"/>
        </w:rPr>
        <w:t xml:space="preserve"> </w:t>
      </w:r>
      <w:r>
        <w:rPr>
          <w:color w:val="333333"/>
          <w:shd w:val="clear" w:color="auto" w:fill="FFFFFF"/>
        </w:rPr>
        <w:t xml:space="preserve">of her </w:t>
      </w:r>
      <w:r w:rsidR="001A31FD">
        <w:rPr>
          <w:color w:val="333333"/>
          <w:shd w:val="clear" w:color="auto" w:fill="FFFFFF"/>
        </w:rPr>
        <w:t>topic</w:t>
      </w:r>
      <w:r w:rsidR="00E9755E">
        <w:rPr>
          <w:color w:val="333333"/>
          <w:shd w:val="clear" w:color="auto" w:fill="FFFFFF"/>
        </w:rPr>
        <w:t>. She first drew from seventeenth and eighteenth</w:t>
      </w:r>
      <w:r w:rsidR="004E7335">
        <w:rPr>
          <w:color w:val="333333"/>
          <w:shd w:val="clear" w:color="auto" w:fill="FFFFFF"/>
        </w:rPr>
        <w:t>-</w:t>
      </w:r>
      <w:r w:rsidR="00E9755E">
        <w:rPr>
          <w:color w:val="333333"/>
          <w:shd w:val="clear" w:color="auto" w:fill="FFFFFF"/>
        </w:rPr>
        <w:t xml:space="preserve">century </w:t>
      </w:r>
      <w:r w:rsidR="00A62C29">
        <w:rPr>
          <w:color w:val="333333"/>
          <w:shd w:val="clear" w:color="auto" w:fill="FFFFFF"/>
        </w:rPr>
        <w:t>primary sources</w:t>
      </w:r>
      <w:r w:rsidR="00E9755E">
        <w:rPr>
          <w:color w:val="333333"/>
          <w:shd w:val="clear" w:color="auto" w:fill="FFFFFF"/>
        </w:rPr>
        <w:t xml:space="preserve"> </w:t>
      </w:r>
      <w:r w:rsidR="009074F7">
        <w:rPr>
          <w:color w:val="333333"/>
          <w:shd w:val="clear" w:color="auto" w:fill="FFFFFF"/>
        </w:rPr>
        <w:t xml:space="preserve">on supernatural </w:t>
      </w:r>
      <w:r w:rsidR="00CA6F99">
        <w:rPr>
          <w:color w:val="333333"/>
          <w:shd w:val="clear" w:color="auto" w:fill="FFFFFF"/>
        </w:rPr>
        <w:t>folklore</w:t>
      </w:r>
      <w:r w:rsidR="00A57064">
        <w:rPr>
          <w:color w:val="333333"/>
          <w:shd w:val="clear" w:color="auto" w:fill="FFFFFF"/>
        </w:rPr>
        <w:t xml:space="preserve">, </w:t>
      </w:r>
      <w:r w:rsidR="00A13D85">
        <w:rPr>
          <w:color w:val="333333"/>
          <w:shd w:val="clear" w:color="auto" w:fill="FFFFFF"/>
        </w:rPr>
        <w:t>like</w:t>
      </w:r>
      <w:r w:rsidR="00A57064">
        <w:rPr>
          <w:color w:val="333333"/>
          <w:shd w:val="clear" w:color="auto" w:fill="FFFFFF"/>
        </w:rPr>
        <w:t xml:space="preserve"> John Aubrey’s </w:t>
      </w:r>
      <w:r w:rsidR="00A57064">
        <w:rPr>
          <w:i/>
          <w:iCs/>
          <w:color w:val="333333"/>
          <w:shd w:val="clear" w:color="auto" w:fill="FFFFFF"/>
        </w:rPr>
        <w:t>Miscellanies</w:t>
      </w:r>
      <w:r w:rsidR="00134037">
        <w:rPr>
          <w:i/>
          <w:iCs/>
          <w:color w:val="333333"/>
          <w:shd w:val="clear" w:color="auto" w:fill="FFFFFF"/>
        </w:rPr>
        <w:t>.</w:t>
      </w:r>
      <w:r w:rsidR="00411F74" w:rsidRPr="00411F74">
        <w:rPr>
          <w:rStyle w:val="FootnoteReference"/>
          <w:color w:val="333333"/>
          <w:shd w:val="clear" w:color="auto" w:fill="FFFFFF"/>
        </w:rPr>
        <w:footnoteReference w:id="22"/>
      </w:r>
      <w:r w:rsidR="00134037">
        <w:rPr>
          <w:color w:val="333333"/>
          <w:shd w:val="clear" w:color="auto" w:fill="FFFFFF"/>
        </w:rPr>
        <w:t xml:space="preserve"> </w:t>
      </w:r>
      <w:r w:rsidR="00B95D0A">
        <w:rPr>
          <w:color w:val="333333"/>
          <w:shd w:val="clear" w:color="auto" w:fill="FFFFFF"/>
        </w:rPr>
        <w:t>She then moved onto the nineteenth and twentieth</w:t>
      </w:r>
      <w:r w:rsidR="004E7335">
        <w:rPr>
          <w:color w:val="333333"/>
          <w:shd w:val="clear" w:color="auto" w:fill="FFFFFF"/>
        </w:rPr>
        <w:t>-</w:t>
      </w:r>
      <w:r w:rsidR="00B95D0A">
        <w:rPr>
          <w:color w:val="333333"/>
          <w:shd w:val="clear" w:color="auto" w:fill="FFFFFF"/>
        </w:rPr>
        <w:t>centur</w:t>
      </w:r>
      <w:r w:rsidR="00894660">
        <w:rPr>
          <w:color w:val="333333"/>
          <w:shd w:val="clear" w:color="auto" w:fill="FFFFFF"/>
        </w:rPr>
        <w:t>ies which saw the study of British folklore divert into two strands</w:t>
      </w:r>
      <w:r w:rsidR="00AD2B08">
        <w:rPr>
          <w:color w:val="333333"/>
          <w:shd w:val="clear" w:color="auto" w:fill="FFFFFF"/>
        </w:rPr>
        <w:t>: one towards</w:t>
      </w:r>
      <w:r w:rsidR="009221A4">
        <w:rPr>
          <w:color w:val="333333"/>
          <w:shd w:val="clear" w:color="auto" w:fill="FFFFFF"/>
        </w:rPr>
        <w:t xml:space="preserve"> accounts of divination</w:t>
      </w:r>
      <w:r w:rsidR="003B04B1">
        <w:rPr>
          <w:color w:val="333333"/>
          <w:shd w:val="clear" w:color="auto" w:fill="FFFFFF"/>
        </w:rPr>
        <w:t xml:space="preserve">; </w:t>
      </w:r>
      <w:r w:rsidR="00034719">
        <w:rPr>
          <w:color w:val="333333"/>
          <w:shd w:val="clear" w:color="auto" w:fill="FFFFFF"/>
        </w:rPr>
        <w:t>the other, of dreams a</w:t>
      </w:r>
      <w:r w:rsidR="00840A93">
        <w:rPr>
          <w:color w:val="333333"/>
          <w:shd w:val="clear" w:color="auto" w:fill="FFFFFF"/>
        </w:rPr>
        <w:t>nd premonitions.</w:t>
      </w:r>
      <w:r w:rsidR="002A6810">
        <w:rPr>
          <w:rStyle w:val="FootnoteReference"/>
          <w:color w:val="333333"/>
          <w:shd w:val="clear" w:color="auto" w:fill="FFFFFF"/>
        </w:rPr>
        <w:footnoteReference w:id="23"/>
      </w:r>
      <w:r w:rsidR="00B11E6E">
        <w:rPr>
          <w:color w:val="333333"/>
          <w:shd w:val="clear" w:color="auto" w:fill="FFFFFF"/>
        </w:rPr>
        <w:t xml:space="preserve"> </w:t>
      </w:r>
      <w:r w:rsidR="00776873">
        <w:rPr>
          <w:color w:val="333333"/>
          <w:shd w:val="clear" w:color="auto" w:fill="FFFFFF"/>
        </w:rPr>
        <w:t xml:space="preserve">She expanded on these two categories in </w:t>
      </w:r>
      <w:r w:rsidR="00D11E6E">
        <w:rPr>
          <w:color w:val="333333"/>
          <w:shd w:val="clear" w:color="auto" w:fill="FFFFFF"/>
        </w:rPr>
        <w:t>the main body of her text</w:t>
      </w:r>
      <w:r w:rsidR="00C07DBD">
        <w:rPr>
          <w:color w:val="333333"/>
          <w:shd w:val="clear" w:color="auto" w:fill="FFFFFF"/>
        </w:rPr>
        <w:t xml:space="preserve">, </w:t>
      </w:r>
      <w:r w:rsidR="005F26D1">
        <w:rPr>
          <w:color w:val="333333"/>
          <w:shd w:val="clear" w:color="auto" w:fill="FFFFFF"/>
        </w:rPr>
        <w:t xml:space="preserve">which </w:t>
      </w:r>
      <w:r w:rsidR="000357C3">
        <w:rPr>
          <w:color w:val="333333"/>
          <w:shd w:val="clear" w:color="auto" w:fill="FFFFFF"/>
        </w:rPr>
        <w:t>served to enhance the readers understanding of her</w:t>
      </w:r>
      <w:r w:rsidR="00681271">
        <w:rPr>
          <w:color w:val="333333"/>
          <w:shd w:val="clear" w:color="auto" w:fill="FFFFFF"/>
        </w:rPr>
        <w:t xml:space="preserve"> </w:t>
      </w:r>
      <w:r w:rsidR="000357C3">
        <w:rPr>
          <w:color w:val="333333"/>
          <w:shd w:val="clear" w:color="auto" w:fill="FFFFFF"/>
        </w:rPr>
        <w:t>findings.</w:t>
      </w:r>
      <w:r w:rsidR="000C3216">
        <w:rPr>
          <w:color w:val="333333"/>
          <w:shd w:val="clear" w:color="auto" w:fill="FFFFFF"/>
        </w:rPr>
        <w:t xml:space="preserve"> </w:t>
      </w:r>
      <w:r w:rsidR="00915E7E">
        <w:rPr>
          <w:color w:val="333333"/>
          <w:shd w:val="clear" w:color="auto" w:fill="FFFFFF"/>
        </w:rPr>
        <w:t xml:space="preserve">Additionally, </w:t>
      </w:r>
      <w:r w:rsidR="00564BC8">
        <w:rPr>
          <w:color w:val="333333"/>
          <w:shd w:val="clear" w:color="auto" w:fill="FFFFFF"/>
        </w:rPr>
        <w:t xml:space="preserve">Bennett quoted </w:t>
      </w:r>
      <w:r w:rsidR="00564BC8">
        <w:rPr>
          <w:color w:val="333333"/>
          <w:shd w:val="clear" w:color="auto" w:fill="FFFFFF"/>
        </w:rPr>
        <w:lastRenderedPageBreak/>
        <w:t xml:space="preserve">from participants directly in long indented </w:t>
      </w:r>
      <w:r w:rsidR="007A66F7">
        <w:rPr>
          <w:color w:val="333333"/>
          <w:shd w:val="clear" w:color="auto" w:fill="FFFFFF"/>
        </w:rPr>
        <w:t>quotes, allowing the reader to follow the participants</w:t>
      </w:r>
      <w:r w:rsidR="00BF42CF">
        <w:rPr>
          <w:color w:val="333333"/>
          <w:shd w:val="clear" w:color="auto" w:fill="FFFFFF"/>
        </w:rPr>
        <w:t>’</w:t>
      </w:r>
      <w:r w:rsidR="007A66F7">
        <w:rPr>
          <w:color w:val="333333"/>
          <w:shd w:val="clear" w:color="auto" w:fill="FFFFFF"/>
        </w:rPr>
        <w:t xml:space="preserve"> narratives in their own words.</w:t>
      </w:r>
      <w:r w:rsidR="007A66F7">
        <w:rPr>
          <w:rStyle w:val="FootnoteReference"/>
          <w:color w:val="333333"/>
          <w:shd w:val="clear" w:color="auto" w:fill="FFFFFF"/>
        </w:rPr>
        <w:footnoteReference w:id="24"/>
      </w:r>
    </w:p>
    <w:p w14:paraId="6E104BD5" w14:textId="77777777" w:rsidR="006476C4" w:rsidRDefault="006476C4" w:rsidP="00303B93">
      <w:pPr>
        <w:rPr>
          <w:color w:val="333333"/>
          <w:shd w:val="clear" w:color="auto" w:fill="FFFFFF"/>
        </w:rPr>
      </w:pPr>
    </w:p>
    <w:p w14:paraId="081CCEFA" w14:textId="77777777" w:rsidR="00236374" w:rsidRDefault="00236374" w:rsidP="00303B93">
      <w:pPr>
        <w:rPr>
          <w:color w:val="333333"/>
          <w:shd w:val="clear" w:color="auto" w:fill="FFFFFF"/>
        </w:rPr>
      </w:pPr>
    </w:p>
    <w:p w14:paraId="50079566" w14:textId="66275DC8" w:rsidR="006476C4" w:rsidRPr="007531EF" w:rsidRDefault="002E1E45" w:rsidP="00303B93">
      <w:pPr>
        <w:rPr>
          <w:color w:val="000000" w:themeColor="text1"/>
        </w:rPr>
      </w:pPr>
      <w:r>
        <w:rPr>
          <w:color w:val="000000" w:themeColor="text1"/>
        </w:rPr>
        <w:t>A l</w:t>
      </w:r>
      <w:r w:rsidR="00CC1EC7">
        <w:rPr>
          <w:color w:val="000000" w:themeColor="text1"/>
        </w:rPr>
        <w:t xml:space="preserve">ack of </w:t>
      </w:r>
      <w:r w:rsidR="00912F4D">
        <w:rPr>
          <w:color w:val="000000" w:themeColor="text1"/>
        </w:rPr>
        <w:t xml:space="preserve">definitions was a </w:t>
      </w:r>
      <w:r w:rsidR="00CC1EC7">
        <w:rPr>
          <w:color w:val="000000" w:themeColor="text1"/>
        </w:rPr>
        <w:t>weakness of both papers</w:t>
      </w:r>
      <w:r w:rsidR="00A32F02">
        <w:rPr>
          <w:color w:val="000000" w:themeColor="text1"/>
        </w:rPr>
        <w:t xml:space="preserve">. </w:t>
      </w:r>
      <w:r w:rsidR="006476C4">
        <w:rPr>
          <w:color w:val="000000" w:themeColor="text1"/>
        </w:rPr>
        <w:t>Brink failed to clearly define his terms, such as what he meant by ‘astrology’ and ‘reincarnation’, and it remain</w:t>
      </w:r>
      <w:r w:rsidR="002C04DA">
        <w:rPr>
          <w:color w:val="000000" w:themeColor="text1"/>
        </w:rPr>
        <w:t>ed</w:t>
      </w:r>
      <w:r w:rsidR="006476C4">
        <w:rPr>
          <w:color w:val="000000" w:themeColor="text1"/>
        </w:rPr>
        <w:t xml:space="preserve"> unclear whether these terms where defined for his participants. He seemed to assume astrology and reincarnation </w:t>
      </w:r>
      <w:r w:rsidR="006476C4" w:rsidRPr="00013F7E">
        <w:rPr>
          <w:color w:val="000000" w:themeColor="text1"/>
        </w:rPr>
        <w:t>w</w:t>
      </w:r>
      <w:r w:rsidR="006476C4">
        <w:rPr>
          <w:color w:val="000000" w:themeColor="text1"/>
        </w:rPr>
        <w:t>ere</w:t>
      </w:r>
      <w:r w:rsidR="006476C4" w:rsidRPr="00013F7E">
        <w:rPr>
          <w:color w:val="000000" w:themeColor="text1"/>
        </w:rPr>
        <w:t xml:space="preserve"> exclusively linked to</w:t>
      </w:r>
      <w:r w:rsidR="006476C4">
        <w:rPr>
          <w:color w:val="000000" w:themeColor="text1"/>
        </w:rPr>
        <w:t xml:space="preserve"> fatalism</w:t>
      </w:r>
      <w:r w:rsidR="006476C4" w:rsidRPr="00013F7E">
        <w:rPr>
          <w:color w:val="000000" w:themeColor="text1"/>
        </w:rPr>
        <w:t>.</w:t>
      </w:r>
      <w:r w:rsidR="006476C4" w:rsidRPr="00013F7E">
        <w:rPr>
          <w:rStyle w:val="FootnoteReference"/>
          <w:color w:val="000000" w:themeColor="text1"/>
        </w:rPr>
        <w:footnoteReference w:id="25"/>
      </w:r>
      <w:r w:rsidR="006476C4" w:rsidRPr="00013F7E">
        <w:rPr>
          <w:color w:val="000000" w:themeColor="text1"/>
        </w:rPr>
        <w:t xml:space="preserve"> </w:t>
      </w:r>
      <w:r w:rsidR="006476C4">
        <w:rPr>
          <w:color w:val="000000" w:themeColor="text1"/>
        </w:rPr>
        <w:t xml:space="preserve">This presented a restrictive definition for these phenomena which </w:t>
      </w:r>
      <w:r w:rsidR="003766B0">
        <w:rPr>
          <w:color w:val="000000" w:themeColor="text1"/>
        </w:rPr>
        <w:t>was</w:t>
      </w:r>
      <w:r w:rsidR="006476C4">
        <w:rPr>
          <w:color w:val="000000" w:themeColor="text1"/>
        </w:rPr>
        <w:t xml:space="preserve"> problematic </w:t>
      </w:r>
      <w:r w:rsidR="006631EC">
        <w:rPr>
          <w:color w:val="000000" w:themeColor="text1"/>
        </w:rPr>
        <w:t>for</w:t>
      </w:r>
      <w:r w:rsidR="006476C4">
        <w:rPr>
          <w:color w:val="000000" w:themeColor="text1"/>
        </w:rPr>
        <w:t xml:space="preserve"> conducting unbiased research</w:t>
      </w:r>
      <w:r w:rsidR="006476C4" w:rsidRPr="002542B5">
        <w:rPr>
          <w:color w:val="000000" w:themeColor="text1"/>
        </w:rPr>
        <w:t xml:space="preserve">. </w:t>
      </w:r>
      <w:r w:rsidR="006476C4">
        <w:rPr>
          <w:color w:val="000000" w:themeColor="text1"/>
        </w:rPr>
        <w:t xml:space="preserve">Bennett also did not clearly define what she meant by ‘astrology’, and this too could have had implications for her participants’ </w:t>
      </w:r>
      <w:r w:rsidR="00EA79E7">
        <w:rPr>
          <w:color w:val="000000" w:themeColor="text1"/>
        </w:rPr>
        <w:t>responses</w:t>
      </w:r>
      <w:r w:rsidR="006476C4">
        <w:rPr>
          <w:color w:val="000000" w:themeColor="text1"/>
        </w:rPr>
        <w:t xml:space="preserve">. </w:t>
      </w:r>
      <w:r w:rsidR="006476C4" w:rsidRPr="002542B5">
        <w:rPr>
          <w:color w:val="000000" w:themeColor="text1"/>
        </w:rPr>
        <w:t xml:space="preserve">If one associates astrology </w:t>
      </w:r>
      <w:r w:rsidR="006476C4">
        <w:rPr>
          <w:color w:val="000000" w:themeColor="text1"/>
        </w:rPr>
        <w:t xml:space="preserve">exclusively </w:t>
      </w:r>
      <w:r w:rsidR="006476C4" w:rsidRPr="002542B5">
        <w:rPr>
          <w:color w:val="000000" w:themeColor="text1"/>
        </w:rPr>
        <w:t xml:space="preserve">with magazine horoscopes, one may very well reject astrology outright; however, if phrased to account for </w:t>
      </w:r>
      <w:r w:rsidR="00334B00">
        <w:rPr>
          <w:color w:val="000000" w:themeColor="text1"/>
        </w:rPr>
        <w:t>more general</w:t>
      </w:r>
      <w:r w:rsidR="006476C4" w:rsidRPr="002542B5">
        <w:rPr>
          <w:color w:val="000000" w:themeColor="text1"/>
        </w:rPr>
        <w:t xml:space="preserve"> cosmic influences such as emphasised by notable astrologers like Alan Leo, one might </w:t>
      </w:r>
      <w:r w:rsidR="00DF4165" w:rsidRPr="002542B5">
        <w:rPr>
          <w:color w:val="000000" w:themeColor="text1"/>
        </w:rPr>
        <w:t>consider</w:t>
      </w:r>
      <w:r w:rsidR="006476C4" w:rsidRPr="002542B5">
        <w:rPr>
          <w:color w:val="000000" w:themeColor="text1"/>
        </w:rPr>
        <w:t xml:space="preserve"> belie</w:t>
      </w:r>
      <w:r w:rsidR="006476C4">
        <w:rPr>
          <w:color w:val="000000" w:themeColor="text1"/>
        </w:rPr>
        <w:t>f</w:t>
      </w:r>
      <w:r w:rsidR="006476C4" w:rsidRPr="002542B5">
        <w:rPr>
          <w:color w:val="000000" w:themeColor="text1"/>
        </w:rPr>
        <w:t>.</w:t>
      </w:r>
      <w:r w:rsidR="006476C4">
        <w:rPr>
          <w:rStyle w:val="FootnoteReference"/>
          <w:color w:val="000000" w:themeColor="text1"/>
        </w:rPr>
        <w:footnoteReference w:id="26"/>
      </w:r>
    </w:p>
    <w:p w14:paraId="3CBBAA9A" w14:textId="77777777" w:rsidR="006476C4" w:rsidRDefault="006476C4" w:rsidP="00303B93">
      <w:pPr>
        <w:rPr>
          <w:color w:val="333333"/>
          <w:shd w:val="clear" w:color="auto" w:fill="FFFFFF"/>
        </w:rPr>
      </w:pPr>
    </w:p>
    <w:p w14:paraId="43807270" w14:textId="77777777" w:rsidR="00236374" w:rsidRDefault="00236374" w:rsidP="00303B93">
      <w:pPr>
        <w:rPr>
          <w:color w:val="000000" w:themeColor="text1"/>
        </w:rPr>
      </w:pPr>
    </w:p>
    <w:p w14:paraId="562548DD" w14:textId="5862FCAE" w:rsidR="007D62EF" w:rsidRPr="00134037" w:rsidRDefault="00F41499" w:rsidP="007D62EF">
      <w:pPr>
        <w:rPr>
          <w:color w:val="000000" w:themeColor="text1"/>
        </w:rPr>
      </w:pPr>
      <w:r>
        <w:rPr>
          <w:color w:val="000000" w:themeColor="text1"/>
        </w:rPr>
        <w:t>In terms of reflexivity, Brink</w:t>
      </w:r>
      <w:r w:rsidR="00677A44">
        <w:rPr>
          <w:color w:val="000000" w:themeColor="text1"/>
        </w:rPr>
        <w:t xml:space="preserve"> ma</w:t>
      </w:r>
      <w:r>
        <w:rPr>
          <w:color w:val="000000" w:themeColor="text1"/>
        </w:rPr>
        <w:t>de</w:t>
      </w:r>
      <w:r w:rsidR="00677A44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his position on </w:t>
      </w:r>
      <w:r w:rsidR="008C7B95">
        <w:rPr>
          <w:color w:val="000000" w:themeColor="text1"/>
        </w:rPr>
        <w:t>the</w:t>
      </w:r>
      <w:r w:rsidR="006517D9">
        <w:rPr>
          <w:color w:val="000000" w:themeColor="text1"/>
        </w:rPr>
        <w:t xml:space="preserve"> insider</w:t>
      </w:r>
      <w:r w:rsidR="00294907">
        <w:rPr>
          <w:color w:val="000000" w:themeColor="text1"/>
        </w:rPr>
        <w:t>/</w:t>
      </w:r>
      <w:r w:rsidR="006517D9">
        <w:rPr>
          <w:color w:val="000000" w:themeColor="text1"/>
        </w:rPr>
        <w:t>outsider</w:t>
      </w:r>
      <w:r w:rsidR="008C7B95">
        <w:rPr>
          <w:color w:val="000000" w:themeColor="text1"/>
        </w:rPr>
        <w:t xml:space="preserve"> continuum</w:t>
      </w:r>
      <w:r w:rsidR="006517D9">
        <w:rPr>
          <w:color w:val="000000" w:themeColor="text1"/>
        </w:rPr>
        <w:t xml:space="preserve"> hard </w:t>
      </w:r>
      <w:r w:rsidR="00C51623">
        <w:rPr>
          <w:color w:val="000000" w:themeColor="text1"/>
        </w:rPr>
        <w:t xml:space="preserve">for the reader </w:t>
      </w:r>
      <w:r w:rsidR="006517D9">
        <w:rPr>
          <w:color w:val="000000" w:themeColor="text1"/>
        </w:rPr>
        <w:t xml:space="preserve">to </w:t>
      </w:r>
      <w:r w:rsidR="00C51623">
        <w:rPr>
          <w:color w:val="000000" w:themeColor="text1"/>
        </w:rPr>
        <w:t xml:space="preserve">accurately </w:t>
      </w:r>
      <w:r w:rsidR="006517D9">
        <w:rPr>
          <w:color w:val="000000" w:themeColor="text1"/>
        </w:rPr>
        <w:t>determine.</w:t>
      </w:r>
      <w:r w:rsidR="001D2BE8">
        <w:rPr>
          <w:rStyle w:val="FootnoteReference"/>
          <w:color w:val="000000" w:themeColor="text1"/>
        </w:rPr>
        <w:footnoteReference w:id="27"/>
      </w:r>
      <w:r w:rsidR="00C51623">
        <w:rPr>
          <w:color w:val="000000" w:themeColor="text1"/>
        </w:rPr>
        <w:t xml:space="preserve"> </w:t>
      </w:r>
      <w:r w:rsidR="003E1729">
        <w:rPr>
          <w:color w:val="000000" w:themeColor="text1"/>
        </w:rPr>
        <w:t>He</w:t>
      </w:r>
      <w:r w:rsidR="005C02C3">
        <w:rPr>
          <w:color w:val="000000" w:themeColor="text1"/>
        </w:rPr>
        <w:t xml:space="preserve"> particularly </w:t>
      </w:r>
      <w:r w:rsidR="00F42F40">
        <w:rPr>
          <w:color w:val="000000" w:themeColor="text1"/>
        </w:rPr>
        <w:t xml:space="preserve">omitted </w:t>
      </w:r>
      <w:r w:rsidR="00EB31E1">
        <w:rPr>
          <w:color w:val="000000" w:themeColor="text1"/>
        </w:rPr>
        <w:t xml:space="preserve">to explain </w:t>
      </w:r>
      <w:r w:rsidR="00665CCC">
        <w:rPr>
          <w:color w:val="000000" w:themeColor="text1"/>
        </w:rPr>
        <w:t>why he chose to conduct his research in a Catholic girls’ high school</w:t>
      </w:r>
      <w:r w:rsidR="00B53681">
        <w:rPr>
          <w:color w:val="000000" w:themeColor="text1"/>
        </w:rPr>
        <w:t xml:space="preserve">. He did not explain whether he had any personal connection to the institution, nor did he </w:t>
      </w:r>
      <w:r w:rsidR="00AF6695">
        <w:rPr>
          <w:color w:val="000000" w:themeColor="text1"/>
        </w:rPr>
        <w:t xml:space="preserve">divulge whether he himself came from a Catholic background. </w:t>
      </w:r>
      <w:r w:rsidR="003C6040">
        <w:rPr>
          <w:color w:val="000000" w:themeColor="text1"/>
        </w:rPr>
        <w:t xml:space="preserve">If he </w:t>
      </w:r>
      <w:r w:rsidR="00F26872">
        <w:rPr>
          <w:color w:val="000000" w:themeColor="text1"/>
        </w:rPr>
        <w:t>was</w:t>
      </w:r>
      <w:r w:rsidR="003C6040">
        <w:rPr>
          <w:color w:val="000000" w:themeColor="text1"/>
        </w:rPr>
        <w:t xml:space="preserve"> indeed an outsider it begs the question </w:t>
      </w:r>
      <w:r w:rsidR="002021AC">
        <w:rPr>
          <w:color w:val="000000" w:themeColor="text1"/>
        </w:rPr>
        <w:t xml:space="preserve">as to </w:t>
      </w:r>
      <w:r w:rsidR="003C6040">
        <w:rPr>
          <w:color w:val="000000" w:themeColor="text1"/>
        </w:rPr>
        <w:t xml:space="preserve">why he chose </w:t>
      </w:r>
      <w:r w:rsidR="00946D58">
        <w:rPr>
          <w:color w:val="000000" w:themeColor="text1"/>
        </w:rPr>
        <w:t>this setting, considering</w:t>
      </w:r>
      <w:r w:rsidR="00FA2D13">
        <w:rPr>
          <w:color w:val="000000" w:themeColor="text1"/>
        </w:rPr>
        <w:t xml:space="preserve"> adolescents are</w:t>
      </w:r>
      <w:r w:rsidR="00F74407">
        <w:rPr>
          <w:color w:val="000000" w:themeColor="text1"/>
        </w:rPr>
        <w:t xml:space="preserve"> somewhat</w:t>
      </w:r>
      <w:r w:rsidR="00D210D6">
        <w:rPr>
          <w:color w:val="000000" w:themeColor="text1"/>
        </w:rPr>
        <w:t xml:space="preserve"> </w:t>
      </w:r>
      <w:r w:rsidR="00FA2D13">
        <w:rPr>
          <w:color w:val="000000" w:themeColor="text1"/>
        </w:rPr>
        <w:t xml:space="preserve">expected to be </w:t>
      </w:r>
      <w:r w:rsidR="00A14112">
        <w:rPr>
          <w:color w:val="000000" w:themeColor="text1"/>
        </w:rPr>
        <w:t>uncertain</w:t>
      </w:r>
      <w:r w:rsidR="005820D2">
        <w:rPr>
          <w:color w:val="000000" w:themeColor="text1"/>
        </w:rPr>
        <w:t xml:space="preserve"> about</w:t>
      </w:r>
      <w:r w:rsidR="00FA2D13">
        <w:rPr>
          <w:color w:val="000000" w:themeColor="text1"/>
        </w:rPr>
        <w:t xml:space="preserve"> their beliefs.</w:t>
      </w:r>
      <w:r w:rsidR="00862D3E">
        <w:rPr>
          <w:rStyle w:val="FootnoteReference"/>
          <w:color w:val="000000" w:themeColor="text1"/>
        </w:rPr>
        <w:footnoteReference w:id="28"/>
      </w:r>
      <w:r w:rsidR="001F03E3">
        <w:rPr>
          <w:color w:val="000000" w:themeColor="text1"/>
        </w:rPr>
        <w:t xml:space="preserve"> </w:t>
      </w:r>
      <w:r w:rsidR="00946D58">
        <w:rPr>
          <w:color w:val="000000" w:themeColor="text1"/>
        </w:rPr>
        <w:t xml:space="preserve">Brink himself </w:t>
      </w:r>
      <w:r w:rsidR="0086773B">
        <w:rPr>
          <w:color w:val="000000" w:themeColor="text1"/>
        </w:rPr>
        <w:t>mentioned</w:t>
      </w:r>
      <w:r w:rsidR="00F9489D">
        <w:rPr>
          <w:color w:val="000000" w:themeColor="text1"/>
        </w:rPr>
        <w:t xml:space="preserve"> in his literature review that</w:t>
      </w:r>
      <w:r w:rsidR="00862D3E">
        <w:rPr>
          <w:color w:val="000000" w:themeColor="text1"/>
        </w:rPr>
        <w:t xml:space="preserve"> similar studies of teenagers have </w:t>
      </w:r>
      <w:r w:rsidR="008204F2">
        <w:rPr>
          <w:color w:val="000000" w:themeColor="text1"/>
        </w:rPr>
        <w:t xml:space="preserve">had similar results, </w:t>
      </w:r>
      <w:r w:rsidR="00E55443">
        <w:rPr>
          <w:color w:val="000000" w:themeColor="text1"/>
        </w:rPr>
        <w:t xml:space="preserve">attributed to the ‘confusion and uncertainty of </w:t>
      </w:r>
      <w:r w:rsidR="00A63F12">
        <w:rPr>
          <w:color w:val="000000" w:themeColor="text1"/>
        </w:rPr>
        <w:t>that developmental age’.</w:t>
      </w:r>
      <w:r w:rsidR="00A63F12">
        <w:rPr>
          <w:rStyle w:val="FootnoteReference"/>
          <w:color w:val="000000" w:themeColor="text1"/>
        </w:rPr>
        <w:footnoteReference w:id="29"/>
      </w:r>
      <w:r w:rsidR="00676517">
        <w:rPr>
          <w:color w:val="000000" w:themeColor="text1"/>
        </w:rPr>
        <w:t xml:space="preserve"> </w:t>
      </w:r>
      <w:r w:rsidR="007D62EF" w:rsidRPr="002B512A">
        <w:rPr>
          <w:color w:val="202124"/>
          <w:shd w:val="clear" w:color="auto" w:fill="FFFFFF"/>
        </w:rPr>
        <w:t xml:space="preserve">Contradictorily, </w:t>
      </w:r>
      <w:r w:rsidR="007D62EF" w:rsidRPr="002B512A">
        <w:rPr>
          <w:color w:val="000000" w:themeColor="text1"/>
        </w:rPr>
        <w:t>Bennett</w:t>
      </w:r>
      <w:r w:rsidR="007D62EF">
        <w:rPr>
          <w:color w:val="000000" w:themeColor="text1"/>
        </w:rPr>
        <w:t xml:space="preserve"> was very honest and reflexive. She clearly detailed how and why she chose her setting and participants</w:t>
      </w:r>
      <w:r w:rsidR="00523CDB">
        <w:rPr>
          <w:color w:val="000000" w:themeColor="text1"/>
        </w:rPr>
        <w:t>. She used her father as a gatekeeper and utilised his clinic to conduct her research.</w:t>
      </w:r>
      <w:r w:rsidR="00523CDB">
        <w:rPr>
          <w:rStyle w:val="FootnoteReference"/>
          <w:color w:val="000000" w:themeColor="text1"/>
        </w:rPr>
        <w:footnoteReference w:id="30"/>
      </w:r>
      <w:r w:rsidR="00523CDB">
        <w:rPr>
          <w:color w:val="000000" w:themeColor="text1"/>
        </w:rPr>
        <w:t xml:space="preserve"> Her father was a well-known figure of the community, and this was suggestive of Bennett’s insider connection to her participants.</w:t>
      </w:r>
      <w:r w:rsidR="00523CDB">
        <w:rPr>
          <w:rStyle w:val="FootnoteReference"/>
          <w:color w:val="000000" w:themeColor="text1"/>
        </w:rPr>
        <w:footnoteReference w:id="31"/>
      </w:r>
      <w:r w:rsidR="007D62EF">
        <w:rPr>
          <w:color w:val="000000" w:themeColor="text1"/>
        </w:rPr>
        <w:t xml:space="preserve"> </w:t>
      </w:r>
      <w:r w:rsidR="008B108A">
        <w:rPr>
          <w:color w:val="000000" w:themeColor="text1"/>
        </w:rPr>
        <w:t>H</w:t>
      </w:r>
      <w:r w:rsidR="007D62EF">
        <w:rPr>
          <w:color w:val="000000" w:themeColor="text1"/>
        </w:rPr>
        <w:t>owever, in her honesty</w:t>
      </w:r>
      <w:r w:rsidR="001779E3">
        <w:rPr>
          <w:color w:val="000000" w:themeColor="text1"/>
        </w:rPr>
        <w:t>,</w:t>
      </w:r>
      <w:r w:rsidR="007D62EF">
        <w:rPr>
          <w:color w:val="000000" w:themeColor="text1"/>
        </w:rPr>
        <w:t xml:space="preserve"> more glaring issues arose relating to her methodology and the ethical considerations of her research.</w:t>
      </w:r>
    </w:p>
    <w:p w14:paraId="522A7133" w14:textId="77777777" w:rsidR="00D14127" w:rsidRDefault="00D14127" w:rsidP="00303B93">
      <w:pPr>
        <w:rPr>
          <w:color w:val="00B0F0"/>
        </w:rPr>
      </w:pPr>
    </w:p>
    <w:p w14:paraId="7727AC56" w14:textId="77777777" w:rsidR="000E57D2" w:rsidRDefault="000E57D2" w:rsidP="008E5EF4">
      <w:pPr>
        <w:rPr>
          <w:color w:val="7030A0"/>
        </w:rPr>
      </w:pPr>
    </w:p>
    <w:p w14:paraId="0A3350F9" w14:textId="77777777" w:rsidR="00315B39" w:rsidRDefault="00315B39" w:rsidP="00315B39">
      <w:pPr>
        <w:rPr>
          <w:u w:val="single"/>
        </w:rPr>
      </w:pPr>
      <w:r w:rsidRPr="0073297A">
        <w:rPr>
          <w:u w:val="single"/>
        </w:rPr>
        <w:t>Methodology</w:t>
      </w:r>
    </w:p>
    <w:p w14:paraId="6DB6180E" w14:textId="77777777" w:rsidR="00315B39" w:rsidRPr="00A60C50" w:rsidRDefault="00315B39" w:rsidP="00315B39">
      <w:pPr>
        <w:rPr>
          <w:sz w:val="6"/>
          <w:szCs w:val="6"/>
          <w:u w:val="single"/>
        </w:rPr>
      </w:pPr>
    </w:p>
    <w:p w14:paraId="7B83054F" w14:textId="3027742B" w:rsidR="00783096" w:rsidRDefault="00E74EDD" w:rsidP="00315B39">
      <w:pPr>
        <w:rPr>
          <w:color w:val="000000" w:themeColor="text1"/>
        </w:rPr>
      </w:pPr>
      <w:r>
        <w:rPr>
          <w:color w:val="000000" w:themeColor="text1"/>
        </w:rPr>
        <w:t xml:space="preserve">Bennett and Brink take opposing approaches to their </w:t>
      </w:r>
      <w:r w:rsidR="001701F7">
        <w:rPr>
          <w:color w:val="000000" w:themeColor="text1"/>
        </w:rPr>
        <w:t>methodologies</w:t>
      </w:r>
      <w:r w:rsidR="00EB5C9F">
        <w:rPr>
          <w:color w:val="000000" w:themeColor="text1"/>
        </w:rPr>
        <w:t>. Bennett favoured a qualitative approach, opting for</w:t>
      </w:r>
      <w:r w:rsidR="00C75515">
        <w:rPr>
          <w:color w:val="000000" w:themeColor="text1"/>
        </w:rPr>
        <w:t xml:space="preserve"> data </w:t>
      </w:r>
      <w:r w:rsidR="00CE503D">
        <w:rPr>
          <w:color w:val="000000" w:themeColor="text1"/>
        </w:rPr>
        <w:t xml:space="preserve">collected </w:t>
      </w:r>
      <w:r w:rsidR="00C75515">
        <w:rPr>
          <w:color w:val="000000" w:themeColor="text1"/>
        </w:rPr>
        <w:t>from</w:t>
      </w:r>
      <w:r w:rsidR="00EB5C9F">
        <w:rPr>
          <w:color w:val="000000" w:themeColor="text1"/>
        </w:rPr>
        <w:t xml:space="preserve"> </w:t>
      </w:r>
      <w:r w:rsidR="000C339C">
        <w:rPr>
          <w:color w:val="000000" w:themeColor="text1"/>
        </w:rPr>
        <w:t>interviews</w:t>
      </w:r>
      <w:r w:rsidR="00C75515">
        <w:rPr>
          <w:color w:val="000000" w:themeColor="text1"/>
        </w:rPr>
        <w:t xml:space="preserve"> and </w:t>
      </w:r>
      <w:r w:rsidR="009C6F8F">
        <w:rPr>
          <w:color w:val="000000" w:themeColor="text1"/>
        </w:rPr>
        <w:t>conversations</w:t>
      </w:r>
      <w:r w:rsidR="007569AA">
        <w:rPr>
          <w:color w:val="000000" w:themeColor="text1"/>
        </w:rPr>
        <w:t>.</w:t>
      </w:r>
      <w:r w:rsidR="00A66719">
        <w:rPr>
          <w:rStyle w:val="FootnoteReference"/>
          <w:color w:val="000000" w:themeColor="text1"/>
        </w:rPr>
        <w:footnoteReference w:id="32"/>
      </w:r>
      <w:r w:rsidR="00025099">
        <w:rPr>
          <w:color w:val="000000" w:themeColor="text1"/>
        </w:rPr>
        <w:t xml:space="preserve"> It was </w:t>
      </w:r>
      <w:r w:rsidR="00352E40">
        <w:rPr>
          <w:color w:val="000000" w:themeColor="text1"/>
        </w:rPr>
        <w:t xml:space="preserve">not </w:t>
      </w:r>
      <w:r w:rsidR="009852CC">
        <w:rPr>
          <w:color w:val="000000" w:themeColor="text1"/>
        </w:rPr>
        <w:t>made entirely clear</w:t>
      </w:r>
      <w:r w:rsidR="00025099">
        <w:rPr>
          <w:color w:val="000000" w:themeColor="text1"/>
        </w:rPr>
        <w:t xml:space="preserve"> whether her interviews were structured or </w:t>
      </w:r>
      <w:r w:rsidR="001E6C09">
        <w:rPr>
          <w:color w:val="000000" w:themeColor="text1"/>
        </w:rPr>
        <w:t>not</w:t>
      </w:r>
      <w:r w:rsidR="00455A08">
        <w:rPr>
          <w:color w:val="000000" w:themeColor="text1"/>
        </w:rPr>
        <w:t xml:space="preserve">, but her choice of methodology </w:t>
      </w:r>
      <w:r w:rsidR="00E97709">
        <w:rPr>
          <w:color w:val="000000" w:themeColor="text1"/>
        </w:rPr>
        <w:t xml:space="preserve">was valid in determining phenomenologically the </w:t>
      </w:r>
      <w:r w:rsidR="00942E26">
        <w:rPr>
          <w:color w:val="000000" w:themeColor="text1"/>
        </w:rPr>
        <w:t>personal experiences of her participants. Brink, however, took a quantitative approach</w:t>
      </w:r>
      <w:r w:rsidR="00236739">
        <w:rPr>
          <w:color w:val="000000" w:themeColor="text1"/>
        </w:rPr>
        <w:t>,</w:t>
      </w:r>
      <w:r w:rsidR="00B43F74">
        <w:rPr>
          <w:color w:val="000000" w:themeColor="text1"/>
        </w:rPr>
        <w:t xml:space="preserve"> wishing to statistically find a correlation </w:t>
      </w:r>
      <w:r w:rsidR="00365E7B">
        <w:rPr>
          <w:color w:val="000000" w:themeColor="text1"/>
        </w:rPr>
        <w:t>between faith in Catholicism and disbelief in astrology and reincarnation. He</w:t>
      </w:r>
      <w:r w:rsidR="00830C87">
        <w:rPr>
          <w:color w:val="000000" w:themeColor="text1"/>
        </w:rPr>
        <w:t xml:space="preserve"> issued</w:t>
      </w:r>
      <w:r w:rsidR="00236739">
        <w:rPr>
          <w:color w:val="000000" w:themeColor="text1"/>
        </w:rPr>
        <w:t xml:space="preserve"> questionnaires </w:t>
      </w:r>
      <w:r w:rsidR="00830C87">
        <w:rPr>
          <w:color w:val="000000" w:themeColor="text1"/>
        </w:rPr>
        <w:t>to</w:t>
      </w:r>
      <w:r w:rsidR="0086127C">
        <w:rPr>
          <w:color w:val="000000" w:themeColor="text1"/>
        </w:rPr>
        <w:t xml:space="preserve"> </w:t>
      </w:r>
      <w:r w:rsidR="007A598A">
        <w:rPr>
          <w:color w:val="000000" w:themeColor="text1"/>
        </w:rPr>
        <w:t xml:space="preserve">students </w:t>
      </w:r>
      <w:r w:rsidR="007E474B">
        <w:rPr>
          <w:color w:val="000000" w:themeColor="text1"/>
        </w:rPr>
        <w:t>during their religion class</w:t>
      </w:r>
      <w:r w:rsidR="00EE2367">
        <w:rPr>
          <w:color w:val="000000" w:themeColor="text1"/>
        </w:rPr>
        <w:t xml:space="preserve">, </w:t>
      </w:r>
      <w:r w:rsidR="009F3E9C">
        <w:rPr>
          <w:color w:val="000000" w:themeColor="text1"/>
        </w:rPr>
        <w:t xml:space="preserve">presenting them with closed statements of which </w:t>
      </w:r>
      <w:r w:rsidR="0080431E">
        <w:rPr>
          <w:color w:val="000000" w:themeColor="text1"/>
        </w:rPr>
        <w:t>participants</w:t>
      </w:r>
      <w:r w:rsidR="009F3E9C">
        <w:rPr>
          <w:color w:val="000000" w:themeColor="text1"/>
        </w:rPr>
        <w:t xml:space="preserve"> </w:t>
      </w:r>
      <w:r w:rsidR="002041FC">
        <w:rPr>
          <w:color w:val="000000" w:themeColor="text1"/>
        </w:rPr>
        <w:t>could either agree or disagree</w:t>
      </w:r>
      <w:r w:rsidR="003D7CCE">
        <w:rPr>
          <w:color w:val="000000" w:themeColor="text1"/>
        </w:rPr>
        <w:t>.</w:t>
      </w:r>
      <w:r w:rsidR="003D7CCE">
        <w:rPr>
          <w:rStyle w:val="FootnoteReference"/>
          <w:color w:val="000000" w:themeColor="text1"/>
        </w:rPr>
        <w:footnoteReference w:id="33"/>
      </w:r>
      <w:r w:rsidR="00942E26">
        <w:rPr>
          <w:color w:val="000000" w:themeColor="text1"/>
        </w:rPr>
        <w:t xml:space="preserve"> </w:t>
      </w:r>
      <w:r w:rsidR="003D7CCE">
        <w:rPr>
          <w:color w:val="000000" w:themeColor="text1"/>
        </w:rPr>
        <w:t xml:space="preserve">Unlike Bennett, Brink </w:t>
      </w:r>
      <w:r w:rsidR="00A360E4">
        <w:rPr>
          <w:color w:val="000000" w:themeColor="text1"/>
        </w:rPr>
        <w:t>did not delve in</w:t>
      </w:r>
      <w:r w:rsidR="00014EC7">
        <w:rPr>
          <w:color w:val="000000" w:themeColor="text1"/>
        </w:rPr>
        <w:t>-</w:t>
      </w:r>
      <w:r w:rsidR="00A360E4">
        <w:rPr>
          <w:color w:val="000000" w:themeColor="text1"/>
        </w:rPr>
        <w:t xml:space="preserve">depth into </w:t>
      </w:r>
      <w:r w:rsidR="00C72F7C">
        <w:rPr>
          <w:color w:val="000000" w:themeColor="text1"/>
        </w:rPr>
        <w:t>why his participants answered a certain way, possibly because of the sensitive nature of the topic</w:t>
      </w:r>
      <w:r w:rsidR="00EB53CB">
        <w:rPr>
          <w:color w:val="000000" w:themeColor="text1"/>
        </w:rPr>
        <w:t>s</w:t>
      </w:r>
      <w:r w:rsidR="00C72F7C">
        <w:rPr>
          <w:color w:val="000000" w:themeColor="text1"/>
        </w:rPr>
        <w:t xml:space="preserve"> discussed.</w:t>
      </w:r>
      <w:r w:rsidR="00EB53CB">
        <w:rPr>
          <w:color w:val="000000" w:themeColor="text1"/>
        </w:rPr>
        <w:t xml:space="preserve"> </w:t>
      </w:r>
      <w:r w:rsidR="007614F1">
        <w:rPr>
          <w:color w:val="000000" w:themeColor="text1"/>
        </w:rPr>
        <w:t xml:space="preserve">He did not mention whether any students </w:t>
      </w:r>
      <w:r w:rsidR="00CD572D">
        <w:rPr>
          <w:color w:val="000000" w:themeColor="text1"/>
        </w:rPr>
        <w:t>refused to participate, nor d</w:t>
      </w:r>
      <w:r w:rsidR="00A62FC4">
        <w:rPr>
          <w:color w:val="000000" w:themeColor="text1"/>
        </w:rPr>
        <w:t>id</w:t>
      </w:r>
      <w:r w:rsidR="00CD572D">
        <w:rPr>
          <w:color w:val="000000" w:themeColor="text1"/>
        </w:rPr>
        <w:t xml:space="preserve"> he explain how</w:t>
      </w:r>
      <w:r w:rsidR="00FE2A42">
        <w:rPr>
          <w:color w:val="000000" w:themeColor="text1"/>
        </w:rPr>
        <w:t xml:space="preserve"> he gained consent</w:t>
      </w:r>
      <w:r w:rsidR="00E547C1">
        <w:rPr>
          <w:color w:val="000000" w:themeColor="text1"/>
        </w:rPr>
        <w:t xml:space="preserve"> to conduct his research with minors.</w:t>
      </w:r>
      <w:r w:rsidR="0047628C">
        <w:rPr>
          <w:color w:val="000000" w:themeColor="text1"/>
        </w:rPr>
        <w:t xml:space="preserve"> Moreover, </w:t>
      </w:r>
      <w:r w:rsidR="00A00D33">
        <w:rPr>
          <w:color w:val="000000" w:themeColor="text1"/>
        </w:rPr>
        <w:t xml:space="preserve">his choice of setting </w:t>
      </w:r>
      <w:r w:rsidR="002074D0">
        <w:rPr>
          <w:color w:val="000000" w:themeColor="text1"/>
        </w:rPr>
        <w:t xml:space="preserve">was not very </w:t>
      </w:r>
      <w:r w:rsidR="00BE6491">
        <w:rPr>
          <w:color w:val="000000" w:themeColor="text1"/>
        </w:rPr>
        <w:t>private,</w:t>
      </w:r>
      <w:r w:rsidR="002074D0">
        <w:rPr>
          <w:color w:val="000000" w:themeColor="text1"/>
        </w:rPr>
        <w:t xml:space="preserve"> and he d</w:t>
      </w:r>
      <w:r w:rsidR="00BE4D7E">
        <w:rPr>
          <w:color w:val="000000" w:themeColor="text1"/>
        </w:rPr>
        <w:t>id not mention who was present in the classroom with the girls</w:t>
      </w:r>
      <w:r w:rsidR="00575C0B">
        <w:rPr>
          <w:color w:val="000000" w:themeColor="text1"/>
        </w:rPr>
        <w:t xml:space="preserve"> at the time. </w:t>
      </w:r>
      <w:r w:rsidR="001E4CB6">
        <w:rPr>
          <w:color w:val="000000" w:themeColor="text1"/>
        </w:rPr>
        <w:t>Did they have a choice to participate and withdraw if they wanted to?</w:t>
      </w:r>
      <w:r w:rsidR="00314B3E">
        <w:rPr>
          <w:color w:val="000000" w:themeColor="text1"/>
        </w:rPr>
        <w:t xml:space="preserve"> </w:t>
      </w:r>
      <w:r w:rsidR="00057FB1">
        <w:rPr>
          <w:color w:val="000000" w:themeColor="text1"/>
        </w:rPr>
        <w:t xml:space="preserve">Marilys </w:t>
      </w:r>
      <w:r w:rsidR="000B27B2">
        <w:rPr>
          <w:color w:val="000000" w:themeColor="text1"/>
        </w:rPr>
        <w:t xml:space="preserve">Guillemin and </w:t>
      </w:r>
      <w:r w:rsidR="00057FB1">
        <w:rPr>
          <w:color w:val="000000" w:themeColor="text1"/>
        </w:rPr>
        <w:t xml:space="preserve">Lynn </w:t>
      </w:r>
      <w:r w:rsidR="000B27B2">
        <w:rPr>
          <w:color w:val="000000" w:themeColor="text1"/>
        </w:rPr>
        <w:t>Gilla</w:t>
      </w:r>
      <w:r w:rsidR="00392F33">
        <w:rPr>
          <w:color w:val="000000" w:themeColor="text1"/>
        </w:rPr>
        <w:t>m</w:t>
      </w:r>
      <w:r w:rsidR="005B2753">
        <w:rPr>
          <w:color w:val="000000" w:themeColor="text1"/>
        </w:rPr>
        <w:t xml:space="preserve"> </w:t>
      </w:r>
      <w:r w:rsidR="00C32A27">
        <w:rPr>
          <w:color w:val="000000" w:themeColor="text1"/>
        </w:rPr>
        <w:t xml:space="preserve">state </w:t>
      </w:r>
      <w:r w:rsidR="003659CC">
        <w:rPr>
          <w:color w:val="000000" w:themeColor="text1"/>
        </w:rPr>
        <w:t xml:space="preserve">that to conduct </w:t>
      </w:r>
      <w:r w:rsidR="003659CC">
        <w:rPr>
          <w:color w:val="000000" w:themeColor="text1"/>
        </w:rPr>
        <w:lastRenderedPageBreak/>
        <w:t>research ethically one must gain inf</w:t>
      </w:r>
      <w:r w:rsidR="000E032E">
        <w:rPr>
          <w:color w:val="000000" w:themeColor="text1"/>
        </w:rPr>
        <w:t>ormed consent from participants rather than ‘conscripting them’.</w:t>
      </w:r>
      <w:r w:rsidR="002E6A3A">
        <w:rPr>
          <w:rStyle w:val="FootnoteReference"/>
          <w:color w:val="000000" w:themeColor="text1"/>
        </w:rPr>
        <w:footnoteReference w:id="34"/>
      </w:r>
      <w:r w:rsidR="005B2753">
        <w:rPr>
          <w:color w:val="000000" w:themeColor="text1"/>
        </w:rPr>
        <w:t xml:space="preserve"> </w:t>
      </w:r>
      <w:r w:rsidR="002774A6">
        <w:rPr>
          <w:color w:val="000000" w:themeColor="text1"/>
        </w:rPr>
        <w:t>Brink appeared to be</w:t>
      </w:r>
      <w:r w:rsidR="004D1914">
        <w:rPr>
          <w:color w:val="000000" w:themeColor="text1"/>
        </w:rPr>
        <w:t xml:space="preserve"> </w:t>
      </w:r>
      <w:r w:rsidR="00BF5121">
        <w:rPr>
          <w:color w:val="000000" w:themeColor="text1"/>
        </w:rPr>
        <w:t xml:space="preserve">crossing </w:t>
      </w:r>
      <w:r w:rsidR="003827A1">
        <w:rPr>
          <w:color w:val="000000" w:themeColor="text1"/>
        </w:rPr>
        <w:t>this</w:t>
      </w:r>
      <w:r w:rsidR="00BF5121">
        <w:rPr>
          <w:color w:val="000000" w:themeColor="text1"/>
        </w:rPr>
        <w:t xml:space="preserve"> line</w:t>
      </w:r>
      <w:r w:rsidR="0047127A">
        <w:rPr>
          <w:color w:val="000000" w:themeColor="text1"/>
        </w:rPr>
        <w:t xml:space="preserve">, and this was </w:t>
      </w:r>
      <w:r w:rsidR="00780CDC">
        <w:rPr>
          <w:color w:val="000000" w:themeColor="text1"/>
        </w:rPr>
        <w:t>a concern Bennett’s work also presented.</w:t>
      </w:r>
    </w:p>
    <w:p w14:paraId="2BDCBE5A" w14:textId="77777777" w:rsidR="00322016" w:rsidRDefault="00322016" w:rsidP="00315B39">
      <w:pPr>
        <w:rPr>
          <w:color w:val="000000" w:themeColor="text1"/>
        </w:rPr>
      </w:pPr>
    </w:p>
    <w:p w14:paraId="070805B4" w14:textId="77777777" w:rsidR="00322016" w:rsidRDefault="00322016" w:rsidP="00315B39">
      <w:pPr>
        <w:rPr>
          <w:color w:val="000000" w:themeColor="text1"/>
        </w:rPr>
      </w:pPr>
    </w:p>
    <w:p w14:paraId="6C8821BA" w14:textId="08281CCF" w:rsidR="004E4EBB" w:rsidRDefault="00A7097F" w:rsidP="009B2ABE">
      <w:pPr>
        <w:rPr>
          <w:color w:val="000000" w:themeColor="text1"/>
        </w:rPr>
      </w:pPr>
      <w:r>
        <w:rPr>
          <w:color w:val="000000" w:themeColor="text1"/>
        </w:rPr>
        <w:t xml:space="preserve">Bennett chose to conduct her research at her father’s </w:t>
      </w:r>
      <w:r w:rsidR="00006D31">
        <w:rPr>
          <w:color w:val="000000" w:themeColor="text1"/>
        </w:rPr>
        <w:t>podiatrist practice</w:t>
      </w:r>
      <w:r w:rsidR="00D165AF">
        <w:rPr>
          <w:color w:val="000000" w:themeColor="text1"/>
        </w:rPr>
        <w:t xml:space="preserve">, a venue she picked </w:t>
      </w:r>
      <w:r w:rsidR="00AB601C">
        <w:rPr>
          <w:color w:val="000000" w:themeColor="text1"/>
        </w:rPr>
        <w:t xml:space="preserve">to </w:t>
      </w:r>
      <w:r w:rsidR="00AB601C" w:rsidRPr="007C6633">
        <w:rPr>
          <w:color w:val="000000" w:themeColor="text1"/>
        </w:rPr>
        <w:t>be ‘conducive to personal conversation’.</w:t>
      </w:r>
      <w:r w:rsidR="00AB601C" w:rsidRPr="007C6633">
        <w:rPr>
          <w:rStyle w:val="FootnoteReference"/>
          <w:color w:val="000000" w:themeColor="text1"/>
        </w:rPr>
        <w:footnoteReference w:id="35"/>
      </w:r>
      <w:r w:rsidR="00A7296D">
        <w:rPr>
          <w:color w:val="000000" w:themeColor="text1"/>
        </w:rPr>
        <w:t xml:space="preserve"> However, how comfortable were her participants in discussing such personal stories in a medical setting</w:t>
      </w:r>
      <w:r w:rsidR="00430964">
        <w:rPr>
          <w:color w:val="000000" w:themeColor="text1"/>
        </w:rPr>
        <w:t xml:space="preserve"> with their male doctor </w:t>
      </w:r>
      <w:r w:rsidR="00E97B72">
        <w:rPr>
          <w:color w:val="000000" w:themeColor="text1"/>
        </w:rPr>
        <w:t>present</w:t>
      </w:r>
      <w:r w:rsidR="00430964">
        <w:rPr>
          <w:color w:val="000000" w:themeColor="text1"/>
        </w:rPr>
        <w:t>?</w:t>
      </w:r>
      <w:r w:rsidR="0019479A">
        <w:rPr>
          <w:color w:val="000000" w:themeColor="text1"/>
        </w:rPr>
        <w:t xml:space="preserve"> </w:t>
      </w:r>
      <w:r w:rsidR="00B812AB">
        <w:rPr>
          <w:color w:val="000000" w:themeColor="text1"/>
        </w:rPr>
        <w:t xml:space="preserve">It could be argued that </w:t>
      </w:r>
      <w:r w:rsidR="003648F0">
        <w:rPr>
          <w:color w:val="000000" w:themeColor="text1"/>
        </w:rPr>
        <w:t xml:space="preserve">some of her more negative responses </w:t>
      </w:r>
      <w:r w:rsidR="00622C23">
        <w:rPr>
          <w:color w:val="000000" w:themeColor="text1"/>
        </w:rPr>
        <w:t xml:space="preserve">were </w:t>
      </w:r>
      <w:r w:rsidR="00060366">
        <w:rPr>
          <w:color w:val="000000" w:themeColor="text1"/>
        </w:rPr>
        <w:t>affected</w:t>
      </w:r>
      <w:r w:rsidR="00622C23">
        <w:rPr>
          <w:color w:val="000000" w:themeColor="text1"/>
        </w:rPr>
        <w:t xml:space="preserve"> by the fact </w:t>
      </w:r>
      <w:r w:rsidR="002321AA">
        <w:rPr>
          <w:color w:val="000000" w:themeColor="text1"/>
        </w:rPr>
        <w:t xml:space="preserve">that Bennett’s father was </w:t>
      </w:r>
      <w:r w:rsidR="00096229">
        <w:rPr>
          <w:color w:val="000000" w:themeColor="text1"/>
        </w:rPr>
        <w:t>present</w:t>
      </w:r>
      <w:r w:rsidR="00783EEC">
        <w:rPr>
          <w:color w:val="000000" w:themeColor="text1"/>
        </w:rPr>
        <w:t xml:space="preserve">. </w:t>
      </w:r>
      <w:r w:rsidR="009A3E12">
        <w:rPr>
          <w:color w:val="000000" w:themeColor="text1"/>
        </w:rPr>
        <w:t>She mentioned how some of the women felt ‘shamefaced’ about their interest in divination</w:t>
      </w:r>
      <w:r w:rsidR="003F1438">
        <w:rPr>
          <w:color w:val="000000" w:themeColor="text1"/>
        </w:rPr>
        <w:t xml:space="preserve">, could this reaction have been influenced by </w:t>
      </w:r>
      <w:r w:rsidR="009E410D">
        <w:rPr>
          <w:color w:val="000000" w:themeColor="text1"/>
        </w:rPr>
        <w:t>her father?</w:t>
      </w:r>
      <w:r w:rsidR="000D11F6">
        <w:rPr>
          <w:rStyle w:val="FootnoteReference"/>
          <w:color w:val="000000" w:themeColor="text1"/>
        </w:rPr>
        <w:footnoteReference w:id="36"/>
      </w:r>
      <w:r w:rsidR="009E410D">
        <w:rPr>
          <w:color w:val="000000" w:themeColor="text1"/>
        </w:rPr>
        <w:t xml:space="preserve"> </w:t>
      </w:r>
      <w:r w:rsidR="00795F71">
        <w:rPr>
          <w:color w:val="000000" w:themeColor="text1"/>
        </w:rPr>
        <w:t xml:space="preserve">That being said, Bennett noted that </w:t>
      </w:r>
      <w:r w:rsidR="001A6AA5">
        <w:rPr>
          <w:color w:val="000000" w:themeColor="text1"/>
        </w:rPr>
        <w:t>the women were</w:t>
      </w:r>
      <w:r w:rsidR="001A6AA5" w:rsidRPr="00FE7E38">
        <w:rPr>
          <w:color w:val="000000" w:themeColor="text1"/>
        </w:rPr>
        <w:t xml:space="preserve"> ‘totally unsurprised’ by her questions and that they used terms like ‘sixth sense’ without embarrassment.</w:t>
      </w:r>
      <w:r w:rsidR="001A6AA5" w:rsidRPr="00FE7E38">
        <w:rPr>
          <w:rStyle w:val="FootnoteReference"/>
          <w:color w:val="000000" w:themeColor="text1"/>
        </w:rPr>
        <w:footnoteReference w:id="37"/>
      </w:r>
      <w:r w:rsidR="000301BC">
        <w:rPr>
          <w:color w:val="000000" w:themeColor="text1"/>
        </w:rPr>
        <w:t xml:space="preserve"> </w:t>
      </w:r>
      <w:r w:rsidR="00420158">
        <w:rPr>
          <w:color w:val="000000" w:themeColor="text1"/>
        </w:rPr>
        <w:t xml:space="preserve">Concerningly, she </w:t>
      </w:r>
      <w:r w:rsidR="00F46D22">
        <w:rPr>
          <w:color w:val="000000" w:themeColor="text1"/>
        </w:rPr>
        <w:t>mentioned</w:t>
      </w:r>
      <w:r w:rsidR="00420158">
        <w:rPr>
          <w:color w:val="000000" w:themeColor="text1"/>
        </w:rPr>
        <w:t xml:space="preserve"> that </w:t>
      </w:r>
      <w:r w:rsidR="001A352C">
        <w:rPr>
          <w:color w:val="000000" w:themeColor="text1"/>
        </w:rPr>
        <w:t>her father had shared personal information regarding the women</w:t>
      </w:r>
      <w:r w:rsidR="00F304B9">
        <w:rPr>
          <w:color w:val="000000" w:themeColor="text1"/>
        </w:rPr>
        <w:t>, for example age</w:t>
      </w:r>
      <w:r w:rsidR="00244AE1">
        <w:rPr>
          <w:color w:val="000000" w:themeColor="text1"/>
        </w:rPr>
        <w:t>s</w:t>
      </w:r>
      <w:r w:rsidR="00F304B9">
        <w:rPr>
          <w:color w:val="000000" w:themeColor="text1"/>
        </w:rPr>
        <w:t xml:space="preserve"> and domestic circumstances.</w:t>
      </w:r>
      <w:r w:rsidR="00F304B9">
        <w:rPr>
          <w:rStyle w:val="FootnoteReference"/>
          <w:color w:val="000000" w:themeColor="text1"/>
        </w:rPr>
        <w:footnoteReference w:id="38"/>
      </w:r>
      <w:r w:rsidR="0007191F">
        <w:rPr>
          <w:color w:val="000000" w:themeColor="text1"/>
        </w:rPr>
        <w:t xml:space="preserve"> Certainly by today</w:t>
      </w:r>
      <w:r w:rsidR="00BC6C02">
        <w:rPr>
          <w:color w:val="000000" w:themeColor="text1"/>
        </w:rPr>
        <w:t>’</w:t>
      </w:r>
      <w:r w:rsidR="0007191F">
        <w:rPr>
          <w:color w:val="000000" w:themeColor="text1"/>
        </w:rPr>
        <w:t>s standards this is a clear breach of patient confidentiality</w:t>
      </w:r>
      <w:r w:rsidR="003925D4">
        <w:rPr>
          <w:color w:val="000000" w:themeColor="text1"/>
        </w:rPr>
        <w:t>.</w:t>
      </w:r>
      <w:r w:rsidR="00AF0C77">
        <w:rPr>
          <w:rStyle w:val="FootnoteReference"/>
          <w:color w:val="000000" w:themeColor="text1"/>
        </w:rPr>
        <w:footnoteReference w:id="39"/>
      </w:r>
      <w:r w:rsidR="003925D4">
        <w:rPr>
          <w:color w:val="000000" w:themeColor="text1"/>
        </w:rPr>
        <w:t xml:space="preserve"> </w:t>
      </w:r>
    </w:p>
    <w:p w14:paraId="55AE83A3" w14:textId="77777777" w:rsidR="000E73BB" w:rsidRDefault="000E73BB" w:rsidP="009B2ABE">
      <w:pPr>
        <w:rPr>
          <w:color w:val="000000" w:themeColor="text1"/>
        </w:rPr>
      </w:pPr>
    </w:p>
    <w:p w14:paraId="21D87E95" w14:textId="77777777" w:rsidR="004A320F" w:rsidRDefault="004A320F" w:rsidP="009B2ABE">
      <w:pPr>
        <w:rPr>
          <w:color w:val="000000" w:themeColor="text1"/>
        </w:rPr>
      </w:pPr>
    </w:p>
    <w:p w14:paraId="2DFA57E6" w14:textId="0FC1BE46" w:rsidR="00F1610A" w:rsidRPr="005422E4" w:rsidRDefault="001D700C" w:rsidP="00303B93">
      <w:pPr>
        <w:rPr>
          <w:color w:val="000000" w:themeColor="text1"/>
        </w:rPr>
      </w:pPr>
      <w:r>
        <w:rPr>
          <w:color w:val="000000" w:themeColor="text1"/>
        </w:rPr>
        <w:t xml:space="preserve">In spite of their ethical shortcomings, </w:t>
      </w:r>
      <w:r w:rsidR="00CC6D54">
        <w:rPr>
          <w:color w:val="000000" w:themeColor="text1"/>
        </w:rPr>
        <w:t>both authors</w:t>
      </w:r>
      <w:r>
        <w:rPr>
          <w:color w:val="000000" w:themeColor="text1"/>
        </w:rPr>
        <w:t xml:space="preserve"> presented fascinating </w:t>
      </w:r>
      <w:r w:rsidR="006F51F6">
        <w:rPr>
          <w:color w:val="000000" w:themeColor="text1"/>
        </w:rPr>
        <w:t>research questions</w:t>
      </w:r>
      <w:r w:rsidR="002E795C">
        <w:rPr>
          <w:color w:val="000000" w:themeColor="text1"/>
        </w:rPr>
        <w:t xml:space="preserve"> that</w:t>
      </w:r>
      <w:r w:rsidR="00A12AD0">
        <w:rPr>
          <w:color w:val="000000" w:themeColor="text1"/>
        </w:rPr>
        <w:t xml:space="preserve"> </w:t>
      </w:r>
      <w:r w:rsidR="002E795C">
        <w:rPr>
          <w:color w:val="000000" w:themeColor="text1"/>
        </w:rPr>
        <w:t xml:space="preserve">pondered the connection </w:t>
      </w:r>
      <w:r w:rsidR="00AD6539">
        <w:rPr>
          <w:color w:val="000000" w:themeColor="text1"/>
        </w:rPr>
        <w:t xml:space="preserve">between </w:t>
      </w:r>
      <w:r w:rsidR="006B62B5">
        <w:rPr>
          <w:color w:val="000000" w:themeColor="text1"/>
        </w:rPr>
        <w:t>religion</w:t>
      </w:r>
      <w:r w:rsidR="00CC2CFA">
        <w:rPr>
          <w:color w:val="000000" w:themeColor="text1"/>
        </w:rPr>
        <w:t xml:space="preserve"> and </w:t>
      </w:r>
      <w:r w:rsidR="00292C99">
        <w:rPr>
          <w:color w:val="000000" w:themeColor="text1"/>
        </w:rPr>
        <w:t>supernatural beliefs</w:t>
      </w:r>
      <w:r w:rsidR="00BA3EDE">
        <w:rPr>
          <w:color w:val="000000" w:themeColor="text1"/>
        </w:rPr>
        <w:t xml:space="preserve">. </w:t>
      </w:r>
      <w:r w:rsidR="002E1B69">
        <w:rPr>
          <w:color w:val="000000" w:themeColor="text1"/>
        </w:rPr>
        <w:t>Bennett believed that her participants</w:t>
      </w:r>
      <w:r w:rsidR="005E4790">
        <w:rPr>
          <w:color w:val="000000" w:themeColor="text1"/>
        </w:rPr>
        <w:t>’ apparent acceptance of ‘visionary</w:t>
      </w:r>
      <w:r w:rsidR="00927E6A">
        <w:rPr>
          <w:color w:val="000000" w:themeColor="text1"/>
        </w:rPr>
        <w:t>’ gifts</w:t>
      </w:r>
      <w:r w:rsidR="004B4FAA">
        <w:rPr>
          <w:color w:val="000000" w:themeColor="text1"/>
        </w:rPr>
        <w:t xml:space="preserve"> </w:t>
      </w:r>
      <w:r w:rsidR="00927E6A">
        <w:rPr>
          <w:color w:val="000000" w:themeColor="text1"/>
        </w:rPr>
        <w:t xml:space="preserve">actually reinforced the women’s faith in God and </w:t>
      </w:r>
      <w:r w:rsidR="00D22AB3">
        <w:rPr>
          <w:color w:val="000000" w:themeColor="text1"/>
        </w:rPr>
        <w:t>a</w:t>
      </w:r>
      <w:r w:rsidR="00CF155D">
        <w:rPr>
          <w:color w:val="000000" w:themeColor="text1"/>
        </w:rPr>
        <w:t xml:space="preserve"> divine plan.</w:t>
      </w:r>
      <w:r w:rsidR="00CF155D">
        <w:rPr>
          <w:rStyle w:val="FootnoteReference"/>
          <w:color w:val="000000" w:themeColor="text1"/>
        </w:rPr>
        <w:footnoteReference w:id="40"/>
      </w:r>
      <w:r w:rsidR="00BD5D89">
        <w:rPr>
          <w:color w:val="000000" w:themeColor="text1"/>
        </w:rPr>
        <w:t xml:space="preserve"> Brink found through his study</w:t>
      </w:r>
      <w:r w:rsidR="00A804CF">
        <w:rPr>
          <w:color w:val="000000" w:themeColor="text1"/>
        </w:rPr>
        <w:t xml:space="preserve"> that</w:t>
      </w:r>
      <w:r w:rsidR="00DE23E6">
        <w:rPr>
          <w:color w:val="000000" w:themeColor="text1"/>
        </w:rPr>
        <w:t xml:space="preserve"> those who believed in astrology</w:t>
      </w:r>
      <w:r w:rsidR="001D479F">
        <w:rPr>
          <w:color w:val="000000" w:themeColor="text1"/>
        </w:rPr>
        <w:t xml:space="preserve"> and/or </w:t>
      </w:r>
      <w:r w:rsidR="00DE23E6">
        <w:rPr>
          <w:color w:val="000000" w:themeColor="text1"/>
        </w:rPr>
        <w:t>reincarnation were</w:t>
      </w:r>
      <w:r w:rsidR="00432758">
        <w:rPr>
          <w:color w:val="000000" w:themeColor="text1"/>
        </w:rPr>
        <w:t xml:space="preserve"> not significantly less likely to </w:t>
      </w:r>
      <w:r w:rsidR="001811BC">
        <w:rPr>
          <w:color w:val="000000" w:themeColor="text1"/>
        </w:rPr>
        <w:t>convey</w:t>
      </w:r>
      <w:r w:rsidR="00432758">
        <w:rPr>
          <w:color w:val="000000" w:themeColor="text1"/>
        </w:rPr>
        <w:t xml:space="preserve"> belief in</w:t>
      </w:r>
      <w:r w:rsidR="00AA1C93">
        <w:rPr>
          <w:color w:val="000000" w:themeColor="text1"/>
        </w:rPr>
        <w:t xml:space="preserve"> </w:t>
      </w:r>
      <w:r w:rsidR="00432758">
        <w:rPr>
          <w:color w:val="000000" w:themeColor="text1"/>
        </w:rPr>
        <w:t>Catholi</w:t>
      </w:r>
      <w:r w:rsidR="00DB75D5">
        <w:rPr>
          <w:color w:val="000000" w:themeColor="text1"/>
        </w:rPr>
        <w:t>cism</w:t>
      </w:r>
      <w:r w:rsidR="00432758">
        <w:rPr>
          <w:color w:val="000000" w:themeColor="text1"/>
        </w:rPr>
        <w:t>,</w:t>
      </w:r>
      <w:r w:rsidR="00DB75D5">
        <w:rPr>
          <w:color w:val="000000" w:themeColor="text1"/>
        </w:rPr>
        <w:t xml:space="preserve"> </w:t>
      </w:r>
      <w:r w:rsidR="00C45111">
        <w:rPr>
          <w:color w:val="000000" w:themeColor="text1"/>
        </w:rPr>
        <w:t xml:space="preserve">surprising his </w:t>
      </w:r>
      <w:r w:rsidR="00E4059F">
        <w:rPr>
          <w:color w:val="000000" w:themeColor="text1"/>
        </w:rPr>
        <w:t xml:space="preserve">own </w:t>
      </w:r>
      <w:r w:rsidR="00C45111">
        <w:rPr>
          <w:color w:val="000000" w:themeColor="text1"/>
        </w:rPr>
        <w:t>assumptions.</w:t>
      </w:r>
      <w:r w:rsidR="00294AF6">
        <w:rPr>
          <w:rStyle w:val="FootnoteReference"/>
          <w:color w:val="000000" w:themeColor="text1"/>
        </w:rPr>
        <w:footnoteReference w:id="41"/>
      </w:r>
      <w:r w:rsidR="00C45111">
        <w:rPr>
          <w:color w:val="000000" w:themeColor="text1"/>
        </w:rPr>
        <w:t xml:space="preserve"> </w:t>
      </w:r>
      <w:r w:rsidR="007B2D6F">
        <w:rPr>
          <w:color w:val="000000" w:themeColor="text1"/>
        </w:rPr>
        <w:t xml:space="preserve">Both authors recognised </w:t>
      </w:r>
      <w:r w:rsidR="00F50162">
        <w:rPr>
          <w:color w:val="000000" w:themeColor="text1"/>
        </w:rPr>
        <w:t xml:space="preserve">the </w:t>
      </w:r>
      <w:r w:rsidR="001E7FC2">
        <w:rPr>
          <w:color w:val="000000" w:themeColor="text1"/>
        </w:rPr>
        <w:t>weaknesses</w:t>
      </w:r>
      <w:r w:rsidR="00F50162">
        <w:rPr>
          <w:color w:val="000000" w:themeColor="text1"/>
        </w:rPr>
        <w:t xml:space="preserve"> of their </w:t>
      </w:r>
      <w:r w:rsidR="00FE6305">
        <w:rPr>
          <w:color w:val="000000" w:themeColor="text1"/>
        </w:rPr>
        <w:t>studies</w:t>
      </w:r>
      <w:r w:rsidR="00F50162">
        <w:rPr>
          <w:color w:val="000000" w:themeColor="text1"/>
        </w:rPr>
        <w:t xml:space="preserve"> and suggested </w:t>
      </w:r>
      <w:r w:rsidR="00FE6305">
        <w:rPr>
          <w:color w:val="000000" w:themeColor="text1"/>
        </w:rPr>
        <w:t xml:space="preserve">more research needed to be done </w:t>
      </w:r>
      <w:r w:rsidR="00941BE0">
        <w:rPr>
          <w:color w:val="000000" w:themeColor="text1"/>
        </w:rPr>
        <w:t>to</w:t>
      </w:r>
      <w:r w:rsidR="001F56E5">
        <w:rPr>
          <w:color w:val="000000" w:themeColor="text1"/>
        </w:rPr>
        <w:t xml:space="preserve"> better ascertain </w:t>
      </w:r>
      <w:r w:rsidR="00E7251F">
        <w:rPr>
          <w:color w:val="000000" w:themeColor="text1"/>
        </w:rPr>
        <w:t xml:space="preserve">the potential correlation between demographic backgrounds and </w:t>
      </w:r>
      <w:r w:rsidR="000D7257">
        <w:rPr>
          <w:color w:val="000000" w:themeColor="text1"/>
        </w:rPr>
        <w:t xml:space="preserve">belief in </w:t>
      </w:r>
      <w:r w:rsidR="006818A2">
        <w:rPr>
          <w:color w:val="000000" w:themeColor="text1"/>
        </w:rPr>
        <w:t xml:space="preserve">astrology and supernatural </w:t>
      </w:r>
      <w:r w:rsidR="00774EFD">
        <w:rPr>
          <w:color w:val="000000" w:themeColor="text1"/>
        </w:rPr>
        <w:t>phenomena</w:t>
      </w:r>
      <w:r w:rsidR="006C2E13">
        <w:rPr>
          <w:color w:val="000000" w:themeColor="text1"/>
        </w:rPr>
        <w:t>.</w:t>
      </w:r>
      <w:r w:rsidR="006C2E13">
        <w:rPr>
          <w:rStyle w:val="FootnoteReference"/>
          <w:color w:val="000000" w:themeColor="text1"/>
        </w:rPr>
        <w:footnoteReference w:id="42"/>
      </w:r>
      <w:r w:rsidR="00941BE0">
        <w:rPr>
          <w:color w:val="000000" w:themeColor="text1"/>
        </w:rPr>
        <w:t xml:space="preserve"> </w:t>
      </w:r>
      <w:r w:rsidR="00432758">
        <w:rPr>
          <w:color w:val="000000" w:themeColor="text1"/>
        </w:rPr>
        <w:t xml:space="preserve"> </w:t>
      </w:r>
    </w:p>
    <w:p w14:paraId="53612FCA" w14:textId="77777777" w:rsidR="00F1610A" w:rsidRDefault="00F1610A" w:rsidP="00303B93"/>
    <w:p w14:paraId="46DA57EE" w14:textId="77777777" w:rsidR="00242D20" w:rsidRPr="00242D20" w:rsidRDefault="00242D20" w:rsidP="00303B93"/>
    <w:p w14:paraId="60CF4F88" w14:textId="1ADECA71" w:rsidR="00C26604" w:rsidRDefault="00C26604" w:rsidP="00303B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Conclusion</w:t>
      </w:r>
    </w:p>
    <w:p w14:paraId="25139FD0" w14:textId="77777777" w:rsidR="00C26604" w:rsidRPr="00E1555F" w:rsidRDefault="00C26604" w:rsidP="00303B93">
      <w:pPr>
        <w:rPr>
          <w:color w:val="00B0F0"/>
          <w:sz w:val="6"/>
          <w:szCs w:val="6"/>
        </w:rPr>
      </w:pPr>
    </w:p>
    <w:p w14:paraId="5A946AF5" w14:textId="2FA87ADB" w:rsidR="005422E4" w:rsidRDefault="005422E4" w:rsidP="00303B93">
      <w:pPr>
        <w:rPr>
          <w:color w:val="000000" w:themeColor="text1"/>
        </w:rPr>
      </w:pPr>
      <w:r>
        <w:rPr>
          <w:color w:val="000000" w:themeColor="text1"/>
        </w:rPr>
        <w:t>Overa</w:t>
      </w:r>
      <w:r w:rsidR="005B2244">
        <w:rPr>
          <w:color w:val="000000" w:themeColor="text1"/>
        </w:rPr>
        <w:t>ll, Bennett and Brink</w:t>
      </w:r>
      <w:r w:rsidR="00394F92">
        <w:rPr>
          <w:color w:val="000000" w:themeColor="text1"/>
        </w:rPr>
        <w:t xml:space="preserve"> presented interesting topics</w:t>
      </w:r>
      <w:r w:rsidR="00EB2507">
        <w:rPr>
          <w:color w:val="000000" w:themeColor="text1"/>
        </w:rPr>
        <w:t xml:space="preserve"> of discussion</w:t>
      </w:r>
      <w:r w:rsidR="00596F72">
        <w:rPr>
          <w:color w:val="000000" w:themeColor="text1"/>
        </w:rPr>
        <w:t>, utilising contrasting methodologies and structures to bolster their</w:t>
      </w:r>
      <w:r w:rsidR="00677C9A">
        <w:rPr>
          <w:color w:val="000000" w:themeColor="text1"/>
        </w:rPr>
        <w:t xml:space="preserve"> respective</w:t>
      </w:r>
      <w:r w:rsidR="00596F72">
        <w:rPr>
          <w:color w:val="000000" w:themeColor="text1"/>
        </w:rPr>
        <w:t xml:space="preserve"> hypotheses.</w:t>
      </w:r>
      <w:r w:rsidR="00677C9A">
        <w:rPr>
          <w:color w:val="000000" w:themeColor="text1"/>
        </w:rPr>
        <w:t xml:space="preserve"> </w:t>
      </w:r>
      <w:r w:rsidR="003B139E">
        <w:rPr>
          <w:color w:val="000000" w:themeColor="text1"/>
        </w:rPr>
        <w:t>Bennett took a qualitative approach</w:t>
      </w:r>
      <w:r w:rsidR="002B7914">
        <w:rPr>
          <w:color w:val="000000" w:themeColor="text1"/>
        </w:rPr>
        <w:t xml:space="preserve">, drawing her data </w:t>
      </w:r>
      <w:r w:rsidR="00A230EA">
        <w:rPr>
          <w:color w:val="000000" w:themeColor="text1"/>
        </w:rPr>
        <w:t>from</w:t>
      </w:r>
      <w:r w:rsidR="002B7914">
        <w:rPr>
          <w:color w:val="000000" w:themeColor="text1"/>
        </w:rPr>
        <w:t xml:space="preserve"> interviews </w:t>
      </w:r>
      <w:r w:rsidR="00A230EA">
        <w:rPr>
          <w:color w:val="000000" w:themeColor="text1"/>
        </w:rPr>
        <w:t xml:space="preserve">from older women in her community. </w:t>
      </w:r>
      <w:r w:rsidR="00CB7E3E">
        <w:rPr>
          <w:color w:val="000000" w:themeColor="text1"/>
        </w:rPr>
        <w:t>Brink, however, aimed to quantitively prove through questionnaires</w:t>
      </w:r>
      <w:r w:rsidR="00E47CD5">
        <w:rPr>
          <w:color w:val="000000" w:themeColor="text1"/>
        </w:rPr>
        <w:t xml:space="preserve"> of Catholic high school girls</w:t>
      </w:r>
      <w:r w:rsidR="008471EF">
        <w:rPr>
          <w:color w:val="000000" w:themeColor="text1"/>
        </w:rPr>
        <w:t xml:space="preserve"> that Catholicism </w:t>
      </w:r>
      <w:r w:rsidR="00A91B73">
        <w:rPr>
          <w:color w:val="000000" w:themeColor="text1"/>
        </w:rPr>
        <w:t>was</w:t>
      </w:r>
      <w:r w:rsidR="008471EF">
        <w:rPr>
          <w:color w:val="000000" w:themeColor="text1"/>
        </w:rPr>
        <w:t xml:space="preserve"> incompatible with </w:t>
      </w:r>
      <w:r w:rsidR="00744B27">
        <w:rPr>
          <w:color w:val="000000" w:themeColor="text1"/>
        </w:rPr>
        <w:t>astrology and reincarnation.</w:t>
      </w:r>
      <w:r w:rsidR="00C17F35">
        <w:rPr>
          <w:color w:val="000000" w:themeColor="text1"/>
        </w:rPr>
        <w:t xml:space="preserve"> </w:t>
      </w:r>
      <w:r w:rsidR="00BB51A5">
        <w:rPr>
          <w:color w:val="000000" w:themeColor="text1"/>
        </w:rPr>
        <w:t xml:space="preserve">While both papers presented some ethical concerns regarding how the authors gained consent </w:t>
      </w:r>
      <w:r w:rsidR="00CC01EF">
        <w:rPr>
          <w:color w:val="000000" w:themeColor="text1"/>
        </w:rPr>
        <w:t>from participants</w:t>
      </w:r>
      <w:r w:rsidR="00D32A68">
        <w:rPr>
          <w:color w:val="000000" w:themeColor="text1"/>
        </w:rPr>
        <w:t xml:space="preserve"> </w:t>
      </w:r>
      <w:r w:rsidR="00CC01EF">
        <w:rPr>
          <w:color w:val="000000" w:themeColor="text1"/>
        </w:rPr>
        <w:t>and whether the</w:t>
      </w:r>
      <w:r w:rsidR="00ED444B">
        <w:rPr>
          <w:color w:val="000000" w:themeColor="text1"/>
        </w:rPr>
        <w:t xml:space="preserve">re </w:t>
      </w:r>
      <w:r w:rsidR="000A336E">
        <w:rPr>
          <w:color w:val="000000" w:themeColor="text1"/>
        </w:rPr>
        <w:t>were potential breaches in confidentiality</w:t>
      </w:r>
      <w:r w:rsidR="00D32A68">
        <w:rPr>
          <w:color w:val="000000" w:themeColor="text1"/>
        </w:rPr>
        <w:t xml:space="preserve">, </w:t>
      </w:r>
      <w:r w:rsidR="00401CF7">
        <w:rPr>
          <w:color w:val="000000" w:themeColor="text1"/>
        </w:rPr>
        <w:t>the</w:t>
      </w:r>
      <w:r w:rsidR="00ED3AAD">
        <w:rPr>
          <w:color w:val="000000" w:themeColor="text1"/>
        </w:rPr>
        <w:t xml:space="preserve">y both </w:t>
      </w:r>
      <w:r w:rsidR="005B215D">
        <w:rPr>
          <w:color w:val="000000" w:themeColor="text1"/>
        </w:rPr>
        <w:t xml:space="preserve">explored the voices of women and girls during a time when academia often </w:t>
      </w:r>
      <w:r w:rsidR="002D3144">
        <w:rPr>
          <w:color w:val="000000" w:themeColor="text1"/>
        </w:rPr>
        <w:t>overlooked</w:t>
      </w:r>
      <w:r w:rsidR="00DC1977">
        <w:rPr>
          <w:color w:val="000000" w:themeColor="text1"/>
        </w:rPr>
        <w:t xml:space="preserve"> the female perspective. Structurally, both authors used tables and headings, but Bennett </w:t>
      </w:r>
      <w:r w:rsidR="008F10D1">
        <w:rPr>
          <w:color w:val="000000" w:themeColor="text1"/>
        </w:rPr>
        <w:t xml:space="preserve">structured her paper to flow logically from literature review to </w:t>
      </w:r>
      <w:r w:rsidR="00244176">
        <w:rPr>
          <w:color w:val="000000" w:themeColor="text1"/>
        </w:rPr>
        <w:t xml:space="preserve">data </w:t>
      </w:r>
      <w:r w:rsidR="00F5125D">
        <w:rPr>
          <w:color w:val="000000" w:themeColor="text1"/>
        </w:rPr>
        <w:t xml:space="preserve">analysis </w:t>
      </w:r>
      <w:r w:rsidR="002A53D8">
        <w:rPr>
          <w:color w:val="000000" w:themeColor="text1"/>
        </w:rPr>
        <w:t xml:space="preserve">as </w:t>
      </w:r>
      <w:r w:rsidR="00AD0061">
        <w:rPr>
          <w:color w:val="000000" w:themeColor="text1"/>
        </w:rPr>
        <w:t>discusse</w:t>
      </w:r>
      <w:r w:rsidR="00D308F0">
        <w:rPr>
          <w:color w:val="000000" w:themeColor="text1"/>
        </w:rPr>
        <w:t>d</w:t>
      </w:r>
      <w:r w:rsidR="002A53D8">
        <w:rPr>
          <w:color w:val="000000" w:themeColor="text1"/>
        </w:rPr>
        <w:t xml:space="preserve"> within the wider context of the academic framework</w:t>
      </w:r>
      <w:r w:rsidR="00D308F0">
        <w:rPr>
          <w:color w:val="000000" w:themeColor="text1"/>
        </w:rPr>
        <w:t xml:space="preserve">. </w:t>
      </w:r>
      <w:r w:rsidR="00A3516D">
        <w:rPr>
          <w:color w:val="000000" w:themeColor="text1"/>
        </w:rPr>
        <w:t>Brink chose to include his brief literature review afte</w:t>
      </w:r>
      <w:r w:rsidR="004D2AB2">
        <w:rPr>
          <w:color w:val="000000" w:themeColor="text1"/>
        </w:rPr>
        <w:t>r</w:t>
      </w:r>
      <w:r w:rsidR="00A3516D">
        <w:rPr>
          <w:color w:val="000000" w:themeColor="text1"/>
        </w:rPr>
        <w:t xml:space="preserve"> the results of his study, which felt disjointed for the reader</w:t>
      </w:r>
      <w:r w:rsidR="008D4867">
        <w:rPr>
          <w:color w:val="000000" w:themeColor="text1"/>
        </w:rPr>
        <w:t xml:space="preserve"> as he used his sources to explain why his hypothesis failed</w:t>
      </w:r>
      <w:r w:rsidR="00A3516D">
        <w:rPr>
          <w:color w:val="000000" w:themeColor="text1"/>
        </w:rPr>
        <w:t xml:space="preserve">. </w:t>
      </w:r>
      <w:r w:rsidR="006E2C70">
        <w:rPr>
          <w:color w:val="000000" w:themeColor="text1"/>
        </w:rPr>
        <w:t xml:space="preserve">In </w:t>
      </w:r>
      <w:r w:rsidR="009E48CE">
        <w:rPr>
          <w:color w:val="000000" w:themeColor="text1"/>
        </w:rPr>
        <w:t>terms of reflexivity</w:t>
      </w:r>
      <w:r w:rsidR="008017C1">
        <w:rPr>
          <w:color w:val="000000" w:themeColor="text1"/>
        </w:rPr>
        <w:t>,</w:t>
      </w:r>
      <w:r w:rsidR="00CA5682">
        <w:rPr>
          <w:color w:val="000000" w:themeColor="text1"/>
        </w:rPr>
        <w:t xml:space="preserve"> both authors differed greatly:</w:t>
      </w:r>
      <w:r w:rsidR="000F662B">
        <w:rPr>
          <w:color w:val="000000" w:themeColor="text1"/>
        </w:rPr>
        <w:t xml:space="preserve"> firstly,</w:t>
      </w:r>
      <w:r w:rsidR="0025233A">
        <w:rPr>
          <w:color w:val="000000" w:themeColor="text1"/>
        </w:rPr>
        <w:t xml:space="preserve"> Brink made it unclear as to whether </w:t>
      </w:r>
      <w:r w:rsidR="00F24424">
        <w:rPr>
          <w:color w:val="000000" w:themeColor="text1"/>
        </w:rPr>
        <w:t>he had any</w:t>
      </w:r>
      <w:r w:rsidR="00C45447">
        <w:rPr>
          <w:color w:val="000000" w:themeColor="text1"/>
        </w:rPr>
        <w:t xml:space="preserve"> </w:t>
      </w:r>
      <w:r w:rsidR="00F24424">
        <w:rPr>
          <w:color w:val="000000" w:themeColor="text1"/>
        </w:rPr>
        <w:t xml:space="preserve">connection to the school </w:t>
      </w:r>
      <w:r w:rsidR="006D1C85">
        <w:rPr>
          <w:color w:val="000000" w:themeColor="text1"/>
        </w:rPr>
        <w:t>or whether</w:t>
      </w:r>
      <w:r w:rsidR="00BE7ABA">
        <w:rPr>
          <w:color w:val="000000" w:themeColor="text1"/>
        </w:rPr>
        <w:t xml:space="preserve"> he was Catholic himself</w:t>
      </w:r>
      <w:r w:rsidR="00840201">
        <w:rPr>
          <w:color w:val="000000" w:themeColor="text1"/>
        </w:rPr>
        <w:t xml:space="preserve">; </w:t>
      </w:r>
      <w:r w:rsidR="00424BE4">
        <w:rPr>
          <w:color w:val="000000" w:themeColor="text1"/>
        </w:rPr>
        <w:t>Bennett, on the other hand, was very honest about her insider connection to her participants</w:t>
      </w:r>
      <w:r w:rsidR="00864DB7">
        <w:rPr>
          <w:color w:val="000000" w:themeColor="text1"/>
        </w:rPr>
        <w:t>.</w:t>
      </w:r>
      <w:r w:rsidR="00C93B27">
        <w:rPr>
          <w:color w:val="000000" w:themeColor="text1"/>
        </w:rPr>
        <w:t xml:space="preserve"> </w:t>
      </w:r>
      <w:r w:rsidR="00376BD5">
        <w:rPr>
          <w:color w:val="000000" w:themeColor="text1"/>
        </w:rPr>
        <w:t xml:space="preserve">Bennett </w:t>
      </w:r>
      <w:r w:rsidR="000E7148">
        <w:rPr>
          <w:color w:val="000000" w:themeColor="text1"/>
        </w:rPr>
        <w:t xml:space="preserve">thoroughly </w:t>
      </w:r>
      <w:r w:rsidR="00192394">
        <w:rPr>
          <w:color w:val="000000" w:themeColor="text1"/>
        </w:rPr>
        <w:t xml:space="preserve">reviewed </w:t>
      </w:r>
      <w:r w:rsidR="00B92A35">
        <w:rPr>
          <w:color w:val="000000" w:themeColor="text1"/>
        </w:rPr>
        <w:t xml:space="preserve">the </w:t>
      </w:r>
      <w:r w:rsidR="006D534D">
        <w:rPr>
          <w:color w:val="000000" w:themeColor="text1"/>
        </w:rPr>
        <w:t xml:space="preserve">history of </w:t>
      </w:r>
      <w:r w:rsidR="004D2464">
        <w:rPr>
          <w:color w:val="000000" w:themeColor="text1"/>
        </w:rPr>
        <w:t>British folklore</w:t>
      </w:r>
      <w:r w:rsidR="00265C38">
        <w:rPr>
          <w:color w:val="000000" w:themeColor="text1"/>
        </w:rPr>
        <w:t xml:space="preserve">, </w:t>
      </w:r>
      <w:r w:rsidR="006D534D">
        <w:rPr>
          <w:color w:val="000000" w:themeColor="text1"/>
        </w:rPr>
        <w:t xml:space="preserve">but, </w:t>
      </w:r>
      <w:r w:rsidR="00265C38">
        <w:rPr>
          <w:color w:val="000000" w:themeColor="text1"/>
        </w:rPr>
        <w:t xml:space="preserve">like Brink, she too failed to clearly define </w:t>
      </w:r>
      <w:r w:rsidR="00D2246D">
        <w:rPr>
          <w:color w:val="000000" w:themeColor="text1"/>
        </w:rPr>
        <w:t>what she meant by ‘astrology’. Neither author appeared to define this</w:t>
      </w:r>
      <w:r w:rsidR="00322BC6">
        <w:rPr>
          <w:color w:val="000000" w:themeColor="text1"/>
        </w:rPr>
        <w:t xml:space="preserve"> term for their participants, suggesting that the</w:t>
      </w:r>
      <w:r w:rsidR="004335A3">
        <w:rPr>
          <w:color w:val="000000" w:themeColor="text1"/>
        </w:rPr>
        <w:t>ir</w:t>
      </w:r>
      <w:r w:rsidR="00322BC6">
        <w:rPr>
          <w:color w:val="000000" w:themeColor="text1"/>
        </w:rPr>
        <w:t xml:space="preserve"> </w:t>
      </w:r>
      <w:r w:rsidR="004335A3">
        <w:rPr>
          <w:color w:val="000000" w:themeColor="text1"/>
        </w:rPr>
        <w:t>research findings</w:t>
      </w:r>
      <w:r w:rsidR="00125C7F">
        <w:rPr>
          <w:color w:val="000000" w:themeColor="text1"/>
        </w:rPr>
        <w:t xml:space="preserve"> could be</w:t>
      </w:r>
      <w:r w:rsidR="005D18F8">
        <w:rPr>
          <w:color w:val="000000" w:themeColor="text1"/>
        </w:rPr>
        <w:t xml:space="preserve"> </w:t>
      </w:r>
      <w:r w:rsidR="00125C7F">
        <w:rPr>
          <w:color w:val="000000" w:themeColor="text1"/>
        </w:rPr>
        <w:t>biased</w:t>
      </w:r>
      <w:r w:rsidR="001A3E09">
        <w:rPr>
          <w:color w:val="000000" w:themeColor="text1"/>
        </w:rPr>
        <w:t xml:space="preserve"> against astrology</w:t>
      </w:r>
      <w:r w:rsidR="00125C7F">
        <w:rPr>
          <w:color w:val="000000" w:themeColor="text1"/>
        </w:rPr>
        <w:t xml:space="preserve">. </w:t>
      </w:r>
      <w:r w:rsidR="006817B3">
        <w:rPr>
          <w:color w:val="000000" w:themeColor="text1"/>
        </w:rPr>
        <w:t xml:space="preserve">To </w:t>
      </w:r>
      <w:r w:rsidR="00146C48">
        <w:rPr>
          <w:color w:val="000000" w:themeColor="text1"/>
        </w:rPr>
        <w:t xml:space="preserve">alleviate this issue in future </w:t>
      </w:r>
      <w:r w:rsidR="00733E37">
        <w:rPr>
          <w:color w:val="000000" w:themeColor="text1"/>
        </w:rPr>
        <w:t>studies</w:t>
      </w:r>
      <w:r w:rsidR="00146C48">
        <w:rPr>
          <w:color w:val="000000" w:themeColor="text1"/>
        </w:rPr>
        <w:t xml:space="preserve">, a more </w:t>
      </w:r>
      <w:r w:rsidR="00CC159A">
        <w:rPr>
          <w:color w:val="000000" w:themeColor="text1"/>
        </w:rPr>
        <w:t>comprehensive</w:t>
      </w:r>
      <w:r w:rsidR="00146C48">
        <w:rPr>
          <w:color w:val="000000" w:themeColor="text1"/>
        </w:rPr>
        <w:t xml:space="preserve"> review into the </w:t>
      </w:r>
      <w:r w:rsidR="008B1C44">
        <w:rPr>
          <w:color w:val="000000" w:themeColor="text1"/>
        </w:rPr>
        <w:t>historical and cultural background</w:t>
      </w:r>
      <w:r w:rsidR="008B6496">
        <w:rPr>
          <w:color w:val="000000" w:themeColor="text1"/>
        </w:rPr>
        <w:t xml:space="preserve"> of astrology</w:t>
      </w:r>
      <w:r w:rsidR="00E33FD8">
        <w:rPr>
          <w:color w:val="000000" w:themeColor="text1"/>
        </w:rPr>
        <w:t xml:space="preserve"> would </w:t>
      </w:r>
      <w:r w:rsidR="00B94FAF">
        <w:rPr>
          <w:color w:val="000000" w:themeColor="text1"/>
        </w:rPr>
        <w:t>greatly help to make research such as Bennett</w:t>
      </w:r>
      <w:r w:rsidR="000C3796">
        <w:rPr>
          <w:color w:val="000000" w:themeColor="text1"/>
        </w:rPr>
        <w:t>’s</w:t>
      </w:r>
      <w:r w:rsidR="00B94FAF">
        <w:rPr>
          <w:color w:val="000000" w:themeColor="text1"/>
        </w:rPr>
        <w:t xml:space="preserve"> and Brink’s </w:t>
      </w:r>
      <w:r w:rsidR="00A37684">
        <w:rPr>
          <w:color w:val="000000" w:themeColor="text1"/>
        </w:rPr>
        <w:t>to be less biased</w:t>
      </w:r>
      <w:r w:rsidR="0050163E">
        <w:rPr>
          <w:color w:val="000000" w:themeColor="text1"/>
        </w:rPr>
        <w:t xml:space="preserve"> and assuming</w:t>
      </w:r>
      <w:r w:rsidR="00A37684">
        <w:rPr>
          <w:color w:val="000000" w:themeColor="text1"/>
        </w:rPr>
        <w:t>.</w:t>
      </w:r>
      <w:r w:rsidR="00864DB7">
        <w:rPr>
          <w:color w:val="000000" w:themeColor="text1"/>
        </w:rPr>
        <w:t xml:space="preserve"> </w:t>
      </w:r>
    </w:p>
    <w:p w14:paraId="509135FF" w14:textId="77777777" w:rsidR="008F21FB" w:rsidRDefault="008F21FB" w:rsidP="00303B93">
      <w:pPr>
        <w:rPr>
          <w:color w:val="000000" w:themeColor="text1"/>
        </w:rPr>
      </w:pPr>
    </w:p>
    <w:p w14:paraId="3841DB87" w14:textId="6574E565" w:rsidR="00C26604" w:rsidRDefault="00C26604" w:rsidP="00303B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References</w:t>
      </w:r>
    </w:p>
    <w:p w14:paraId="02BE8E4D" w14:textId="77777777" w:rsidR="005E30E0" w:rsidRPr="00A07B91" w:rsidRDefault="005E30E0" w:rsidP="00303B93">
      <w:pPr>
        <w:rPr>
          <w:b/>
          <w:bCs/>
          <w:sz w:val="14"/>
          <w:szCs w:val="14"/>
        </w:rPr>
      </w:pPr>
    </w:p>
    <w:p w14:paraId="30EAF690" w14:textId="77777777" w:rsidR="00D506A8" w:rsidRDefault="00D506A8" w:rsidP="00303B93">
      <w:r>
        <w:t>Bennett, Gillian, ‘</w:t>
      </w:r>
      <w:r w:rsidRPr="00C0411E">
        <w:t>“</w:t>
      </w:r>
      <w:r>
        <w:t xml:space="preserve">If I Knew You Were Coming, I’d Have Baked a Cake”: The Folklore of Foreknowledge in a Neighborhood Group’, in </w:t>
      </w:r>
      <w:r>
        <w:rPr>
          <w:i/>
          <w:iCs/>
        </w:rPr>
        <w:t>Out of the Ordinary: Folklore and the Supernatural,</w:t>
      </w:r>
      <w:r>
        <w:t xml:space="preserve"> ed. by Barbara Walker (Logan, Utah: Utah University Press, 1995), pp. 122</w:t>
      </w:r>
      <w:r w:rsidRPr="00C65D28">
        <w:rPr>
          <w:color w:val="3A3A3A"/>
          <w:shd w:val="clear" w:color="auto" w:fill="FFFFFF"/>
        </w:rPr>
        <w:t>–</w:t>
      </w:r>
      <w:r>
        <w:t>142.</w:t>
      </w:r>
    </w:p>
    <w:p w14:paraId="2C81F823" w14:textId="77777777" w:rsidR="00D70E0A" w:rsidRPr="002630C1" w:rsidRDefault="00D70E0A" w:rsidP="00303B93">
      <w:pPr>
        <w:rPr>
          <w:sz w:val="28"/>
          <w:szCs w:val="28"/>
        </w:rPr>
      </w:pPr>
    </w:p>
    <w:p w14:paraId="4101C15D" w14:textId="77777777" w:rsidR="00D506A8" w:rsidRDefault="00D506A8" w:rsidP="00303B93">
      <w:r>
        <w:t xml:space="preserve">Bennett, Gillian, </w:t>
      </w:r>
      <w:r>
        <w:rPr>
          <w:i/>
          <w:iCs/>
        </w:rPr>
        <w:t>Alas, Poor Ghost! Traditions of Belief in Story and Discourse</w:t>
      </w:r>
      <w:r>
        <w:t xml:space="preserve"> (Logan, Utah: Utah University Press, 1999).</w:t>
      </w:r>
    </w:p>
    <w:p w14:paraId="0D491632" w14:textId="77777777" w:rsidR="00D70E0A" w:rsidRPr="002630C1" w:rsidRDefault="00D70E0A" w:rsidP="00303B93">
      <w:pPr>
        <w:rPr>
          <w:sz w:val="28"/>
          <w:szCs w:val="28"/>
        </w:rPr>
      </w:pPr>
    </w:p>
    <w:p w14:paraId="7B63D876" w14:textId="77777777" w:rsidR="00D506A8" w:rsidRDefault="00D506A8" w:rsidP="00303B93">
      <w:r>
        <w:t xml:space="preserve">Bennett, Gillian, </w:t>
      </w:r>
      <w:r>
        <w:rPr>
          <w:i/>
          <w:iCs/>
        </w:rPr>
        <w:t xml:space="preserve">Women, Folklore and the Supernatural Today </w:t>
      </w:r>
      <w:r>
        <w:t>(London: Penguin Books, 1987).</w:t>
      </w:r>
    </w:p>
    <w:p w14:paraId="3CD4CA19" w14:textId="77777777" w:rsidR="00D70E0A" w:rsidRPr="002630C1" w:rsidRDefault="00D70E0A" w:rsidP="00303B93">
      <w:pPr>
        <w:rPr>
          <w:sz w:val="28"/>
          <w:szCs w:val="28"/>
        </w:rPr>
      </w:pPr>
    </w:p>
    <w:p w14:paraId="4074123D" w14:textId="77777777" w:rsidR="00D506A8" w:rsidRDefault="00D506A8" w:rsidP="00303B93">
      <w:r>
        <w:t xml:space="preserve">Brink, T. L., ‘Inconsistency of Belief among Roman Catholic Girls: Concerning Religion, Astrology, Reincarnation’, </w:t>
      </w:r>
      <w:r>
        <w:rPr>
          <w:i/>
          <w:iCs/>
        </w:rPr>
        <w:t xml:space="preserve">Review of Religious Research, </w:t>
      </w:r>
      <w:r>
        <w:t>60.1 (1978), 82</w:t>
      </w:r>
      <w:r w:rsidRPr="00C65D28">
        <w:rPr>
          <w:color w:val="3A3A3A"/>
          <w:shd w:val="clear" w:color="auto" w:fill="FFFFFF"/>
        </w:rPr>
        <w:t>–</w:t>
      </w:r>
      <w:r>
        <w:t>85.</w:t>
      </w:r>
    </w:p>
    <w:p w14:paraId="77E80DD2" w14:textId="77777777" w:rsidR="00D70E0A" w:rsidRPr="002630C1" w:rsidRDefault="00D70E0A" w:rsidP="00303B93">
      <w:pPr>
        <w:rPr>
          <w:sz w:val="28"/>
          <w:szCs w:val="28"/>
        </w:rPr>
      </w:pPr>
    </w:p>
    <w:p w14:paraId="3FEC933D" w14:textId="77777777" w:rsidR="00D506A8" w:rsidRDefault="00D506A8" w:rsidP="00D03BC3">
      <w:pPr>
        <w:rPr>
          <w:color w:val="3A3A3A"/>
          <w:shd w:val="clear" w:color="auto" w:fill="FFFFFF"/>
        </w:rPr>
      </w:pPr>
      <w:r w:rsidRPr="00C65D28">
        <w:rPr>
          <w:color w:val="292626"/>
          <w:shd w:val="clear" w:color="auto" w:fill="FFFFFF"/>
        </w:rPr>
        <w:t>Brink, T. L.,</w:t>
      </w:r>
      <w:r w:rsidRPr="00C65D28">
        <w:rPr>
          <w:color w:val="3A3A3A"/>
          <w:shd w:val="clear" w:color="auto" w:fill="FFFFFF"/>
        </w:rPr>
        <w:t xml:space="preserve"> ‘The Case of Hitler: An Adlerian Perspective on Psychohistory’, </w:t>
      </w:r>
      <w:r w:rsidRPr="00C65D28">
        <w:rPr>
          <w:i/>
          <w:iCs/>
          <w:color w:val="3A3A3A"/>
          <w:shd w:val="clear" w:color="auto" w:fill="FFFFFF"/>
        </w:rPr>
        <w:t>Journal of Individual Psychology</w:t>
      </w:r>
      <w:r w:rsidRPr="00C65D28">
        <w:rPr>
          <w:color w:val="3A3A3A"/>
          <w:shd w:val="clear" w:color="auto" w:fill="FFFFFF"/>
        </w:rPr>
        <w:t>, 31.1 (1975), 23–</w:t>
      </w:r>
      <w:r>
        <w:rPr>
          <w:color w:val="3A3A3A"/>
          <w:shd w:val="clear" w:color="auto" w:fill="FFFFFF"/>
        </w:rPr>
        <w:t>31.</w:t>
      </w:r>
    </w:p>
    <w:p w14:paraId="39DD6ED2" w14:textId="77777777" w:rsidR="00D70E0A" w:rsidRPr="002630C1" w:rsidRDefault="00D70E0A" w:rsidP="00D03BC3">
      <w:pPr>
        <w:rPr>
          <w:color w:val="292626"/>
          <w:sz w:val="28"/>
          <w:szCs w:val="28"/>
          <w:shd w:val="clear" w:color="auto" w:fill="FFFFFF"/>
        </w:rPr>
      </w:pPr>
    </w:p>
    <w:p w14:paraId="71D96645" w14:textId="77777777" w:rsidR="00D506A8" w:rsidRDefault="00D506A8" w:rsidP="00D03BC3">
      <w:pPr>
        <w:rPr>
          <w:color w:val="292626"/>
          <w:shd w:val="clear" w:color="auto" w:fill="FFFFFF"/>
        </w:rPr>
      </w:pPr>
      <w:r>
        <w:rPr>
          <w:color w:val="292626"/>
          <w:shd w:val="clear" w:color="auto" w:fill="FFFFFF"/>
        </w:rPr>
        <w:t xml:space="preserve">Brink, Terry L. </w:t>
      </w:r>
      <w:r>
        <w:rPr>
          <w:i/>
          <w:iCs/>
          <w:color w:val="292626"/>
          <w:shd w:val="clear" w:color="auto" w:fill="FFFFFF"/>
        </w:rPr>
        <w:t xml:space="preserve">Holocaust Survivors’ Mental Health </w:t>
      </w:r>
      <w:r>
        <w:rPr>
          <w:color w:val="292626"/>
          <w:shd w:val="clear" w:color="auto" w:fill="FFFFFF"/>
        </w:rPr>
        <w:t>(Haworth Press Inc., 1994).</w:t>
      </w:r>
    </w:p>
    <w:p w14:paraId="0743E45D" w14:textId="77777777" w:rsidR="00D70E0A" w:rsidRPr="002630C1" w:rsidRDefault="00D70E0A" w:rsidP="00D03BC3">
      <w:pPr>
        <w:rPr>
          <w:color w:val="292626"/>
          <w:sz w:val="28"/>
          <w:szCs w:val="28"/>
          <w:shd w:val="clear" w:color="auto" w:fill="FFFFFF"/>
        </w:rPr>
      </w:pPr>
    </w:p>
    <w:p w14:paraId="3C356079" w14:textId="77777777" w:rsidR="00D506A8" w:rsidRDefault="00D506A8" w:rsidP="00303B93">
      <w:pPr>
        <w:rPr>
          <w:color w:val="222222"/>
          <w:shd w:val="clear" w:color="auto" w:fill="FFFFFF"/>
        </w:rPr>
      </w:pPr>
      <w:r w:rsidRPr="0077542C">
        <w:t>Brink, Terry L., ‘</w:t>
      </w:r>
      <w:r w:rsidRPr="0077542C">
        <w:rPr>
          <w:color w:val="222222"/>
          <w:shd w:val="clear" w:color="auto" w:fill="FFFFFF"/>
        </w:rPr>
        <w:t>Quantitative and/or Qualitative Methods in the Scientific Study of Religion’, </w:t>
      </w:r>
      <w:r w:rsidRPr="0077542C">
        <w:rPr>
          <w:i/>
          <w:iCs/>
          <w:color w:val="222222"/>
          <w:shd w:val="clear" w:color="auto" w:fill="FFFFFF"/>
        </w:rPr>
        <w:t xml:space="preserve">Zygon Journal of Religion and Science, </w:t>
      </w:r>
      <w:r w:rsidRPr="0077542C">
        <w:rPr>
          <w:color w:val="222222"/>
          <w:shd w:val="clear" w:color="auto" w:fill="FFFFFF"/>
        </w:rPr>
        <w:t>30.3 (1995), 461</w:t>
      </w:r>
      <w:r w:rsidRPr="0077542C">
        <w:rPr>
          <w:color w:val="3A3A3A"/>
          <w:shd w:val="clear" w:color="auto" w:fill="FFFFFF"/>
        </w:rPr>
        <w:t>–</w:t>
      </w:r>
      <w:r w:rsidRPr="0077542C">
        <w:rPr>
          <w:color w:val="222222"/>
          <w:shd w:val="clear" w:color="auto" w:fill="FFFFFF"/>
        </w:rPr>
        <w:t>475.</w:t>
      </w:r>
    </w:p>
    <w:p w14:paraId="5A837563" w14:textId="77777777" w:rsidR="00D70E0A" w:rsidRPr="002630C1" w:rsidRDefault="00D70E0A" w:rsidP="00303B93">
      <w:pPr>
        <w:rPr>
          <w:color w:val="222222"/>
          <w:sz w:val="28"/>
          <w:szCs w:val="28"/>
          <w:shd w:val="clear" w:color="auto" w:fill="FFFFFF"/>
        </w:rPr>
      </w:pPr>
    </w:p>
    <w:p w14:paraId="66C2E217" w14:textId="77777777" w:rsidR="00D506A8" w:rsidRDefault="00D506A8" w:rsidP="00C418DC">
      <w:pPr>
        <w:rPr>
          <w:color w:val="3A3A3A"/>
          <w:shd w:val="clear" w:color="auto" w:fill="FFFFFF"/>
        </w:rPr>
      </w:pPr>
      <w:r w:rsidRPr="00D270F3">
        <w:rPr>
          <w:color w:val="3A3A3A"/>
          <w:shd w:val="clear" w:color="auto" w:fill="FFFFFF"/>
        </w:rPr>
        <w:t>Coleman, John C., </w:t>
      </w:r>
      <w:r w:rsidRPr="00D270F3">
        <w:rPr>
          <w:i/>
          <w:iCs/>
          <w:color w:val="3A3A3A"/>
          <w:shd w:val="clear" w:color="auto" w:fill="FFFFFF"/>
        </w:rPr>
        <w:t>The Nature of Adolescence</w:t>
      </w:r>
      <w:r w:rsidRPr="00D270F3">
        <w:rPr>
          <w:color w:val="3A3A3A"/>
          <w:shd w:val="clear" w:color="auto" w:fill="FFFFFF"/>
        </w:rPr>
        <w:t>, 4th ed. (Hove, East Sussex: Routledge, 2011)</w:t>
      </w:r>
      <w:r>
        <w:rPr>
          <w:color w:val="3A3A3A"/>
          <w:shd w:val="clear" w:color="auto" w:fill="FFFFFF"/>
        </w:rPr>
        <w:t>.</w:t>
      </w:r>
    </w:p>
    <w:p w14:paraId="7A225CA0" w14:textId="77777777" w:rsidR="00D70E0A" w:rsidRPr="002630C1" w:rsidRDefault="00D70E0A" w:rsidP="00C418DC">
      <w:pPr>
        <w:rPr>
          <w:sz w:val="28"/>
          <w:szCs w:val="28"/>
        </w:rPr>
      </w:pPr>
    </w:p>
    <w:p w14:paraId="5D6867EB" w14:textId="77777777" w:rsidR="00D506A8" w:rsidRDefault="00D506A8" w:rsidP="00C418DC">
      <w:pPr>
        <w:rPr>
          <w:color w:val="3A3A3A"/>
          <w:shd w:val="clear" w:color="auto" w:fill="FFFFFF"/>
        </w:rPr>
      </w:pPr>
      <w:r>
        <w:rPr>
          <w:color w:val="3A3A3A"/>
          <w:shd w:val="clear" w:color="auto" w:fill="FFFFFF"/>
        </w:rPr>
        <w:t xml:space="preserve">Couture, Amanda L., Arshia U. Zaidi and Eleanor Maticka-Tyndale, </w:t>
      </w:r>
      <w:r w:rsidRPr="00C418DC">
        <w:rPr>
          <w:color w:val="3A3A3A"/>
          <w:shd w:val="clear" w:color="auto" w:fill="FFFFFF"/>
        </w:rPr>
        <w:t>‘Reflexive Accounts: An Intersectional Approach to Exploring the Fluidity of Insider/Outsider Status and the Researcher’s Impact on Culturally Sensitive Post-Positivist Qualitative Research’, </w:t>
      </w:r>
      <w:r w:rsidRPr="00C418DC">
        <w:rPr>
          <w:i/>
          <w:iCs/>
          <w:color w:val="3A3A3A"/>
          <w:shd w:val="clear" w:color="auto" w:fill="FFFFFF"/>
        </w:rPr>
        <w:t>Qualitative Sociology Review: QSR</w:t>
      </w:r>
      <w:r w:rsidRPr="00C418DC">
        <w:rPr>
          <w:color w:val="3A3A3A"/>
          <w:shd w:val="clear" w:color="auto" w:fill="FFFFFF"/>
        </w:rPr>
        <w:t>, 8.1 (2012)</w:t>
      </w:r>
      <w:r>
        <w:rPr>
          <w:color w:val="3A3A3A"/>
          <w:shd w:val="clear" w:color="auto" w:fill="FFFFFF"/>
        </w:rPr>
        <w:t>, 86</w:t>
      </w:r>
      <w:r w:rsidRPr="0077542C">
        <w:rPr>
          <w:color w:val="3A3A3A"/>
          <w:shd w:val="clear" w:color="auto" w:fill="FFFFFF"/>
        </w:rPr>
        <w:t>–</w:t>
      </w:r>
      <w:r>
        <w:rPr>
          <w:color w:val="3A3A3A"/>
          <w:shd w:val="clear" w:color="auto" w:fill="FFFFFF"/>
        </w:rPr>
        <w:t>105.</w:t>
      </w:r>
    </w:p>
    <w:p w14:paraId="5A31942B" w14:textId="77777777" w:rsidR="00D70E0A" w:rsidRPr="002630C1" w:rsidRDefault="00D70E0A" w:rsidP="00C418DC">
      <w:pPr>
        <w:rPr>
          <w:color w:val="3A3A3A"/>
          <w:sz w:val="28"/>
          <w:szCs w:val="28"/>
          <w:shd w:val="clear" w:color="auto" w:fill="FFFFFF"/>
        </w:rPr>
      </w:pPr>
    </w:p>
    <w:p w14:paraId="09677ADD" w14:textId="77777777" w:rsidR="00D506A8" w:rsidRDefault="00D506A8" w:rsidP="00D03BC3">
      <w:pPr>
        <w:rPr>
          <w:color w:val="292626"/>
          <w:shd w:val="clear" w:color="auto" w:fill="FFFFFF"/>
        </w:rPr>
      </w:pPr>
      <w:r w:rsidRPr="009B0D3D">
        <w:t xml:space="preserve">Crafton Hills College, </w:t>
      </w:r>
      <w:r w:rsidRPr="009B0D3D">
        <w:rPr>
          <w:i/>
          <w:iCs/>
        </w:rPr>
        <w:t>T.L Brink</w:t>
      </w:r>
      <w:r w:rsidRPr="009B0D3D">
        <w:t xml:space="preserve"> (2022) &lt;</w:t>
      </w:r>
      <w:r w:rsidRPr="009B0D3D">
        <w:rPr>
          <w:color w:val="292626"/>
          <w:shd w:val="clear" w:color="auto" w:fill="FFFFFF"/>
        </w:rPr>
        <w:t>https://www.craftonhills.edu/this-is-crafton/profiles/tl-brink.php&gt; [accessed 04 March 2022].</w:t>
      </w:r>
    </w:p>
    <w:p w14:paraId="251517CF" w14:textId="77777777" w:rsidR="00D70E0A" w:rsidRPr="002630C1" w:rsidRDefault="00D70E0A" w:rsidP="00D03BC3">
      <w:pPr>
        <w:rPr>
          <w:color w:val="292626"/>
          <w:sz w:val="28"/>
          <w:szCs w:val="28"/>
          <w:shd w:val="clear" w:color="auto" w:fill="FFFFFF"/>
        </w:rPr>
      </w:pPr>
    </w:p>
    <w:p w14:paraId="61E1379D" w14:textId="77777777" w:rsidR="00D506A8" w:rsidRDefault="00D506A8" w:rsidP="00303B93">
      <w:r>
        <w:t xml:space="preserve">Davis, Kathy, Mary Evans and Judith Lorber, </w:t>
      </w:r>
      <w:r>
        <w:rPr>
          <w:i/>
          <w:iCs/>
        </w:rPr>
        <w:t xml:space="preserve">Handbook of Gender and Women’s Studies </w:t>
      </w:r>
      <w:r>
        <w:t>(London: SAGE Publications, 2006).</w:t>
      </w:r>
    </w:p>
    <w:p w14:paraId="52F36236" w14:textId="77777777" w:rsidR="00D70E0A" w:rsidRPr="002630C1" w:rsidRDefault="00D70E0A" w:rsidP="00303B93">
      <w:pPr>
        <w:rPr>
          <w:sz w:val="28"/>
          <w:szCs w:val="28"/>
        </w:rPr>
      </w:pPr>
    </w:p>
    <w:p w14:paraId="181F7F3E" w14:textId="77777777" w:rsidR="00D506A8" w:rsidRDefault="00D506A8" w:rsidP="00303B93">
      <w:r>
        <w:t xml:space="preserve">Farrer, Claire R., ‘Introduction: Women and Folklore: Images and Genres’, </w:t>
      </w:r>
      <w:r>
        <w:rPr>
          <w:i/>
          <w:iCs/>
        </w:rPr>
        <w:t xml:space="preserve">The Journal of American Folklore, </w:t>
      </w:r>
      <w:r>
        <w:t>88.347 (1975), v</w:t>
      </w:r>
      <w:r w:rsidRPr="00C65D28">
        <w:rPr>
          <w:color w:val="3A3A3A"/>
          <w:shd w:val="clear" w:color="auto" w:fill="FFFFFF"/>
        </w:rPr>
        <w:t>–</w:t>
      </w:r>
      <w:r>
        <w:t>xv.</w:t>
      </w:r>
    </w:p>
    <w:p w14:paraId="7FC04D55" w14:textId="77777777" w:rsidR="00D70E0A" w:rsidRPr="002630C1" w:rsidRDefault="00D70E0A" w:rsidP="00303B93">
      <w:pPr>
        <w:rPr>
          <w:sz w:val="28"/>
          <w:szCs w:val="28"/>
        </w:rPr>
      </w:pPr>
    </w:p>
    <w:p w14:paraId="0B613502" w14:textId="77777777" w:rsidR="00D506A8" w:rsidRDefault="00D506A8" w:rsidP="00303B93">
      <w:r w:rsidRPr="000D71B6">
        <w:t xml:space="preserve">Folklore Society, </w:t>
      </w:r>
      <w:r w:rsidRPr="000D71B6">
        <w:rPr>
          <w:i/>
          <w:iCs/>
        </w:rPr>
        <w:t xml:space="preserve">The Coote Lake Medal </w:t>
      </w:r>
      <w:r w:rsidRPr="000D71B6">
        <w:t>(2022) &lt;https://folklore-society.com/awards/the-coote-lake-medal/&gt; [accessed 04 March 2022].</w:t>
      </w:r>
    </w:p>
    <w:p w14:paraId="7CD7919F" w14:textId="77777777" w:rsidR="00D70E0A" w:rsidRPr="002630C1" w:rsidRDefault="00D70E0A" w:rsidP="00303B93">
      <w:pPr>
        <w:rPr>
          <w:sz w:val="28"/>
          <w:szCs w:val="28"/>
        </w:rPr>
      </w:pPr>
    </w:p>
    <w:p w14:paraId="2B3B4C25" w14:textId="77777777" w:rsidR="00D506A8" w:rsidRDefault="00D506A8" w:rsidP="00303B93">
      <w:pPr>
        <w:rPr>
          <w:color w:val="3A3A3A"/>
          <w:shd w:val="clear" w:color="auto" w:fill="FFFFFF"/>
        </w:rPr>
      </w:pPr>
      <w:r>
        <w:rPr>
          <w:color w:val="222222"/>
          <w:shd w:val="clear" w:color="auto" w:fill="FFFFFF"/>
        </w:rPr>
        <w:t xml:space="preserve">Guillemin, Marilys and Lynn Gillam, ‘Ethics, Reflexivity, and “Ethically Important Moments” in Research’, </w:t>
      </w:r>
      <w:r>
        <w:rPr>
          <w:i/>
          <w:iCs/>
          <w:color w:val="222222"/>
          <w:shd w:val="clear" w:color="auto" w:fill="FFFFFF"/>
        </w:rPr>
        <w:t xml:space="preserve">Qualitative Inquiry, </w:t>
      </w:r>
      <w:r>
        <w:rPr>
          <w:color w:val="222222"/>
          <w:shd w:val="clear" w:color="auto" w:fill="FFFFFF"/>
        </w:rPr>
        <w:t>10.2 (2004), 261</w:t>
      </w:r>
      <w:r w:rsidRPr="0077542C">
        <w:rPr>
          <w:color w:val="3A3A3A"/>
          <w:shd w:val="clear" w:color="auto" w:fill="FFFFFF"/>
        </w:rPr>
        <w:t>–</w:t>
      </w:r>
      <w:r>
        <w:rPr>
          <w:color w:val="3A3A3A"/>
          <w:shd w:val="clear" w:color="auto" w:fill="FFFFFF"/>
        </w:rPr>
        <w:t>280.</w:t>
      </w:r>
    </w:p>
    <w:p w14:paraId="466695C1" w14:textId="77777777" w:rsidR="00D70E0A" w:rsidRPr="002630C1" w:rsidRDefault="00D70E0A" w:rsidP="00303B93">
      <w:pPr>
        <w:rPr>
          <w:color w:val="3A3A3A"/>
          <w:sz w:val="28"/>
          <w:szCs w:val="28"/>
          <w:shd w:val="clear" w:color="auto" w:fill="FFFFFF"/>
        </w:rPr>
      </w:pPr>
    </w:p>
    <w:p w14:paraId="1CE4E6AF" w14:textId="77777777" w:rsidR="00D506A8" w:rsidRDefault="00D506A8" w:rsidP="00303B93">
      <w:r>
        <w:t xml:space="preserve">Jordan, Rosan A. and F. A. de Caro, ‘Women and the Study of Folklore’, </w:t>
      </w:r>
      <w:r>
        <w:rPr>
          <w:i/>
          <w:iCs/>
        </w:rPr>
        <w:t xml:space="preserve">Signs, </w:t>
      </w:r>
      <w:r>
        <w:t>11.3 (1986), 500</w:t>
      </w:r>
      <w:r w:rsidRPr="00C65D28">
        <w:rPr>
          <w:color w:val="3A3A3A"/>
          <w:shd w:val="clear" w:color="auto" w:fill="FFFFFF"/>
        </w:rPr>
        <w:t>–</w:t>
      </w:r>
      <w:r>
        <w:t xml:space="preserve">518. </w:t>
      </w:r>
    </w:p>
    <w:p w14:paraId="07198C09" w14:textId="77777777" w:rsidR="00D70E0A" w:rsidRPr="002630C1" w:rsidRDefault="00D70E0A" w:rsidP="00303B93">
      <w:pPr>
        <w:rPr>
          <w:sz w:val="28"/>
          <w:szCs w:val="28"/>
        </w:rPr>
      </w:pPr>
    </w:p>
    <w:p w14:paraId="147286BE" w14:textId="77777777" w:rsidR="00D506A8" w:rsidRDefault="00D506A8" w:rsidP="00A75E33">
      <w:pPr>
        <w:rPr>
          <w:color w:val="3A3A3A"/>
          <w:shd w:val="clear" w:color="auto" w:fill="FFFFFF"/>
        </w:rPr>
      </w:pPr>
      <w:r>
        <w:rPr>
          <w:color w:val="3A3A3A"/>
          <w:shd w:val="clear" w:color="auto" w:fill="FFFFFF"/>
        </w:rPr>
        <w:t>Karasneh, Reema and others,</w:t>
      </w:r>
      <w:r w:rsidRPr="00A75E33">
        <w:rPr>
          <w:color w:val="3A3A3A"/>
          <w:shd w:val="clear" w:color="auto" w:fill="FFFFFF"/>
        </w:rPr>
        <w:t xml:space="preserve"> </w:t>
      </w:r>
      <w:r w:rsidRPr="00DE3194">
        <w:rPr>
          <w:color w:val="3A3A3A"/>
          <w:shd w:val="clear" w:color="auto" w:fill="FFFFFF"/>
        </w:rPr>
        <w:t>‘Physicians’ Knowledge, Perceptions, and Attitudes Related to Patient Confidentiality and Data Sharing’, </w:t>
      </w:r>
      <w:r w:rsidRPr="00DE3194">
        <w:rPr>
          <w:i/>
          <w:iCs/>
          <w:color w:val="3A3A3A"/>
          <w:shd w:val="clear" w:color="auto" w:fill="FFFFFF"/>
        </w:rPr>
        <w:t>International Journal of General Medicine</w:t>
      </w:r>
      <w:r w:rsidRPr="00DE3194">
        <w:rPr>
          <w:color w:val="3A3A3A"/>
          <w:shd w:val="clear" w:color="auto" w:fill="FFFFFF"/>
        </w:rPr>
        <w:t>, 14 (2021), 721–</w:t>
      </w:r>
      <w:r>
        <w:rPr>
          <w:color w:val="3A3A3A"/>
          <w:shd w:val="clear" w:color="auto" w:fill="FFFFFF"/>
        </w:rPr>
        <w:t>7</w:t>
      </w:r>
      <w:r w:rsidRPr="00DE3194">
        <w:rPr>
          <w:color w:val="3A3A3A"/>
          <w:shd w:val="clear" w:color="auto" w:fill="FFFFFF"/>
        </w:rPr>
        <w:t>31</w:t>
      </w:r>
      <w:r>
        <w:rPr>
          <w:color w:val="3A3A3A"/>
          <w:shd w:val="clear" w:color="auto" w:fill="FFFFFF"/>
        </w:rPr>
        <w:t>.</w:t>
      </w:r>
    </w:p>
    <w:p w14:paraId="0D7DBDC0" w14:textId="77777777" w:rsidR="005C7230" w:rsidRDefault="005C7230" w:rsidP="00A75E33">
      <w:pPr>
        <w:rPr>
          <w:color w:val="3A3A3A"/>
          <w:shd w:val="clear" w:color="auto" w:fill="FFFFFF"/>
        </w:rPr>
      </w:pPr>
    </w:p>
    <w:p w14:paraId="08A7DF39" w14:textId="77777777" w:rsidR="00D506A8" w:rsidRDefault="00D506A8" w:rsidP="00303B93">
      <w:r w:rsidRPr="00762AD4">
        <w:t>Leo</w:t>
      </w:r>
      <w:r>
        <w:t>, Alan</w:t>
      </w:r>
      <w:r w:rsidRPr="00762AD4">
        <w:t xml:space="preserve">, </w:t>
      </w:r>
      <w:r w:rsidRPr="00762AD4">
        <w:rPr>
          <w:i/>
          <w:iCs/>
        </w:rPr>
        <w:t xml:space="preserve">Astrology for All </w:t>
      </w:r>
      <w:r w:rsidRPr="00762AD4">
        <w:t>(New York: Cosimo, Inc., 2006)</w:t>
      </w:r>
      <w:r>
        <w:t>.</w:t>
      </w:r>
    </w:p>
    <w:p w14:paraId="5ABD6996" w14:textId="77777777" w:rsidR="00D70E0A" w:rsidRPr="002630C1" w:rsidRDefault="00D70E0A" w:rsidP="00303B93">
      <w:pPr>
        <w:rPr>
          <w:color w:val="3A3A3A"/>
          <w:sz w:val="28"/>
          <w:szCs w:val="28"/>
          <w:shd w:val="clear" w:color="auto" w:fill="FFFFFF"/>
        </w:rPr>
      </w:pPr>
    </w:p>
    <w:p w14:paraId="2B2B4A07" w14:textId="77777777" w:rsidR="00D506A8" w:rsidRDefault="00D506A8" w:rsidP="00303B93">
      <w:r>
        <w:t xml:space="preserve">Weigle, Marta, ‘Women as Verbal Artists: Reclaiming the Sisters of Enheduanna’, </w:t>
      </w:r>
      <w:r>
        <w:rPr>
          <w:i/>
          <w:iCs/>
        </w:rPr>
        <w:t xml:space="preserve">Frontiers: A Journal of Women Studies, </w:t>
      </w:r>
      <w:r>
        <w:t>3.3 (1978), 1</w:t>
      </w:r>
      <w:r w:rsidRPr="00C65D28">
        <w:rPr>
          <w:color w:val="3A3A3A"/>
          <w:shd w:val="clear" w:color="auto" w:fill="FFFFFF"/>
        </w:rPr>
        <w:t>–</w:t>
      </w:r>
      <w:r>
        <w:t>9.</w:t>
      </w:r>
    </w:p>
    <w:sectPr w:rsidR="00D506A8" w:rsidSect="005C7230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FD5AF" w14:textId="77777777" w:rsidR="008D398E" w:rsidRDefault="008D398E" w:rsidP="008D398E">
      <w:r>
        <w:separator/>
      </w:r>
    </w:p>
  </w:endnote>
  <w:endnote w:type="continuationSeparator" w:id="0">
    <w:p w14:paraId="108E0372" w14:textId="77777777" w:rsidR="008D398E" w:rsidRDefault="008D398E" w:rsidP="008D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7D216" w14:textId="77777777" w:rsidR="008D398E" w:rsidRDefault="008D398E" w:rsidP="008D398E">
      <w:r>
        <w:separator/>
      </w:r>
    </w:p>
  </w:footnote>
  <w:footnote w:type="continuationSeparator" w:id="0">
    <w:p w14:paraId="00787D46" w14:textId="77777777" w:rsidR="008D398E" w:rsidRDefault="008D398E" w:rsidP="008D398E">
      <w:r>
        <w:continuationSeparator/>
      </w:r>
    </w:p>
  </w:footnote>
  <w:footnote w:id="1">
    <w:p w14:paraId="091D0D9A" w14:textId="769A2C46" w:rsidR="00DF7BD4" w:rsidRPr="004E11A0" w:rsidRDefault="00DF7BD4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</w:t>
      </w:r>
      <w:r w:rsidR="002C568A" w:rsidRPr="004E11A0">
        <w:t xml:space="preserve">Gillian Bennett, ‘“If I Knew You Were Coming, I’d Have Baked a Cake”: The Folklore of Foreknowledge in a Neighborhood Group’, in </w:t>
      </w:r>
      <w:r w:rsidR="002C568A" w:rsidRPr="004E11A0">
        <w:rPr>
          <w:i/>
          <w:iCs/>
        </w:rPr>
        <w:t>Out of the Ordinary: Folklore and the Supernatural,</w:t>
      </w:r>
      <w:r w:rsidR="002C568A" w:rsidRPr="004E11A0">
        <w:t xml:space="preserve"> ed. by Barbara Walker (Logan, Utah: Utah University Press, 1995), pp. 122</w:t>
      </w:r>
      <w:r w:rsidR="002C568A" w:rsidRPr="004E11A0">
        <w:rPr>
          <w:color w:val="3A3A3A"/>
          <w:shd w:val="clear" w:color="auto" w:fill="FFFFFF"/>
        </w:rPr>
        <w:t>–</w:t>
      </w:r>
      <w:r w:rsidR="002C568A" w:rsidRPr="004E11A0">
        <w:t xml:space="preserve">142.; T. L. Brink, ‘Inconsistency of Belief among Roman Catholic Girls: Concerning Religion, Astrology, Reincarnation’, </w:t>
      </w:r>
      <w:r w:rsidR="002C568A" w:rsidRPr="004E11A0">
        <w:rPr>
          <w:i/>
          <w:iCs/>
        </w:rPr>
        <w:t xml:space="preserve">Review of Religious Research, </w:t>
      </w:r>
      <w:r w:rsidR="002C568A" w:rsidRPr="004E11A0">
        <w:t>60.1 (1978), 82</w:t>
      </w:r>
      <w:r w:rsidR="002C568A" w:rsidRPr="004E11A0">
        <w:rPr>
          <w:color w:val="3A3A3A"/>
          <w:shd w:val="clear" w:color="auto" w:fill="FFFFFF"/>
        </w:rPr>
        <w:t>–</w:t>
      </w:r>
      <w:r w:rsidR="002C568A" w:rsidRPr="004E11A0">
        <w:t>85.</w:t>
      </w:r>
    </w:p>
  </w:footnote>
  <w:footnote w:id="2">
    <w:p w14:paraId="224C502B" w14:textId="7C7F69E5" w:rsidR="008D398E" w:rsidRPr="004E11A0" w:rsidRDefault="008D398E" w:rsidP="000D71B6">
      <w:pPr>
        <w:rPr>
          <w:sz w:val="20"/>
          <w:szCs w:val="20"/>
        </w:rPr>
      </w:pPr>
      <w:r w:rsidRPr="004E11A0">
        <w:rPr>
          <w:rStyle w:val="FootnoteReference"/>
          <w:sz w:val="20"/>
          <w:szCs w:val="20"/>
        </w:rPr>
        <w:footnoteRef/>
      </w:r>
      <w:r w:rsidRPr="004E11A0">
        <w:rPr>
          <w:sz w:val="20"/>
          <w:szCs w:val="20"/>
        </w:rPr>
        <w:t xml:space="preserve"> </w:t>
      </w:r>
      <w:r w:rsidR="000D71B6" w:rsidRPr="004E11A0">
        <w:rPr>
          <w:sz w:val="20"/>
          <w:szCs w:val="20"/>
        </w:rPr>
        <w:t xml:space="preserve">Folklore Society, </w:t>
      </w:r>
      <w:r w:rsidR="000D71B6" w:rsidRPr="004E11A0">
        <w:rPr>
          <w:i/>
          <w:iCs/>
          <w:sz w:val="20"/>
          <w:szCs w:val="20"/>
        </w:rPr>
        <w:t xml:space="preserve">The Coote Lake Medal </w:t>
      </w:r>
      <w:r w:rsidR="000D71B6" w:rsidRPr="004E11A0">
        <w:rPr>
          <w:sz w:val="20"/>
          <w:szCs w:val="20"/>
        </w:rPr>
        <w:t>(2022) &lt;https://folklore-society.com/awards/the-coote-lake-medal/&gt; [accessed 04 March 2022].</w:t>
      </w:r>
    </w:p>
  </w:footnote>
  <w:footnote w:id="3">
    <w:p w14:paraId="3D378808" w14:textId="23B773B3" w:rsidR="00F65F8A" w:rsidRPr="004E11A0" w:rsidRDefault="00F65F8A" w:rsidP="009041D8">
      <w:pPr>
        <w:rPr>
          <w:sz w:val="20"/>
          <w:szCs w:val="20"/>
        </w:rPr>
      </w:pPr>
      <w:r w:rsidRPr="004E11A0">
        <w:rPr>
          <w:rStyle w:val="FootnoteReference"/>
          <w:sz w:val="20"/>
          <w:szCs w:val="20"/>
        </w:rPr>
        <w:footnoteRef/>
      </w:r>
      <w:r w:rsidRPr="004E11A0">
        <w:rPr>
          <w:sz w:val="20"/>
          <w:szCs w:val="20"/>
        </w:rPr>
        <w:t xml:space="preserve"> </w:t>
      </w:r>
      <w:r w:rsidR="002C568A" w:rsidRPr="004E11A0">
        <w:rPr>
          <w:sz w:val="20"/>
          <w:szCs w:val="20"/>
        </w:rPr>
        <w:t xml:space="preserve">Bennett, ‘Baked a Cake’, </w:t>
      </w:r>
      <w:r w:rsidR="00CE7FD4" w:rsidRPr="004E11A0">
        <w:rPr>
          <w:sz w:val="20"/>
          <w:szCs w:val="20"/>
        </w:rPr>
        <w:t>p.</w:t>
      </w:r>
      <w:r w:rsidR="00100C21" w:rsidRPr="004E11A0">
        <w:rPr>
          <w:sz w:val="20"/>
          <w:szCs w:val="20"/>
        </w:rPr>
        <w:t xml:space="preserve"> 122.</w:t>
      </w:r>
    </w:p>
  </w:footnote>
  <w:footnote w:id="4">
    <w:p w14:paraId="50EFBD63" w14:textId="29A9551C" w:rsidR="00F65F8A" w:rsidRPr="004E11A0" w:rsidRDefault="00F65F8A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</w:t>
      </w:r>
      <w:r w:rsidR="00CB32CE" w:rsidRPr="004E11A0">
        <w:t>Bennett</w:t>
      </w:r>
      <w:r w:rsidR="008C5CF4" w:rsidRPr="004E11A0">
        <w:t xml:space="preserve">, ‘Baked a Cake’, p. </w:t>
      </w:r>
      <w:r w:rsidR="00005E29" w:rsidRPr="004E11A0">
        <w:t>142</w:t>
      </w:r>
      <w:r w:rsidR="005B2F17" w:rsidRPr="004E11A0">
        <w:t>.</w:t>
      </w:r>
    </w:p>
  </w:footnote>
  <w:footnote w:id="5">
    <w:p w14:paraId="73580FAA" w14:textId="4596331E" w:rsidR="00DE1083" w:rsidRPr="004E11A0" w:rsidRDefault="00DE1083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Rosan A. Jordan and F. A. de Caro, ‘Women and the Study of Folklore’, </w:t>
      </w:r>
      <w:r w:rsidRPr="004E11A0">
        <w:rPr>
          <w:i/>
          <w:iCs/>
        </w:rPr>
        <w:t xml:space="preserve">Signs, </w:t>
      </w:r>
      <w:r w:rsidRPr="004E11A0">
        <w:t>11.3 (1986), 500</w:t>
      </w:r>
      <w:r w:rsidR="009E03BB" w:rsidRPr="004E11A0">
        <w:rPr>
          <w:color w:val="3A3A3A"/>
          <w:shd w:val="clear" w:color="auto" w:fill="FFFFFF"/>
        </w:rPr>
        <w:t>–</w:t>
      </w:r>
      <w:r w:rsidRPr="004E11A0">
        <w:t>518 (p. 501).</w:t>
      </w:r>
    </w:p>
  </w:footnote>
  <w:footnote w:id="6">
    <w:p w14:paraId="65DD9BAF" w14:textId="133E3691" w:rsidR="00572452" w:rsidRPr="004E11A0" w:rsidRDefault="00572452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</w:t>
      </w:r>
      <w:r w:rsidR="00DE1083" w:rsidRPr="004E11A0">
        <w:t xml:space="preserve">Marta Weigle, ‘Women as Verbal Artists: Reclaiming the Sisters of Enheduanna’, </w:t>
      </w:r>
      <w:r w:rsidR="00DE1083" w:rsidRPr="004E11A0">
        <w:rPr>
          <w:i/>
          <w:iCs/>
        </w:rPr>
        <w:t xml:space="preserve">Frontiers: A Journal of Women Studies, </w:t>
      </w:r>
      <w:r w:rsidR="00DE1083" w:rsidRPr="004E11A0">
        <w:t>3.3 (1978), 1</w:t>
      </w:r>
      <w:r w:rsidR="009E03BB" w:rsidRPr="004E11A0">
        <w:rPr>
          <w:color w:val="3A3A3A"/>
          <w:shd w:val="clear" w:color="auto" w:fill="FFFFFF"/>
        </w:rPr>
        <w:t>–</w:t>
      </w:r>
      <w:r w:rsidR="00DE1083" w:rsidRPr="004E11A0">
        <w:t>9 (p</w:t>
      </w:r>
      <w:r w:rsidR="00346460" w:rsidRPr="004E11A0">
        <w:t>p</w:t>
      </w:r>
      <w:r w:rsidR="00DE1083" w:rsidRPr="004E11A0">
        <w:t>.</w:t>
      </w:r>
      <w:r w:rsidR="00346460" w:rsidRPr="004E11A0">
        <w:t xml:space="preserve"> 2</w:t>
      </w:r>
      <w:r w:rsidR="009E03BB" w:rsidRPr="004E11A0">
        <w:rPr>
          <w:color w:val="3A3A3A"/>
          <w:shd w:val="clear" w:color="auto" w:fill="FFFFFF"/>
        </w:rPr>
        <w:t>–</w:t>
      </w:r>
      <w:r w:rsidR="00346460" w:rsidRPr="004E11A0">
        <w:t>3)</w:t>
      </w:r>
      <w:r w:rsidR="00133294">
        <w:t>.</w:t>
      </w:r>
      <w:r w:rsidR="00346460" w:rsidRPr="004E11A0">
        <w:t xml:space="preserve">; </w:t>
      </w:r>
      <w:r w:rsidR="007B5069" w:rsidRPr="004E11A0">
        <w:t xml:space="preserve">Claire R. Farrer, ‘Introduction: Women and Folklore: Images and Genres’, </w:t>
      </w:r>
      <w:r w:rsidR="007B5069" w:rsidRPr="004E11A0">
        <w:rPr>
          <w:i/>
          <w:iCs/>
        </w:rPr>
        <w:t xml:space="preserve">The Journal of American Folklore, </w:t>
      </w:r>
      <w:r w:rsidR="007B5069" w:rsidRPr="004E11A0">
        <w:t>88.347 (1975), v</w:t>
      </w:r>
      <w:r w:rsidR="009E03BB" w:rsidRPr="004E11A0">
        <w:rPr>
          <w:color w:val="3A3A3A"/>
          <w:shd w:val="clear" w:color="auto" w:fill="FFFFFF"/>
        </w:rPr>
        <w:t>–</w:t>
      </w:r>
      <w:r w:rsidR="007B5069" w:rsidRPr="004E11A0">
        <w:t>xv (p. v).</w:t>
      </w:r>
    </w:p>
  </w:footnote>
  <w:footnote w:id="7">
    <w:p w14:paraId="4A6FEE24" w14:textId="5BDB3537" w:rsidR="00E91AD7" w:rsidRPr="004E11A0" w:rsidRDefault="00E91AD7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</w:t>
      </w:r>
      <w:r w:rsidR="00466C1B" w:rsidRPr="004E11A0">
        <w:t xml:space="preserve">Bennett, ‘Baked a Cake’, p. </w:t>
      </w:r>
      <w:r w:rsidR="00D87478" w:rsidRPr="004E11A0">
        <w:t>127.</w:t>
      </w:r>
    </w:p>
  </w:footnote>
  <w:footnote w:id="8">
    <w:p w14:paraId="375C2734" w14:textId="7B09669B" w:rsidR="009839CE" w:rsidRPr="004E11A0" w:rsidRDefault="009839CE" w:rsidP="00874B1E">
      <w:pPr>
        <w:rPr>
          <w:sz w:val="20"/>
          <w:szCs w:val="20"/>
        </w:rPr>
      </w:pPr>
      <w:r w:rsidRPr="004E11A0">
        <w:rPr>
          <w:rStyle w:val="FootnoteReference"/>
          <w:sz w:val="20"/>
          <w:szCs w:val="20"/>
        </w:rPr>
        <w:footnoteRef/>
      </w:r>
      <w:r w:rsidRPr="004E11A0">
        <w:rPr>
          <w:sz w:val="20"/>
          <w:szCs w:val="20"/>
        </w:rPr>
        <w:t xml:space="preserve"> </w:t>
      </w:r>
      <w:r w:rsidR="00031E55" w:rsidRPr="004E11A0">
        <w:rPr>
          <w:sz w:val="20"/>
          <w:szCs w:val="20"/>
        </w:rPr>
        <w:t xml:space="preserve">Gillian Bennett, </w:t>
      </w:r>
      <w:r w:rsidR="00031E55" w:rsidRPr="004E11A0">
        <w:rPr>
          <w:i/>
          <w:iCs/>
          <w:sz w:val="20"/>
          <w:szCs w:val="20"/>
        </w:rPr>
        <w:t xml:space="preserve">Women, Folklore and the Supernatural Today </w:t>
      </w:r>
      <w:r w:rsidR="00031E55" w:rsidRPr="004E11A0">
        <w:rPr>
          <w:sz w:val="20"/>
          <w:szCs w:val="20"/>
        </w:rPr>
        <w:t>(London: Penguin Books, 1987)</w:t>
      </w:r>
      <w:r w:rsidR="00A05B8A">
        <w:rPr>
          <w:sz w:val="20"/>
          <w:szCs w:val="20"/>
        </w:rPr>
        <w:t>.</w:t>
      </w:r>
      <w:r w:rsidR="00031E55" w:rsidRPr="004E11A0">
        <w:rPr>
          <w:sz w:val="20"/>
          <w:szCs w:val="20"/>
        </w:rPr>
        <w:t xml:space="preserve">; Bennett, Gillian, </w:t>
      </w:r>
      <w:r w:rsidR="00031E55" w:rsidRPr="004E11A0">
        <w:rPr>
          <w:i/>
          <w:iCs/>
          <w:sz w:val="20"/>
          <w:szCs w:val="20"/>
        </w:rPr>
        <w:t>Alas, Poor Ghost! Traditions of Belief in Story and Discourse</w:t>
      </w:r>
      <w:r w:rsidR="00031E55" w:rsidRPr="004E11A0">
        <w:rPr>
          <w:sz w:val="20"/>
          <w:szCs w:val="20"/>
        </w:rPr>
        <w:t xml:space="preserve"> (Logan, Utah: Utah University Press, 1999).</w:t>
      </w:r>
    </w:p>
  </w:footnote>
  <w:footnote w:id="9">
    <w:p w14:paraId="7D0F4683" w14:textId="7C35BCBD" w:rsidR="00616036" w:rsidRPr="004E11A0" w:rsidRDefault="00616036" w:rsidP="0077542C">
      <w:pPr>
        <w:rPr>
          <w:color w:val="292626"/>
          <w:sz w:val="20"/>
          <w:szCs w:val="20"/>
          <w:shd w:val="clear" w:color="auto" w:fill="FFFFFF"/>
        </w:rPr>
      </w:pPr>
      <w:r w:rsidRPr="004E11A0">
        <w:rPr>
          <w:rStyle w:val="FootnoteReference"/>
          <w:sz w:val="20"/>
          <w:szCs w:val="20"/>
        </w:rPr>
        <w:footnoteRef/>
      </w:r>
      <w:r w:rsidRPr="004E11A0">
        <w:rPr>
          <w:sz w:val="20"/>
          <w:szCs w:val="20"/>
        </w:rPr>
        <w:t xml:space="preserve"> </w:t>
      </w:r>
      <w:r w:rsidR="0077542C" w:rsidRPr="004E11A0">
        <w:rPr>
          <w:sz w:val="20"/>
          <w:szCs w:val="20"/>
        </w:rPr>
        <w:t xml:space="preserve">Crafton Hills College, </w:t>
      </w:r>
      <w:r w:rsidR="0077542C" w:rsidRPr="004E11A0">
        <w:rPr>
          <w:i/>
          <w:iCs/>
          <w:sz w:val="20"/>
          <w:szCs w:val="20"/>
        </w:rPr>
        <w:t>T.L Brink</w:t>
      </w:r>
      <w:r w:rsidR="0077542C" w:rsidRPr="004E11A0">
        <w:rPr>
          <w:sz w:val="20"/>
          <w:szCs w:val="20"/>
        </w:rPr>
        <w:t xml:space="preserve"> (2022) &lt;</w:t>
      </w:r>
      <w:r w:rsidR="0077542C" w:rsidRPr="004E11A0">
        <w:rPr>
          <w:color w:val="292626"/>
          <w:sz w:val="20"/>
          <w:szCs w:val="20"/>
          <w:shd w:val="clear" w:color="auto" w:fill="FFFFFF"/>
        </w:rPr>
        <w:t>https://www.craftonhills.edu/this-is-crafton/profiles/tl-brink.php&gt; [accessed 04 March 2022].</w:t>
      </w:r>
    </w:p>
  </w:footnote>
  <w:footnote w:id="10">
    <w:p w14:paraId="25998908" w14:textId="05E233E9" w:rsidR="009A5C9F" w:rsidRPr="004E11A0" w:rsidRDefault="009A5C9F" w:rsidP="007E6E13">
      <w:pPr>
        <w:rPr>
          <w:b/>
          <w:bCs/>
          <w:sz w:val="20"/>
          <w:szCs w:val="20"/>
        </w:rPr>
      </w:pPr>
      <w:r w:rsidRPr="004E11A0">
        <w:rPr>
          <w:rStyle w:val="FootnoteReference"/>
          <w:sz w:val="20"/>
          <w:szCs w:val="20"/>
        </w:rPr>
        <w:footnoteRef/>
      </w:r>
      <w:r w:rsidRPr="004E11A0">
        <w:rPr>
          <w:sz w:val="20"/>
          <w:szCs w:val="20"/>
        </w:rPr>
        <w:t xml:space="preserve"> </w:t>
      </w:r>
      <w:r w:rsidR="0072318E" w:rsidRPr="004E11A0">
        <w:rPr>
          <w:sz w:val="20"/>
          <w:szCs w:val="20"/>
        </w:rPr>
        <w:t xml:space="preserve">Terry L. </w:t>
      </w:r>
      <w:r w:rsidR="0072318E" w:rsidRPr="004E11A0">
        <w:rPr>
          <w:color w:val="292626"/>
          <w:sz w:val="20"/>
          <w:szCs w:val="20"/>
          <w:shd w:val="clear" w:color="auto" w:fill="FFFFFF"/>
        </w:rPr>
        <w:t xml:space="preserve">Brink, </w:t>
      </w:r>
      <w:r w:rsidR="0072318E" w:rsidRPr="004E11A0">
        <w:rPr>
          <w:i/>
          <w:iCs/>
          <w:color w:val="292626"/>
          <w:sz w:val="20"/>
          <w:szCs w:val="20"/>
          <w:shd w:val="clear" w:color="auto" w:fill="FFFFFF"/>
        </w:rPr>
        <w:t xml:space="preserve">Holocaust Survivors’ Mental Health </w:t>
      </w:r>
      <w:r w:rsidR="0072318E" w:rsidRPr="004E11A0">
        <w:rPr>
          <w:color w:val="292626"/>
          <w:sz w:val="20"/>
          <w:szCs w:val="20"/>
          <w:shd w:val="clear" w:color="auto" w:fill="FFFFFF"/>
        </w:rPr>
        <w:t>(Haworth Press Inc., 1994)</w:t>
      </w:r>
      <w:r w:rsidR="007C044C">
        <w:rPr>
          <w:color w:val="292626"/>
          <w:sz w:val="20"/>
          <w:szCs w:val="20"/>
          <w:shd w:val="clear" w:color="auto" w:fill="FFFFFF"/>
        </w:rPr>
        <w:t>.</w:t>
      </w:r>
      <w:r w:rsidR="0072318E" w:rsidRPr="004E11A0">
        <w:rPr>
          <w:color w:val="292626"/>
          <w:sz w:val="20"/>
          <w:szCs w:val="20"/>
          <w:shd w:val="clear" w:color="auto" w:fill="FFFFFF"/>
        </w:rPr>
        <w:t xml:space="preserve">; T. L. Brink, </w:t>
      </w:r>
      <w:r w:rsidR="0072318E" w:rsidRPr="004E11A0">
        <w:rPr>
          <w:color w:val="3A3A3A"/>
          <w:sz w:val="20"/>
          <w:szCs w:val="20"/>
          <w:shd w:val="clear" w:color="auto" w:fill="FFFFFF"/>
        </w:rPr>
        <w:t>‘The Case of Hitler: An Adlerian Perspective on Psychohistory’, </w:t>
      </w:r>
      <w:r w:rsidR="0072318E" w:rsidRPr="004E11A0">
        <w:rPr>
          <w:i/>
          <w:iCs/>
          <w:color w:val="3A3A3A"/>
          <w:sz w:val="20"/>
          <w:szCs w:val="20"/>
          <w:shd w:val="clear" w:color="auto" w:fill="FFFFFF"/>
        </w:rPr>
        <w:t>Journal of Individual Psychology</w:t>
      </w:r>
      <w:r w:rsidR="0072318E" w:rsidRPr="004E11A0">
        <w:rPr>
          <w:color w:val="3A3A3A"/>
          <w:sz w:val="20"/>
          <w:szCs w:val="20"/>
          <w:shd w:val="clear" w:color="auto" w:fill="FFFFFF"/>
        </w:rPr>
        <w:t>, 31.1 (1975), 23–31</w:t>
      </w:r>
      <w:r w:rsidR="007C044C">
        <w:rPr>
          <w:color w:val="3A3A3A"/>
          <w:sz w:val="20"/>
          <w:szCs w:val="20"/>
          <w:shd w:val="clear" w:color="auto" w:fill="FFFFFF"/>
        </w:rPr>
        <w:t>.</w:t>
      </w:r>
      <w:r w:rsidR="0072318E" w:rsidRPr="004E11A0">
        <w:rPr>
          <w:color w:val="3A3A3A"/>
          <w:sz w:val="20"/>
          <w:szCs w:val="20"/>
          <w:shd w:val="clear" w:color="auto" w:fill="FFFFFF"/>
        </w:rPr>
        <w:t xml:space="preserve">; Terry L. </w:t>
      </w:r>
      <w:r w:rsidR="0072318E" w:rsidRPr="004E11A0">
        <w:rPr>
          <w:sz w:val="20"/>
          <w:szCs w:val="20"/>
        </w:rPr>
        <w:t>Brink, ‘</w:t>
      </w:r>
      <w:r w:rsidR="0072318E" w:rsidRPr="004E11A0">
        <w:rPr>
          <w:color w:val="222222"/>
          <w:sz w:val="20"/>
          <w:szCs w:val="20"/>
          <w:shd w:val="clear" w:color="auto" w:fill="FFFFFF"/>
        </w:rPr>
        <w:t>Quantitative and/or Qualitative Methods in the Scientific Study of Religion’, </w:t>
      </w:r>
      <w:r w:rsidR="0072318E" w:rsidRPr="004E11A0">
        <w:rPr>
          <w:i/>
          <w:iCs/>
          <w:color w:val="222222"/>
          <w:sz w:val="20"/>
          <w:szCs w:val="20"/>
          <w:shd w:val="clear" w:color="auto" w:fill="FFFFFF"/>
        </w:rPr>
        <w:t xml:space="preserve">Zygon Journal of Religion and Science, </w:t>
      </w:r>
      <w:r w:rsidR="0072318E" w:rsidRPr="004E11A0">
        <w:rPr>
          <w:color w:val="222222"/>
          <w:sz w:val="20"/>
          <w:szCs w:val="20"/>
          <w:shd w:val="clear" w:color="auto" w:fill="FFFFFF"/>
        </w:rPr>
        <w:t>30.3 (1995), 461</w:t>
      </w:r>
      <w:r w:rsidR="0072318E" w:rsidRPr="004E11A0">
        <w:rPr>
          <w:color w:val="3A3A3A"/>
          <w:sz w:val="20"/>
          <w:szCs w:val="20"/>
          <w:shd w:val="clear" w:color="auto" w:fill="FFFFFF"/>
        </w:rPr>
        <w:t>–</w:t>
      </w:r>
      <w:r w:rsidR="0072318E" w:rsidRPr="004E11A0">
        <w:rPr>
          <w:color w:val="222222"/>
          <w:sz w:val="20"/>
          <w:szCs w:val="20"/>
          <w:shd w:val="clear" w:color="auto" w:fill="FFFFFF"/>
        </w:rPr>
        <w:t>475.</w:t>
      </w:r>
    </w:p>
  </w:footnote>
  <w:footnote w:id="11">
    <w:p w14:paraId="454F8A55" w14:textId="7429E64E" w:rsidR="00142C22" w:rsidRPr="004E11A0" w:rsidRDefault="00142C22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</w:t>
      </w:r>
      <w:r w:rsidR="00CE4B2A" w:rsidRPr="004E11A0">
        <w:t xml:space="preserve">Kathy Davis, Mary Evans and Judith Lorber, </w:t>
      </w:r>
      <w:r w:rsidR="00CE4B2A" w:rsidRPr="004E11A0">
        <w:rPr>
          <w:i/>
          <w:iCs/>
        </w:rPr>
        <w:t xml:space="preserve">Handbook of Gender and Women’s Studies </w:t>
      </w:r>
      <w:r w:rsidR="00CE4B2A" w:rsidRPr="004E11A0">
        <w:t>(London: SAGE Publications, 2006), pp. 171</w:t>
      </w:r>
      <w:r w:rsidR="00CE4B2A" w:rsidRPr="004E11A0">
        <w:rPr>
          <w:color w:val="3A3A3A"/>
          <w:shd w:val="clear" w:color="auto" w:fill="FFFFFF"/>
        </w:rPr>
        <w:t>–</w:t>
      </w:r>
      <w:r w:rsidR="00CE4B2A" w:rsidRPr="004E11A0">
        <w:t>172.</w:t>
      </w:r>
    </w:p>
  </w:footnote>
  <w:footnote w:id="12">
    <w:p w14:paraId="5D11EE78" w14:textId="15344BB0" w:rsidR="00670CC4" w:rsidRPr="004E11A0" w:rsidRDefault="00670CC4" w:rsidP="00EA19B3">
      <w:pPr>
        <w:rPr>
          <w:sz w:val="20"/>
          <w:szCs w:val="20"/>
        </w:rPr>
      </w:pPr>
      <w:r w:rsidRPr="004E11A0">
        <w:rPr>
          <w:rStyle w:val="FootnoteReference"/>
          <w:sz w:val="20"/>
          <w:szCs w:val="20"/>
        </w:rPr>
        <w:footnoteRef/>
      </w:r>
      <w:r w:rsidRPr="004E11A0">
        <w:rPr>
          <w:sz w:val="20"/>
          <w:szCs w:val="20"/>
        </w:rPr>
        <w:t xml:space="preserve"> </w:t>
      </w:r>
      <w:r w:rsidR="008B6395" w:rsidRPr="004E11A0">
        <w:rPr>
          <w:sz w:val="20"/>
          <w:szCs w:val="20"/>
        </w:rPr>
        <w:t>Brink, ‘Inconsistency of Belief’, p. 82.</w:t>
      </w:r>
    </w:p>
  </w:footnote>
  <w:footnote w:id="13">
    <w:p w14:paraId="0B1BD9B7" w14:textId="5A974C0E" w:rsidR="002A3B59" w:rsidRPr="004E11A0" w:rsidRDefault="002A3B59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</w:t>
      </w:r>
      <w:r w:rsidR="00903DBC" w:rsidRPr="004E11A0">
        <w:t xml:space="preserve">Brink, </w:t>
      </w:r>
      <w:r w:rsidR="006707FB" w:rsidRPr="004E11A0">
        <w:t>‘Inconsistency of Belief’, p. 83</w:t>
      </w:r>
      <w:r w:rsidR="0068148B" w:rsidRPr="004E11A0">
        <w:t>.</w:t>
      </w:r>
    </w:p>
  </w:footnote>
  <w:footnote w:id="14">
    <w:p w14:paraId="633C0ACB" w14:textId="767CB4FE" w:rsidR="00B63E91" w:rsidRPr="004E11A0" w:rsidRDefault="00B63E91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</w:t>
      </w:r>
      <w:r w:rsidR="0068148B" w:rsidRPr="004E11A0">
        <w:t>Brink, ‘Inconsistency of Belief’, pp. 83</w:t>
      </w:r>
      <w:r w:rsidR="0068148B" w:rsidRPr="004E11A0">
        <w:rPr>
          <w:color w:val="3A3A3A"/>
          <w:shd w:val="clear" w:color="auto" w:fill="FFFFFF"/>
        </w:rPr>
        <w:t>–84.</w:t>
      </w:r>
    </w:p>
  </w:footnote>
  <w:footnote w:id="15">
    <w:p w14:paraId="199D1F11" w14:textId="6950C55C" w:rsidR="004A593E" w:rsidRPr="004E11A0" w:rsidRDefault="004A593E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</w:t>
      </w:r>
      <w:r w:rsidR="007E3E20" w:rsidRPr="004E11A0">
        <w:t>Bennett, ‘Baked a Cake’, p</w:t>
      </w:r>
      <w:r w:rsidR="0056337B" w:rsidRPr="004E11A0">
        <w:t>p. 126</w:t>
      </w:r>
      <w:r w:rsidR="0056337B" w:rsidRPr="004E11A0">
        <w:rPr>
          <w:color w:val="3A3A3A"/>
          <w:shd w:val="clear" w:color="auto" w:fill="FFFFFF"/>
        </w:rPr>
        <w:t>–</w:t>
      </w:r>
      <w:r w:rsidR="0056337B" w:rsidRPr="004E11A0">
        <w:t>127.</w:t>
      </w:r>
    </w:p>
  </w:footnote>
  <w:footnote w:id="16">
    <w:p w14:paraId="45984B76" w14:textId="4C7B12E0" w:rsidR="00B60ED5" w:rsidRPr="004E11A0" w:rsidRDefault="00B60ED5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</w:t>
      </w:r>
      <w:r w:rsidR="00B7566C" w:rsidRPr="004E11A0">
        <w:t>Bennett, ‘Baked a Cake’, p.</w:t>
      </w:r>
      <w:r w:rsidR="00BA5938" w:rsidRPr="004E11A0">
        <w:t xml:space="preserve"> 128</w:t>
      </w:r>
      <w:r w:rsidR="0058180C" w:rsidRPr="004E11A0">
        <w:t>.</w:t>
      </w:r>
    </w:p>
  </w:footnote>
  <w:footnote w:id="17">
    <w:p w14:paraId="77A63790" w14:textId="28445144" w:rsidR="009D0AC9" w:rsidRPr="004E11A0" w:rsidRDefault="009D0AC9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</w:t>
      </w:r>
      <w:r w:rsidR="002703A2" w:rsidRPr="004E11A0">
        <w:t>Brink, ‘Inconsistency of Belief’, p. 83.</w:t>
      </w:r>
    </w:p>
  </w:footnote>
  <w:footnote w:id="18">
    <w:p w14:paraId="54BE027C" w14:textId="6282DF71" w:rsidR="005D008F" w:rsidRPr="004E11A0" w:rsidRDefault="005D008F">
      <w:pPr>
        <w:pStyle w:val="FootnoteText"/>
      </w:pPr>
      <w:r w:rsidRPr="004E11A0">
        <w:rPr>
          <w:rStyle w:val="FootnoteReference"/>
        </w:rPr>
        <w:footnoteRef/>
      </w:r>
      <w:r w:rsidRPr="004E11A0">
        <w:t xml:space="preserve"> </w:t>
      </w:r>
      <w:r w:rsidR="005F25EA" w:rsidRPr="004E11A0">
        <w:t>Brink, ‘Inconsistency of Belief’, p. 82.</w:t>
      </w:r>
    </w:p>
  </w:footnote>
  <w:footnote w:id="19">
    <w:p w14:paraId="7C5F2A6E" w14:textId="19907E5F" w:rsidR="00783E68" w:rsidRPr="004E11A0" w:rsidRDefault="00783E68">
      <w:pPr>
        <w:pStyle w:val="FootnoteText"/>
        <w:rPr>
          <w:color w:val="000000" w:themeColor="text1"/>
        </w:rPr>
      </w:pPr>
      <w:r w:rsidRPr="004E11A0">
        <w:rPr>
          <w:rStyle w:val="FootnoteReference"/>
          <w:color w:val="000000" w:themeColor="text1"/>
        </w:rPr>
        <w:footnoteRef/>
      </w:r>
      <w:r w:rsidRPr="004E11A0">
        <w:rPr>
          <w:color w:val="000000" w:themeColor="text1"/>
        </w:rPr>
        <w:t xml:space="preserve"> </w:t>
      </w:r>
      <w:r w:rsidR="005F25EA" w:rsidRPr="004E11A0">
        <w:rPr>
          <w:color w:val="000000" w:themeColor="text1"/>
        </w:rPr>
        <w:t>Brink, ‘Inconsistency of Belief’, p</w:t>
      </w:r>
      <w:r w:rsidR="00F049B1" w:rsidRPr="004E11A0">
        <w:rPr>
          <w:color w:val="000000" w:themeColor="text1"/>
        </w:rPr>
        <w:t>p</w:t>
      </w:r>
      <w:r w:rsidR="005F25EA" w:rsidRPr="004E11A0">
        <w:rPr>
          <w:color w:val="000000" w:themeColor="text1"/>
        </w:rPr>
        <w:t>. 8</w:t>
      </w:r>
      <w:r w:rsidR="006A571B" w:rsidRPr="004E11A0">
        <w:rPr>
          <w:color w:val="000000" w:themeColor="text1"/>
        </w:rPr>
        <w:t>4</w:t>
      </w:r>
      <w:r w:rsidR="00A315E5" w:rsidRPr="004E11A0">
        <w:rPr>
          <w:color w:val="000000" w:themeColor="text1"/>
          <w:shd w:val="clear" w:color="auto" w:fill="FFFFFF"/>
        </w:rPr>
        <w:t>–</w:t>
      </w:r>
      <w:r w:rsidR="00F049B1" w:rsidRPr="004E11A0">
        <w:rPr>
          <w:color w:val="000000" w:themeColor="text1"/>
        </w:rPr>
        <w:t>85</w:t>
      </w:r>
      <w:r w:rsidR="005F25EA" w:rsidRPr="004E11A0">
        <w:rPr>
          <w:color w:val="000000" w:themeColor="text1"/>
        </w:rPr>
        <w:t>.</w:t>
      </w:r>
    </w:p>
  </w:footnote>
  <w:footnote w:id="20">
    <w:p w14:paraId="29C73C33" w14:textId="65D8162A" w:rsidR="009C44E0" w:rsidRPr="008B6395" w:rsidRDefault="009C44E0">
      <w:pPr>
        <w:pStyle w:val="FootnoteText"/>
        <w:rPr>
          <w:color w:val="000000" w:themeColor="text1"/>
          <w:sz w:val="22"/>
          <w:szCs w:val="22"/>
        </w:rPr>
      </w:pPr>
      <w:r w:rsidRPr="004E11A0">
        <w:rPr>
          <w:rStyle w:val="FootnoteReference"/>
          <w:color w:val="000000" w:themeColor="text1"/>
        </w:rPr>
        <w:footnoteRef/>
      </w:r>
      <w:r w:rsidRPr="004E11A0">
        <w:rPr>
          <w:color w:val="000000" w:themeColor="text1"/>
        </w:rPr>
        <w:t xml:space="preserve"> </w:t>
      </w:r>
      <w:r w:rsidR="002C08D3" w:rsidRPr="004E11A0">
        <w:rPr>
          <w:color w:val="000000" w:themeColor="text1"/>
        </w:rPr>
        <w:t xml:space="preserve">Sigmund Freud, ‘Thoughts for the Times on War and Death’, </w:t>
      </w:r>
      <w:r w:rsidR="002C08D3" w:rsidRPr="004E11A0">
        <w:rPr>
          <w:i/>
          <w:iCs/>
          <w:color w:val="000000" w:themeColor="text1"/>
        </w:rPr>
        <w:t>Imago,</w:t>
      </w:r>
      <w:r w:rsidR="002C08D3" w:rsidRPr="004E11A0">
        <w:rPr>
          <w:color w:val="000000" w:themeColor="text1"/>
        </w:rPr>
        <w:t xml:space="preserve"> 5 (1915), 7</w:t>
      </w:r>
      <w:r w:rsidR="002C08D3" w:rsidRPr="004E11A0">
        <w:rPr>
          <w:color w:val="000000" w:themeColor="text1"/>
          <w:shd w:val="clear" w:color="auto" w:fill="FFFFFF"/>
        </w:rPr>
        <w:t xml:space="preserve">–33, cited in </w:t>
      </w:r>
      <w:r w:rsidR="002C08D3" w:rsidRPr="004E11A0">
        <w:rPr>
          <w:color w:val="000000" w:themeColor="text1"/>
        </w:rPr>
        <w:t>Brink, ‘Inconsistency of Belief’, p. 84.</w:t>
      </w:r>
      <w:r w:rsidR="002C08D3">
        <w:rPr>
          <w:color w:val="000000" w:themeColor="text1"/>
        </w:rPr>
        <w:t xml:space="preserve">; </w:t>
      </w:r>
      <w:r w:rsidR="0025035A" w:rsidRPr="004E11A0">
        <w:rPr>
          <w:color w:val="000000" w:themeColor="text1"/>
        </w:rPr>
        <w:t>Robert Wuthnow</w:t>
      </w:r>
      <w:r w:rsidR="00CB2FBA" w:rsidRPr="004E11A0">
        <w:rPr>
          <w:color w:val="000000" w:themeColor="text1"/>
        </w:rPr>
        <w:t xml:space="preserve">, ‘Astrology and Marginality’, </w:t>
      </w:r>
      <w:r w:rsidR="00CB2FBA" w:rsidRPr="004E11A0">
        <w:rPr>
          <w:i/>
          <w:iCs/>
          <w:color w:val="000000" w:themeColor="text1"/>
        </w:rPr>
        <w:t>Journal for the Scientific Study of Religion</w:t>
      </w:r>
      <w:r w:rsidR="00510540" w:rsidRPr="004E11A0">
        <w:rPr>
          <w:color w:val="000000" w:themeColor="text1"/>
        </w:rPr>
        <w:t>, 15.2 (1976)</w:t>
      </w:r>
      <w:r w:rsidR="00C502E1" w:rsidRPr="004E11A0">
        <w:rPr>
          <w:color w:val="000000" w:themeColor="text1"/>
        </w:rPr>
        <w:t>,</w:t>
      </w:r>
      <w:r w:rsidR="00510540" w:rsidRPr="004E11A0">
        <w:rPr>
          <w:color w:val="000000" w:themeColor="text1"/>
        </w:rPr>
        <w:t xml:space="preserve"> 157</w:t>
      </w:r>
      <w:r w:rsidR="00510540" w:rsidRPr="004E11A0">
        <w:rPr>
          <w:color w:val="000000" w:themeColor="text1"/>
          <w:spacing w:val="-5"/>
          <w:shd w:val="clear" w:color="auto" w:fill="FFFFFF"/>
        </w:rPr>
        <w:t xml:space="preserve">–168, cited in </w:t>
      </w:r>
      <w:r w:rsidR="006935EE" w:rsidRPr="004E11A0">
        <w:rPr>
          <w:color w:val="000000" w:themeColor="text1"/>
        </w:rPr>
        <w:t>Brink, ‘Inconsistency of Belief’, p. 84</w:t>
      </w:r>
      <w:r w:rsidR="002C08D3">
        <w:rPr>
          <w:color w:val="000000" w:themeColor="text1"/>
        </w:rPr>
        <w:t>.</w:t>
      </w:r>
    </w:p>
  </w:footnote>
  <w:footnote w:id="21">
    <w:p w14:paraId="7B69E496" w14:textId="0502E00D" w:rsidR="00411F74" w:rsidRPr="008B6395" w:rsidRDefault="00411F74">
      <w:pPr>
        <w:pStyle w:val="FootnoteText"/>
        <w:rPr>
          <w:color w:val="000000" w:themeColor="text1"/>
          <w:sz w:val="22"/>
          <w:szCs w:val="22"/>
        </w:rPr>
      </w:pPr>
      <w:r w:rsidRPr="00DF5442">
        <w:rPr>
          <w:rStyle w:val="FootnoteReference"/>
          <w:color w:val="000000" w:themeColor="text1"/>
        </w:rPr>
        <w:footnoteRef/>
      </w:r>
      <w:r w:rsidRPr="00DF5442">
        <w:rPr>
          <w:color w:val="000000" w:themeColor="text1"/>
        </w:rPr>
        <w:t xml:space="preserve"> </w:t>
      </w:r>
      <w:r w:rsidR="00EB61CA" w:rsidRPr="00DF5442">
        <w:rPr>
          <w:color w:val="000000" w:themeColor="text1"/>
        </w:rPr>
        <w:t>Brink, ‘Inconsistency of Belief’, p. 84.</w:t>
      </w:r>
    </w:p>
  </w:footnote>
  <w:footnote w:id="22">
    <w:p w14:paraId="1893FC67" w14:textId="30171F5F" w:rsidR="00411F74" w:rsidRPr="004437AD" w:rsidRDefault="00411F74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</w:t>
      </w:r>
      <w:r w:rsidR="00EC5AAC" w:rsidRPr="004437AD">
        <w:rPr>
          <w:color w:val="000000" w:themeColor="text1"/>
        </w:rPr>
        <w:t xml:space="preserve">John Aubrey, </w:t>
      </w:r>
      <w:r w:rsidR="00EC5AAC" w:rsidRPr="004437AD">
        <w:rPr>
          <w:i/>
          <w:iCs/>
          <w:color w:val="000000" w:themeColor="text1"/>
        </w:rPr>
        <w:t xml:space="preserve">Miscellanies </w:t>
      </w:r>
      <w:r w:rsidR="00EC5AAC" w:rsidRPr="004437AD">
        <w:rPr>
          <w:color w:val="000000" w:themeColor="text1"/>
        </w:rPr>
        <w:t>(London: Edward Castle</w:t>
      </w:r>
      <w:r w:rsidR="007A3788" w:rsidRPr="004437AD">
        <w:rPr>
          <w:color w:val="000000" w:themeColor="text1"/>
        </w:rPr>
        <w:t>, 1696), cited in Bennett, ‘Baked a Cake’, p</w:t>
      </w:r>
      <w:r w:rsidR="005F17A6" w:rsidRPr="004437AD">
        <w:rPr>
          <w:color w:val="000000" w:themeColor="text1"/>
        </w:rPr>
        <w:t>p</w:t>
      </w:r>
      <w:r w:rsidR="007A3788" w:rsidRPr="004437AD">
        <w:rPr>
          <w:color w:val="000000" w:themeColor="text1"/>
        </w:rPr>
        <w:t xml:space="preserve">. </w:t>
      </w:r>
      <w:r w:rsidR="00C373FF" w:rsidRPr="004437AD">
        <w:rPr>
          <w:color w:val="000000" w:themeColor="text1"/>
        </w:rPr>
        <w:t>122</w:t>
      </w:r>
      <w:r w:rsidR="00137263" w:rsidRPr="004437AD">
        <w:rPr>
          <w:color w:val="000000" w:themeColor="text1"/>
          <w:shd w:val="clear" w:color="auto" w:fill="FFFFFF"/>
        </w:rPr>
        <w:t>–</w:t>
      </w:r>
      <w:r w:rsidR="005F17A6" w:rsidRPr="004437AD">
        <w:rPr>
          <w:color w:val="000000" w:themeColor="text1"/>
        </w:rPr>
        <w:t>123</w:t>
      </w:r>
      <w:r w:rsidR="00C373FF" w:rsidRPr="004437AD">
        <w:rPr>
          <w:color w:val="000000" w:themeColor="text1"/>
        </w:rPr>
        <w:t>.</w:t>
      </w:r>
    </w:p>
  </w:footnote>
  <w:footnote w:id="23">
    <w:p w14:paraId="5A8F8981" w14:textId="6B5724DC" w:rsidR="002A6810" w:rsidRPr="004437AD" w:rsidRDefault="002A6810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</w:t>
      </w:r>
      <w:r w:rsidR="00433285" w:rsidRPr="004437AD">
        <w:rPr>
          <w:color w:val="000000" w:themeColor="text1"/>
        </w:rPr>
        <w:t>Bennett, ‘Baked a Cake’, p</w:t>
      </w:r>
      <w:r w:rsidR="002B5BE5" w:rsidRPr="004437AD">
        <w:rPr>
          <w:color w:val="000000" w:themeColor="text1"/>
        </w:rPr>
        <w:t>p</w:t>
      </w:r>
      <w:r w:rsidR="00433285" w:rsidRPr="004437AD">
        <w:rPr>
          <w:color w:val="000000" w:themeColor="text1"/>
        </w:rPr>
        <w:t xml:space="preserve">. </w:t>
      </w:r>
      <w:r w:rsidR="005F17A6" w:rsidRPr="004437AD">
        <w:rPr>
          <w:color w:val="000000" w:themeColor="text1"/>
        </w:rPr>
        <w:t>124</w:t>
      </w:r>
      <w:r w:rsidR="00137263" w:rsidRPr="004437AD">
        <w:rPr>
          <w:color w:val="000000" w:themeColor="text1"/>
          <w:shd w:val="clear" w:color="auto" w:fill="FFFFFF"/>
        </w:rPr>
        <w:t>–</w:t>
      </w:r>
      <w:r w:rsidR="002B5BE5" w:rsidRPr="004437AD">
        <w:rPr>
          <w:color w:val="000000" w:themeColor="text1"/>
        </w:rPr>
        <w:t>125.</w:t>
      </w:r>
    </w:p>
  </w:footnote>
  <w:footnote w:id="24">
    <w:p w14:paraId="6CAA8A25" w14:textId="6003CA08" w:rsidR="007A66F7" w:rsidRPr="004437AD" w:rsidRDefault="007A66F7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="00137263" w:rsidRPr="004437AD">
        <w:rPr>
          <w:color w:val="000000" w:themeColor="text1"/>
        </w:rPr>
        <w:t xml:space="preserve"> Bennett, ‘Baked a Cake’, pp. 129</w:t>
      </w:r>
      <w:r w:rsidR="00137263" w:rsidRPr="004437AD">
        <w:rPr>
          <w:color w:val="000000" w:themeColor="text1"/>
          <w:shd w:val="clear" w:color="auto" w:fill="FFFFFF"/>
        </w:rPr>
        <w:t>–</w:t>
      </w:r>
      <w:r w:rsidR="00137263" w:rsidRPr="004437AD">
        <w:rPr>
          <w:color w:val="000000" w:themeColor="text1"/>
        </w:rPr>
        <w:t>132, 137</w:t>
      </w:r>
      <w:r w:rsidR="00137263" w:rsidRPr="004437AD">
        <w:rPr>
          <w:color w:val="000000" w:themeColor="text1"/>
          <w:shd w:val="clear" w:color="auto" w:fill="FFFFFF"/>
        </w:rPr>
        <w:t>–</w:t>
      </w:r>
      <w:r w:rsidR="00137263" w:rsidRPr="004437AD">
        <w:rPr>
          <w:color w:val="000000" w:themeColor="text1"/>
        </w:rPr>
        <w:t>138.</w:t>
      </w:r>
    </w:p>
  </w:footnote>
  <w:footnote w:id="25">
    <w:p w14:paraId="600C6EFF" w14:textId="77777777" w:rsidR="006476C4" w:rsidRPr="004437AD" w:rsidRDefault="006476C4" w:rsidP="006476C4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Brink, ‘Inconsistency of Belief’, p. 82.</w:t>
      </w:r>
    </w:p>
  </w:footnote>
  <w:footnote w:id="26">
    <w:p w14:paraId="580B2532" w14:textId="77777777" w:rsidR="006476C4" w:rsidRPr="004437AD" w:rsidRDefault="006476C4" w:rsidP="006476C4">
      <w:pPr>
        <w:pStyle w:val="FootnoteText"/>
        <w:rPr>
          <w:i/>
          <w:iCs/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Alan Leo, </w:t>
      </w:r>
      <w:r w:rsidRPr="004437AD">
        <w:rPr>
          <w:i/>
          <w:iCs/>
          <w:color w:val="000000" w:themeColor="text1"/>
        </w:rPr>
        <w:t xml:space="preserve">Astrology for All </w:t>
      </w:r>
      <w:r w:rsidRPr="004437AD">
        <w:rPr>
          <w:color w:val="000000" w:themeColor="text1"/>
        </w:rPr>
        <w:t>(New York: Cosimo, Inc., 2006), pp. 293</w:t>
      </w:r>
      <w:r w:rsidRPr="004437AD">
        <w:rPr>
          <w:color w:val="000000" w:themeColor="text1"/>
          <w:shd w:val="clear" w:color="auto" w:fill="FFFFFF"/>
        </w:rPr>
        <w:t>–</w:t>
      </w:r>
      <w:r w:rsidRPr="004437AD">
        <w:rPr>
          <w:color w:val="000000" w:themeColor="text1"/>
        </w:rPr>
        <w:t>294.</w:t>
      </w:r>
    </w:p>
  </w:footnote>
  <w:footnote w:id="27">
    <w:p w14:paraId="3A26600F" w14:textId="26F6675B" w:rsidR="001D2BE8" w:rsidRPr="004437AD" w:rsidRDefault="001D2BE8" w:rsidP="00C2112F">
      <w:pPr>
        <w:rPr>
          <w:b/>
          <w:bCs/>
          <w:color w:val="000000" w:themeColor="text1"/>
          <w:sz w:val="20"/>
          <w:szCs w:val="20"/>
        </w:rPr>
      </w:pPr>
      <w:r w:rsidRPr="004437AD">
        <w:rPr>
          <w:rStyle w:val="FootnoteReference"/>
          <w:color w:val="000000" w:themeColor="text1"/>
          <w:sz w:val="20"/>
          <w:szCs w:val="20"/>
        </w:rPr>
        <w:footnoteRef/>
      </w:r>
      <w:r w:rsidR="000630C9" w:rsidRPr="004437AD">
        <w:rPr>
          <w:color w:val="000000" w:themeColor="text1"/>
          <w:sz w:val="20"/>
          <w:szCs w:val="20"/>
        </w:rPr>
        <w:t xml:space="preserve"> Amanda L. </w:t>
      </w:r>
      <w:r w:rsidR="000630C9" w:rsidRPr="004437AD">
        <w:rPr>
          <w:color w:val="000000" w:themeColor="text1"/>
          <w:sz w:val="20"/>
          <w:szCs w:val="20"/>
          <w:shd w:val="clear" w:color="auto" w:fill="FFFFFF"/>
        </w:rPr>
        <w:t>Couture, Arshia U. Zaidi and Eleanor Maticka-Tyndale, ‘Reflexive Accounts: An Intersectional Approach to Exploring the Fluidity of Insider/Outsider Status and the Researcher’s Impact on Culturally Sensitive Post-Positivist Qualitative Research’, </w:t>
      </w:r>
      <w:r w:rsidR="000630C9" w:rsidRPr="004437AD">
        <w:rPr>
          <w:i/>
          <w:iCs/>
          <w:color w:val="000000" w:themeColor="text1"/>
          <w:sz w:val="20"/>
          <w:szCs w:val="20"/>
          <w:shd w:val="clear" w:color="auto" w:fill="FFFFFF"/>
        </w:rPr>
        <w:t>Qualitative Sociology Review: QSR</w:t>
      </w:r>
      <w:r w:rsidR="000630C9" w:rsidRPr="004437AD">
        <w:rPr>
          <w:color w:val="000000" w:themeColor="text1"/>
          <w:sz w:val="20"/>
          <w:szCs w:val="20"/>
          <w:shd w:val="clear" w:color="auto" w:fill="FFFFFF"/>
        </w:rPr>
        <w:t xml:space="preserve">, 8.1 (2012), 86–105 (pp. </w:t>
      </w:r>
      <w:r w:rsidR="00C2112F" w:rsidRPr="004437AD">
        <w:rPr>
          <w:color w:val="000000" w:themeColor="text1"/>
          <w:sz w:val="20"/>
          <w:szCs w:val="20"/>
          <w:shd w:val="clear" w:color="auto" w:fill="FFFFFF"/>
        </w:rPr>
        <w:t>89</w:t>
      </w:r>
      <w:r w:rsidR="006F2FC5" w:rsidRPr="004437AD">
        <w:rPr>
          <w:color w:val="000000" w:themeColor="text1"/>
          <w:sz w:val="20"/>
          <w:szCs w:val="20"/>
          <w:shd w:val="clear" w:color="auto" w:fill="FFFFFF"/>
        </w:rPr>
        <w:t>–</w:t>
      </w:r>
      <w:r w:rsidR="00C2112F" w:rsidRPr="004437AD">
        <w:rPr>
          <w:color w:val="000000" w:themeColor="text1"/>
          <w:sz w:val="20"/>
          <w:szCs w:val="20"/>
          <w:shd w:val="clear" w:color="auto" w:fill="FFFFFF"/>
        </w:rPr>
        <w:t>92).</w:t>
      </w:r>
    </w:p>
  </w:footnote>
  <w:footnote w:id="28">
    <w:p w14:paraId="180C8D51" w14:textId="15077C73" w:rsidR="00862D3E" w:rsidRPr="004437AD" w:rsidRDefault="00862D3E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</w:t>
      </w:r>
      <w:r w:rsidR="001860B9" w:rsidRPr="004437AD">
        <w:rPr>
          <w:color w:val="000000" w:themeColor="text1"/>
        </w:rPr>
        <w:t>John C. Coleman</w:t>
      </w:r>
      <w:r w:rsidR="001860B9" w:rsidRPr="004437AD">
        <w:rPr>
          <w:color w:val="000000" w:themeColor="text1"/>
          <w:shd w:val="clear" w:color="auto" w:fill="FFFFFF"/>
        </w:rPr>
        <w:t>, </w:t>
      </w:r>
      <w:r w:rsidR="001860B9" w:rsidRPr="004437AD">
        <w:rPr>
          <w:i/>
          <w:iCs/>
          <w:color w:val="000000" w:themeColor="text1"/>
          <w:shd w:val="clear" w:color="auto" w:fill="FFFFFF"/>
        </w:rPr>
        <w:t>The Nature of Adolescence</w:t>
      </w:r>
      <w:r w:rsidR="001860B9" w:rsidRPr="004437AD">
        <w:rPr>
          <w:color w:val="000000" w:themeColor="text1"/>
          <w:shd w:val="clear" w:color="auto" w:fill="FFFFFF"/>
        </w:rPr>
        <w:t>, 4th ed. (Hove, East Sussex: Routledge, 2011), p. 45</w:t>
      </w:r>
      <w:r w:rsidR="004E585C">
        <w:rPr>
          <w:color w:val="000000" w:themeColor="text1"/>
          <w:shd w:val="clear" w:color="auto" w:fill="FFFFFF"/>
        </w:rPr>
        <w:t>.</w:t>
      </w:r>
    </w:p>
  </w:footnote>
  <w:footnote w:id="29">
    <w:p w14:paraId="7004C026" w14:textId="0CBC11D6" w:rsidR="00A63F12" w:rsidRPr="004437AD" w:rsidRDefault="00A63F12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="000D18FE" w:rsidRPr="004437AD">
        <w:rPr>
          <w:color w:val="000000" w:themeColor="text1"/>
        </w:rPr>
        <w:t xml:space="preserve"> </w:t>
      </w:r>
      <w:r w:rsidR="006E4BE7" w:rsidRPr="004437AD">
        <w:rPr>
          <w:color w:val="000000" w:themeColor="text1"/>
        </w:rPr>
        <w:t xml:space="preserve">Erik H. Erickson, </w:t>
      </w:r>
      <w:r w:rsidR="006E4BE7" w:rsidRPr="004437AD">
        <w:rPr>
          <w:i/>
          <w:iCs/>
          <w:color w:val="000000" w:themeColor="text1"/>
        </w:rPr>
        <w:t>Childhood and Society</w:t>
      </w:r>
      <w:r w:rsidR="005F06B2" w:rsidRPr="004437AD">
        <w:rPr>
          <w:color w:val="000000" w:themeColor="text1"/>
        </w:rPr>
        <w:t>, (New York: Norton, 1950), cited in</w:t>
      </w:r>
      <w:r w:rsidRPr="004437AD">
        <w:rPr>
          <w:color w:val="000000" w:themeColor="text1"/>
        </w:rPr>
        <w:t xml:space="preserve"> </w:t>
      </w:r>
      <w:r w:rsidR="005F06B2" w:rsidRPr="004437AD">
        <w:rPr>
          <w:color w:val="000000" w:themeColor="text1"/>
        </w:rPr>
        <w:t>Brink, ‘Inconsistency of Belief’, p. 84.; Erik H Erickson</w:t>
      </w:r>
      <w:r w:rsidR="009A538D" w:rsidRPr="004437AD">
        <w:rPr>
          <w:color w:val="000000" w:themeColor="text1"/>
        </w:rPr>
        <w:t xml:space="preserve">, </w:t>
      </w:r>
      <w:r w:rsidR="009A538D" w:rsidRPr="004437AD">
        <w:rPr>
          <w:i/>
          <w:iCs/>
          <w:color w:val="000000" w:themeColor="text1"/>
        </w:rPr>
        <w:t>Identity and the Life Cycle</w:t>
      </w:r>
      <w:r w:rsidR="009A538D" w:rsidRPr="004437AD">
        <w:rPr>
          <w:color w:val="000000" w:themeColor="text1"/>
        </w:rPr>
        <w:t>,</w:t>
      </w:r>
      <w:r w:rsidR="009A538D" w:rsidRPr="004437AD">
        <w:rPr>
          <w:i/>
          <w:iCs/>
          <w:color w:val="000000" w:themeColor="text1"/>
        </w:rPr>
        <w:t xml:space="preserve"> </w:t>
      </w:r>
      <w:r w:rsidR="009A538D" w:rsidRPr="004437AD">
        <w:rPr>
          <w:color w:val="000000" w:themeColor="text1"/>
        </w:rPr>
        <w:t>(New York: Norton, 195</w:t>
      </w:r>
      <w:r w:rsidR="004D23B1" w:rsidRPr="004437AD">
        <w:rPr>
          <w:color w:val="000000" w:themeColor="text1"/>
        </w:rPr>
        <w:t>9), cited in Brink, ‘Inconsistency of Belief’, p. 84.</w:t>
      </w:r>
    </w:p>
  </w:footnote>
  <w:footnote w:id="30">
    <w:p w14:paraId="7AD098E8" w14:textId="77777777" w:rsidR="00523CDB" w:rsidRPr="004437AD" w:rsidRDefault="00523CDB" w:rsidP="00523CDB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Bennett, ‘Baked a Cake’, pp. 126</w:t>
      </w:r>
      <w:r w:rsidRPr="004437AD">
        <w:rPr>
          <w:color w:val="000000" w:themeColor="text1"/>
          <w:shd w:val="clear" w:color="auto" w:fill="FFFFFF"/>
        </w:rPr>
        <w:t>–</w:t>
      </w:r>
      <w:r w:rsidRPr="004437AD">
        <w:rPr>
          <w:color w:val="000000" w:themeColor="text1"/>
        </w:rPr>
        <w:t>127.</w:t>
      </w:r>
    </w:p>
  </w:footnote>
  <w:footnote w:id="31">
    <w:p w14:paraId="2F86F2AB" w14:textId="77777777" w:rsidR="00523CDB" w:rsidRPr="004437AD" w:rsidRDefault="00523CDB" w:rsidP="00523CDB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Bennett, ‘Baked a Cake’, p. 127.</w:t>
      </w:r>
    </w:p>
  </w:footnote>
  <w:footnote w:id="32">
    <w:p w14:paraId="58028CA3" w14:textId="1442EB10" w:rsidR="00A66719" w:rsidRPr="004437AD" w:rsidRDefault="00A66719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</w:t>
      </w:r>
      <w:r w:rsidR="00C33D41" w:rsidRPr="004437AD">
        <w:rPr>
          <w:color w:val="000000" w:themeColor="text1"/>
        </w:rPr>
        <w:t>Bennett, ‘Baked a Cake’, p. 127.</w:t>
      </w:r>
    </w:p>
  </w:footnote>
  <w:footnote w:id="33">
    <w:p w14:paraId="4408E75E" w14:textId="1E1F395F" w:rsidR="003D7CCE" w:rsidRPr="004437AD" w:rsidRDefault="003D7CCE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="00026B4B" w:rsidRPr="004437AD">
        <w:rPr>
          <w:color w:val="000000" w:themeColor="text1"/>
        </w:rPr>
        <w:t xml:space="preserve"> Brink, ‘Inconsistency of Belief’, p. 83.</w:t>
      </w:r>
    </w:p>
  </w:footnote>
  <w:footnote w:id="34">
    <w:p w14:paraId="23F78EE7" w14:textId="3FE49467" w:rsidR="002E6A3A" w:rsidRPr="004437AD" w:rsidRDefault="002E6A3A" w:rsidP="00273AE5">
      <w:pPr>
        <w:rPr>
          <w:b/>
          <w:bCs/>
          <w:color w:val="000000" w:themeColor="text1"/>
          <w:sz w:val="20"/>
          <w:szCs w:val="20"/>
        </w:rPr>
      </w:pPr>
      <w:r w:rsidRPr="004437AD">
        <w:rPr>
          <w:rStyle w:val="FootnoteReference"/>
          <w:color w:val="000000" w:themeColor="text1"/>
          <w:sz w:val="20"/>
          <w:szCs w:val="20"/>
        </w:rPr>
        <w:footnoteRef/>
      </w:r>
      <w:r w:rsidRPr="004437AD">
        <w:rPr>
          <w:color w:val="000000" w:themeColor="text1"/>
          <w:sz w:val="20"/>
          <w:szCs w:val="20"/>
        </w:rPr>
        <w:t xml:space="preserve"> </w:t>
      </w:r>
      <w:r w:rsidR="004B0041" w:rsidRPr="004437AD">
        <w:rPr>
          <w:color w:val="000000" w:themeColor="text1"/>
          <w:sz w:val="20"/>
          <w:szCs w:val="20"/>
        </w:rPr>
        <w:t xml:space="preserve">Marilys </w:t>
      </w:r>
      <w:r w:rsidR="004B0041" w:rsidRPr="004437AD">
        <w:rPr>
          <w:color w:val="000000" w:themeColor="text1"/>
          <w:sz w:val="20"/>
          <w:szCs w:val="20"/>
          <w:shd w:val="clear" w:color="auto" w:fill="FFFFFF"/>
        </w:rPr>
        <w:t xml:space="preserve">Guillemin and Lynn Gillam, ‘Ethics, Reflexivity, and “Ethically Important Moments” in Research’, </w:t>
      </w:r>
      <w:r w:rsidR="004B0041" w:rsidRPr="004437AD">
        <w:rPr>
          <w:i/>
          <w:iCs/>
          <w:color w:val="000000" w:themeColor="text1"/>
          <w:sz w:val="20"/>
          <w:szCs w:val="20"/>
          <w:shd w:val="clear" w:color="auto" w:fill="FFFFFF"/>
        </w:rPr>
        <w:t xml:space="preserve">Qualitative Inquiry, </w:t>
      </w:r>
      <w:r w:rsidR="004B0041" w:rsidRPr="004437AD">
        <w:rPr>
          <w:color w:val="000000" w:themeColor="text1"/>
          <w:sz w:val="20"/>
          <w:szCs w:val="20"/>
          <w:shd w:val="clear" w:color="auto" w:fill="FFFFFF"/>
        </w:rPr>
        <w:t>10.2 (2004), 261–280 (p.</w:t>
      </w:r>
      <w:r w:rsidR="00057FB1" w:rsidRPr="004437AD">
        <w:rPr>
          <w:color w:val="000000" w:themeColor="text1"/>
          <w:sz w:val="20"/>
          <w:szCs w:val="20"/>
          <w:shd w:val="clear" w:color="auto" w:fill="FFFFFF"/>
        </w:rPr>
        <w:t xml:space="preserve"> 271)</w:t>
      </w:r>
      <w:r w:rsidR="0039476F" w:rsidRPr="004437AD">
        <w:rPr>
          <w:color w:val="000000" w:themeColor="text1"/>
          <w:sz w:val="20"/>
          <w:szCs w:val="20"/>
          <w:shd w:val="clear" w:color="auto" w:fill="FFFFFF"/>
        </w:rPr>
        <w:t>.</w:t>
      </w:r>
    </w:p>
  </w:footnote>
  <w:footnote w:id="35">
    <w:p w14:paraId="23728D3E" w14:textId="686D317C" w:rsidR="00AB601C" w:rsidRPr="004437AD" w:rsidRDefault="00AB601C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</w:t>
      </w:r>
      <w:r w:rsidR="00A8782C" w:rsidRPr="004437AD">
        <w:rPr>
          <w:color w:val="000000" w:themeColor="text1"/>
        </w:rPr>
        <w:t>Bennett, ‘Baked a Cake’, p. 126.</w:t>
      </w:r>
    </w:p>
  </w:footnote>
  <w:footnote w:id="36">
    <w:p w14:paraId="1AF3B963" w14:textId="15A3AE7F" w:rsidR="000D11F6" w:rsidRPr="004437AD" w:rsidRDefault="000D11F6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</w:t>
      </w:r>
      <w:r w:rsidR="00D50937" w:rsidRPr="004437AD">
        <w:rPr>
          <w:color w:val="000000" w:themeColor="text1"/>
        </w:rPr>
        <w:t xml:space="preserve">Bennett, ‘Baked a Cake’, p. </w:t>
      </w:r>
      <w:r w:rsidRPr="004437AD">
        <w:rPr>
          <w:color w:val="000000" w:themeColor="text1"/>
        </w:rPr>
        <w:t>128</w:t>
      </w:r>
      <w:r w:rsidR="00D50937" w:rsidRPr="004437AD">
        <w:rPr>
          <w:color w:val="000000" w:themeColor="text1"/>
        </w:rPr>
        <w:t>.</w:t>
      </w:r>
    </w:p>
  </w:footnote>
  <w:footnote w:id="37">
    <w:p w14:paraId="40158CDD" w14:textId="3F5DB8F9" w:rsidR="001A6AA5" w:rsidRPr="004437AD" w:rsidRDefault="001A6AA5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</w:t>
      </w:r>
      <w:r w:rsidR="004E3917" w:rsidRPr="004437AD">
        <w:rPr>
          <w:color w:val="000000" w:themeColor="text1"/>
        </w:rPr>
        <w:t xml:space="preserve">Bennett, ‘Baked a Cake’, p. </w:t>
      </w:r>
      <w:r w:rsidRPr="004437AD">
        <w:rPr>
          <w:color w:val="000000" w:themeColor="text1"/>
        </w:rPr>
        <w:t>125</w:t>
      </w:r>
      <w:r w:rsidR="004E3917" w:rsidRPr="004437AD">
        <w:rPr>
          <w:color w:val="000000" w:themeColor="text1"/>
        </w:rPr>
        <w:t>.</w:t>
      </w:r>
    </w:p>
  </w:footnote>
  <w:footnote w:id="38">
    <w:p w14:paraId="34702686" w14:textId="335861DA" w:rsidR="00F304B9" w:rsidRPr="004437AD" w:rsidRDefault="00F304B9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</w:t>
      </w:r>
      <w:r w:rsidR="001044F9" w:rsidRPr="004437AD">
        <w:rPr>
          <w:color w:val="000000" w:themeColor="text1"/>
        </w:rPr>
        <w:t>Bennett, ‘Baked a Cake’, p. 127.</w:t>
      </w:r>
    </w:p>
  </w:footnote>
  <w:footnote w:id="39">
    <w:p w14:paraId="5C6AF707" w14:textId="6C3E7AAE" w:rsidR="00AF0C77" w:rsidRPr="004437AD" w:rsidRDefault="00AF0C77" w:rsidP="00E2641F">
      <w:pPr>
        <w:rPr>
          <w:b/>
          <w:bCs/>
          <w:color w:val="000000" w:themeColor="text1"/>
          <w:sz w:val="20"/>
          <w:szCs w:val="20"/>
        </w:rPr>
      </w:pPr>
      <w:r w:rsidRPr="004437AD">
        <w:rPr>
          <w:rStyle w:val="FootnoteReference"/>
          <w:color w:val="000000" w:themeColor="text1"/>
          <w:sz w:val="20"/>
          <w:szCs w:val="20"/>
        </w:rPr>
        <w:footnoteRef/>
      </w:r>
      <w:r w:rsidRPr="004437AD">
        <w:rPr>
          <w:color w:val="000000" w:themeColor="text1"/>
          <w:sz w:val="20"/>
          <w:szCs w:val="20"/>
        </w:rPr>
        <w:t xml:space="preserve"> </w:t>
      </w:r>
      <w:r w:rsidR="00CA398B" w:rsidRPr="004437AD">
        <w:rPr>
          <w:color w:val="000000" w:themeColor="text1"/>
          <w:sz w:val="20"/>
          <w:szCs w:val="20"/>
        </w:rPr>
        <w:t xml:space="preserve">Reema </w:t>
      </w:r>
      <w:r w:rsidR="00CA398B" w:rsidRPr="004437AD">
        <w:rPr>
          <w:color w:val="000000" w:themeColor="text1"/>
          <w:sz w:val="20"/>
          <w:szCs w:val="20"/>
          <w:shd w:val="clear" w:color="auto" w:fill="FFFFFF"/>
        </w:rPr>
        <w:t>Karasneh and others, ‘Physicians’ Knowledge, Perceptions, and Attitudes Related to Patient Confidentiality and Data Sharing’, </w:t>
      </w:r>
      <w:r w:rsidR="00CA398B" w:rsidRPr="004437AD">
        <w:rPr>
          <w:i/>
          <w:iCs/>
          <w:color w:val="000000" w:themeColor="text1"/>
          <w:sz w:val="20"/>
          <w:szCs w:val="20"/>
          <w:shd w:val="clear" w:color="auto" w:fill="FFFFFF"/>
        </w:rPr>
        <w:t>International Journal of General Medicine</w:t>
      </w:r>
      <w:r w:rsidR="00CA398B" w:rsidRPr="004437AD">
        <w:rPr>
          <w:color w:val="000000" w:themeColor="text1"/>
          <w:sz w:val="20"/>
          <w:szCs w:val="20"/>
          <w:shd w:val="clear" w:color="auto" w:fill="FFFFFF"/>
        </w:rPr>
        <w:t>, 14 (2021), 721–731</w:t>
      </w:r>
      <w:r w:rsidR="00E2641F" w:rsidRPr="004437AD">
        <w:rPr>
          <w:color w:val="000000" w:themeColor="text1"/>
          <w:sz w:val="20"/>
          <w:szCs w:val="20"/>
          <w:shd w:val="clear" w:color="auto" w:fill="FFFFFF"/>
        </w:rPr>
        <w:t xml:space="preserve"> (p</w:t>
      </w:r>
      <w:r w:rsidR="00DF0B24" w:rsidRPr="004437AD">
        <w:rPr>
          <w:color w:val="000000" w:themeColor="text1"/>
          <w:sz w:val="20"/>
          <w:szCs w:val="20"/>
          <w:shd w:val="clear" w:color="auto" w:fill="FFFFFF"/>
        </w:rPr>
        <w:t>p</w:t>
      </w:r>
      <w:r w:rsidR="00E2641F" w:rsidRPr="004437AD">
        <w:rPr>
          <w:color w:val="000000" w:themeColor="text1"/>
          <w:sz w:val="20"/>
          <w:szCs w:val="20"/>
          <w:shd w:val="clear" w:color="auto" w:fill="FFFFFF"/>
        </w:rPr>
        <w:t xml:space="preserve">. </w:t>
      </w:r>
      <w:r w:rsidR="00DF0B24" w:rsidRPr="004437AD">
        <w:rPr>
          <w:color w:val="000000" w:themeColor="text1"/>
          <w:sz w:val="20"/>
          <w:szCs w:val="20"/>
          <w:shd w:val="clear" w:color="auto" w:fill="FFFFFF"/>
        </w:rPr>
        <w:t>721–722).</w:t>
      </w:r>
    </w:p>
  </w:footnote>
  <w:footnote w:id="40">
    <w:p w14:paraId="1509D85B" w14:textId="4BA9EDE7" w:rsidR="00CF155D" w:rsidRPr="004437AD" w:rsidRDefault="00CF155D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</w:t>
      </w:r>
      <w:r w:rsidR="00435B3B" w:rsidRPr="004437AD">
        <w:rPr>
          <w:color w:val="000000" w:themeColor="text1"/>
        </w:rPr>
        <w:t xml:space="preserve">Bennett, ‘Baked a Cake’, pp. </w:t>
      </w:r>
      <w:r w:rsidRPr="004437AD">
        <w:rPr>
          <w:color w:val="000000" w:themeColor="text1"/>
        </w:rPr>
        <w:t>133, 135</w:t>
      </w:r>
      <w:r w:rsidR="00435B3B" w:rsidRPr="004437AD">
        <w:rPr>
          <w:color w:val="000000" w:themeColor="text1"/>
        </w:rPr>
        <w:t>.</w:t>
      </w:r>
    </w:p>
  </w:footnote>
  <w:footnote w:id="41">
    <w:p w14:paraId="1F292B2C" w14:textId="6531C477" w:rsidR="00294AF6" w:rsidRPr="004437AD" w:rsidRDefault="00294AF6">
      <w:pPr>
        <w:pStyle w:val="FootnoteText"/>
        <w:rPr>
          <w:color w:val="000000" w:themeColor="text1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</w:t>
      </w:r>
      <w:r w:rsidR="00C64CBA" w:rsidRPr="004437AD">
        <w:rPr>
          <w:color w:val="000000" w:themeColor="text1"/>
        </w:rPr>
        <w:t>Brink, ‘Inconsistency of Belief’, p. 84.</w:t>
      </w:r>
    </w:p>
  </w:footnote>
  <w:footnote w:id="42">
    <w:p w14:paraId="4113B931" w14:textId="700EAB9D" w:rsidR="006C2E13" w:rsidRPr="008B6395" w:rsidRDefault="006C2E13">
      <w:pPr>
        <w:pStyle w:val="FootnoteText"/>
        <w:rPr>
          <w:sz w:val="22"/>
          <w:szCs w:val="22"/>
        </w:rPr>
      </w:pPr>
      <w:r w:rsidRPr="004437AD">
        <w:rPr>
          <w:rStyle w:val="FootnoteReference"/>
          <w:color w:val="000000" w:themeColor="text1"/>
        </w:rPr>
        <w:footnoteRef/>
      </w:r>
      <w:r w:rsidRPr="004437AD">
        <w:rPr>
          <w:color w:val="000000" w:themeColor="text1"/>
        </w:rPr>
        <w:t xml:space="preserve"> </w:t>
      </w:r>
      <w:r w:rsidR="001A5A7D" w:rsidRPr="004437AD">
        <w:rPr>
          <w:color w:val="000000" w:themeColor="text1"/>
        </w:rPr>
        <w:t xml:space="preserve">Bennett, ‘Baked a Cake’, pp. </w:t>
      </w:r>
      <w:r w:rsidR="00127459" w:rsidRPr="004437AD">
        <w:rPr>
          <w:color w:val="000000" w:themeColor="text1"/>
        </w:rPr>
        <w:t>120</w:t>
      </w:r>
      <w:r w:rsidR="00127459" w:rsidRPr="004437AD">
        <w:rPr>
          <w:color w:val="000000" w:themeColor="text1"/>
          <w:shd w:val="clear" w:color="auto" w:fill="FFFFFF"/>
        </w:rPr>
        <w:t xml:space="preserve">–121, 124–125.; </w:t>
      </w:r>
      <w:r w:rsidR="00127459" w:rsidRPr="004437AD">
        <w:rPr>
          <w:color w:val="000000" w:themeColor="text1"/>
        </w:rPr>
        <w:t>Brink, ‘Inconsistency of Belief’, p. 84.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44EA9"/>
    <w:multiLevelType w:val="hybridMultilevel"/>
    <w:tmpl w:val="4E268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84D95"/>
    <w:multiLevelType w:val="multilevel"/>
    <w:tmpl w:val="004EE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A64"/>
    <w:rsid w:val="0000192A"/>
    <w:rsid w:val="0000229C"/>
    <w:rsid w:val="00005E29"/>
    <w:rsid w:val="00006B71"/>
    <w:rsid w:val="00006D31"/>
    <w:rsid w:val="00007854"/>
    <w:rsid w:val="000101DD"/>
    <w:rsid w:val="000108FB"/>
    <w:rsid w:val="0001173B"/>
    <w:rsid w:val="00012293"/>
    <w:rsid w:val="00013F7E"/>
    <w:rsid w:val="000145D8"/>
    <w:rsid w:val="00014EC7"/>
    <w:rsid w:val="00015032"/>
    <w:rsid w:val="0001785B"/>
    <w:rsid w:val="0002161E"/>
    <w:rsid w:val="000225B1"/>
    <w:rsid w:val="000241AD"/>
    <w:rsid w:val="00025099"/>
    <w:rsid w:val="000257A3"/>
    <w:rsid w:val="00025DE4"/>
    <w:rsid w:val="0002625F"/>
    <w:rsid w:val="00026B4B"/>
    <w:rsid w:val="000301BC"/>
    <w:rsid w:val="00031E55"/>
    <w:rsid w:val="00033E87"/>
    <w:rsid w:val="00034719"/>
    <w:rsid w:val="000357C3"/>
    <w:rsid w:val="00037599"/>
    <w:rsid w:val="00037D77"/>
    <w:rsid w:val="00040D21"/>
    <w:rsid w:val="00042B0C"/>
    <w:rsid w:val="00043805"/>
    <w:rsid w:val="00043D25"/>
    <w:rsid w:val="00044246"/>
    <w:rsid w:val="00045D1D"/>
    <w:rsid w:val="00045F15"/>
    <w:rsid w:val="00053B50"/>
    <w:rsid w:val="00053DFB"/>
    <w:rsid w:val="00055729"/>
    <w:rsid w:val="0005602F"/>
    <w:rsid w:val="00057FB1"/>
    <w:rsid w:val="00060366"/>
    <w:rsid w:val="00062648"/>
    <w:rsid w:val="000628B1"/>
    <w:rsid w:val="000630C9"/>
    <w:rsid w:val="000646A9"/>
    <w:rsid w:val="00064ED0"/>
    <w:rsid w:val="0006526D"/>
    <w:rsid w:val="0007191F"/>
    <w:rsid w:val="00072A1D"/>
    <w:rsid w:val="00072D64"/>
    <w:rsid w:val="00075AAF"/>
    <w:rsid w:val="000766BA"/>
    <w:rsid w:val="00081ACD"/>
    <w:rsid w:val="00081DCD"/>
    <w:rsid w:val="000830AE"/>
    <w:rsid w:val="00087E4A"/>
    <w:rsid w:val="00091B5A"/>
    <w:rsid w:val="00092E20"/>
    <w:rsid w:val="00092E5D"/>
    <w:rsid w:val="00096229"/>
    <w:rsid w:val="00096BFA"/>
    <w:rsid w:val="00097AF5"/>
    <w:rsid w:val="000A0FEB"/>
    <w:rsid w:val="000A158B"/>
    <w:rsid w:val="000A336E"/>
    <w:rsid w:val="000A5589"/>
    <w:rsid w:val="000B126A"/>
    <w:rsid w:val="000B27B2"/>
    <w:rsid w:val="000B2C45"/>
    <w:rsid w:val="000B3765"/>
    <w:rsid w:val="000B4E8A"/>
    <w:rsid w:val="000B6322"/>
    <w:rsid w:val="000B776A"/>
    <w:rsid w:val="000C0961"/>
    <w:rsid w:val="000C3216"/>
    <w:rsid w:val="000C339C"/>
    <w:rsid w:val="000C3561"/>
    <w:rsid w:val="000C3796"/>
    <w:rsid w:val="000C3C2D"/>
    <w:rsid w:val="000C55F6"/>
    <w:rsid w:val="000C7D72"/>
    <w:rsid w:val="000D11F6"/>
    <w:rsid w:val="000D18FE"/>
    <w:rsid w:val="000D48CC"/>
    <w:rsid w:val="000D5FA2"/>
    <w:rsid w:val="000D6B2F"/>
    <w:rsid w:val="000D71B6"/>
    <w:rsid w:val="000D7257"/>
    <w:rsid w:val="000D7613"/>
    <w:rsid w:val="000E00FF"/>
    <w:rsid w:val="000E032E"/>
    <w:rsid w:val="000E48BA"/>
    <w:rsid w:val="000E4A1C"/>
    <w:rsid w:val="000E57D2"/>
    <w:rsid w:val="000E58D4"/>
    <w:rsid w:val="000E6F21"/>
    <w:rsid w:val="000E7148"/>
    <w:rsid w:val="000E73BB"/>
    <w:rsid w:val="000F00F4"/>
    <w:rsid w:val="000F23C0"/>
    <w:rsid w:val="000F2BA3"/>
    <w:rsid w:val="000F5AEC"/>
    <w:rsid w:val="000F5F30"/>
    <w:rsid w:val="000F662B"/>
    <w:rsid w:val="00100643"/>
    <w:rsid w:val="00100C21"/>
    <w:rsid w:val="00100CF3"/>
    <w:rsid w:val="00102CF1"/>
    <w:rsid w:val="00103DED"/>
    <w:rsid w:val="001044F9"/>
    <w:rsid w:val="001046CC"/>
    <w:rsid w:val="0010479A"/>
    <w:rsid w:val="001047DF"/>
    <w:rsid w:val="00105CD5"/>
    <w:rsid w:val="001073BC"/>
    <w:rsid w:val="00114E87"/>
    <w:rsid w:val="0011646B"/>
    <w:rsid w:val="001166C1"/>
    <w:rsid w:val="00116D60"/>
    <w:rsid w:val="00117397"/>
    <w:rsid w:val="001228A9"/>
    <w:rsid w:val="00122F75"/>
    <w:rsid w:val="00124B41"/>
    <w:rsid w:val="00125C7F"/>
    <w:rsid w:val="00127210"/>
    <w:rsid w:val="00127459"/>
    <w:rsid w:val="0013127E"/>
    <w:rsid w:val="00131BAA"/>
    <w:rsid w:val="00132F74"/>
    <w:rsid w:val="00133294"/>
    <w:rsid w:val="00133C2E"/>
    <w:rsid w:val="00134037"/>
    <w:rsid w:val="00137263"/>
    <w:rsid w:val="00137B0E"/>
    <w:rsid w:val="00140AF3"/>
    <w:rsid w:val="00142C22"/>
    <w:rsid w:val="00144BB3"/>
    <w:rsid w:val="00146C48"/>
    <w:rsid w:val="00151433"/>
    <w:rsid w:val="00153149"/>
    <w:rsid w:val="0015468B"/>
    <w:rsid w:val="001546DC"/>
    <w:rsid w:val="0015647D"/>
    <w:rsid w:val="001566C4"/>
    <w:rsid w:val="00157D61"/>
    <w:rsid w:val="001609F7"/>
    <w:rsid w:val="001629D2"/>
    <w:rsid w:val="00164F22"/>
    <w:rsid w:val="00166566"/>
    <w:rsid w:val="001701F7"/>
    <w:rsid w:val="0017417C"/>
    <w:rsid w:val="0017539E"/>
    <w:rsid w:val="001758E3"/>
    <w:rsid w:val="001761AD"/>
    <w:rsid w:val="0017633E"/>
    <w:rsid w:val="001773FF"/>
    <w:rsid w:val="001776DE"/>
    <w:rsid w:val="001779E3"/>
    <w:rsid w:val="001811BC"/>
    <w:rsid w:val="00182EFE"/>
    <w:rsid w:val="0018362A"/>
    <w:rsid w:val="001860B9"/>
    <w:rsid w:val="001864CA"/>
    <w:rsid w:val="00190F9A"/>
    <w:rsid w:val="00190FFE"/>
    <w:rsid w:val="00192126"/>
    <w:rsid w:val="00192394"/>
    <w:rsid w:val="00193902"/>
    <w:rsid w:val="0019479A"/>
    <w:rsid w:val="001967F9"/>
    <w:rsid w:val="00196D7C"/>
    <w:rsid w:val="001A0039"/>
    <w:rsid w:val="001A008F"/>
    <w:rsid w:val="001A31FD"/>
    <w:rsid w:val="001A33F7"/>
    <w:rsid w:val="001A352C"/>
    <w:rsid w:val="001A3E09"/>
    <w:rsid w:val="001A5A7D"/>
    <w:rsid w:val="001A6AA5"/>
    <w:rsid w:val="001A7740"/>
    <w:rsid w:val="001B2F5D"/>
    <w:rsid w:val="001B3EDE"/>
    <w:rsid w:val="001B48E7"/>
    <w:rsid w:val="001B5B01"/>
    <w:rsid w:val="001B74AC"/>
    <w:rsid w:val="001C001B"/>
    <w:rsid w:val="001C0EB2"/>
    <w:rsid w:val="001C1C4F"/>
    <w:rsid w:val="001C3470"/>
    <w:rsid w:val="001C5579"/>
    <w:rsid w:val="001C60B2"/>
    <w:rsid w:val="001C64F8"/>
    <w:rsid w:val="001C6C7B"/>
    <w:rsid w:val="001D1114"/>
    <w:rsid w:val="001D1C4A"/>
    <w:rsid w:val="001D2477"/>
    <w:rsid w:val="001D2BE8"/>
    <w:rsid w:val="001D479F"/>
    <w:rsid w:val="001D700C"/>
    <w:rsid w:val="001E07EA"/>
    <w:rsid w:val="001E180B"/>
    <w:rsid w:val="001E2176"/>
    <w:rsid w:val="001E3005"/>
    <w:rsid w:val="001E3CFD"/>
    <w:rsid w:val="001E4CB6"/>
    <w:rsid w:val="001E4FE5"/>
    <w:rsid w:val="001E567C"/>
    <w:rsid w:val="001E5BA4"/>
    <w:rsid w:val="001E6C09"/>
    <w:rsid w:val="001E6CAB"/>
    <w:rsid w:val="001E7FC2"/>
    <w:rsid w:val="001F03E3"/>
    <w:rsid w:val="001F56E5"/>
    <w:rsid w:val="002017A9"/>
    <w:rsid w:val="002021AC"/>
    <w:rsid w:val="002041FC"/>
    <w:rsid w:val="0020631E"/>
    <w:rsid w:val="0020671D"/>
    <w:rsid w:val="002074D0"/>
    <w:rsid w:val="00213880"/>
    <w:rsid w:val="002174A0"/>
    <w:rsid w:val="002208CF"/>
    <w:rsid w:val="00221D5D"/>
    <w:rsid w:val="0022215D"/>
    <w:rsid w:val="00222F48"/>
    <w:rsid w:val="0022408A"/>
    <w:rsid w:val="0022692C"/>
    <w:rsid w:val="00226AD7"/>
    <w:rsid w:val="00226C2D"/>
    <w:rsid w:val="00226E83"/>
    <w:rsid w:val="002272DB"/>
    <w:rsid w:val="00231ABE"/>
    <w:rsid w:val="002321AA"/>
    <w:rsid w:val="00235D16"/>
    <w:rsid w:val="00236374"/>
    <w:rsid w:val="00236739"/>
    <w:rsid w:val="00240BCB"/>
    <w:rsid w:val="00242D20"/>
    <w:rsid w:val="00244176"/>
    <w:rsid w:val="00244AE1"/>
    <w:rsid w:val="00244B44"/>
    <w:rsid w:val="002463B0"/>
    <w:rsid w:val="00247F1A"/>
    <w:rsid w:val="0025035A"/>
    <w:rsid w:val="0025233A"/>
    <w:rsid w:val="00253FE4"/>
    <w:rsid w:val="002542B5"/>
    <w:rsid w:val="002630C1"/>
    <w:rsid w:val="0026518B"/>
    <w:rsid w:val="00265C38"/>
    <w:rsid w:val="00266552"/>
    <w:rsid w:val="00266D58"/>
    <w:rsid w:val="002703A2"/>
    <w:rsid w:val="00270909"/>
    <w:rsid w:val="00271932"/>
    <w:rsid w:val="00271B1D"/>
    <w:rsid w:val="00273AE5"/>
    <w:rsid w:val="002765E9"/>
    <w:rsid w:val="002774A6"/>
    <w:rsid w:val="0027798A"/>
    <w:rsid w:val="00280F3F"/>
    <w:rsid w:val="00281F47"/>
    <w:rsid w:val="00282781"/>
    <w:rsid w:val="0028516A"/>
    <w:rsid w:val="0028631E"/>
    <w:rsid w:val="00292C99"/>
    <w:rsid w:val="00294907"/>
    <w:rsid w:val="00294AF6"/>
    <w:rsid w:val="00294B83"/>
    <w:rsid w:val="0029748C"/>
    <w:rsid w:val="00297F28"/>
    <w:rsid w:val="002A0FF3"/>
    <w:rsid w:val="002A3B59"/>
    <w:rsid w:val="002A53D8"/>
    <w:rsid w:val="002A6810"/>
    <w:rsid w:val="002B0F80"/>
    <w:rsid w:val="002B3A9A"/>
    <w:rsid w:val="002B4020"/>
    <w:rsid w:val="002B512A"/>
    <w:rsid w:val="002B5BE5"/>
    <w:rsid w:val="002B7914"/>
    <w:rsid w:val="002C04DA"/>
    <w:rsid w:val="002C08D3"/>
    <w:rsid w:val="002C363F"/>
    <w:rsid w:val="002C568A"/>
    <w:rsid w:val="002D2847"/>
    <w:rsid w:val="002D3144"/>
    <w:rsid w:val="002D3295"/>
    <w:rsid w:val="002D373C"/>
    <w:rsid w:val="002D3FEC"/>
    <w:rsid w:val="002D4259"/>
    <w:rsid w:val="002E09FC"/>
    <w:rsid w:val="002E0E0F"/>
    <w:rsid w:val="002E1B69"/>
    <w:rsid w:val="002E1E14"/>
    <w:rsid w:val="002E1E45"/>
    <w:rsid w:val="002E2356"/>
    <w:rsid w:val="002E4AC0"/>
    <w:rsid w:val="002E5502"/>
    <w:rsid w:val="002E5B75"/>
    <w:rsid w:val="002E6A3A"/>
    <w:rsid w:val="002E78B3"/>
    <w:rsid w:val="002E795C"/>
    <w:rsid w:val="002E7983"/>
    <w:rsid w:val="002E7AD8"/>
    <w:rsid w:val="002F2122"/>
    <w:rsid w:val="002F3F64"/>
    <w:rsid w:val="002F533B"/>
    <w:rsid w:val="002F55D6"/>
    <w:rsid w:val="002F5837"/>
    <w:rsid w:val="002F654B"/>
    <w:rsid w:val="002F6CF4"/>
    <w:rsid w:val="00300221"/>
    <w:rsid w:val="00303B93"/>
    <w:rsid w:val="00305FBC"/>
    <w:rsid w:val="0031013A"/>
    <w:rsid w:val="003149E8"/>
    <w:rsid w:val="00314B3E"/>
    <w:rsid w:val="00314B9C"/>
    <w:rsid w:val="00315B39"/>
    <w:rsid w:val="00321E34"/>
    <w:rsid w:val="00322016"/>
    <w:rsid w:val="00322BC6"/>
    <w:rsid w:val="00323A1E"/>
    <w:rsid w:val="0032553D"/>
    <w:rsid w:val="003258AD"/>
    <w:rsid w:val="0033308E"/>
    <w:rsid w:val="00333293"/>
    <w:rsid w:val="0033400A"/>
    <w:rsid w:val="00334B00"/>
    <w:rsid w:val="00335495"/>
    <w:rsid w:val="0033667F"/>
    <w:rsid w:val="00336EF5"/>
    <w:rsid w:val="00337083"/>
    <w:rsid w:val="00340FF7"/>
    <w:rsid w:val="00342FDB"/>
    <w:rsid w:val="00344C40"/>
    <w:rsid w:val="00346460"/>
    <w:rsid w:val="00347526"/>
    <w:rsid w:val="00351142"/>
    <w:rsid w:val="00352056"/>
    <w:rsid w:val="00352E40"/>
    <w:rsid w:val="0035316E"/>
    <w:rsid w:val="00355082"/>
    <w:rsid w:val="00355715"/>
    <w:rsid w:val="00356D3B"/>
    <w:rsid w:val="0035768C"/>
    <w:rsid w:val="00361483"/>
    <w:rsid w:val="003619E6"/>
    <w:rsid w:val="0036224B"/>
    <w:rsid w:val="00362A7E"/>
    <w:rsid w:val="003648F0"/>
    <w:rsid w:val="00364E18"/>
    <w:rsid w:val="003659CC"/>
    <w:rsid w:val="00365AA4"/>
    <w:rsid w:val="00365D93"/>
    <w:rsid w:val="00365E7B"/>
    <w:rsid w:val="00366DE6"/>
    <w:rsid w:val="00370469"/>
    <w:rsid w:val="00373936"/>
    <w:rsid w:val="00375A15"/>
    <w:rsid w:val="003766B0"/>
    <w:rsid w:val="00376BD5"/>
    <w:rsid w:val="00381456"/>
    <w:rsid w:val="003827A1"/>
    <w:rsid w:val="00384670"/>
    <w:rsid w:val="003868F1"/>
    <w:rsid w:val="003877BF"/>
    <w:rsid w:val="0039046B"/>
    <w:rsid w:val="00390E65"/>
    <w:rsid w:val="00391905"/>
    <w:rsid w:val="0039198F"/>
    <w:rsid w:val="00391EC0"/>
    <w:rsid w:val="00392049"/>
    <w:rsid w:val="003925D4"/>
    <w:rsid w:val="00392A0A"/>
    <w:rsid w:val="00392F33"/>
    <w:rsid w:val="0039476F"/>
    <w:rsid w:val="00394F92"/>
    <w:rsid w:val="003954B9"/>
    <w:rsid w:val="003964FB"/>
    <w:rsid w:val="00397D30"/>
    <w:rsid w:val="00397E2C"/>
    <w:rsid w:val="003A1BDE"/>
    <w:rsid w:val="003A7279"/>
    <w:rsid w:val="003A737B"/>
    <w:rsid w:val="003B0444"/>
    <w:rsid w:val="003B04B1"/>
    <w:rsid w:val="003B1349"/>
    <w:rsid w:val="003B139E"/>
    <w:rsid w:val="003B4BD5"/>
    <w:rsid w:val="003B4E0A"/>
    <w:rsid w:val="003B5FC9"/>
    <w:rsid w:val="003B71B6"/>
    <w:rsid w:val="003C0A7F"/>
    <w:rsid w:val="003C2858"/>
    <w:rsid w:val="003C376C"/>
    <w:rsid w:val="003C3E68"/>
    <w:rsid w:val="003C5384"/>
    <w:rsid w:val="003C564D"/>
    <w:rsid w:val="003C6040"/>
    <w:rsid w:val="003D21D8"/>
    <w:rsid w:val="003D526F"/>
    <w:rsid w:val="003D5AA1"/>
    <w:rsid w:val="003D668D"/>
    <w:rsid w:val="003D6EDD"/>
    <w:rsid w:val="003D7CCE"/>
    <w:rsid w:val="003E1107"/>
    <w:rsid w:val="003E1729"/>
    <w:rsid w:val="003E3A52"/>
    <w:rsid w:val="003E54DC"/>
    <w:rsid w:val="003F1438"/>
    <w:rsid w:val="003F24B2"/>
    <w:rsid w:val="003F2F2E"/>
    <w:rsid w:val="003F4018"/>
    <w:rsid w:val="003F40C3"/>
    <w:rsid w:val="003F4512"/>
    <w:rsid w:val="003F5151"/>
    <w:rsid w:val="003F5F5F"/>
    <w:rsid w:val="003F646A"/>
    <w:rsid w:val="003F7B9F"/>
    <w:rsid w:val="00401CF7"/>
    <w:rsid w:val="004020E9"/>
    <w:rsid w:val="00402568"/>
    <w:rsid w:val="00402C16"/>
    <w:rsid w:val="00403DEE"/>
    <w:rsid w:val="0040412C"/>
    <w:rsid w:val="00404903"/>
    <w:rsid w:val="00406CEF"/>
    <w:rsid w:val="00411CE6"/>
    <w:rsid w:val="00411F74"/>
    <w:rsid w:val="004126C3"/>
    <w:rsid w:val="004144B8"/>
    <w:rsid w:val="004158D5"/>
    <w:rsid w:val="00420158"/>
    <w:rsid w:val="00421BB6"/>
    <w:rsid w:val="004225A1"/>
    <w:rsid w:val="004235C9"/>
    <w:rsid w:val="00423EBE"/>
    <w:rsid w:val="00424BE4"/>
    <w:rsid w:val="00425950"/>
    <w:rsid w:val="00426A2C"/>
    <w:rsid w:val="00430964"/>
    <w:rsid w:val="00430A42"/>
    <w:rsid w:val="004315E4"/>
    <w:rsid w:val="00432758"/>
    <w:rsid w:val="00432D1E"/>
    <w:rsid w:val="00433285"/>
    <w:rsid w:val="00433515"/>
    <w:rsid w:val="004335A3"/>
    <w:rsid w:val="00433A96"/>
    <w:rsid w:val="00434645"/>
    <w:rsid w:val="00435B3B"/>
    <w:rsid w:val="00435FC8"/>
    <w:rsid w:val="00441371"/>
    <w:rsid w:val="004417DE"/>
    <w:rsid w:val="004418BF"/>
    <w:rsid w:val="004420B3"/>
    <w:rsid w:val="004437AD"/>
    <w:rsid w:val="00443801"/>
    <w:rsid w:val="004457D9"/>
    <w:rsid w:val="004500E6"/>
    <w:rsid w:val="0045023B"/>
    <w:rsid w:val="004534A8"/>
    <w:rsid w:val="00454305"/>
    <w:rsid w:val="00455A08"/>
    <w:rsid w:val="00455A8F"/>
    <w:rsid w:val="004567F5"/>
    <w:rsid w:val="00456DA8"/>
    <w:rsid w:val="004636FC"/>
    <w:rsid w:val="0046469B"/>
    <w:rsid w:val="00466208"/>
    <w:rsid w:val="00466C1B"/>
    <w:rsid w:val="0047127A"/>
    <w:rsid w:val="004727E0"/>
    <w:rsid w:val="00475F36"/>
    <w:rsid w:val="0047628C"/>
    <w:rsid w:val="004802C6"/>
    <w:rsid w:val="0048049F"/>
    <w:rsid w:val="004805A4"/>
    <w:rsid w:val="004860C4"/>
    <w:rsid w:val="0048613A"/>
    <w:rsid w:val="00486F8F"/>
    <w:rsid w:val="004926C6"/>
    <w:rsid w:val="004948A0"/>
    <w:rsid w:val="00494A66"/>
    <w:rsid w:val="0049541C"/>
    <w:rsid w:val="004954DC"/>
    <w:rsid w:val="00495E03"/>
    <w:rsid w:val="004A320F"/>
    <w:rsid w:val="004A5810"/>
    <w:rsid w:val="004A593E"/>
    <w:rsid w:val="004B0041"/>
    <w:rsid w:val="004B263F"/>
    <w:rsid w:val="004B2D34"/>
    <w:rsid w:val="004B2EE8"/>
    <w:rsid w:val="004B31DE"/>
    <w:rsid w:val="004B4FAA"/>
    <w:rsid w:val="004B528E"/>
    <w:rsid w:val="004B5373"/>
    <w:rsid w:val="004B58EC"/>
    <w:rsid w:val="004B59E4"/>
    <w:rsid w:val="004C0C9C"/>
    <w:rsid w:val="004C7A96"/>
    <w:rsid w:val="004D12B2"/>
    <w:rsid w:val="004D1914"/>
    <w:rsid w:val="004D22C1"/>
    <w:rsid w:val="004D23B1"/>
    <w:rsid w:val="004D2464"/>
    <w:rsid w:val="004D2AB2"/>
    <w:rsid w:val="004D68EF"/>
    <w:rsid w:val="004D73AF"/>
    <w:rsid w:val="004E11A0"/>
    <w:rsid w:val="004E2C89"/>
    <w:rsid w:val="004E36AA"/>
    <w:rsid w:val="004E3917"/>
    <w:rsid w:val="004E4EBB"/>
    <w:rsid w:val="004E585C"/>
    <w:rsid w:val="004E7335"/>
    <w:rsid w:val="004F06C1"/>
    <w:rsid w:val="004F1476"/>
    <w:rsid w:val="004F1B69"/>
    <w:rsid w:val="004F6CF0"/>
    <w:rsid w:val="00501120"/>
    <w:rsid w:val="005014A4"/>
    <w:rsid w:val="0050163E"/>
    <w:rsid w:val="005019B0"/>
    <w:rsid w:val="00504104"/>
    <w:rsid w:val="0050485E"/>
    <w:rsid w:val="005069E0"/>
    <w:rsid w:val="005072F7"/>
    <w:rsid w:val="00507523"/>
    <w:rsid w:val="00510540"/>
    <w:rsid w:val="0051592E"/>
    <w:rsid w:val="00517DDB"/>
    <w:rsid w:val="005232C6"/>
    <w:rsid w:val="00523CDB"/>
    <w:rsid w:val="00525118"/>
    <w:rsid w:val="00526567"/>
    <w:rsid w:val="00526E94"/>
    <w:rsid w:val="00532844"/>
    <w:rsid w:val="005355EE"/>
    <w:rsid w:val="00535C0F"/>
    <w:rsid w:val="005379EA"/>
    <w:rsid w:val="00537CE3"/>
    <w:rsid w:val="005422E4"/>
    <w:rsid w:val="00544AA9"/>
    <w:rsid w:val="00546044"/>
    <w:rsid w:val="0054688D"/>
    <w:rsid w:val="005472B0"/>
    <w:rsid w:val="00551AEB"/>
    <w:rsid w:val="00553669"/>
    <w:rsid w:val="00553B96"/>
    <w:rsid w:val="00553CC9"/>
    <w:rsid w:val="00554569"/>
    <w:rsid w:val="005563DE"/>
    <w:rsid w:val="00560B09"/>
    <w:rsid w:val="00560B94"/>
    <w:rsid w:val="0056337B"/>
    <w:rsid w:val="00564BC8"/>
    <w:rsid w:val="0056784C"/>
    <w:rsid w:val="005716AE"/>
    <w:rsid w:val="00572452"/>
    <w:rsid w:val="005724A4"/>
    <w:rsid w:val="0057317A"/>
    <w:rsid w:val="00573DDB"/>
    <w:rsid w:val="005756CF"/>
    <w:rsid w:val="00575C0B"/>
    <w:rsid w:val="00576CE5"/>
    <w:rsid w:val="00577A6F"/>
    <w:rsid w:val="00577CAB"/>
    <w:rsid w:val="00580433"/>
    <w:rsid w:val="0058180C"/>
    <w:rsid w:val="005820D2"/>
    <w:rsid w:val="00582E57"/>
    <w:rsid w:val="00585F98"/>
    <w:rsid w:val="00586806"/>
    <w:rsid w:val="00594126"/>
    <w:rsid w:val="0059535D"/>
    <w:rsid w:val="00596EB0"/>
    <w:rsid w:val="00596F72"/>
    <w:rsid w:val="005A0233"/>
    <w:rsid w:val="005A06A5"/>
    <w:rsid w:val="005A340E"/>
    <w:rsid w:val="005A4681"/>
    <w:rsid w:val="005B065A"/>
    <w:rsid w:val="005B0A20"/>
    <w:rsid w:val="005B215D"/>
    <w:rsid w:val="005B2244"/>
    <w:rsid w:val="005B2753"/>
    <w:rsid w:val="005B2F17"/>
    <w:rsid w:val="005B37EB"/>
    <w:rsid w:val="005B4CD4"/>
    <w:rsid w:val="005B65BC"/>
    <w:rsid w:val="005C02C3"/>
    <w:rsid w:val="005C080D"/>
    <w:rsid w:val="005C2851"/>
    <w:rsid w:val="005C29CE"/>
    <w:rsid w:val="005C50D7"/>
    <w:rsid w:val="005C71D4"/>
    <w:rsid w:val="005C7230"/>
    <w:rsid w:val="005C7E33"/>
    <w:rsid w:val="005D008F"/>
    <w:rsid w:val="005D18F8"/>
    <w:rsid w:val="005D3997"/>
    <w:rsid w:val="005D3B69"/>
    <w:rsid w:val="005E0044"/>
    <w:rsid w:val="005E1094"/>
    <w:rsid w:val="005E30E0"/>
    <w:rsid w:val="005E3396"/>
    <w:rsid w:val="005E4790"/>
    <w:rsid w:val="005E53FD"/>
    <w:rsid w:val="005E732C"/>
    <w:rsid w:val="005F06B2"/>
    <w:rsid w:val="005F17A6"/>
    <w:rsid w:val="005F25EA"/>
    <w:rsid w:val="005F26D1"/>
    <w:rsid w:val="005F46CB"/>
    <w:rsid w:val="005F4D0F"/>
    <w:rsid w:val="005F7352"/>
    <w:rsid w:val="00600873"/>
    <w:rsid w:val="006012D5"/>
    <w:rsid w:val="006023FB"/>
    <w:rsid w:val="0060438E"/>
    <w:rsid w:val="006050C8"/>
    <w:rsid w:val="006051D3"/>
    <w:rsid w:val="00610FD8"/>
    <w:rsid w:val="00612033"/>
    <w:rsid w:val="00612DE9"/>
    <w:rsid w:val="006149AF"/>
    <w:rsid w:val="00616036"/>
    <w:rsid w:val="0061718A"/>
    <w:rsid w:val="00617A52"/>
    <w:rsid w:val="006218C4"/>
    <w:rsid w:val="00622159"/>
    <w:rsid w:val="00622C23"/>
    <w:rsid w:val="006278B2"/>
    <w:rsid w:val="00632CB5"/>
    <w:rsid w:val="0063315D"/>
    <w:rsid w:val="00640269"/>
    <w:rsid w:val="00640F71"/>
    <w:rsid w:val="006427F7"/>
    <w:rsid w:val="00642D30"/>
    <w:rsid w:val="00642E66"/>
    <w:rsid w:val="0064301A"/>
    <w:rsid w:val="00643790"/>
    <w:rsid w:val="00646A3B"/>
    <w:rsid w:val="00646B0D"/>
    <w:rsid w:val="00646FFA"/>
    <w:rsid w:val="006476C4"/>
    <w:rsid w:val="006501F6"/>
    <w:rsid w:val="00650AA3"/>
    <w:rsid w:val="006517D9"/>
    <w:rsid w:val="00651C1C"/>
    <w:rsid w:val="006530DE"/>
    <w:rsid w:val="00653D2D"/>
    <w:rsid w:val="00653F88"/>
    <w:rsid w:val="00657967"/>
    <w:rsid w:val="00660930"/>
    <w:rsid w:val="00660B81"/>
    <w:rsid w:val="0066127B"/>
    <w:rsid w:val="006631EC"/>
    <w:rsid w:val="00664069"/>
    <w:rsid w:val="00665CCC"/>
    <w:rsid w:val="006707FB"/>
    <w:rsid w:val="00670CC4"/>
    <w:rsid w:val="00675BD5"/>
    <w:rsid w:val="00676517"/>
    <w:rsid w:val="00676DD3"/>
    <w:rsid w:val="00677835"/>
    <w:rsid w:val="00677A44"/>
    <w:rsid w:val="00677C9A"/>
    <w:rsid w:val="00681271"/>
    <w:rsid w:val="0068148B"/>
    <w:rsid w:val="006817B3"/>
    <w:rsid w:val="006818A2"/>
    <w:rsid w:val="0068276B"/>
    <w:rsid w:val="00682A95"/>
    <w:rsid w:val="00683831"/>
    <w:rsid w:val="00691693"/>
    <w:rsid w:val="006935EE"/>
    <w:rsid w:val="0069388B"/>
    <w:rsid w:val="006947C8"/>
    <w:rsid w:val="0069639B"/>
    <w:rsid w:val="00696AF1"/>
    <w:rsid w:val="006A0DBB"/>
    <w:rsid w:val="006A1EF2"/>
    <w:rsid w:val="006A33A9"/>
    <w:rsid w:val="006A571B"/>
    <w:rsid w:val="006A64D3"/>
    <w:rsid w:val="006A7D1A"/>
    <w:rsid w:val="006B043E"/>
    <w:rsid w:val="006B21D3"/>
    <w:rsid w:val="006B2515"/>
    <w:rsid w:val="006B2A59"/>
    <w:rsid w:val="006B342E"/>
    <w:rsid w:val="006B62B5"/>
    <w:rsid w:val="006C18F3"/>
    <w:rsid w:val="006C2E13"/>
    <w:rsid w:val="006C2EAF"/>
    <w:rsid w:val="006C3A4E"/>
    <w:rsid w:val="006C4869"/>
    <w:rsid w:val="006C61E6"/>
    <w:rsid w:val="006D1C85"/>
    <w:rsid w:val="006D28CF"/>
    <w:rsid w:val="006D534D"/>
    <w:rsid w:val="006D5E42"/>
    <w:rsid w:val="006D75C7"/>
    <w:rsid w:val="006E2C70"/>
    <w:rsid w:val="006E3562"/>
    <w:rsid w:val="006E47AF"/>
    <w:rsid w:val="006E48B5"/>
    <w:rsid w:val="006E4BE7"/>
    <w:rsid w:val="006E509A"/>
    <w:rsid w:val="006E77FA"/>
    <w:rsid w:val="006F2FC5"/>
    <w:rsid w:val="006F32ED"/>
    <w:rsid w:val="006F4352"/>
    <w:rsid w:val="006F51F6"/>
    <w:rsid w:val="007025A3"/>
    <w:rsid w:val="0070368D"/>
    <w:rsid w:val="00703F53"/>
    <w:rsid w:val="00703FF8"/>
    <w:rsid w:val="00704C7D"/>
    <w:rsid w:val="00706297"/>
    <w:rsid w:val="007070C2"/>
    <w:rsid w:val="00707984"/>
    <w:rsid w:val="00710A98"/>
    <w:rsid w:val="00714692"/>
    <w:rsid w:val="007170B4"/>
    <w:rsid w:val="00720D38"/>
    <w:rsid w:val="0072171F"/>
    <w:rsid w:val="0072318E"/>
    <w:rsid w:val="007249DB"/>
    <w:rsid w:val="00724DF5"/>
    <w:rsid w:val="007252A6"/>
    <w:rsid w:val="00725390"/>
    <w:rsid w:val="00725BAA"/>
    <w:rsid w:val="0073297A"/>
    <w:rsid w:val="007339F9"/>
    <w:rsid w:val="00733E37"/>
    <w:rsid w:val="007363F5"/>
    <w:rsid w:val="007367A4"/>
    <w:rsid w:val="00740128"/>
    <w:rsid w:val="00741389"/>
    <w:rsid w:val="00742081"/>
    <w:rsid w:val="00744B27"/>
    <w:rsid w:val="00745A61"/>
    <w:rsid w:val="00746577"/>
    <w:rsid w:val="00747972"/>
    <w:rsid w:val="007531EF"/>
    <w:rsid w:val="007569AA"/>
    <w:rsid w:val="00757588"/>
    <w:rsid w:val="007614F1"/>
    <w:rsid w:val="00763C2E"/>
    <w:rsid w:val="007661D6"/>
    <w:rsid w:val="00767810"/>
    <w:rsid w:val="00774940"/>
    <w:rsid w:val="00774EFD"/>
    <w:rsid w:val="0077542C"/>
    <w:rsid w:val="00776873"/>
    <w:rsid w:val="00776BA9"/>
    <w:rsid w:val="0078004F"/>
    <w:rsid w:val="00780CDC"/>
    <w:rsid w:val="00783096"/>
    <w:rsid w:val="00783215"/>
    <w:rsid w:val="00783615"/>
    <w:rsid w:val="00783E68"/>
    <w:rsid w:val="00783EEC"/>
    <w:rsid w:val="00784A71"/>
    <w:rsid w:val="007861C3"/>
    <w:rsid w:val="00790243"/>
    <w:rsid w:val="0079106C"/>
    <w:rsid w:val="007914F6"/>
    <w:rsid w:val="007930B2"/>
    <w:rsid w:val="0079380B"/>
    <w:rsid w:val="0079386F"/>
    <w:rsid w:val="00793A34"/>
    <w:rsid w:val="00795F71"/>
    <w:rsid w:val="007969F8"/>
    <w:rsid w:val="007A04C1"/>
    <w:rsid w:val="007A208A"/>
    <w:rsid w:val="007A3060"/>
    <w:rsid w:val="007A3788"/>
    <w:rsid w:val="007A598A"/>
    <w:rsid w:val="007A6533"/>
    <w:rsid w:val="007A66F7"/>
    <w:rsid w:val="007B07C4"/>
    <w:rsid w:val="007B14C6"/>
    <w:rsid w:val="007B2D6F"/>
    <w:rsid w:val="007B5069"/>
    <w:rsid w:val="007C044C"/>
    <w:rsid w:val="007C0D33"/>
    <w:rsid w:val="007C12C8"/>
    <w:rsid w:val="007C299E"/>
    <w:rsid w:val="007C6633"/>
    <w:rsid w:val="007D0837"/>
    <w:rsid w:val="007D2C8E"/>
    <w:rsid w:val="007D38B7"/>
    <w:rsid w:val="007D5321"/>
    <w:rsid w:val="007D62EF"/>
    <w:rsid w:val="007E23B2"/>
    <w:rsid w:val="007E3975"/>
    <w:rsid w:val="007E3E20"/>
    <w:rsid w:val="007E4633"/>
    <w:rsid w:val="007E474B"/>
    <w:rsid w:val="007E4A62"/>
    <w:rsid w:val="007E4F14"/>
    <w:rsid w:val="007E51FF"/>
    <w:rsid w:val="007E604A"/>
    <w:rsid w:val="007E6E13"/>
    <w:rsid w:val="007F1073"/>
    <w:rsid w:val="007F2486"/>
    <w:rsid w:val="007F7D84"/>
    <w:rsid w:val="008012A7"/>
    <w:rsid w:val="008017C1"/>
    <w:rsid w:val="00801A13"/>
    <w:rsid w:val="00802BB5"/>
    <w:rsid w:val="0080431E"/>
    <w:rsid w:val="00804795"/>
    <w:rsid w:val="00805270"/>
    <w:rsid w:val="008147C9"/>
    <w:rsid w:val="00814C86"/>
    <w:rsid w:val="008204A7"/>
    <w:rsid w:val="008204F2"/>
    <w:rsid w:val="00820E9A"/>
    <w:rsid w:val="0082262F"/>
    <w:rsid w:val="00826976"/>
    <w:rsid w:val="00827E8D"/>
    <w:rsid w:val="00830192"/>
    <w:rsid w:val="0083031A"/>
    <w:rsid w:val="00830C87"/>
    <w:rsid w:val="00831766"/>
    <w:rsid w:val="00831976"/>
    <w:rsid w:val="0083585F"/>
    <w:rsid w:val="008365A6"/>
    <w:rsid w:val="00840201"/>
    <w:rsid w:val="00840A93"/>
    <w:rsid w:val="008439D7"/>
    <w:rsid w:val="0084559D"/>
    <w:rsid w:val="0084568D"/>
    <w:rsid w:val="008463BF"/>
    <w:rsid w:val="008471EF"/>
    <w:rsid w:val="0085502C"/>
    <w:rsid w:val="00855E89"/>
    <w:rsid w:val="00856BBA"/>
    <w:rsid w:val="00856FCF"/>
    <w:rsid w:val="0085752A"/>
    <w:rsid w:val="0086127C"/>
    <w:rsid w:val="00862D3E"/>
    <w:rsid w:val="008631D0"/>
    <w:rsid w:val="00863E7E"/>
    <w:rsid w:val="00863F3C"/>
    <w:rsid w:val="00864DB7"/>
    <w:rsid w:val="0086773B"/>
    <w:rsid w:val="0087076C"/>
    <w:rsid w:val="00870B7E"/>
    <w:rsid w:val="00870E3D"/>
    <w:rsid w:val="00870EEF"/>
    <w:rsid w:val="00871DBA"/>
    <w:rsid w:val="00874B1E"/>
    <w:rsid w:val="00874D25"/>
    <w:rsid w:val="00876089"/>
    <w:rsid w:val="00880C66"/>
    <w:rsid w:val="008822A1"/>
    <w:rsid w:val="00882BDB"/>
    <w:rsid w:val="008836EC"/>
    <w:rsid w:val="00885918"/>
    <w:rsid w:val="0089059A"/>
    <w:rsid w:val="00891074"/>
    <w:rsid w:val="00891D38"/>
    <w:rsid w:val="00893165"/>
    <w:rsid w:val="0089446C"/>
    <w:rsid w:val="00894660"/>
    <w:rsid w:val="00895320"/>
    <w:rsid w:val="00895D0C"/>
    <w:rsid w:val="008A2BC8"/>
    <w:rsid w:val="008A351B"/>
    <w:rsid w:val="008A5C4D"/>
    <w:rsid w:val="008A6537"/>
    <w:rsid w:val="008A7D91"/>
    <w:rsid w:val="008B0C6C"/>
    <w:rsid w:val="008B108A"/>
    <w:rsid w:val="008B1AEF"/>
    <w:rsid w:val="008B1C44"/>
    <w:rsid w:val="008B2FCB"/>
    <w:rsid w:val="008B38B2"/>
    <w:rsid w:val="008B558C"/>
    <w:rsid w:val="008B5C40"/>
    <w:rsid w:val="008B6395"/>
    <w:rsid w:val="008B6496"/>
    <w:rsid w:val="008B6A7F"/>
    <w:rsid w:val="008C0671"/>
    <w:rsid w:val="008C0730"/>
    <w:rsid w:val="008C0A64"/>
    <w:rsid w:val="008C0C0B"/>
    <w:rsid w:val="008C2D1F"/>
    <w:rsid w:val="008C5A60"/>
    <w:rsid w:val="008C5CF4"/>
    <w:rsid w:val="008C6A71"/>
    <w:rsid w:val="008C6B08"/>
    <w:rsid w:val="008C7B95"/>
    <w:rsid w:val="008D339D"/>
    <w:rsid w:val="008D398E"/>
    <w:rsid w:val="008D4867"/>
    <w:rsid w:val="008D5298"/>
    <w:rsid w:val="008E2A17"/>
    <w:rsid w:val="008E2C97"/>
    <w:rsid w:val="008E3309"/>
    <w:rsid w:val="008E331F"/>
    <w:rsid w:val="008E3B24"/>
    <w:rsid w:val="008E5EF4"/>
    <w:rsid w:val="008E659D"/>
    <w:rsid w:val="008F10D1"/>
    <w:rsid w:val="008F21FB"/>
    <w:rsid w:val="00900963"/>
    <w:rsid w:val="00900D88"/>
    <w:rsid w:val="0090250C"/>
    <w:rsid w:val="00902673"/>
    <w:rsid w:val="00903B5A"/>
    <w:rsid w:val="00903DBC"/>
    <w:rsid w:val="009041D8"/>
    <w:rsid w:val="009043AA"/>
    <w:rsid w:val="009074F7"/>
    <w:rsid w:val="009100A2"/>
    <w:rsid w:val="0091054F"/>
    <w:rsid w:val="0091111E"/>
    <w:rsid w:val="009119A8"/>
    <w:rsid w:val="00912F4D"/>
    <w:rsid w:val="00915E7E"/>
    <w:rsid w:val="009221A4"/>
    <w:rsid w:val="009254F7"/>
    <w:rsid w:val="00925FFD"/>
    <w:rsid w:val="00927415"/>
    <w:rsid w:val="00927E6A"/>
    <w:rsid w:val="00932348"/>
    <w:rsid w:val="00934716"/>
    <w:rsid w:val="0093787F"/>
    <w:rsid w:val="0094082C"/>
    <w:rsid w:val="00941BE0"/>
    <w:rsid w:val="00941F6D"/>
    <w:rsid w:val="009424A9"/>
    <w:rsid w:val="0094259E"/>
    <w:rsid w:val="00942E26"/>
    <w:rsid w:val="0094450A"/>
    <w:rsid w:val="00946A71"/>
    <w:rsid w:val="00946D58"/>
    <w:rsid w:val="0095001B"/>
    <w:rsid w:val="00951ABC"/>
    <w:rsid w:val="009520EA"/>
    <w:rsid w:val="0095288F"/>
    <w:rsid w:val="009531A1"/>
    <w:rsid w:val="00953E08"/>
    <w:rsid w:val="00953EBF"/>
    <w:rsid w:val="009565E6"/>
    <w:rsid w:val="00957B52"/>
    <w:rsid w:val="0096099D"/>
    <w:rsid w:val="00960CF9"/>
    <w:rsid w:val="009612B0"/>
    <w:rsid w:val="00967273"/>
    <w:rsid w:val="00970BB0"/>
    <w:rsid w:val="00971CC4"/>
    <w:rsid w:val="00971DF3"/>
    <w:rsid w:val="0097259C"/>
    <w:rsid w:val="00973814"/>
    <w:rsid w:val="0097458E"/>
    <w:rsid w:val="00974E90"/>
    <w:rsid w:val="00975E9D"/>
    <w:rsid w:val="009772C3"/>
    <w:rsid w:val="00981710"/>
    <w:rsid w:val="00982166"/>
    <w:rsid w:val="009839CE"/>
    <w:rsid w:val="009852CC"/>
    <w:rsid w:val="00986021"/>
    <w:rsid w:val="00986387"/>
    <w:rsid w:val="00987B2F"/>
    <w:rsid w:val="009917E9"/>
    <w:rsid w:val="0099182B"/>
    <w:rsid w:val="00991C04"/>
    <w:rsid w:val="009929BA"/>
    <w:rsid w:val="00994D74"/>
    <w:rsid w:val="00995262"/>
    <w:rsid w:val="00995D9B"/>
    <w:rsid w:val="009A3E12"/>
    <w:rsid w:val="009A5006"/>
    <w:rsid w:val="009A538D"/>
    <w:rsid w:val="009A59BC"/>
    <w:rsid w:val="009A5C9F"/>
    <w:rsid w:val="009B0D3D"/>
    <w:rsid w:val="009B12E7"/>
    <w:rsid w:val="009B2ABE"/>
    <w:rsid w:val="009B2F01"/>
    <w:rsid w:val="009B34A8"/>
    <w:rsid w:val="009C116C"/>
    <w:rsid w:val="009C216B"/>
    <w:rsid w:val="009C355A"/>
    <w:rsid w:val="009C44E0"/>
    <w:rsid w:val="009C6F8F"/>
    <w:rsid w:val="009D0AC9"/>
    <w:rsid w:val="009D1192"/>
    <w:rsid w:val="009D227E"/>
    <w:rsid w:val="009D2C3E"/>
    <w:rsid w:val="009D4CE8"/>
    <w:rsid w:val="009D5E2C"/>
    <w:rsid w:val="009E02AE"/>
    <w:rsid w:val="009E03BB"/>
    <w:rsid w:val="009E0BA4"/>
    <w:rsid w:val="009E166F"/>
    <w:rsid w:val="009E2DD7"/>
    <w:rsid w:val="009E3096"/>
    <w:rsid w:val="009E3F8D"/>
    <w:rsid w:val="009E410D"/>
    <w:rsid w:val="009E456A"/>
    <w:rsid w:val="009E48CE"/>
    <w:rsid w:val="009E4DF2"/>
    <w:rsid w:val="009F02E9"/>
    <w:rsid w:val="009F0B76"/>
    <w:rsid w:val="009F2A98"/>
    <w:rsid w:val="009F3E9C"/>
    <w:rsid w:val="009F6B25"/>
    <w:rsid w:val="009F7035"/>
    <w:rsid w:val="00A00831"/>
    <w:rsid w:val="00A00D33"/>
    <w:rsid w:val="00A01568"/>
    <w:rsid w:val="00A02330"/>
    <w:rsid w:val="00A024AF"/>
    <w:rsid w:val="00A045F3"/>
    <w:rsid w:val="00A04ECD"/>
    <w:rsid w:val="00A05B8A"/>
    <w:rsid w:val="00A06709"/>
    <w:rsid w:val="00A0713A"/>
    <w:rsid w:val="00A07B91"/>
    <w:rsid w:val="00A07EB8"/>
    <w:rsid w:val="00A119FB"/>
    <w:rsid w:val="00A12AD0"/>
    <w:rsid w:val="00A13D85"/>
    <w:rsid w:val="00A14112"/>
    <w:rsid w:val="00A15049"/>
    <w:rsid w:val="00A168A7"/>
    <w:rsid w:val="00A174C7"/>
    <w:rsid w:val="00A20F7D"/>
    <w:rsid w:val="00A21D6C"/>
    <w:rsid w:val="00A21F4B"/>
    <w:rsid w:val="00A22202"/>
    <w:rsid w:val="00A230EA"/>
    <w:rsid w:val="00A2544C"/>
    <w:rsid w:val="00A26426"/>
    <w:rsid w:val="00A2718A"/>
    <w:rsid w:val="00A2772B"/>
    <w:rsid w:val="00A315E5"/>
    <w:rsid w:val="00A32040"/>
    <w:rsid w:val="00A3274F"/>
    <w:rsid w:val="00A32F02"/>
    <w:rsid w:val="00A3516D"/>
    <w:rsid w:val="00A3524C"/>
    <w:rsid w:val="00A360E4"/>
    <w:rsid w:val="00A37684"/>
    <w:rsid w:val="00A42F32"/>
    <w:rsid w:val="00A43A7E"/>
    <w:rsid w:val="00A43D67"/>
    <w:rsid w:val="00A44971"/>
    <w:rsid w:val="00A4584C"/>
    <w:rsid w:val="00A471D1"/>
    <w:rsid w:val="00A50472"/>
    <w:rsid w:val="00A509D3"/>
    <w:rsid w:val="00A5376A"/>
    <w:rsid w:val="00A57064"/>
    <w:rsid w:val="00A60C50"/>
    <w:rsid w:val="00A617BC"/>
    <w:rsid w:val="00A62C29"/>
    <w:rsid w:val="00A62E40"/>
    <w:rsid w:val="00A62FC4"/>
    <w:rsid w:val="00A63F12"/>
    <w:rsid w:val="00A63FAB"/>
    <w:rsid w:val="00A65D75"/>
    <w:rsid w:val="00A66719"/>
    <w:rsid w:val="00A7097F"/>
    <w:rsid w:val="00A7296D"/>
    <w:rsid w:val="00A7488E"/>
    <w:rsid w:val="00A75E33"/>
    <w:rsid w:val="00A760DA"/>
    <w:rsid w:val="00A804CF"/>
    <w:rsid w:val="00A80EF8"/>
    <w:rsid w:val="00A860B0"/>
    <w:rsid w:val="00A8629C"/>
    <w:rsid w:val="00A8782C"/>
    <w:rsid w:val="00A87AB5"/>
    <w:rsid w:val="00A91B73"/>
    <w:rsid w:val="00A92F29"/>
    <w:rsid w:val="00A92FFB"/>
    <w:rsid w:val="00A97A85"/>
    <w:rsid w:val="00AA030D"/>
    <w:rsid w:val="00AA1C93"/>
    <w:rsid w:val="00AA1FE9"/>
    <w:rsid w:val="00AA2203"/>
    <w:rsid w:val="00AA297B"/>
    <w:rsid w:val="00AA2FFE"/>
    <w:rsid w:val="00AA3211"/>
    <w:rsid w:val="00AA3651"/>
    <w:rsid w:val="00AA3CE1"/>
    <w:rsid w:val="00AB1583"/>
    <w:rsid w:val="00AB24F9"/>
    <w:rsid w:val="00AB3FA5"/>
    <w:rsid w:val="00AB4297"/>
    <w:rsid w:val="00AB5675"/>
    <w:rsid w:val="00AB601C"/>
    <w:rsid w:val="00AB7A06"/>
    <w:rsid w:val="00AC35D8"/>
    <w:rsid w:val="00AC3E3B"/>
    <w:rsid w:val="00AC413F"/>
    <w:rsid w:val="00AC51B1"/>
    <w:rsid w:val="00AC6966"/>
    <w:rsid w:val="00AC73D5"/>
    <w:rsid w:val="00AD0061"/>
    <w:rsid w:val="00AD2782"/>
    <w:rsid w:val="00AD2B08"/>
    <w:rsid w:val="00AD56F0"/>
    <w:rsid w:val="00AD60E7"/>
    <w:rsid w:val="00AD6251"/>
    <w:rsid w:val="00AD6539"/>
    <w:rsid w:val="00AE0E2B"/>
    <w:rsid w:val="00AE1A53"/>
    <w:rsid w:val="00AE2AFE"/>
    <w:rsid w:val="00AE4964"/>
    <w:rsid w:val="00AE7044"/>
    <w:rsid w:val="00AF0C77"/>
    <w:rsid w:val="00AF34A0"/>
    <w:rsid w:val="00AF4EA8"/>
    <w:rsid w:val="00AF5B18"/>
    <w:rsid w:val="00AF6695"/>
    <w:rsid w:val="00B00F13"/>
    <w:rsid w:val="00B02992"/>
    <w:rsid w:val="00B03FB2"/>
    <w:rsid w:val="00B04DB2"/>
    <w:rsid w:val="00B062FD"/>
    <w:rsid w:val="00B0702F"/>
    <w:rsid w:val="00B11E6E"/>
    <w:rsid w:val="00B12C79"/>
    <w:rsid w:val="00B136EC"/>
    <w:rsid w:val="00B1739C"/>
    <w:rsid w:val="00B17683"/>
    <w:rsid w:val="00B24A8F"/>
    <w:rsid w:val="00B24F2E"/>
    <w:rsid w:val="00B26642"/>
    <w:rsid w:val="00B31134"/>
    <w:rsid w:val="00B34652"/>
    <w:rsid w:val="00B369E4"/>
    <w:rsid w:val="00B43D79"/>
    <w:rsid w:val="00B43F74"/>
    <w:rsid w:val="00B4437D"/>
    <w:rsid w:val="00B5025D"/>
    <w:rsid w:val="00B51910"/>
    <w:rsid w:val="00B51C22"/>
    <w:rsid w:val="00B528C6"/>
    <w:rsid w:val="00B53681"/>
    <w:rsid w:val="00B537D5"/>
    <w:rsid w:val="00B54A91"/>
    <w:rsid w:val="00B54B26"/>
    <w:rsid w:val="00B55D9C"/>
    <w:rsid w:val="00B60ED5"/>
    <w:rsid w:val="00B6362E"/>
    <w:rsid w:val="00B638AB"/>
    <w:rsid w:val="00B639A3"/>
    <w:rsid w:val="00B63E91"/>
    <w:rsid w:val="00B64D8E"/>
    <w:rsid w:val="00B64E0D"/>
    <w:rsid w:val="00B67A69"/>
    <w:rsid w:val="00B70A2C"/>
    <w:rsid w:val="00B71091"/>
    <w:rsid w:val="00B717EB"/>
    <w:rsid w:val="00B74B08"/>
    <w:rsid w:val="00B74B31"/>
    <w:rsid w:val="00B7566C"/>
    <w:rsid w:val="00B764EC"/>
    <w:rsid w:val="00B8090B"/>
    <w:rsid w:val="00B812AB"/>
    <w:rsid w:val="00B81D31"/>
    <w:rsid w:val="00B81E1C"/>
    <w:rsid w:val="00B81F08"/>
    <w:rsid w:val="00B829A6"/>
    <w:rsid w:val="00B84BB6"/>
    <w:rsid w:val="00B84C69"/>
    <w:rsid w:val="00B865BB"/>
    <w:rsid w:val="00B86690"/>
    <w:rsid w:val="00B87686"/>
    <w:rsid w:val="00B92A35"/>
    <w:rsid w:val="00B93155"/>
    <w:rsid w:val="00B94FAF"/>
    <w:rsid w:val="00B95D0A"/>
    <w:rsid w:val="00B964AD"/>
    <w:rsid w:val="00B97E50"/>
    <w:rsid w:val="00BA1AE4"/>
    <w:rsid w:val="00BA3043"/>
    <w:rsid w:val="00BA3133"/>
    <w:rsid w:val="00BA3EDE"/>
    <w:rsid w:val="00BA42F0"/>
    <w:rsid w:val="00BA5938"/>
    <w:rsid w:val="00BA6558"/>
    <w:rsid w:val="00BA659B"/>
    <w:rsid w:val="00BA72F2"/>
    <w:rsid w:val="00BA7798"/>
    <w:rsid w:val="00BB1478"/>
    <w:rsid w:val="00BB1D36"/>
    <w:rsid w:val="00BB30D0"/>
    <w:rsid w:val="00BB49E4"/>
    <w:rsid w:val="00BB51A5"/>
    <w:rsid w:val="00BB64C9"/>
    <w:rsid w:val="00BB6C44"/>
    <w:rsid w:val="00BC33D6"/>
    <w:rsid w:val="00BC3A02"/>
    <w:rsid w:val="00BC6736"/>
    <w:rsid w:val="00BC6C02"/>
    <w:rsid w:val="00BC6D2B"/>
    <w:rsid w:val="00BD1D50"/>
    <w:rsid w:val="00BD34A6"/>
    <w:rsid w:val="00BD3E47"/>
    <w:rsid w:val="00BD498F"/>
    <w:rsid w:val="00BD5D89"/>
    <w:rsid w:val="00BE0B05"/>
    <w:rsid w:val="00BE2133"/>
    <w:rsid w:val="00BE2444"/>
    <w:rsid w:val="00BE331B"/>
    <w:rsid w:val="00BE36AC"/>
    <w:rsid w:val="00BE4C98"/>
    <w:rsid w:val="00BE4D7E"/>
    <w:rsid w:val="00BE4D89"/>
    <w:rsid w:val="00BE6491"/>
    <w:rsid w:val="00BE6AD6"/>
    <w:rsid w:val="00BE7ABA"/>
    <w:rsid w:val="00BF0DB8"/>
    <w:rsid w:val="00BF42CF"/>
    <w:rsid w:val="00BF4CF6"/>
    <w:rsid w:val="00BF4D83"/>
    <w:rsid w:val="00BF5121"/>
    <w:rsid w:val="00BF51D2"/>
    <w:rsid w:val="00BF7085"/>
    <w:rsid w:val="00BF713D"/>
    <w:rsid w:val="00BF7577"/>
    <w:rsid w:val="00BF7D3E"/>
    <w:rsid w:val="00C01821"/>
    <w:rsid w:val="00C01E54"/>
    <w:rsid w:val="00C0411E"/>
    <w:rsid w:val="00C05657"/>
    <w:rsid w:val="00C07DBD"/>
    <w:rsid w:val="00C10E0D"/>
    <w:rsid w:val="00C1206D"/>
    <w:rsid w:val="00C13A8C"/>
    <w:rsid w:val="00C1689C"/>
    <w:rsid w:val="00C16E88"/>
    <w:rsid w:val="00C17F35"/>
    <w:rsid w:val="00C20F85"/>
    <w:rsid w:val="00C2112F"/>
    <w:rsid w:val="00C2225D"/>
    <w:rsid w:val="00C24B65"/>
    <w:rsid w:val="00C26604"/>
    <w:rsid w:val="00C26FC7"/>
    <w:rsid w:val="00C27625"/>
    <w:rsid w:val="00C27D26"/>
    <w:rsid w:val="00C300D6"/>
    <w:rsid w:val="00C30AED"/>
    <w:rsid w:val="00C32A27"/>
    <w:rsid w:val="00C330A8"/>
    <w:rsid w:val="00C33D41"/>
    <w:rsid w:val="00C34EC5"/>
    <w:rsid w:val="00C35160"/>
    <w:rsid w:val="00C373FF"/>
    <w:rsid w:val="00C41292"/>
    <w:rsid w:val="00C418DC"/>
    <w:rsid w:val="00C41DE1"/>
    <w:rsid w:val="00C45111"/>
    <w:rsid w:val="00C45447"/>
    <w:rsid w:val="00C45CA8"/>
    <w:rsid w:val="00C502E1"/>
    <w:rsid w:val="00C51623"/>
    <w:rsid w:val="00C51791"/>
    <w:rsid w:val="00C54560"/>
    <w:rsid w:val="00C61DAD"/>
    <w:rsid w:val="00C64CBA"/>
    <w:rsid w:val="00C64D3C"/>
    <w:rsid w:val="00C64DA0"/>
    <w:rsid w:val="00C64DE8"/>
    <w:rsid w:val="00C65D28"/>
    <w:rsid w:val="00C664E9"/>
    <w:rsid w:val="00C66C4A"/>
    <w:rsid w:val="00C6766F"/>
    <w:rsid w:val="00C70907"/>
    <w:rsid w:val="00C71042"/>
    <w:rsid w:val="00C72F7C"/>
    <w:rsid w:val="00C73946"/>
    <w:rsid w:val="00C74554"/>
    <w:rsid w:val="00C74C04"/>
    <w:rsid w:val="00C75191"/>
    <w:rsid w:val="00C75515"/>
    <w:rsid w:val="00C7757B"/>
    <w:rsid w:val="00C820F0"/>
    <w:rsid w:val="00C8352E"/>
    <w:rsid w:val="00C84DE0"/>
    <w:rsid w:val="00C9101B"/>
    <w:rsid w:val="00C9359D"/>
    <w:rsid w:val="00C93B27"/>
    <w:rsid w:val="00C96C49"/>
    <w:rsid w:val="00CA2A22"/>
    <w:rsid w:val="00CA2B3B"/>
    <w:rsid w:val="00CA35B1"/>
    <w:rsid w:val="00CA398B"/>
    <w:rsid w:val="00CA4284"/>
    <w:rsid w:val="00CA4D1F"/>
    <w:rsid w:val="00CA4D67"/>
    <w:rsid w:val="00CA5527"/>
    <w:rsid w:val="00CA5682"/>
    <w:rsid w:val="00CA6F99"/>
    <w:rsid w:val="00CA77FC"/>
    <w:rsid w:val="00CB2FBA"/>
    <w:rsid w:val="00CB32CE"/>
    <w:rsid w:val="00CB390D"/>
    <w:rsid w:val="00CB53D6"/>
    <w:rsid w:val="00CB7E3E"/>
    <w:rsid w:val="00CC01EF"/>
    <w:rsid w:val="00CC159A"/>
    <w:rsid w:val="00CC1EC7"/>
    <w:rsid w:val="00CC2CFA"/>
    <w:rsid w:val="00CC359F"/>
    <w:rsid w:val="00CC5D06"/>
    <w:rsid w:val="00CC5DF9"/>
    <w:rsid w:val="00CC67EC"/>
    <w:rsid w:val="00CC69DE"/>
    <w:rsid w:val="00CC6D54"/>
    <w:rsid w:val="00CC6FF9"/>
    <w:rsid w:val="00CD0D91"/>
    <w:rsid w:val="00CD572D"/>
    <w:rsid w:val="00CD58C8"/>
    <w:rsid w:val="00CD6012"/>
    <w:rsid w:val="00CD7E69"/>
    <w:rsid w:val="00CE1020"/>
    <w:rsid w:val="00CE452B"/>
    <w:rsid w:val="00CE4B2A"/>
    <w:rsid w:val="00CE503D"/>
    <w:rsid w:val="00CE6085"/>
    <w:rsid w:val="00CE7FD4"/>
    <w:rsid w:val="00CF046A"/>
    <w:rsid w:val="00CF155D"/>
    <w:rsid w:val="00CF418D"/>
    <w:rsid w:val="00CF52D9"/>
    <w:rsid w:val="00CF563D"/>
    <w:rsid w:val="00CF5AF4"/>
    <w:rsid w:val="00CF7FAB"/>
    <w:rsid w:val="00D01808"/>
    <w:rsid w:val="00D02EA7"/>
    <w:rsid w:val="00D036FE"/>
    <w:rsid w:val="00D03BC3"/>
    <w:rsid w:val="00D06449"/>
    <w:rsid w:val="00D06569"/>
    <w:rsid w:val="00D074C5"/>
    <w:rsid w:val="00D11E6E"/>
    <w:rsid w:val="00D132DA"/>
    <w:rsid w:val="00D1362D"/>
    <w:rsid w:val="00D14127"/>
    <w:rsid w:val="00D165AF"/>
    <w:rsid w:val="00D16899"/>
    <w:rsid w:val="00D210D6"/>
    <w:rsid w:val="00D2246D"/>
    <w:rsid w:val="00D22AB3"/>
    <w:rsid w:val="00D2358B"/>
    <w:rsid w:val="00D270F3"/>
    <w:rsid w:val="00D307C6"/>
    <w:rsid w:val="00D308F0"/>
    <w:rsid w:val="00D30F28"/>
    <w:rsid w:val="00D311B9"/>
    <w:rsid w:val="00D31920"/>
    <w:rsid w:val="00D32421"/>
    <w:rsid w:val="00D32A32"/>
    <w:rsid w:val="00D32A68"/>
    <w:rsid w:val="00D33AE1"/>
    <w:rsid w:val="00D40F8C"/>
    <w:rsid w:val="00D41F5D"/>
    <w:rsid w:val="00D42594"/>
    <w:rsid w:val="00D44733"/>
    <w:rsid w:val="00D44928"/>
    <w:rsid w:val="00D44EF5"/>
    <w:rsid w:val="00D453E2"/>
    <w:rsid w:val="00D506A8"/>
    <w:rsid w:val="00D50937"/>
    <w:rsid w:val="00D53335"/>
    <w:rsid w:val="00D545A7"/>
    <w:rsid w:val="00D54618"/>
    <w:rsid w:val="00D54AA5"/>
    <w:rsid w:val="00D54CB4"/>
    <w:rsid w:val="00D55D49"/>
    <w:rsid w:val="00D60229"/>
    <w:rsid w:val="00D603DA"/>
    <w:rsid w:val="00D626BF"/>
    <w:rsid w:val="00D63A8C"/>
    <w:rsid w:val="00D65D13"/>
    <w:rsid w:val="00D7056A"/>
    <w:rsid w:val="00D70E0A"/>
    <w:rsid w:val="00D7349B"/>
    <w:rsid w:val="00D755C9"/>
    <w:rsid w:val="00D76BD0"/>
    <w:rsid w:val="00D80B08"/>
    <w:rsid w:val="00D81880"/>
    <w:rsid w:val="00D8640D"/>
    <w:rsid w:val="00D8650C"/>
    <w:rsid w:val="00D87478"/>
    <w:rsid w:val="00D9028E"/>
    <w:rsid w:val="00D916AF"/>
    <w:rsid w:val="00D91964"/>
    <w:rsid w:val="00D91C6A"/>
    <w:rsid w:val="00D92392"/>
    <w:rsid w:val="00D92552"/>
    <w:rsid w:val="00D93D8A"/>
    <w:rsid w:val="00D94E44"/>
    <w:rsid w:val="00DA3DD6"/>
    <w:rsid w:val="00DA6264"/>
    <w:rsid w:val="00DA73A4"/>
    <w:rsid w:val="00DB01CD"/>
    <w:rsid w:val="00DB06B6"/>
    <w:rsid w:val="00DB0BB8"/>
    <w:rsid w:val="00DB1C44"/>
    <w:rsid w:val="00DB213F"/>
    <w:rsid w:val="00DB320E"/>
    <w:rsid w:val="00DB3D89"/>
    <w:rsid w:val="00DB56D3"/>
    <w:rsid w:val="00DB75D5"/>
    <w:rsid w:val="00DC1977"/>
    <w:rsid w:val="00DC255C"/>
    <w:rsid w:val="00DC48BF"/>
    <w:rsid w:val="00DC51F2"/>
    <w:rsid w:val="00DC5A95"/>
    <w:rsid w:val="00DC5D9E"/>
    <w:rsid w:val="00DC7F2F"/>
    <w:rsid w:val="00DD2213"/>
    <w:rsid w:val="00DD4E91"/>
    <w:rsid w:val="00DD518C"/>
    <w:rsid w:val="00DD6E0E"/>
    <w:rsid w:val="00DE0C57"/>
    <w:rsid w:val="00DE0EA6"/>
    <w:rsid w:val="00DE1083"/>
    <w:rsid w:val="00DE14D1"/>
    <w:rsid w:val="00DE23E6"/>
    <w:rsid w:val="00DE3194"/>
    <w:rsid w:val="00DE464E"/>
    <w:rsid w:val="00DE4692"/>
    <w:rsid w:val="00DE581E"/>
    <w:rsid w:val="00DE5940"/>
    <w:rsid w:val="00DF0074"/>
    <w:rsid w:val="00DF0B24"/>
    <w:rsid w:val="00DF2D12"/>
    <w:rsid w:val="00DF4165"/>
    <w:rsid w:val="00DF43E6"/>
    <w:rsid w:val="00DF5442"/>
    <w:rsid w:val="00DF5F66"/>
    <w:rsid w:val="00DF69EC"/>
    <w:rsid w:val="00DF6E18"/>
    <w:rsid w:val="00DF777F"/>
    <w:rsid w:val="00DF7BD4"/>
    <w:rsid w:val="00E01A54"/>
    <w:rsid w:val="00E03BD4"/>
    <w:rsid w:val="00E04BF5"/>
    <w:rsid w:val="00E06CFF"/>
    <w:rsid w:val="00E1029C"/>
    <w:rsid w:val="00E105E9"/>
    <w:rsid w:val="00E13654"/>
    <w:rsid w:val="00E14319"/>
    <w:rsid w:val="00E1555F"/>
    <w:rsid w:val="00E25923"/>
    <w:rsid w:val="00E2641F"/>
    <w:rsid w:val="00E326B3"/>
    <w:rsid w:val="00E33FD8"/>
    <w:rsid w:val="00E359A9"/>
    <w:rsid w:val="00E379C0"/>
    <w:rsid w:val="00E403C9"/>
    <w:rsid w:val="00E4059F"/>
    <w:rsid w:val="00E416C2"/>
    <w:rsid w:val="00E43D20"/>
    <w:rsid w:val="00E446C9"/>
    <w:rsid w:val="00E45A98"/>
    <w:rsid w:val="00E45B7D"/>
    <w:rsid w:val="00E477B6"/>
    <w:rsid w:val="00E47ADD"/>
    <w:rsid w:val="00E47CD5"/>
    <w:rsid w:val="00E54360"/>
    <w:rsid w:val="00E547C1"/>
    <w:rsid w:val="00E55443"/>
    <w:rsid w:val="00E55682"/>
    <w:rsid w:val="00E57234"/>
    <w:rsid w:val="00E5740E"/>
    <w:rsid w:val="00E60959"/>
    <w:rsid w:val="00E62912"/>
    <w:rsid w:val="00E669F5"/>
    <w:rsid w:val="00E7251F"/>
    <w:rsid w:val="00E72646"/>
    <w:rsid w:val="00E7439C"/>
    <w:rsid w:val="00E746E2"/>
    <w:rsid w:val="00E74EDD"/>
    <w:rsid w:val="00E80117"/>
    <w:rsid w:val="00E82E8A"/>
    <w:rsid w:val="00E83170"/>
    <w:rsid w:val="00E83609"/>
    <w:rsid w:val="00E85FAF"/>
    <w:rsid w:val="00E869B7"/>
    <w:rsid w:val="00E9164E"/>
    <w:rsid w:val="00E91AD7"/>
    <w:rsid w:val="00E9287C"/>
    <w:rsid w:val="00E934B0"/>
    <w:rsid w:val="00E9649C"/>
    <w:rsid w:val="00E971B0"/>
    <w:rsid w:val="00E9755E"/>
    <w:rsid w:val="00E97709"/>
    <w:rsid w:val="00E97B72"/>
    <w:rsid w:val="00EA0736"/>
    <w:rsid w:val="00EA0B68"/>
    <w:rsid w:val="00EA19B3"/>
    <w:rsid w:val="00EA1A90"/>
    <w:rsid w:val="00EA1DC4"/>
    <w:rsid w:val="00EA4BBA"/>
    <w:rsid w:val="00EA4C9A"/>
    <w:rsid w:val="00EA79E7"/>
    <w:rsid w:val="00EB1FCA"/>
    <w:rsid w:val="00EB2507"/>
    <w:rsid w:val="00EB31E1"/>
    <w:rsid w:val="00EB33FA"/>
    <w:rsid w:val="00EB53CB"/>
    <w:rsid w:val="00EB5C9F"/>
    <w:rsid w:val="00EB61CA"/>
    <w:rsid w:val="00EB70A2"/>
    <w:rsid w:val="00EC0E9A"/>
    <w:rsid w:val="00EC1125"/>
    <w:rsid w:val="00EC203B"/>
    <w:rsid w:val="00EC2133"/>
    <w:rsid w:val="00EC39A9"/>
    <w:rsid w:val="00EC4639"/>
    <w:rsid w:val="00EC5AAC"/>
    <w:rsid w:val="00EC63B1"/>
    <w:rsid w:val="00EC7BB7"/>
    <w:rsid w:val="00ED05D6"/>
    <w:rsid w:val="00ED2016"/>
    <w:rsid w:val="00ED3777"/>
    <w:rsid w:val="00ED3AAD"/>
    <w:rsid w:val="00ED444B"/>
    <w:rsid w:val="00ED5661"/>
    <w:rsid w:val="00ED5D72"/>
    <w:rsid w:val="00ED7888"/>
    <w:rsid w:val="00ED79D4"/>
    <w:rsid w:val="00ED7FB0"/>
    <w:rsid w:val="00EE2367"/>
    <w:rsid w:val="00EE52F3"/>
    <w:rsid w:val="00EF065C"/>
    <w:rsid w:val="00EF0E44"/>
    <w:rsid w:val="00EF0F5F"/>
    <w:rsid w:val="00EF1878"/>
    <w:rsid w:val="00EF28EB"/>
    <w:rsid w:val="00EF3AD5"/>
    <w:rsid w:val="00EF6FFB"/>
    <w:rsid w:val="00EF72BA"/>
    <w:rsid w:val="00F00AD0"/>
    <w:rsid w:val="00F01229"/>
    <w:rsid w:val="00F01561"/>
    <w:rsid w:val="00F0213F"/>
    <w:rsid w:val="00F03C20"/>
    <w:rsid w:val="00F03CEB"/>
    <w:rsid w:val="00F049B1"/>
    <w:rsid w:val="00F05D42"/>
    <w:rsid w:val="00F05D91"/>
    <w:rsid w:val="00F10872"/>
    <w:rsid w:val="00F1610A"/>
    <w:rsid w:val="00F222C1"/>
    <w:rsid w:val="00F24424"/>
    <w:rsid w:val="00F26872"/>
    <w:rsid w:val="00F304B9"/>
    <w:rsid w:val="00F316B2"/>
    <w:rsid w:val="00F37E03"/>
    <w:rsid w:val="00F402B4"/>
    <w:rsid w:val="00F41499"/>
    <w:rsid w:val="00F4165C"/>
    <w:rsid w:val="00F42F40"/>
    <w:rsid w:val="00F43320"/>
    <w:rsid w:val="00F44254"/>
    <w:rsid w:val="00F46D22"/>
    <w:rsid w:val="00F477D9"/>
    <w:rsid w:val="00F50162"/>
    <w:rsid w:val="00F5032D"/>
    <w:rsid w:val="00F5125D"/>
    <w:rsid w:val="00F51C2D"/>
    <w:rsid w:val="00F52A17"/>
    <w:rsid w:val="00F53F36"/>
    <w:rsid w:val="00F55B58"/>
    <w:rsid w:val="00F56A52"/>
    <w:rsid w:val="00F56CFE"/>
    <w:rsid w:val="00F57623"/>
    <w:rsid w:val="00F60297"/>
    <w:rsid w:val="00F604BC"/>
    <w:rsid w:val="00F65D2B"/>
    <w:rsid w:val="00F65F8A"/>
    <w:rsid w:val="00F673C5"/>
    <w:rsid w:val="00F74407"/>
    <w:rsid w:val="00F828DE"/>
    <w:rsid w:val="00F85018"/>
    <w:rsid w:val="00F85921"/>
    <w:rsid w:val="00F85F19"/>
    <w:rsid w:val="00F9020D"/>
    <w:rsid w:val="00F908BB"/>
    <w:rsid w:val="00F91606"/>
    <w:rsid w:val="00F94235"/>
    <w:rsid w:val="00F9489D"/>
    <w:rsid w:val="00F94B3D"/>
    <w:rsid w:val="00F96D43"/>
    <w:rsid w:val="00F9783E"/>
    <w:rsid w:val="00FA084A"/>
    <w:rsid w:val="00FA1CCE"/>
    <w:rsid w:val="00FA2881"/>
    <w:rsid w:val="00FA2886"/>
    <w:rsid w:val="00FA2D13"/>
    <w:rsid w:val="00FA3136"/>
    <w:rsid w:val="00FA31E5"/>
    <w:rsid w:val="00FA4592"/>
    <w:rsid w:val="00FA4E05"/>
    <w:rsid w:val="00FA58D4"/>
    <w:rsid w:val="00FA601D"/>
    <w:rsid w:val="00FA6219"/>
    <w:rsid w:val="00FA6761"/>
    <w:rsid w:val="00FA73EC"/>
    <w:rsid w:val="00FB3DD8"/>
    <w:rsid w:val="00FB4C8D"/>
    <w:rsid w:val="00FB66F2"/>
    <w:rsid w:val="00FB7E01"/>
    <w:rsid w:val="00FC28C2"/>
    <w:rsid w:val="00FC3177"/>
    <w:rsid w:val="00FC3C5E"/>
    <w:rsid w:val="00FC49F5"/>
    <w:rsid w:val="00FC591C"/>
    <w:rsid w:val="00FD5091"/>
    <w:rsid w:val="00FE2A42"/>
    <w:rsid w:val="00FE2C31"/>
    <w:rsid w:val="00FE6305"/>
    <w:rsid w:val="00FE7E38"/>
    <w:rsid w:val="00FF1B18"/>
    <w:rsid w:val="00FF2DFD"/>
    <w:rsid w:val="00FF31F3"/>
    <w:rsid w:val="00FF434D"/>
    <w:rsid w:val="00FF54C9"/>
    <w:rsid w:val="00FF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7E872"/>
  <w15:chartTrackingRefBased/>
  <w15:docId w15:val="{34333BFF-5D73-4591-8915-B52AB4173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6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3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qFormat/>
    <w:rsid w:val="008C0A64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C0A64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8C0A64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5563D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styleId="Strong">
    <w:name w:val="Strong"/>
    <w:basedOn w:val="DefaultParagraphFont"/>
    <w:uiPriority w:val="22"/>
    <w:qFormat/>
    <w:rsid w:val="00D03BC3"/>
    <w:rPr>
      <w:b/>
      <w:bCs/>
    </w:rPr>
  </w:style>
  <w:style w:type="character" w:styleId="Emphasis">
    <w:name w:val="Emphasis"/>
    <w:basedOn w:val="DefaultParagraphFont"/>
    <w:uiPriority w:val="20"/>
    <w:qFormat/>
    <w:rsid w:val="00D03BC3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398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398E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8D398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D71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1B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40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5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51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59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AF1DB-8415-41E9-B0CB-1B2FF75C3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7446</TotalTime>
  <Pages>7</Pages>
  <Words>2582</Words>
  <Characters>14719</Characters>
  <Application>Microsoft Office Word</Application>
  <DocSecurity>0</DocSecurity>
  <Lines>122</Lines>
  <Paragraphs>34</Paragraphs>
  <ScaleCrop>false</ScaleCrop>
  <Company/>
  <LinksUpToDate>false</LinksUpToDate>
  <CharactersWithSpaces>17267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Gonzalez McNiven</dc:creator>
  <cp:keywords/>
  <dc:description/>
  <cp:lastModifiedBy>Holly Gonzalez McNiven</cp:lastModifiedBy>
  <cp:revision>1851</cp:revision>
  <dcterms:created xsi:type="dcterms:W3CDTF">2022-02-23T12:32:00Z</dcterms:created>
  <dcterms:modified xsi:type="dcterms:W3CDTF">2022-03-16T20:03:00Z</dcterms:modified>
</cp:coreProperties>
</file>